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November 1,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California Resources Corporation</w:t>
      </w:r>
    </w:p>
    <w:p>
      <w:pPr>
        <w:spacing w:after="0" w:line="5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04"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404"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3" w:lineRule="exact"/>
        <w:rPr>
          <w:sz w:val="20"/>
          <w:szCs w:val="20"/>
          <w:color w:val="auto"/>
        </w:rPr>
      </w:pPr>
    </w:p>
    <w:p>
      <w:pPr>
        <w:ind w:right="480" w:firstLine="648"/>
        <w:spacing w:after="0" w:line="360" w:lineRule="auto"/>
        <w:rPr>
          <w:sz w:val="20"/>
          <w:szCs w:val="20"/>
          <w:color w:val="auto"/>
        </w:rPr>
      </w:pPr>
      <w:r>
        <w:rPr>
          <w:rFonts w:ascii="Arial" w:cs="Arial" w:eastAsia="Arial" w:hAnsi="Arial"/>
          <w:sz w:val="16"/>
          <w:szCs w:val="16"/>
          <w:color w:val="auto"/>
        </w:rPr>
        <w:t>On November 1, 2019, the lenders under the Company’s 2014 Revolving Credit Facility completed their regular semi-annual borrowing base redetermination process and reaffirmed the $2.3 billion borrowing base. The lenders’ aggregate commitment also remains unchanged at $1.0 billion.</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contained in Item 7.01 of this report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ectPr>
          <w:pgSz w:w="11900" w:h="16838" w:orient="portrait"/>
          <w:cols w:equalWidth="0" w:num="1">
            <w:col w:w="11300"/>
          </w:cols>
          <w:pgMar w:left="240" w:top="580" w:right="3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 2019</w:t>
      </w:r>
    </w:p>
    <w:sectPr>
      <w:pgSz w:w="11900" w:h="16838" w:orient="portrait"/>
      <w:cols w:equalWidth="0" w:num="1">
        <w:col w:w="10940"/>
      </w:cols>
      <w:pgMar w:left="240" w:top="58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2019-12-04T22:39:35Z</dcterms:created>
  <dcterms:modified xsi:type="dcterms:W3CDTF">2019-12-04T22:39:35Z</dcterms:modified>
</cp:coreProperties>
</file>