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1"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September 30, 2022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37"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5"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8" w:lineRule="exact"/>
        <w:rPr>
          <w:sz w:val="24"/>
          <w:szCs w:val="24"/>
          <w:color w:val="auto"/>
        </w:rPr>
      </w:pPr>
    </w:p>
    <w:tbl>
      <w:tblPr>
        <w:tblLayout w:type="fixed"/>
        <w:tblInd w:w="1700" w:type="dxa"/>
        <w:tblCellMar>
          <w:top w:w="0" w:type="dxa"/>
          <w:left w:w="0" w:type="dxa"/>
          <w:bottom w:w="0" w:type="dxa"/>
          <w:right w:w="0" w:type="dxa"/>
        </w:tblCellMar>
      </w:tblPr>
      <w:tr>
        <w:trPr>
          <w:trHeight w:val="258"/>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203"/>
        </w:trPr>
        <w:tc>
          <w:tcPr>
            <w:tcW w:w="4360" w:type="dxa"/>
            <w:vAlign w:val="bottom"/>
          </w:tcPr>
          <w:p>
            <w:pPr>
              <w:ind w:left="20"/>
              <w:spacing w:after="0" w:line="203"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203" w:lineRule="exact"/>
              <w:rPr>
                <w:sz w:val="20"/>
                <w:szCs w:val="20"/>
                <w:color w:val="auto"/>
              </w:rPr>
            </w:pPr>
            <w:r>
              <w:rPr>
                <w:rFonts w:ascii="Arial" w:cs="Arial" w:eastAsia="Arial" w:hAnsi="Arial"/>
                <w:sz w:val="20"/>
                <w:szCs w:val="20"/>
                <w:color w:val="auto"/>
              </w:rPr>
              <w:t>(I.R.S. Employer</w:t>
            </w:r>
          </w:p>
        </w:tc>
      </w:tr>
      <w:tr>
        <w:trPr>
          <w:trHeight w:val="261"/>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96"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1 World Trade Center, Suite 1500</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0"/>
          <w:szCs w:val="20"/>
          <w:b w:val="1"/>
          <w:bCs w:val="1"/>
          <w:color w:val="auto"/>
        </w:rPr>
        <w:t>Long Beach, California 90831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3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03" w:right="339" w:bottom="1440" w:gutter="0" w:footer="0" w:header="0"/>
        </w:sectPr>
      </w:pPr>
    </w:p>
    <w:p>
      <w:pPr>
        <w:spacing w:after="0" w:line="14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1"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39"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03" w:right="339" w:bottom="1440" w:gutter="0" w:footer="0" w:header="0"/>
          <w:type w:val="continuous"/>
        </w:sectPr>
      </w:pPr>
    </w:p>
    <w:p>
      <w:pPr>
        <w:spacing w:after="0" w:line="153"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70"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5"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93" w:lineRule="exact"/>
        <w:rPr>
          <w:sz w:val="24"/>
          <w:szCs w:val="24"/>
          <w:color w:val="auto"/>
        </w:rPr>
      </w:pPr>
    </w:p>
    <w:p>
      <w:pPr>
        <w:ind w:left="1040"/>
        <w:spacing w:after="0" w:line="317"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36"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03" w:right="339" w:bottom="1440" w:gutter="0" w:footer="0" w:header="0"/>
          <w:type w:val="continuous"/>
        </w:sectPr>
      </w:pPr>
    </w:p>
    <w:p>
      <w:pPr>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line="222"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last practicable date.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September 30, 2022 was 73,470,932.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960" w:type="dxa"/>
            <w:vAlign w:val="bottom"/>
          </w:tcPr>
          <w:p>
            <w:pPr>
              <w:spacing w:after="0"/>
              <w:rPr>
                <w:sz w:val="21"/>
                <w:szCs w:val="21"/>
                <w:color w:val="auto"/>
              </w:rPr>
            </w:pPr>
          </w:p>
        </w:tc>
        <w:tc>
          <w:tcPr>
            <w:tcW w:w="7520" w:type="dxa"/>
            <w:vAlign w:val="bottom"/>
          </w:tcPr>
          <w:p>
            <w:pPr>
              <w:ind w:left="1460"/>
              <w:spacing w:after="0"/>
              <w:rPr>
                <w:sz w:val="20"/>
                <w:szCs w:val="20"/>
                <w:color w:val="auto"/>
              </w:rPr>
            </w:pPr>
            <w:r>
              <w:rPr>
                <w:rFonts w:ascii="Arial" w:cs="Arial" w:eastAsia="Arial" w:hAnsi="Arial"/>
                <w:sz w:val="18"/>
                <w:szCs w:val="18"/>
                <w:b w:val="1"/>
                <w:bCs w:val="1"/>
                <w:color w:val="auto"/>
              </w:rPr>
              <w:t>California Resources Corporation and Subsidiaries</w:t>
            </w:r>
          </w:p>
        </w:tc>
        <w:tc>
          <w:tcPr>
            <w:tcW w:w="740" w:type="dxa"/>
            <w:vAlign w:val="bottom"/>
          </w:tcPr>
          <w:p>
            <w:pPr>
              <w:spacing w:after="0"/>
              <w:rPr>
                <w:sz w:val="21"/>
                <w:szCs w:val="21"/>
                <w:color w:val="auto"/>
              </w:rPr>
            </w:pPr>
          </w:p>
        </w:tc>
      </w:tr>
      <w:tr>
        <w:trPr>
          <w:trHeight w:val="459"/>
        </w:trPr>
        <w:tc>
          <w:tcPr>
            <w:tcW w:w="960" w:type="dxa"/>
            <w:vAlign w:val="bottom"/>
          </w:tcPr>
          <w:p>
            <w:pPr>
              <w:spacing w:after="0"/>
              <w:rPr>
                <w:sz w:val="24"/>
                <w:szCs w:val="24"/>
                <w:color w:val="auto"/>
              </w:rPr>
            </w:pPr>
          </w:p>
        </w:tc>
        <w:tc>
          <w:tcPr>
            <w:tcW w:w="7520" w:type="dxa"/>
            <w:vAlign w:val="bottom"/>
          </w:tcPr>
          <w:p>
            <w:pPr>
              <w:ind w:left="290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339"/>
        </w:trPr>
        <w:tc>
          <w:tcPr>
            <w:tcW w:w="9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Income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Stockholders' Equity</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Carbon TerraVault Joint Venture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Dividends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 Repurchase Program</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Divestitures and Acquisitions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Regulatory Updates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Prices and Realizations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Liquidity and Capital Resources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2022 Capital Program</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Critical Accounting Estimates and Significant Accounting and Disclosure Changes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Forward-Looking Statements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3</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4</w:t>
            </w:r>
          </w:p>
        </w:tc>
        <w:tc>
          <w:tcPr>
            <w:tcW w:w="75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16"/>
        </w:trPr>
        <w:tc>
          <w:tcPr>
            <w:tcW w:w="96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1A</w:t>
            </w:r>
          </w:p>
        </w:tc>
        <w:tc>
          <w:tcPr>
            <w:tcW w:w="75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5</w:t>
            </w:r>
          </w:p>
        </w:tc>
        <w:tc>
          <w:tcPr>
            <w:tcW w:w="7520" w:type="dxa"/>
            <w:vAlign w:val="bottom"/>
          </w:tcPr>
          <w:p>
            <w:pPr>
              <w:ind w:left="180"/>
              <w:spacing w:after="0"/>
              <w:rPr>
                <w:sz w:val="20"/>
                <w:szCs w:val="20"/>
                <w:color w:val="auto"/>
              </w:rPr>
            </w:pPr>
            <w:r>
              <w:rPr>
                <w:rFonts w:ascii="Arial" w:cs="Arial" w:eastAsia="Arial" w:hAnsi="Arial"/>
                <w:sz w:val="18"/>
                <w:szCs w:val="18"/>
                <w:color w:val="auto"/>
              </w:rPr>
              <w:t>Other Disclosures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6</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Exhibits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890" w:right="1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10-Q:</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FEED </w:t>
      </w:r>
      <w:r>
        <w:rPr>
          <w:rFonts w:ascii="Arial" w:cs="Arial" w:eastAsia="Arial" w:hAnsi="Arial"/>
          <w:sz w:val="18"/>
          <w:szCs w:val="18"/>
          <w:color w:val="auto"/>
        </w:rPr>
        <w:t>- Front-end engineering design.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Full-Scope Net Zero </w:t>
      </w:r>
      <w:r>
        <w:rPr>
          <w:rFonts w:ascii="Arial" w:cs="Arial" w:eastAsia="Arial" w:hAnsi="Arial"/>
          <w:sz w:val="18"/>
          <w:szCs w:val="18"/>
          <w:color w:val="auto"/>
        </w:rPr>
        <w:t>- Achieving permanent storage of captured or removed carbon emissions in a volume equal to all of our scope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 and 3 emissions by 2045.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LIBOR </w:t>
      </w:r>
      <w:r>
        <w:rPr>
          <w:rFonts w:ascii="Arial" w:cs="Arial" w:eastAsia="Arial" w:hAnsi="Arial"/>
          <w:sz w:val="18"/>
          <w:szCs w:val="18"/>
          <w:color w:val="auto"/>
        </w:rPr>
        <w:t>- London Interbank Offered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 </w:t>
      </w:r>
      <w:r>
        <w:rPr>
          <w:rFonts w:ascii="Arial" w:cs="Arial" w:eastAsia="Arial" w:hAnsi="Arial"/>
          <w:sz w:val="18"/>
          <w:szCs w:val="18"/>
          <w:color w:val="auto"/>
        </w:rPr>
        <w:t>- Million metric tons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and together with Russia and other allied producing countries</w:t>
      </w:r>
    </w:p>
    <w:p>
      <w:pPr>
        <w:spacing w:after="0" w:line="21" w:lineRule="exact"/>
        <w:rPr>
          <w:rFonts w:ascii="Arial" w:cs="Arial" w:eastAsia="Arial" w:hAnsi="Arial"/>
          <w:sz w:val="18"/>
          <w:szCs w:val="18"/>
          <w:color w:val="auto"/>
        </w:rPr>
      </w:pPr>
    </w:p>
    <w:p>
      <w:pPr>
        <w:ind w:left="660" w:hanging="328"/>
        <w:spacing w:after="0" w:line="231"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b w:val="1"/>
          <w:bCs w:val="1"/>
          <w:i w:val="1"/>
          <w:iCs w:val="1"/>
          <w:color w:val="auto"/>
        </w:rPr>
        <w:t xml:space="preserve">PHMS </w:t>
      </w:r>
      <w:r>
        <w:rPr>
          <w:rFonts w:ascii="Arial" w:cs="Arial" w:eastAsia="Arial" w:hAnsi="Arial"/>
          <w:sz w:val="18"/>
          <w:szCs w:val="18"/>
          <w:color w:val="auto"/>
        </w:rPr>
        <w:t>- Pipeline and Hazardous Materials Safety Administration.</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Proved reserves that can be expected to be recovered through existing wells with existing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operating methods.</w:t>
      </w:r>
    </w:p>
    <w:p>
      <w:pPr>
        <w:ind w:left="660" w:right="30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ectPr>
          <w:pgSz w:w="11900" w:h="16838" w:orient="portrait"/>
          <w:cols w:equalWidth="0" w:num="1">
            <w:col w:w="11180"/>
          </w:cols>
          <w:pgMar w:left="320" w:top="890" w:right="39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4" w:name="page5"/>
    <w:bookmarkEnd w:id="4"/>
    <w:p>
      <w:pPr>
        <w:ind w:left="328" w:right="60" w:hanging="328"/>
        <w:spacing w:after="0" w:line="276"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Pr>
          <w:p>
            <w:pPr>
              <w:ind w:left="3500"/>
              <w:spacing w:after="0"/>
              <w:rPr>
                <w:sz w:val="20"/>
                <w:szCs w:val="20"/>
                <w:color w:val="auto"/>
              </w:rPr>
            </w:pPr>
            <w:r>
              <w:rPr>
                <w:rFonts w:ascii="Arial" w:cs="Arial" w:eastAsia="Arial" w:hAnsi="Arial"/>
                <w:sz w:val="18"/>
                <w:szCs w:val="18"/>
                <w:b w:val="1"/>
                <w:bCs w:val="1"/>
                <w:color w:val="auto"/>
              </w:rPr>
              <w:t>PART I</w:t>
            </w:r>
          </w:p>
        </w:tc>
        <w:tc>
          <w:tcPr>
            <w:tcW w:w="31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FINANCIAL INFORMATION</w:t>
            </w: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6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40" w:type="dxa"/>
            <w:vAlign w:val="bottom"/>
            <w:gridSpan w:val="4"/>
          </w:tcPr>
          <w:p>
            <w:pPr>
              <w:jc w:val="center"/>
              <w:ind w:left="2610"/>
              <w:spacing w:after="0"/>
              <w:rPr>
                <w:sz w:val="20"/>
                <w:szCs w:val="20"/>
                <w:color w:val="auto"/>
              </w:rPr>
            </w:pPr>
            <w:r>
              <w:rPr>
                <w:rFonts w:ascii="Arial" w:cs="Arial" w:eastAsia="Arial" w:hAnsi="Arial"/>
                <w:sz w:val="18"/>
                <w:szCs w:val="18"/>
                <w:b w:val="1"/>
                <w:bCs w:val="1"/>
                <w:color w:val="auto"/>
              </w:rPr>
              <w:t>Condensed Consolidated Balance Sheets</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40" w:type="dxa"/>
            <w:vAlign w:val="bottom"/>
            <w:gridSpan w:val="4"/>
          </w:tcPr>
          <w:p>
            <w:pPr>
              <w:jc w:val="center"/>
              <w:ind w:left="2630"/>
              <w:spacing w:after="0"/>
              <w:rPr>
                <w:sz w:val="20"/>
                <w:szCs w:val="20"/>
                <w:color w:val="auto"/>
              </w:rPr>
            </w:pPr>
            <w:r>
              <w:rPr>
                <w:rFonts w:ascii="Arial" w:cs="Arial" w:eastAsia="Arial" w:hAnsi="Arial"/>
                <w:sz w:val="18"/>
                <w:szCs w:val="18"/>
                <w:b w:val="1"/>
                <w:bCs w:val="1"/>
                <w:color w:val="auto"/>
                <w:w w:val="99"/>
              </w:rPr>
              <w:t>As of September 30, 2022 and December 31, 2021</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40" w:type="dxa"/>
            <w:vAlign w:val="bottom"/>
            <w:gridSpan w:val="4"/>
          </w:tcPr>
          <w:p>
            <w:pPr>
              <w:jc w:val="center"/>
              <w:ind w:left="2610"/>
              <w:spacing w:after="0"/>
              <w:rPr>
                <w:sz w:val="20"/>
                <w:szCs w:val="20"/>
                <w:color w:val="auto"/>
              </w:rPr>
            </w:pPr>
            <w:r>
              <w:rPr>
                <w:rFonts w:ascii="Arial" w:cs="Arial" w:eastAsia="Arial" w:hAnsi="Arial"/>
                <w:sz w:val="18"/>
                <w:szCs w:val="18"/>
                <w:color w:val="auto"/>
                <w:w w:val="99"/>
              </w:rPr>
              <w:t>(in millions, except share data)</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Assets held for sale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 from affiliate</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current assets</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 UNCONSOLIDATED SUBSIDIARY</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780" w:type="dxa"/>
            <w:vAlign w:val="bottom"/>
            <w:gridSpan w:val="3"/>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Liabilities associated with assets held for sale</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Fair value of derivative contracts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Total current liabilities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Long-term debt, net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Fair value of derivative contracts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Asset retirement obligations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90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6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September 30, 2022 and December 31, 2021</w:t>
            </w:r>
          </w:p>
        </w:tc>
        <w:tc>
          <w:tcPr>
            <w:tcW w:w="3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900" w:type="dxa"/>
            <w:vAlign w:val="bottom"/>
            <w:gridSpan w:val="5"/>
          </w:tcPr>
          <w:p>
            <w:pPr>
              <w:ind w:left="320"/>
              <w:spacing w:after="0" w:line="176" w:lineRule="exact"/>
              <w:rPr>
                <w:sz w:val="20"/>
                <w:szCs w:val="20"/>
                <w:color w:val="auto"/>
              </w:rPr>
            </w:pPr>
            <w:r>
              <w:rPr>
                <w:rFonts w:ascii="Arial" w:cs="Arial" w:eastAsia="Arial" w:hAnsi="Arial"/>
                <w:sz w:val="18"/>
                <w:szCs w:val="18"/>
                <w:color w:val="auto"/>
              </w:rPr>
              <w:t>Common stock (200,000,000 shares authorized at $0.01 par value) (83,406,002 and</w:t>
            </w: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900" w:type="dxa"/>
            <w:vAlign w:val="bottom"/>
            <w:gridSpan w:val="5"/>
          </w:tcPr>
          <w:p>
            <w:pPr>
              <w:ind w:left="480"/>
              <w:spacing w:after="0" w:line="176" w:lineRule="exact"/>
              <w:rPr>
                <w:sz w:val="20"/>
                <w:szCs w:val="20"/>
                <w:color w:val="auto"/>
              </w:rPr>
            </w:pPr>
            <w:r>
              <w:rPr>
                <w:rFonts w:ascii="Arial" w:cs="Arial" w:eastAsia="Arial" w:hAnsi="Arial"/>
                <w:sz w:val="18"/>
                <w:szCs w:val="18"/>
                <w:color w:val="auto"/>
              </w:rPr>
              <w:t>83,389,210 shares issued; 73,470,932 and 79,299,222 shares outstanding at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gridSpan w:val="2"/>
          </w:tcPr>
          <w:p>
            <w:pPr>
              <w:ind w:left="480"/>
              <w:spacing w:after="0"/>
              <w:rPr>
                <w:sz w:val="20"/>
                <w:szCs w:val="20"/>
                <w:color w:val="auto"/>
              </w:rPr>
            </w:pPr>
            <w:r>
              <w:rPr>
                <w:rFonts w:ascii="Arial" w:cs="Arial" w:eastAsia="Arial" w:hAnsi="Arial"/>
                <w:sz w:val="18"/>
                <w:szCs w:val="18"/>
                <w:color w:val="auto"/>
              </w:rPr>
              <w:t>September 30, 2022 and December 31, 2021)</w:t>
            </w:r>
          </w:p>
        </w:tc>
        <w:tc>
          <w:tcPr>
            <w:tcW w:w="3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790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Treasury stock (9,935,070 shares held at cost at September 30, 2022 and 4,089,988 shares</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held at cost at December 31, 2021)</w:t>
            </w:r>
          </w:p>
        </w:tc>
        <w:tc>
          <w:tcPr>
            <w:tcW w:w="3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2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-95885</wp:posOffset>
            </wp:positionV>
            <wp:extent cx="2194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 w:name="page7"/>
    <w:bookmarkEnd w:id="6"/>
    <w:p>
      <w:pPr>
        <w:jc w:val="center"/>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Operations For the three and nine months ended September 30, 2022 and 2021 </w:t>
      </w:r>
      <w:r>
        <w:rPr>
          <w:rFonts w:ascii="Arial" w:cs="Arial" w:eastAsia="Arial" w:hAnsi="Arial"/>
          <w:sz w:val="18"/>
          <w:szCs w:val="18"/>
          <w:color w:val="auto"/>
        </w:rPr>
        <w:t>(dollars in millions, except per share data)</w:t>
      </w:r>
    </w:p>
    <w:tbl>
      <w:tblPr>
        <w:tblLayout w:type="fixed"/>
        <w:tblInd w:w="0" w:type="dxa"/>
        <w:tblCellMar>
          <w:top w:w="0" w:type="dxa"/>
          <w:left w:w="0" w:type="dxa"/>
          <w:bottom w:w="0" w:type="dxa"/>
          <w:right w:w="0" w:type="dxa"/>
        </w:tblCellMar>
      </w:tblPr>
      <w:tr>
        <w:trPr>
          <w:trHeight w:val="168"/>
        </w:trPr>
        <w:tc>
          <w:tcPr>
            <w:tcW w:w="5100" w:type="dxa"/>
            <w:vAlign w:val="bottom"/>
          </w:tcPr>
          <w:p>
            <w:pPr>
              <w:spacing w:after="0"/>
              <w:rPr>
                <w:sz w:val="14"/>
                <w:szCs w:val="14"/>
                <w:color w:val="auto"/>
              </w:rPr>
            </w:pPr>
          </w:p>
        </w:tc>
        <w:tc>
          <w:tcPr>
            <w:tcW w:w="2540" w:type="dxa"/>
            <w:vAlign w:val="bottom"/>
            <w:gridSpan w:val="4"/>
          </w:tcPr>
          <w:p>
            <w:pPr>
              <w:jc w:val="right"/>
              <w:ind w:right="159"/>
              <w:spacing w:after="0" w:line="168" w:lineRule="exact"/>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right"/>
              <w:ind w:right="679"/>
              <w:spacing w:after="0" w:line="168" w:lineRule="exact"/>
              <w:rPr>
                <w:sz w:val="20"/>
                <w:szCs w:val="20"/>
                <w:color w:val="auto"/>
              </w:rPr>
            </w:pPr>
            <w:r>
              <w:rPr>
                <w:rFonts w:ascii="Arial" w:cs="Arial" w:eastAsia="Arial" w:hAnsi="Arial"/>
                <w:sz w:val="16"/>
                <w:szCs w:val="16"/>
                <w:b w:val="1"/>
                <w:bCs w:val="1"/>
                <w:color w:val="auto"/>
              </w:rPr>
              <w:t>Nine months ended</w:t>
            </w:r>
          </w:p>
        </w:tc>
      </w:tr>
      <w:tr>
        <w:trPr>
          <w:trHeight w:val="216"/>
        </w:trPr>
        <w:tc>
          <w:tcPr>
            <w:tcW w:w="5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5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Oil, natural gas and NGL sales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r>
      <w:tr>
        <w:trPr>
          <w:trHeight w:val="215"/>
        </w:trPr>
        <w:tc>
          <w:tcPr>
            <w:tcW w:w="5100" w:type="dxa"/>
            <w:vAlign w:val="bottom"/>
          </w:tcPr>
          <w:p>
            <w:pPr>
              <w:ind w:left="360"/>
              <w:spacing w:after="0"/>
              <w:rPr>
                <w:sz w:val="20"/>
                <w:szCs w:val="20"/>
                <w:color w:val="auto"/>
              </w:rPr>
            </w:pPr>
            <w:r>
              <w:rPr>
                <w:rFonts w:ascii="Arial" w:cs="Arial" w:eastAsia="Arial" w:hAnsi="Arial"/>
                <w:sz w:val="16"/>
                <w:szCs w:val="16"/>
                <w:color w:val="auto"/>
              </w:rPr>
              <w:t>Net gain (loss) from commodity derivatives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(603)</w:t>
            </w:r>
          </w:p>
        </w:tc>
      </w:tr>
      <w:tr>
        <w:trPr>
          <w:trHeight w:val="217"/>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of purchased natural gas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5"/>
        </w:trPr>
        <w:tc>
          <w:tcPr>
            <w:tcW w:w="5100" w:type="dxa"/>
            <w:vAlign w:val="bottom"/>
          </w:tcPr>
          <w:p>
            <w:pPr>
              <w:ind w:left="360"/>
              <w:spacing w:after="0"/>
              <w:rPr>
                <w:sz w:val="20"/>
                <w:szCs w:val="20"/>
                <w:color w:val="auto"/>
              </w:rPr>
            </w:pPr>
            <w:r>
              <w:rPr>
                <w:rFonts w:ascii="Arial" w:cs="Arial" w:eastAsia="Arial" w:hAnsi="Arial"/>
                <w:sz w:val="16"/>
                <w:szCs w:val="16"/>
                <w:color w:val="auto"/>
              </w:rPr>
              <w:t>Electricity sales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7"/>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51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revenues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w:t>
            </w:r>
          </w:p>
        </w:tc>
      </w:tr>
      <w:tr>
        <w:trPr>
          <w:trHeight w:val="75"/>
        </w:trPr>
        <w:tc>
          <w:tcPr>
            <w:tcW w:w="5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costs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215"/>
        </w:trPr>
        <w:tc>
          <w:tcPr>
            <w:tcW w:w="510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7"/>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depletion and amortization</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5"/>
        </w:trPr>
        <w:tc>
          <w:tcPr>
            <w:tcW w:w="5100" w:type="dxa"/>
            <w:vAlign w:val="bottom"/>
          </w:tcPr>
          <w:p>
            <w:pPr>
              <w:ind w:left="360"/>
              <w:spacing w:after="0"/>
              <w:rPr>
                <w:sz w:val="20"/>
                <w:szCs w:val="20"/>
                <w:color w:val="auto"/>
              </w:rPr>
            </w:pPr>
            <w:r>
              <w:rPr>
                <w:rFonts w:ascii="Arial" w:cs="Arial" w:eastAsia="Arial" w:hAnsi="Arial"/>
                <w:sz w:val="16"/>
                <w:szCs w:val="16"/>
                <w:color w:val="auto"/>
              </w:rPr>
              <w:t>Asset impairments</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on income</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5"/>
        </w:trPr>
        <w:tc>
          <w:tcPr>
            <w:tcW w:w="5100" w:type="dxa"/>
            <w:vAlign w:val="bottom"/>
          </w:tcPr>
          <w:p>
            <w:pPr>
              <w:ind w:left="360"/>
              <w:spacing w:after="0"/>
              <w:rPr>
                <w:sz w:val="20"/>
                <w:szCs w:val="20"/>
                <w:color w:val="auto"/>
              </w:rPr>
            </w:pPr>
            <w:r>
              <w:rPr>
                <w:rFonts w:ascii="Arial" w:cs="Arial" w:eastAsia="Arial" w:hAnsi="Arial"/>
                <w:sz w:val="16"/>
                <w:szCs w:val="16"/>
                <w:color w:val="auto"/>
              </w:rPr>
              <w:t>Exploration expense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Purchased natural gas expense</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5"/>
        </w:trPr>
        <w:tc>
          <w:tcPr>
            <w:tcW w:w="5100" w:type="dxa"/>
            <w:vAlign w:val="bottom"/>
          </w:tcPr>
          <w:p>
            <w:pPr>
              <w:ind w:left="360"/>
              <w:spacing w:after="0"/>
              <w:rPr>
                <w:sz w:val="20"/>
                <w:szCs w:val="20"/>
                <w:color w:val="auto"/>
              </w:rPr>
            </w:pPr>
            <w:r>
              <w:rPr>
                <w:rFonts w:ascii="Arial" w:cs="Arial" w:eastAsia="Arial" w:hAnsi="Arial"/>
                <w:sz w:val="16"/>
                <w:szCs w:val="16"/>
                <w:color w:val="auto"/>
              </w:rPr>
              <w:t>Electricity generation expenses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Transportation costs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5"/>
        </w:trPr>
        <w:tc>
          <w:tcPr>
            <w:tcW w:w="5100" w:type="dxa"/>
            <w:vAlign w:val="bottom"/>
          </w:tcPr>
          <w:p>
            <w:pPr>
              <w:ind w:left="360"/>
              <w:spacing w:after="0"/>
              <w:rPr>
                <w:sz w:val="20"/>
                <w:szCs w:val="20"/>
                <w:color w:val="auto"/>
              </w:rPr>
            </w:pPr>
            <w:r>
              <w:rPr>
                <w:rFonts w:ascii="Arial" w:cs="Arial" w:eastAsia="Arial" w:hAnsi="Arial"/>
                <w:sz w:val="16"/>
                <w:szCs w:val="16"/>
                <w:color w:val="auto"/>
              </w:rPr>
              <w:t>Accretion expense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expenses, net</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51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r>
      <w:tr>
        <w:trPr>
          <w:trHeight w:val="210"/>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gain on asset divestitures</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94"/>
        </w:trPr>
        <w:tc>
          <w:tcPr>
            <w:tcW w:w="5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Reorganization items, net</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100" w:type="dxa"/>
            <w:vAlign w:val="bottom"/>
          </w:tcPr>
          <w:p>
            <w:pPr>
              <w:ind w:left="360"/>
              <w:spacing w:after="0"/>
              <w:rPr>
                <w:sz w:val="20"/>
                <w:szCs w:val="20"/>
                <w:color w:val="auto"/>
              </w:rPr>
            </w:pPr>
            <w:r>
              <w:rPr>
                <w:rFonts w:ascii="Arial" w:cs="Arial" w:eastAsia="Arial" w:hAnsi="Arial"/>
                <w:sz w:val="16"/>
                <w:szCs w:val="16"/>
                <w:color w:val="auto"/>
              </w:rPr>
              <w:t>Interest and debt expense, net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5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on early extinguishment of debt</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100" w:type="dxa"/>
            <w:vAlign w:val="bottom"/>
          </w:tcPr>
          <w:p>
            <w:pPr>
              <w:ind w:left="360"/>
              <w:spacing w:after="0"/>
              <w:rPr>
                <w:sz w:val="20"/>
                <w:szCs w:val="20"/>
                <w:color w:val="auto"/>
              </w:rPr>
            </w:pPr>
            <w:r>
              <w:rPr>
                <w:rFonts w:ascii="Arial" w:cs="Arial" w:eastAsia="Arial" w:hAnsi="Arial"/>
                <w:sz w:val="16"/>
                <w:szCs w:val="16"/>
                <w:color w:val="auto"/>
              </w:rPr>
              <w:t>Other non-operating expenses, net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9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5"/>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 per share</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8"/>
                <w:szCs w:val="18"/>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5.77</w:t>
            </w:r>
          </w:p>
        </w:tc>
        <w:tc>
          <w:tcPr>
            <w:tcW w:w="8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Basic</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82.6</w:t>
            </w: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 xml:space="preserve">Condensed Consolidated Statements of Comprehensive Income (Loss) For the three and nine months ended September 30, 2022 and 2021 </w:t>
      </w: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9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9"/>
              </w:rPr>
              <w:t>(89)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60" w:type="dxa"/>
            <w:vAlign w:val="bottom"/>
          </w:tcPr>
          <w:p>
            <w:pPr>
              <w:jc w:val="center"/>
              <w:ind w:left="610"/>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40"/>
              <w:spacing w:after="0" w:line="176" w:lineRule="exact"/>
              <w:rPr>
                <w:sz w:val="20"/>
                <w:szCs w:val="20"/>
                <w:color w:val="auto"/>
              </w:rPr>
            </w:pPr>
            <w:r>
              <w:rPr>
                <w:rFonts w:ascii="Arial" w:cs="Arial" w:eastAsia="Arial" w:hAnsi="Arial"/>
                <w:sz w:val="18"/>
                <w:szCs w:val="18"/>
                <w:color w:val="auto"/>
              </w:rPr>
              <w:t>Actuarial gain associated with pension and</w:t>
            </w:r>
          </w:p>
        </w:tc>
        <w:tc>
          <w:tcPr>
            <w:tcW w:w="106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1060" w:type="dxa"/>
            <w:vAlign w:val="bottom"/>
            <w:vMerge w:val="restart"/>
          </w:tcPr>
          <w:p>
            <w:pPr>
              <w:jc w:val="center"/>
              <w:ind w:left="61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43"/>
        </w:trPr>
        <w:tc>
          <w:tcPr>
            <w:tcW w:w="4320" w:type="dxa"/>
            <w:vAlign w:val="bottom"/>
          </w:tcPr>
          <w:p>
            <w:pPr>
              <w:ind w:left="240"/>
              <w:spacing w:after="0" w:line="243" w:lineRule="exact"/>
              <w:rPr>
                <w:sz w:val="20"/>
                <w:szCs w:val="20"/>
                <w:color w:val="auto"/>
              </w:rPr>
            </w:pPr>
            <w:r>
              <w:rPr>
                <w:rFonts w:ascii="Arial" w:cs="Arial" w:eastAsia="Arial" w:hAnsi="Arial"/>
                <w:sz w:val="18"/>
                <w:szCs w:val="18"/>
                <w:color w:val="auto"/>
              </w:rPr>
              <w:t>postretirement plans</w:t>
            </w:r>
            <w:r>
              <w:rPr>
                <w:rFonts w:ascii="Arial" w:cs="Arial" w:eastAsia="Arial" w:hAnsi="Arial"/>
                <w:sz w:val="23"/>
                <w:szCs w:val="23"/>
                <w:color w:val="auto"/>
                <w:vertAlign w:val="superscript"/>
              </w:rPr>
              <w:t>(a)</w:t>
            </w:r>
          </w:p>
        </w:tc>
        <w:tc>
          <w:tcPr>
            <w:tcW w:w="1060" w:type="dxa"/>
            <w:vAlign w:val="bottom"/>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Net prior service cost credit</w:t>
            </w:r>
            <w:r>
              <w:rPr>
                <w:rFonts w:ascii="Arial" w:cs="Arial" w:eastAsia="Arial" w:hAnsi="Arial"/>
                <w:sz w:val="23"/>
                <w:szCs w:val="23"/>
                <w:color w:val="auto"/>
                <w:vertAlign w:val="superscript"/>
              </w:rPr>
              <w:t>(a)</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155"/>
        </w:trPr>
        <w:tc>
          <w:tcPr>
            <w:tcW w:w="43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Comprehensive income (loss) attributable to</w:t>
            </w:r>
          </w:p>
        </w:tc>
        <w:tc>
          <w:tcPr>
            <w:tcW w:w="1060" w:type="dxa"/>
            <w:vAlign w:val="bottom"/>
            <w:tcBorders>
              <w:top w:val="single" w:sz="8" w:color="auto"/>
            </w:tcBorders>
            <w:vMerge w:val="restart"/>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3"/>
                <w:szCs w:val="13"/>
                <w:color w:val="auto"/>
              </w:rPr>
            </w:pPr>
          </w:p>
        </w:tc>
        <w:tc>
          <w:tcPr>
            <w:tcW w:w="1160" w:type="dxa"/>
            <w:vAlign w:val="bottom"/>
            <w:tcBorders>
              <w:top w:val="single" w:sz="8" w:color="auto"/>
            </w:tcBorders>
            <w:vMerge w:val="restart"/>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3"/>
                <w:szCs w:val="13"/>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3"/>
                <w:szCs w:val="13"/>
                <w:color w:val="auto"/>
              </w:rPr>
            </w:pPr>
          </w:p>
        </w:tc>
        <w:tc>
          <w:tcPr>
            <w:tcW w:w="60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center"/>
              <w:ind w:left="61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139"/>
        </w:trPr>
        <w:tc>
          <w:tcPr>
            <w:tcW w:w="4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common stock</w:t>
            </w:r>
          </w:p>
        </w:tc>
        <w:tc>
          <w:tcPr>
            <w:tcW w:w="10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4320" w:type="dxa"/>
            <w:vAlign w:val="bottom"/>
            <w:vMerge w:val="continue"/>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1080" w:firstLine="8"/>
        <w:spacing w:after="0" w:line="446" w:lineRule="auto"/>
        <w:tabs>
          <w:tab w:leader="none" w:pos="311" w:val="left"/>
        </w:tabs>
        <w:numPr>
          <w:ilvl w:val="0"/>
          <w:numId w:val="5"/>
        </w:numPr>
        <w:rPr>
          <w:rFonts w:ascii="Arial" w:cs="Arial" w:eastAsia="Arial" w:hAnsi="Arial"/>
          <w:sz w:val="14"/>
          <w:szCs w:val="14"/>
          <w:color w:val="auto"/>
        </w:rPr>
      </w:pPr>
      <w:r>
        <w:rPr>
          <w:rFonts w:ascii="Arial" w:cs="Arial" w:eastAsia="Arial" w:hAnsi="Arial"/>
          <w:sz w:val="14"/>
          <w:szCs w:val="14"/>
          <w:color w:val="auto"/>
        </w:rPr>
        <w:t>No associated tax has been recorded for the components of other comprehensive income (loss) for the three and nine months ended September 30, 2021. The accompanying notes are an integral part of these condensed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three and nine months ended September 30, 2022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millions)</w:t>
      </w:r>
    </w:p>
    <w:p>
      <w:pPr>
        <w:spacing w:after="0" w:line="284"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34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gridSpan w:val="15"/>
          </w:tcPr>
          <w:p>
            <w:pPr>
              <w:ind w:left="640"/>
              <w:spacing w:after="0"/>
              <w:rPr>
                <w:sz w:val="20"/>
                <w:szCs w:val="20"/>
                <w:color w:val="auto"/>
              </w:rPr>
            </w:pPr>
            <w:r>
              <w:rPr>
                <w:rFonts w:ascii="Arial" w:cs="Arial" w:eastAsia="Arial" w:hAnsi="Arial"/>
                <w:sz w:val="14"/>
                <w:szCs w:val="14"/>
                <w:b w:val="1"/>
                <w:bCs w:val="1"/>
                <w:color w:val="auto"/>
              </w:rPr>
              <w:t>Three months ended September 30, 2022</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gridSpan w:val="2"/>
            <w:vMerge w:val="restart"/>
          </w:tcPr>
          <w:p>
            <w:pPr>
              <w:spacing w:after="0"/>
              <w:rPr>
                <w:sz w:val="12"/>
                <w:szCs w:val="12"/>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gridSpan w:val="2"/>
            <w:vMerge w:val="continue"/>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June 30, 2022</w:t>
            </w:r>
          </w:p>
        </w:tc>
        <w:tc>
          <w:tcPr>
            <w:tcW w:w="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8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Share-based compensation</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80" w:type="dxa"/>
            <w:vAlign w:val="bottom"/>
          </w:tcPr>
          <w:p>
            <w:pPr>
              <w:ind w:left="100"/>
              <w:spacing w:after="0"/>
              <w:rPr>
                <w:sz w:val="20"/>
                <w:szCs w:val="20"/>
                <w:color w:val="auto"/>
              </w:rPr>
            </w:pPr>
            <w:r>
              <w:rPr>
                <w:rFonts w:ascii="Arial" w:cs="Arial" w:eastAsia="Arial" w:hAnsi="Arial"/>
                <w:sz w:val="14"/>
                <w:szCs w:val="14"/>
                <w:color w:val="auto"/>
              </w:rPr>
              <w:t>Repurchases of common stock</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 ($0.17 per share)</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September 30, 2022</w:t>
            </w:r>
          </w:p>
        </w:tc>
        <w:tc>
          <w:tcPr>
            <w:tcW w:w="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3"/>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December 31, 2021</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(148)</w:t>
            </w: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Share-based compensation</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Pr>
          <w:p>
            <w:pPr>
              <w:ind w:left="100"/>
              <w:spacing w:after="0"/>
              <w:rPr>
                <w:sz w:val="20"/>
                <w:szCs w:val="20"/>
                <w:color w:val="auto"/>
              </w:rPr>
            </w:pPr>
            <w:r>
              <w:rPr>
                <w:rFonts w:ascii="Arial" w:cs="Arial" w:eastAsia="Arial" w:hAnsi="Arial"/>
                <w:sz w:val="14"/>
                <w:szCs w:val="14"/>
                <w:color w:val="auto"/>
              </w:rPr>
              <w:t>Repurchases of common stock</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(247)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dividends ($0.17 per share)</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September 30, 2022</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(395)</w:t>
            </w: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2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Three months ended September 30, 2021</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8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2"/>
                <w:szCs w:val="12"/>
                <w:color w:val="auto"/>
              </w:rPr>
            </w:pPr>
          </w:p>
        </w:tc>
        <w:tc>
          <w:tcPr>
            <w:tcW w:w="7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 Income</w:t>
            </w:r>
          </w:p>
        </w:tc>
        <w:tc>
          <w:tcPr>
            <w:tcW w:w="260" w:type="dxa"/>
            <w:vAlign w:val="bottom"/>
          </w:tcPr>
          <w:p>
            <w:pPr>
              <w:spacing w:after="0"/>
              <w:rPr>
                <w:sz w:val="16"/>
                <w:szCs w:val="16"/>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98"/>
        </w:trPr>
        <w:tc>
          <w:tcPr>
            <w:tcW w:w="240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7"/>
        </w:trPr>
        <w:tc>
          <w:tcPr>
            <w:tcW w:w="24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Distributions to noncontrolling</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09"/>
        </w:trPr>
        <w:tc>
          <w:tcPr>
            <w:tcW w:w="24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interest holders</w:t>
            </w:r>
          </w:p>
        </w:tc>
        <w:tc>
          <w:tcPr>
            <w:tcW w:w="14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4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120"/>
              <w:spacing w:after="0" w:line="153" w:lineRule="exact"/>
              <w:rPr>
                <w:sz w:val="20"/>
                <w:szCs w:val="20"/>
                <w:color w:val="auto"/>
              </w:rPr>
            </w:pPr>
            <w:r>
              <w:rPr>
                <w:rFonts w:ascii="Arial" w:cs="Arial" w:eastAsia="Arial" w:hAnsi="Arial"/>
                <w:sz w:val="14"/>
                <w:szCs w:val="14"/>
                <w:color w:val="auto"/>
              </w:rPr>
              <w:t>Redemption of noncontrolling</w:t>
            </w:r>
          </w:p>
        </w:tc>
        <w:tc>
          <w:tcPr>
            <w:tcW w:w="14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400" w:type="dxa"/>
            <w:vAlign w:val="bottom"/>
            <w:vMerge w:val="restart"/>
          </w:tcPr>
          <w:p>
            <w:pPr>
              <w:ind w:left="12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4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40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center"/>
              <w:ind w:left="38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2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rPr>
              <w:t>(84)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2021</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8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2"/>
                <w:szCs w:val="12"/>
                <w:color w:val="auto"/>
              </w:rPr>
            </w:pPr>
          </w:p>
        </w:tc>
        <w:tc>
          <w:tcPr>
            <w:tcW w:w="7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98"/>
        </w:trPr>
        <w:tc>
          <w:tcPr>
            <w:tcW w:w="240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to noncontrolling</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13"/>
        </w:trPr>
        <w:tc>
          <w:tcPr>
            <w:tcW w:w="24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interest holders</w:t>
            </w:r>
          </w:p>
        </w:tc>
        <w:tc>
          <w:tcPr>
            <w:tcW w:w="14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4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00" w:type="dxa"/>
            <w:vAlign w:val="bottom"/>
          </w:tcPr>
          <w:p>
            <w:pPr>
              <w:ind w:left="120"/>
              <w:spacing w:after="0" w:line="149" w:lineRule="exact"/>
              <w:rPr>
                <w:sz w:val="20"/>
                <w:szCs w:val="20"/>
                <w:color w:val="auto"/>
              </w:rPr>
            </w:pPr>
            <w:r>
              <w:rPr>
                <w:rFonts w:ascii="Arial" w:cs="Arial" w:eastAsia="Arial" w:hAnsi="Arial"/>
                <w:sz w:val="14"/>
                <w:szCs w:val="14"/>
                <w:color w:val="auto"/>
              </w:rPr>
              <w:t>Redemption of noncontrolling</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3"/>
        </w:trPr>
        <w:tc>
          <w:tcPr>
            <w:tcW w:w="2400" w:type="dxa"/>
            <w:vAlign w:val="bottom"/>
            <w:vMerge w:val="restart"/>
          </w:tcPr>
          <w:p>
            <w:pPr>
              <w:ind w:left="12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4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9"/>
        </w:trPr>
        <w:tc>
          <w:tcPr>
            <w:tcW w:w="240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center"/>
              <w:ind w:left="388"/>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2400" w:type="dxa"/>
            <w:vAlign w:val="bottom"/>
          </w:tcPr>
          <w:p>
            <w:pPr>
              <w:ind w:left="1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0"/>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1,286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jc w:val="center"/>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Cash Flows For the three and nine months ended September 30, 2022 and 2021 </w:t>
      </w:r>
      <w:r>
        <w:rPr>
          <w:rFonts w:ascii="Arial" w:cs="Arial" w:eastAsia="Arial" w:hAnsi="Arial"/>
          <w:sz w:val="18"/>
          <w:szCs w:val="18"/>
          <w:color w:val="auto"/>
        </w:rPr>
        <w:t>(in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7"/>
                <w:szCs w:val="17"/>
                <w:color w:val="auto"/>
              </w:rPr>
            </w:pPr>
          </w:p>
        </w:tc>
        <w:tc>
          <w:tcPr>
            <w:tcW w:w="23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1"/>
                <w:szCs w:val="21"/>
                <w:color w:val="auto"/>
              </w:rPr>
            </w:pPr>
          </w:p>
        </w:tc>
        <w:tc>
          <w:tcPr>
            <w:tcW w:w="23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6"/>
        </w:trPr>
        <w:tc>
          <w:tcPr>
            <w:tcW w:w="5940" w:type="dxa"/>
            <w:vAlign w:val="bottom"/>
          </w:tcPr>
          <w:p>
            <w:pPr>
              <w:ind w:left="140"/>
              <w:spacing w:after="0" w:line="176" w:lineRule="exact"/>
              <w:rPr>
                <w:sz w:val="20"/>
                <w:szCs w:val="20"/>
                <w:color w:val="auto"/>
              </w:rPr>
            </w:pPr>
            <w:r>
              <w:rPr>
                <w:rFonts w:ascii="Arial" w:cs="Arial" w:eastAsia="Arial" w:hAnsi="Arial"/>
                <w:sz w:val="18"/>
                <w:szCs w:val="18"/>
                <w:color w:val="auto"/>
              </w:rPr>
              <w:t>Adjustments to reconcile net income (loss) to net cash provided by</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94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Deferred income tax provision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Net (gain) loss from commodity derivatives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payments on settled commodity derivatives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Net loss on early extinguishment of debt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gain on asset divestitures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Other non-cash charges to income,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88"/>
        </w:trPr>
        <w:tc>
          <w:tcPr>
            <w:tcW w:w="59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investments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Changes in accrued capital investments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asset divestitures,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related to the Carbon TerraVault JV</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Capitalized joint venture transaction costs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88"/>
        </w:trPr>
        <w:tc>
          <w:tcPr>
            <w:tcW w:w="59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Repayments of Revolving Credit Facility</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Senior Notes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Second Lien Term Loan</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Repayment of EHP Notes</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Common stock dividends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warrants exercised</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Distributions paid to a noncontrolling interest holder</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used in financing activities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Increase in cash and cash equivalents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equivalents—beginning of period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2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committed to energy transition and have some of the lowest carbon intensity production in the United States. We are in the early stages of permitting several carbon capture and storage projects in California. Our subsidiary Carbon TerraVault is expected to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 in California. In August 2022, Carbon TerraVault entered into a joint venture with BGTF Sierra Aggregator LLC (Brookfield) to pursue certain of these opportunities (Carbon TerraVault JV).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Policy and Disclosure Changes </w:t>
      </w:r>
      <w:r>
        <w:rPr>
          <w:rFonts w:ascii="Arial" w:cs="Arial" w:eastAsia="Arial" w:hAnsi="Arial"/>
          <w:sz w:val="18"/>
          <w:szCs w:val="18"/>
          <w:color w:val="auto"/>
        </w:rPr>
        <w:t>for our accounting policy related to joint ventures and investments in unconsolidated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i w:val="1"/>
          <w:iCs w:val="1"/>
          <w:color w:val="auto"/>
        </w:rPr>
        <w:t>Note 8 Investments and Related Party Transactions</w:t>
      </w:r>
      <w:r>
        <w:rPr>
          <w:rFonts w:ascii="Arial" w:cs="Arial" w:eastAsia="Arial" w:hAnsi="Arial"/>
          <w:sz w:val="18"/>
          <w:szCs w:val="18"/>
          <w:color w:val="auto"/>
        </w:rPr>
        <w:t xml:space="preserve"> for more information on the Carbon TerraVault JV. Separately, we are evaluating the feasibility of a carbon capture system to be located at our Elk Hills power plant.</w:t>
      </w:r>
    </w:p>
    <w:p>
      <w:pPr>
        <w:spacing w:after="0" w:line="22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180"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w:t>
      </w:r>
    </w:p>
    <w:p>
      <w:pPr>
        <w:spacing w:after="0" w:line="206"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2021 (2021 Annual Report).</w:t>
      </w:r>
    </w:p>
    <w:p>
      <w:pPr>
        <w:spacing w:after="0" w:line="206"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 xml:space="preserve">The carrying amounts of cash and on-balance sheet financial instruments, other than debt, approximate fair value. Refer to </w:t>
      </w:r>
      <w:r>
        <w:rPr>
          <w:rFonts w:ascii="Arial" w:cs="Arial" w:eastAsia="Arial" w:hAnsi="Arial"/>
          <w:sz w:val="18"/>
          <w:szCs w:val="18"/>
          <w:i w:val="1"/>
          <w:iCs w:val="1"/>
          <w:color w:val="auto"/>
        </w:rPr>
        <w:t>Note 6 Debt</w:t>
      </w:r>
      <w:r>
        <w:rPr>
          <w:rFonts w:ascii="Arial" w:cs="Arial" w:eastAsia="Arial" w:hAnsi="Arial"/>
          <w:sz w:val="18"/>
          <w:szCs w:val="18"/>
          <w:color w:val="auto"/>
        </w:rPr>
        <w:t xml:space="preserve"> for the fair value of our debt.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POLICY AND DISCLOSURE CHANGES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Policy Update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Joint Ventures and Investments in Unconsolidated Subsidiaries</w:t>
      </w:r>
    </w:p>
    <w:p>
      <w:pPr>
        <w:spacing w:after="0" w:line="25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may enter into joint ventures that are considered to be a variable interest entity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We consolidate a VIE if we determine that we have (i) the power to direct the activities of the VIE that most significantly impact its economic performance and</w:t>
      </w:r>
    </w:p>
    <w:p>
      <w:pPr>
        <w:spacing w:after="0" w:line="5" w:lineRule="exact"/>
        <w:rPr>
          <w:sz w:val="20"/>
          <w:szCs w:val="20"/>
          <w:color w:val="auto"/>
        </w:rPr>
      </w:pPr>
    </w:p>
    <w:p>
      <w:pPr>
        <w:ind w:right="20" w:firstLine="8"/>
        <w:spacing w:after="0" w:line="254"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obligation to absorb losses or the right to receive benefits from the VIE that are more than insignificant to the VIE. If an entity is determined to be a VIE but we do not have a controlling interest, the entity is accounted for under either the cost or equity method depending on whether we exercise significant influence. See </w:t>
      </w:r>
      <w:r>
        <w:rPr>
          <w:rFonts w:ascii="Arial" w:cs="Arial" w:eastAsia="Arial" w:hAnsi="Arial"/>
          <w:sz w:val="18"/>
          <w:szCs w:val="18"/>
          <w:i w:val="1"/>
          <w:iCs w:val="1"/>
          <w:color w:val="auto"/>
        </w:rPr>
        <w:t>Note 8 Investments and Related Party Transactions</w:t>
      </w:r>
      <w:r>
        <w:rPr>
          <w:rFonts w:ascii="Arial" w:cs="Arial" w:eastAsia="Arial" w:hAnsi="Arial"/>
          <w:sz w:val="18"/>
          <w:szCs w:val="18"/>
          <w:color w:val="auto"/>
        </w:rPr>
        <w:t xml:space="preserve"> for more information on the Carbon TerraVault JV. These evaluations are highly complex and involve management judgment and may involve the use of estimates and assumptions based on available information. The evaluation requires continual assessment.</w:t>
      </w:r>
    </w:p>
    <w:p>
      <w:pPr>
        <w:spacing w:after="0" w:line="21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Investments in unconsolidated entities are assessed for impairment whenever changes in the facts and circumstances indicate a loss in value may have occurred, which is other than temporary.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ASC Topic 848,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contains guidance for applying U.S. GAAP to contracts, hedging relationships and other transactions that are impacted by reference rate reform. Under this guidance, we elected to account for the February 2022 amendment of our Revolving Credit Facility described in </w:t>
      </w:r>
      <w:r>
        <w:rPr>
          <w:rFonts w:ascii="Arial" w:cs="Arial" w:eastAsia="Arial" w:hAnsi="Arial"/>
          <w:sz w:val="18"/>
          <w:szCs w:val="18"/>
          <w:i w:val="1"/>
          <w:iCs w:val="1"/>
          <w:color w:val="auto"/>
        </w:rPr>
        <w:t>Note 6 Debt</w:t>
      </w:r>
      <w:r>
        <w:rPr>
          <w:rFonts w:ascii="Arial" w:cs="Arial" w:eastAsia="Arial" w:hAnsi="Arial"/>
          <w:sz w:val="18"/>
          <w:szCs w:val="18"/>
          <w:color w:val="auto"/>
        </w:rPr>
        <w:t xml:space="preserve"> as a modification of the original instrument. The debt modification did not have a material impact to our condensed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3  SUPPLEMENTAL BALANCE SHEET INFORMATION</w:t>
            </w: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451"/>
        </w:trPr>
        <w:tc>
          <w:tcPr>
            <w:tcW w:w="4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i w:val="1"/>
                <w:iCs w:val="1"/>
                <w:color w:val="auto"/>
              </w:rPr>
              <w:t xml:space="preserve">Other current assets </w:t>
            </w:r>
            <w:r>
              <w:rPr>
                <w:rFonts w:ascii="Arial" w:cs="Arial" w:eastAsia="Arial" w:hAnsi="Arial"/>
                <w:sz w:val="18"/>
                <w:szCs w:val="18"/>
                <w:color w:val="auto"/>
              </w:rPr>
              <w:t>— Other current assets includes the following:</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2"/>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4"/>
                <w:szCs w:val="24"/>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192"/>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joint interest partners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Fair value of derivative contracts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Greenhouse gas allowances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Natural gas margin deposits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320" w:type="dxa"/>
            <w:vAlign w:val="bottom"/>
          </w:tcPr>
          <w:p>
            <w:pPr>
              <w:ind w:left="300"/>
              <w:spacing w:after="0"/>
              <w:rPr>
                <w:sz w:val="20"/>
                <w:szCs w:val="20"/>
                <w:color w:val="auto"/>
              </w:rPr>
            </w:pPr>
            <w:r>
              <w:rPr>
                <w:rFonts w:ascii="Arial" w:cs="Arial" w:eastAsia="Arial" w:hAnsi="Arial"/>
                <w:sz w:val="18"/>
                <w:szCs w:val="18"/>
                <w:i w:val="1"/>
                <w:iCs w:val="1"/>
                <w:color w:val="auto"/>
              </w:rPr>
              <w:t xml:space="preserve">Other noncurrent assets </w:t>
            </w:r>
            <w:r>
              <w:rPr>
                <w:rFonts w:ascii="Arial" w:cs="Arial" w:eastAsia="Arial" w:hAnsi="Arial"/>
                <w:sz w:val="18"/>
                <w:szCs w:val="18"/>
                <w:color w:val="auto"/>
              </w:rPr>
              <w:t>— Other noncurrent assets includes the following:</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2022</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ind w:left="1340"/>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financing costs - Revolving Credit Facility</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Emission reduction credits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Prepaid power plant maintenance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Deposits and other</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2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includes the following:</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7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2022</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ind w:left="1340"/>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employee-related costs</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Accrued taxes other than on income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Accrued interest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Premiums due on derivative contracts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Liability for settlement payments on derivative contracts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Amounts due under production-sharing contracts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Marketing prepayments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20" w:type="dxa"/>
            <w:vAlign w:val="bottom"/>
            <w:vMerge w:val="restart"/>
          </w:tcPr>
          <w:p>
            <w:pPr>
              <w:ind w:left="300"/>
              <w:spacing w:after="0"/>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includes the following:</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40" w:type="dxa"/>
            <w:vAlign w:val="bottom"/>
          </w:tcPr>
          <w:p>
            <w:pPr>
              <w:spacing w:after="0"/>
              <w:rPr>
                <w:sz w:val="24"/>
                <w:szCs w:val="24"/>
                <w:color w:val="auto"/>
              </w:rPr>
            </w:pPr>
          </w:p>
        </w:tc>
        <w:tc>
          <w:tcPr>
            <w:tcW w:w="7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9"/>
              </w:rPr>
              <w:t>2022</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ind w:left="1320"/>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Premiums due on derivative contracts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liability related to Carbon TerraVault JV put and call rights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SUPPLEMENTAL CASH FLOW INFORMATION</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paid $20 million of U.S. federal income tax payments during the nine months ended September 30, 2022. We did not make U.S. federal and state income tax payments during the three months ended September 30, 2022 or the three and nine months ended September 30, 2021.</w:t>
      </w:r>
    </w:p>
    <w:p>
      <w:pPr>
        <w:spacing w:after="0" w:line="19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Interest paid, net of capitalized amounts was $21 million and $23 million for the three months ended September 30, 2022 and 2021, respectively. Interest paid, net of capitalized amounts was $43 million and $27 million for the nine months ended September 30, 2022 and 2021, respectively.</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4" w:name="page15"/>
    <w:bookmarkEnd w:id="14"/>
    <w:p>
      <w:pPr>
        <w:ind w:right="40" w:firstLine="324"/>
        <w:spacing w:after="0" w:line="287" w:lineRule="auto"/>
        <w:rPr>
          <w:sz w:val="20"/>
          <w:szCs w:val="20"/>
          <w:color w:val="auto"/>
        </w:rPr>
      </w:pPr>
      <w:r>
        <w:rPr>
          <w:rFonts w:ascii="Arial" w:cs="Arial" w:eastAsia="Arial" w:hAnsi="Arial"/>
          <w:sz w:val="18"/>
          <w:szCs w:val="18"/>
          <w:color w:val="auto"/>
        </w:rPr>
        <w:t>Non-cash financing activities in the three and nine months ended September 30, 2022 included $1 million of dividends accrued for stock-based compensation awards. No dividends were accrued for the three and nine months ended September 30, 2021.</w:t>
      </w:r>
    </w:p>
    <w:p>
      <w:pPr>
        <w:spacing w:after="0" w:line="180"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 xml:space="preserve">For the three and nine months ended September 30, 2022, we made a non-cash contribution of $ 2 million to the Carbon TerraVault JV to satisfy a capital call. See </w:t>
      </w:r>
      <w:r>
        <w:rPr>
          <w:rFonts w:ascii="Arial" w:cs="Arial" w:eastAsia="Arial" w:hAnsi="Arial"/>
          <w:sz w:val="18"/>
          <w:szCs w:val="18"/>
          <w:i w:val="1"/>
          <w:iCs w:val="1"/>
          <w:color w:val="auto"/>
        </w:rPr>
        <w:t>Note 8 Investments and Related Party Transactions</w:t>
      </w:r>
      <w:r>
        <w:rPr>
          <w:rFonts w:ascii="Arial" w:cs="Arial" w:eastAsia="Arial" w:hAnsi="Arial"/>
          <w:sz w:val="18"/>
          <w:szCs w:val="18"/>
          <w:color w:val="auto"/>
        </w:rPr>
        <w:t xml:space="preserve"> for more information on our joint venture.</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INVENTORIES</w:t>
      </w:r>
    </w:p>
    <w:p>
      <w:pPr>
        <w:spacing w:after="0" w:line="252"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color w:val="auto"/>
        </w:rPr>
        <w:t>Materials and supplies, which primarily consist of well equipment and tubular goods used in our oil and natural gas operations, are valued at weighted-average cost and are reviewed periodically for obsolescence. Finished goods include produced oil and NGLs in storage, which are valued at the lower of cost or net realizable value. Inventories, by category, are as follows:</w:t>
      </w:r>
    </w:p>
    <w:tbl>
      <w:tblPr>
        <w:tblLayout w:type="fixed"/>
        <w:tblInd w:w="0" w:type="dxa"/>
        <w:tblCellMar>
          <w:top w:w="0" w:type="dxa"/>
          <w:left w:w="0" w:type="dxa"/>
          <w:bottom w:w="0" w:type="dxa"/>
          <w:right w:w="0" w:type="dxa"/>
        </w:tblCellMar>
      </w:tblPr>
      <w:tr>
        <w:trPr>
          <w:trHeight w:val="229"/>
        </w:trPr>
        <w:tc>
          <w:tcPr>
            <w:tcW w:w="7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r>
      <w:tr>
        <w:trPr>
          <w:trHeight w:val="235"/>
        </w:trPr>
        <w:tc>
          <w:tcPr>
            <w:tcW w:w="7380" w:type="dxa"/>
            <w:vAlign w:val="bottom"/>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192"/>
        </w:trPr>
        <w:tc>
          <w:tcPr>
            <w:tcW w:w="7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r>
      <w:tr>
        <w:trPr>
          <w:trHeight w:val="23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and December 31, 2021, our long-term debt consisted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58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Interest Rate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192"/>
        </w:trPr>
        <w:tc>
          <w:tcPr>
            <w:tcW w:w="3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r>
      <w:tr>
        <w:trPr>
          <w:trHeight w:val="166"/>
        </w:trPr>
        <w:tc>
          <w:tcPr>
            <w:tcW w:w="35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rPr>
              <w:t>Revolving Credit Facility</w:t>
            </w:r>
          </w:p>
        </w:tc>
        <w:tc>
          <w:tcPr>
            <w:tcW w:w="2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line="166"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jc w:val="center"/>
              <w:ind w:right="100"/>
              <w:spacing w:after="0" w:line="166" w:lineRule="exact"/>
              <w:rPr>
                <w:sz w:val="20"/>
                <w:szCs w:val="20"/>
                <w:color w:val="auto"/>
              </w:rPr>
            </w:pPr>
            <w:r>
              <w:rPr>
                <w:rFonts w:ascii="Arial" w:cs="Arial" w:eastAsia="Arial" w:hAnsi="Arial"/>
                <w:sz w:val="16"/>
                <w:szCs w:val="16"/>
                <w:color w:val="auto"/>
              </w:rPr>
              <w:t>SOFR plus 3%-4%</w:t>
            </w:r>
          </w:p>
        </w:tc>
        <w:tc>
          <w:tcPr>
            <w:tcW w:w="176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rPr>
              <w:t>April 29, 2024</w:t>
            </w: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2%-3%</w:t>
            </w:r>
          </w:p>
        </w:tc>
        <w:tc>
          <w:tcPr>
            <w:tcW w:w="1760" w:type="dxa"/>
            <w:vAlign w:val="bottom"/>
            <w:shd w:val="clear" w:color="auto" w:fill="CCEEFF"/>
          </w:tcPr>
          <w:p>
            <w:pPr>
              <w:spacing w:after="0"/>
              <w:rPr>
                <w:sz w:val="18"/>
                <w:szCs w:val="18"/>
                <w:color w:val="auto"/>
              </w:rPr>
            </w:pPr>
          </w:p>
        </w:tc>
      </w:tr>
      <w:tr>
        <w:trPr>
          <w:trHeight w:val="215"/>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Senior Notes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23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February 1, 2026</w:t>
            </w:r>
          </w:p>
        </w:tc>
      </w:tr>
      <w:tr>
        <w:trPr>
          <w:trHeight w:val="210"/>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Principal amount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4"/>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280" w:firstLine="324"/>
        <w:spacing w:after="0" w:line="260"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This credit agreement currently consists of a senior revolving loan facility (Revolving Credit Facility) with an aggregate commitment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$602 million, which we are permitted to increase if we obtain additional commitments from new or existing lenders. This amount includes</w:t>
      </w:r>
    </w:p>
    <w:p>
      <w:pPr>
        <w:spacing w:after="0" w:line="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$110 million of additional commitments from new lenders that joined this facility in February 2022 and September 2022. Our Revolving Credit Facility also includes a sub-limit of $200 million for the issuance of letters of credit. Letters of credit were issued to support ordinary course marketing, insurance, regulatory and other matters.</w:t>
      </w:r>
    </w:p>
    <w:p>
      <w:pPr>
        <w:spacing w:after="0" w:line="205"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borrowing base is redetermined semi-annually and was reaffirmed at $1.2 billion on October 25, 2022.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ind w:right="20" w:firstLine="324"/>
        <w:spacing w:after="0" w:line="255" w:lineRule="auto"/>
        <w:rPr>
          <w:sz w:val="20"/>
          <w:szCs w:val="20"/>
          <w:color w:val="auto"/>
        </w:rPr>
      </w:pPr>
      <w:r>
        <w:rPr>
          <w:rFonts w:ascii="Arial" w:cs="Arial" w:eastAsia="Arial" w:hAnsi="Arial"/>
          <w:sz w:val="18"/>
          <w:szCs w:val="18"/>
          <w:color w:val="auto"/>
        </w:rPr>
        <w:t>In February 2022, we amended our Revolving Credit Facility to replace the benchmark rate from the London Interbank Offered Rate to the secured overnight financing rate (SOFR). We can elect to borrow at either an adjusted SOFR rate or an alternate base rate (ABR), subject to a 1% floor and 2% floor, respectively,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3% to 4% and (ii) in the case of ABR loans, 2% to 3%. The unused portion of the facility is subject to a commitment fee of 0.50% per annum. We also pay customary fees and expenses. Interest on ABR loans is payable quarterly in arrears. Interest on SOFR loans is payable at the end of each SOFR period, but not less than quarterly.</w:t>
      </w:r>
    </w:p>
    <w:p>
      <w:pPr>
        <w:spacing w:after="0" w:line="21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In April 2022, we amended our Revolving Credit Facility to, among other things, modify the minimum hedge requirement and the restricted payment and investment covenants contained in the Revolving Credit Facility. As a result of this amendment, the rolling hedge requirement as described in </w:t>
      </w:r>
      <w:r>
        <w:rPr>
          <w:rFonts w:ascii="Arial" w:cs="Arial" w:eastAsia="Arial" w:hAnsi="Arial"/>
          <w:sz w:val="18"/>
          <w:szCs w:val="18"/>
          <w:i w:val="1"/>
          <w:iCs w:val="1"/>
          <w:color w:val="auto"/>
        </w:rPr>
        <w:t>Part II, Item 8 – Financial Statements and Supplementary Data, Note 4 Debt</w:t>
      </w:r>
      <w:r>
        <w:rPr>
          <w:rFonts w:ascii="Arial" w:cs="Arial" w:eastAsia="Arial" w:hAnsi="Arial"/>
          <w:sz w:val="18"/>
          <w:szCs w:val="18"/>
          <w:color w:val="auto"/>
        </w:rPr>
        <w:t xml:space="preserve"> in our 2021 Annual Report has been modified. As amended, our Revolving Credit Facility requires us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(i) in the event that our Consolidated Total Net Leverage Ratio (as defined in the Credit Agreement) is greater than 2:1 as of the end of the most recent fiscal quarter test period, 50%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and</w:t>
      </w:r>
    </w:p>
    <w:p>
      <w:pPr>
        <w:spacing w:after="0" w:line="6" w:lineRule="exact"/>
        <w:rPr>
          <w:sz w:val="20"/>
          <w:szCs w:val="20"/>
          <w:color w:val="auto"/>
        </w:rPr>
      </w:pPr>
    </w:p>
    <w:p>
      <w:pPr>
        <w:ind w:right="80" w:firstLine="8"/>
        <w:spacing w:after="0" w:line="254"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that our Consolidated Total Net Leverage Ratio is less than or equal to 2:1 but greater than 1:1 as of the end of the most recent fiscal quarter test period, 33%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The foregoing minimum hedge requirements do not apply to the extent that our Consolidated Total Net Leverage Ratio is less than or equal to 1:1 as of the last day of the most recently ended fiscal quarter test period.</w:t>
      </w:r>
    </w:p>
    <w:p>
      <w:pPr>
        <w:spacing w:after="0" w:line="210" w:lineRule="exact"/>
        <w:rPr>
          <w:sz w:val="20"/>
          <w:szCs w:val="20"/>
          <w:color w:val="auto"/>
        </w:rPr>
      </w:pPr>
    </w:p>
    <w:p>
      <w:pPr>
        <w:ind w:right="100" w:firstLine="324"/>
        <w:spacing w:after="0" w:line="282" w:lineRule="auto"/>
        <w:rPr>
          <w:sz w:val="20"/>
          <w:szCs w:val="20"/>
          <w:color w:val="auto"/>
        </w:rPr>
      </w:pPr>
      <w:r>
        <w:rPr>
          <w:rFonts w:ascii="Arial" w:cs="Arial" w:eastAsia="Arial" w:hAnsi="Arial"/>
          <w:sz w:val="17"/>
          <w:szCs w:val="17"/>
          <w:color w:val="auto"/>
        </w:rPr>
        <w:t>Furthermore, the restricted payment and investments covenants were modified to permit unlimited investments and/or restricted payments so long as (i) no Default, Event of Default or Borrowing Base Deficiency shall have occurred and be continuing under the Revolving Credit Facility at the time of such investment or restricted payment, (ii) the undrawn availability under the Revolving Credit Facility at such time is not less than 30.0% of the total commitment and (iii) the Consolidated Total Net Leverage Ratio is less than or equal to 1.5:1.</w:t>
      </w:r>
    </w:p>
    <w:p>
      <w:pPr>
        <w:spacing w:after="0" w:line="18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At September 30, 2022, we were in compliance with all financial and other debt covenants under our Revolving Credit Facility and Senior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50"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estimated fair value of our fixed-rate debt at September 30, 2022 and December 31, 2021 was approximately $ 564 million and $623 million, respectively. We estimate fair value based on prices known from market transactions (using Level 1 inputs on the fair value hierarchy).</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DIVESTITURES AND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 Basin Transactions</w:t>
      </w:r>
    </w:p>
    <w:p>
      <w:pPr>
        <w:spacing w:after="0" w:line="25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During the second quarter of 2021, we entered into transactions to sell our Ventura basin assets. The transactions contemplate multiple closings that are subject to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6" w:name="page17"/>
    <w:bookmarkEnd w:id="16"/>
    <w:p>
      <w:pPr>
        <w:ind w:firstLine="324"/>
        <w:spacing w:after="0" w:line="255" w:lineRule="auto"/>
        <w:rPr>
          <w:sz w:val="20"/>
          <w:szCs w:val="20"/>
          <w:color w:val="auto"/>
        </w:rPr>
      </w:pPr>
      <w:r>
        <w:rPr>
          <w:rFonts w:ascii="Arial" w:cs="Arial" w:eastAsia="Arial" w:hAnsi="Arial"/>
          <w:sz w:val="18"/>
          <w:szCs w:val="18"/>
          <w:color w:val="auto"/>
        </w:rPr>
        <w:t xml:space="preserve">During the three and nine months ended September 30, 2022, we recorded a gain of $2 million and $12 million, respectively, related to the sale of certain Ventura basin assets. We did not close transactions during the three months ended September 30, 2022. The amount recognized in the three and nine months ended September 30, 2022 included $2 million and $ 6 million, respectively, of additional earn-out consideration on closings that occurred in the second half of 2021 and the first half of 2022. In addition, we also received $ 2 million to secure performance of well abandonment which we expect to release to the buyer once the abandonment obligations are met. As a result, we recorded a liability of $2 million included as accrued liabilities on our condensed consolidated balance sheet as of September 30, 2022. See </w:t>
      </w:r>
      <w:r>
        <w:rPr>
          <w:rFonts w:ascii="Arial" w:cs="Arial" w:eastAsia="Arial" w:hAnsi="Arial"/>
          <w:sz w:val="18"/>
          <w:szCs w:val="18"/>
          <w:i w:val="1"/>
          <w:iCs w:val="1"/>
          <w:color w:val="auto"/>
        </w:rPr>
        <w:t xml:space="preserve">Part II, Item 8 – Financial Statements and Supplementary Data, Note 3 Divestitures and Acquisitions </w:t>
      </w:r>
      <w:r>
        <w:rPr>
          <w:rFonts w:ascii="Arial" w:cs="Arial" w:eastAsia="Arial" w:hAnsi="Arial"/>
          <w:sz w:val="18"/>
          <w:szCs w:val="18"/>
          <w:color w:val="auto"/>
        </w:rPr>
        <w:t>in our 2021 Annual Report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the Ventura basin transactions.</w:t>
      </w:r>
    </w:p>
    <w:p>
      <w:pPr>
        <w:spacing w:after="0" w:line="21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The closing of the sale of our remaining assets in the Ventura basin is subject to final approval from the State Lands Commission, which we expect to receive prior to the end of the first quarter of 2023. These remaining assets, consisting of property, plant and equipment and associated asset retirement obligations, are classified as held for sale on our condensed consolidated balance sheet as of September 30,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Lost Hills Transaction</w:t>
      </w:r>
    </w:p>
    <w:p>
      <w:pPr>
        <w:spacing w:after="0" w:line="250" w:lineRule="exact"/>
        <w:rPr>
          <w:sz w:val="20"/>
          <w:szCs w:val="20"/>
          <w:color w:val="auto"/>
        </w:rPr>
      </w:pPr>
    </w:p>
    <w:p>
      <w:pPr>
        <w:ind w:right="160" w:firstLine="324"/>
        <w:spacing w:after="0"/>
        <w:rPr>
          <w:sz w:val="20"/>
          <w:szCs w:val="20"/>
          <w:color w:val="auto"/>
        </w:rPr>
      </w:pPr>
      <w:r>
        <w:rPr>
          <w:rFonts w:ascii="Arial" w:cs="Arial" w:eastAsia="Arial" w:hAnsi="Arial"/>
          <w:sz w:val="18"/>
          <w:szCs w:val="18"/>
          <w:color w:val="auto"/>
        </w:rPr>
        <w:t>On February 1, 2022, we sold our 50% non-operated working interest in certain horizons within our Lost Hills field, located in the San Joaquin basin, recognizing a gain of $49 million. We retained an option to capture, transport and store 100% of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steam generators across the Lost Hills field for future carbon management projects. We also retained 100% of the deep rights and related seismic data.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Plaza</w:t>
      </w:r>
    </w:p>
    <w:p>
      <w:pPr>
        <w:spacing w:after="0" w:line="250"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In June 2022, we sold our commercial office building located in Bakersfield, California for net proceeds of $13 million, recognizing no gain or loss on sale. We also leased back a portion of the building with a term of 18 months. In the second quarter of 2022, prior to the sale we recorded a $2 million impairment charge to write down the carrying value to fair value, which was determined based on a market approach (using Level 3 inputs in the fair value hierarchy).</w:t>
      </w:r>
    </w:p>
    <w:p>
      <w:pPr>
        <w:spacing w:after="0" w:line="20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the three months ended September 30, 2021, we also recorded an impairment charge of $25 million related to the write-down of the same commercial office building to fair value, which was determined based on a market approach (using Level 3 inputs in the fair value hierarchy). The decline in value of the commercial office building at that time primarily related to limited demand for office space of this size and type in the Bakersfield market and general trends in commercial real estate due to the COVID-19 pandemic. We do not own any other commercial office buildings.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nine months ended September 30, 2022, we sold non-core assets recognizing a $1 million loss.</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During the three months ended September 30, 2021, we sold unimproved land for $ 11 million in proceeds recognizing a $2 million gain. During the nine months ended September 30, 2021, we sold non-core assets, including unimproved land, for $13 million in proceeds recognizing a $4 million gain.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During the nine months ended September 30, 2022, we acquired properties and land easements for carbon management activities for approximately $17 million. There were no acquisitions for the three months ended September 30, 2022.</w:t>
      </w:r>
    </w:p>
    <w:p>
      <w:pPr>
        <w:spacing w:after="0" w:line="18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In August 2021, we purchased the 90% working interest held by Macquarie Infrastructure and Real Assets Inc (MIRA) in certain oil and natural gas properties in the San Joaquin basin for $53 million, before purchase price adjustments and transaction costs. Refer to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8 – Financial Statements and Supplementary Data, Note 3 Divestitures and Acquisitions </w:t>
      </w:r>
      <w:r>
        <w:rPr>
          <w:rFonts w:ascii="Arial" w:cs="Arial" w:eastAsia="Arial" w:hAnsi="Arial"/>
          <w:sz w:val="18"/>
          <w:szCs w:val="18"/>
          <w:color w:val="auto"/>
        </w:rPr>
        <w:t>in our 2021 Annual Report for more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acquisition</w:t>
      </w:r>
      <w:r>
        <w:rPr>
          <w:rFonts w:ascii="Arial" w:cs="Arial" w:eastAsia="Arial" w:hAnsi="Arial"/>
          <w:sz w:val="18"/>
          <w:szCs w:val="18"/>
          <w:i w:val="1"/>
          <w:iCs w:val="1"/>
          <w:color w:val="auto"/>
        </w:rPr>
        <w:t>.</w:t>
      </w:r>
      <w:r>
        <w:rPr>
          <w:rFonts w:ascii="Arial" w:cs="Arial" w:eastAsia="Arial" w:hAnsi="Arial"/>
          <w:sz w:val="18"/>
          <w:szCs w:val="18"/>
          <w:color w:val="auto"/>
        </w:rPr>
        <w:t xml:space="preserve"> There were no other acquisitions for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INVESTMENTS AND RELATED PARTY TRANSACTIONS</w:t>
      </w:r>
    </w:p>
    <w:p>
      <w:pPr>
        <w:spacing w:after="0" w:line="252"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 xml:space="preserve">In August 2022, we entered into the Carbon TerraVault JV with Brookfield for the development of a carbon management business in California. We hold a 51% interest in the Carbon TerraVault JV and Brookfield holds a 49% interest. We determined that the Carbon TerraVault JV is a VIE; however, we share decision-making power with Brookfield on matters that most significantly impact the economic performance of the joint venture. Therefore, we account for our investment in the Carbon TerraVault JV under the equity method of accounting. See </w:t>
      </w:r>
      <w:r>
        <w:rPr>
          <w:rFonts w:ascii="Arial" w:cs="Arial" w:eastAsia="Arial" w:hAnsi="Arial"/>
          <w:sz w:val="18"/>
          <w:szCs w:val="18"/>
          <w:i w:val="1"/>
          <w:iCs w:val="1"/>
          <w:color w:val="auto"/>
        </w:rPr>
        <w:t>Note 2 Accounting Policy and Disclosure Changes</w:t>
      </w:r>
      <w:r>
        <w:rPr>
          <w:rFonts w:ascii="Arial" w:cs="Arial" w:eastAsia="Arial" w:hAnsi="Arial"/>
          <w:sz w:val="18"/>
          <w:szCs w:val="18"/>
          <w:color w:val="auto"/>
        </w:rPr>
        <w:t xml:space="preserve"> for more information on the VIE consolidation model. Transactions between us and the Carbon TerraVault JV are related party transactions.</w:t>
      </w:r>
    </w:p>
    <w:p>
      <w:pPr>
        <w:spacing w:after="0" w:line="142"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As part of the formation of the Carbon TerraVault JV, we contributed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(26R reservoir) and Brookfield committed to make an initial investment of $137 million, payable in three equal installments with the last two installments subject to the achievement of certain milestones. Brookfield contributed the first $46 million installment of their initial investment to the Carbon TerraVault JV during the three months ended September 30, 2022. This amount may, at our sole discretion, be distributed to us or used to satisfy future capital contributions, among other items. During the three months ended September 30, 2022, $12 million of the initial investment was distributed to us (and used to pay transaction costs related to the formation of the joint venture) and $ 2 million was used to satisfy a capital call. This $14 million is reflected on our condensed consolidated balance sheet as an investment in an unconsolidated subsidiary at September 30, 2022. The remaining $32 million is reported as a receivable from affiliate on our condensed consolidated balance sheet as of September 30, 2022. Because the parties have certain put and call rights with respect to the 26R reservoir, if certain milestones are not met, the $46 million initial investment by Brookfield is reflected as a contingent liability in other long-term liabilities on our condensed consolidated balance sheet as of September 30, 2022.</w:t>
      </w:r>
    </w:p>
    <w:p>
      <w:pPr>
        <w:spacing w:after="0" w:line="147" w:lineRule="exact"/>
        <w:rPr>
          <w:sz w:val="20"/>
          <w:szCs w:val="20"/>
          <w:color w:val="auto"/>
        </w:rPr>
      </w:pPr>
    </w:p>
    <w:p>
      <w:pPr>
        <w:ind w:right="300" w:firstLine="324"/>
        <w:spacing w:after="0" w:line="282" w:lineRule="auto"/>
        <w:rPr>
          <w:sz w:val="20"/>
          <w:szCs w:val="20"/>
          <w:color w:val="auto"/>
        </w:rPr>
      </w:pPr>
      <w:r>
        <w:rPr>
          <w:rFonts w:ascii="Arial" w:cs="Arial" w:eastAsia="Arial" w:hAnsi="Arial"/>
          <w:sz w:val="17"/>
          <w:szCs w:val="17"/>
          <w:color w:val="auto"/>
        </w:rPr>
        <w:t>The Carbon TerraVault JV has an option to participate in certain projects that involve the capture, transportation and storage of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in California. This option expires upon the earlier of (1) August 2027, (2) when a final investment decision has been approved by the Carbon TerraVault JV for storage projects representing in excess of 5 million metric tons per annum (MMTPA) in the aggregate, or (3) when Brookfield has made contributions to the joint venture in excess of $500 million (unless Brookfield elects to increase its commitment).</w:t>
      </w:r>
    </w:p>
    <w:p>
      <w:pPr>
        <w:spacing w:after="0" w:line="187"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Our proportionate share of the net loss generated by the Carbon TerraVault JV for the three and nine months ended September 30, 2022 was insignificant due to the start-up nature of the joint venture.</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for these items at September 30, 2022 and December 31, 2021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DERIVATIVES</w:t>
      </w:r>
    </w:p>
    <w:p>
      <w:pPr>
        <w:spacing w:after="0" w:line="252"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maintain a commodity hedging program primarily focused on crude oil to help protect our cash flows, margins and capital program from the volatility of commodity prices. We did not have any derivative instruments designated as accounting hedges as of and for the three and nine months ended September 30, 2022 and 2021. Unless otherwise indicated, we use the term "hedge" to describe derivative instruments that are designed to achieve our hedging requirements and program goals.</w:t>
      </w:r>
    </w:p>
    <w:p>
      <w:pPr>
        <w:spacing w:after="0" w:line="203"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 xml:space="preserve">Currently, we may not hedge more than 85% of reasonably anticipated total forecasted production of crude oil, natural gas and NGLs from our oil and gas properties for a 48-month period, except that we may purchase puts and floors up to 100% of such production. The percentage of our crude oil production hedged is calculated exclusive of offsetting positions on our derivative contracts. See </w:t>
      </w:r>
      <w:r>
        <w:rPr>
          <w:rFonts w:ascii="Arial" w:cs="Arial" w:eastAsia="Arial" w:hAnsi="Arial"/>
          <w:sz w:val="18"/>
          <w:szCs w:val="18"/>
          <w:i w:val="1"/>
          <w:iCs w:val="1"/>
          <w:color w:val="auto"/>
        </w:rPr>
        <w:t>Note 6 Debt</w:t>
      </w:r>
      <w:r>
        <w:rPr>
          <w:rFonts w:ascii="Arial" w:cs="Arial" w:eastAsia="Arial" w:hAnsi="Arial"/>
          <w:sz w:val="18"/>
          <w:szCs w:val="18"/>
          <w:color w:val="auto"/>
        </w:rPr>
        <w:t xml:space="preserve"> for more information on an amendment to our Revolving Credit Facility and our hedging requirements.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Summary of open derivative contracts </w:t>
      </w:r>
      <w:r>
        <w:rPr>
          <w:rFonts w:ascii="Arial" w:cs="Arial" w:eastAsia="Arial" w:hAnsi="Arial"/>
          <w:sz w:val="18"/>
          <w:szCs w:val="18"/>
          <w:color w:val="auto"/>
        </w:rPr>
        <w:t>— We held the following Brent-based crude oil contracts as of September 30,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Q4</w:t>
            </w:r>
          </w:p>
        </w:tc>
        <w:tc>
          <w:tcPr>
            <w:tcW w:w="26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auto"/>
              </w:rPr>
              <w:t>Q1</w:t>
            </w:r>
          </w:p>
        </w:tc>
        <w:tc>
          <w:tcPr>
            <w:tcW w:w="24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Q2</w:t>
            </w:r>
          </w:p>
        </w:tc>
        <w:tc>
          <w:tcPr>
            <w:tcW w:w="24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auto"/>
              </w:rPr>
              <w:t>Q4</w:t>
            </w:r>
          </w:p>
        </w:tc>
        <w:tc>
          <w:tcPr>
            <w:tcW w:w="260" w:type="dxa"/>
            <w:vAlign w:val="bottom"/>
          </w:tcPr>
          <w:p>
            <w:pPr>
              <w:spacing w:after="0"/>
              <w:rPr>
                <w:sz w:val="17"/>
                <w:szCs w:val="17"/>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5"/>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Sold Calls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66.27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69.14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rPr>
              <w:t>Net Purchased Puts</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Purchased puts and sold puts with the same strike price have been presented on a net basis.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held natural gas swaps for 25,000 MMBTU per day at a weighted-average price of $7.74 per MMBTU for the fourth quarter of 2022.</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3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27" w:lineRule="exact"/>
        <w:rPr>
          <w:rFonts w:ascii="Arial" w:cs="Arial" w:eastAsia="Arial" w:hAnsi="Arial"/>
          <w:sz w:val="18"/>
          <w:szCs w:val="18"/>
          <w:color w:val="auto"/>
        </w:rPr>
      </w:pPr>
    </w:p>
    <w:p>
      <w:pPr>
        <w:ind w:left="660" w:right="420" w:hanging="328"/>
        <w:spacing w:after="0" w:line="249" w:lineRule="auto"/>
        <w:tabs>
          <w:tab w:leader="none" w:pos="65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3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use combinations of these positions to increase the efficacy of our hedging program and, subject to certain conditions, meet the requirements of our Revolving Credit Facility. The majority of our derivative positions for the remainder of 2022 and 2023 were entered into subsequent to our emergence from bankruptcy to comply with the hedging requirements of our Revolving Credit Facility that were applicable at the time.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ind w:right="720" w:firstLine="324"/>
        <w:spacing w:after="0" w:line="287"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The following tables present the fair values on a recurring basis (at gross and net)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derivatives as of September 30, 2022 and December 31, 2021: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5980" w:type="dxa"/>
            <w:vAlign w:val="bottom"/>
            <w:tcBorders>
              <w:top w:val="single" w:sz="8" w:color="auto"/>
            </w:tcBorders>
            <w:gridSpan w:val="3"/>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760" w:type="dxa"/>
            <w:vAlign w:val="bottom"/>
            <w:tcBorders>
              <w:top w:val="single" w:sz="8" w:color="auto"/>
            </w:tcBorders>
            <w:gridSpan w:val="5"/>
          </w:tcPr>
          <w:p>
            <w:pPr>
              <w:ind w:left="40"/>
              <w:spacing w:after="0" w:line="177" w:lineRule="exact"/>
              <w:rPr>
                <w:sz w:val="20"/>
                <w:szCs w:val="20"/>
                <w:color w:val="auto"/>
              </w:rPr>
            </w:pPr>
            <w:r>
              <w:rPr>
                <w:rFonts w:ascii="Arial" w:cs="Arial" w:eastAsia="Arial" w:hAnsi="Arial"/>
                <w:sz w:val="18"/>
                <w:szCs w:val="18"/>
                <w:b w:val="1"/>
                <w:bCs w:val="1"/>
                <w:color w:val="auto"/>
              </w:rPr>
              <w:t>Gross Amounts at</w:t>
            </w:r>
          </w:p>
        </w:tc>
        <w:tc>
          <w:tcPr>
            <w:tcW w:w="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5"/>
        </w:trPr>
        <w:tc>
          <w:tcPr>
            <w:tcW w:w="598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8"/>
                <w:szCs w:val="18"/>
                <w:b w:val="1"/>
                <w:bCs w:val="1"/>
                <w:color w:val="auto"/>
              </w:rPr>
              <w:t>Fair Value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assets - Fair value of derivative contracts</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85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5980" w:type="dxa"/>
            <w:vAlign w:val="bottom"/>
            <w:gridSpan w:val="3"/>
          </w:tcPr>
          <w:p>
            <w:pPr>
              <w:ind w:left="120"/>
              <w:spacing w:after="0"/>
              <w:rPr>
                <w:sz w:val="20"/>
                <w:szCs w:val="20"/>
                <w:color w:val="auto"/>
              </w:rPr>
            </w:pPr>
            <w:r>
              <w:rPr>
                <w:rFonts w:ascii="Arial" w:cs="Arial" w:eastAsia="Arial" w:hAnsi="Arial"/>
                <w:sz w:val="18"/>
                <w:szCs w:val="18"/>
                <w:color w:val="auto"/>
              </w:rPr>
              <w:t>Other noncurrent assets - Fair value of derivative contracts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left="910"/>
              <w:spacing w:after="0"/>
              <w:rPr>
                <w:sz w:val="20"/>
                <w:szCs w:val="20"/>
                <w:color w:val="auto"/>
              </w:rPr>
            </w:pPr>
            <w:r>
              <w:rPr>
                <w:rFonts w:ascii="Arial" w:cs="Arial" w:eastAsia="Arial" w:hAnsi="Arial"/>
                <w:sz w:val="18"/>
                <w:szCs w:val="18"/>
                <w:color w:val="auto"/>
                <w:w w:val="99"/>
              </w:rPr>
              <w:t>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Current - Fair value of derivative contracts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740" w:type="dxa"/>
            <w:vAlign w:val="bottom"/>
            <w:tcBorders>
              <w:bottom w:val="single" w:sz="8" w:color="auto"/>
            </w:tcBorders>
            <w:gridSpan w:val="8"/>
          </w:tcPr>
          <w:p>
            <w:pPr>
              <w:ind w:left="4780"/>
              <w:spacing w:after="0"/>
              <w:rPr>
                <w:sz w:val="20"/>
                <w:szCs w:val="20"/>
                <w:color w:val="auto"/>
              </w:rPr>
            </w:pPr>
            <w:r>
              <w:rPr>
                <w:rFonts w:ascii="Arial" w:cs="Arial" w:eastAsia="Arial" w:hAnsi="Arial"/>
                <w:sz w:val="18"/>
                <w:szCs w:val="18"/>
                <w:b w:val="1"/>
                <w:bCs w:val="1"/>
                <w:color w:val="auto"/>
              </w:rPr>
              <w:t>December 31, 2021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980" w:type="dxa"/>
            <w:vAlign w:val="bottom"/>
            <w:gridSpan w:val="3"/>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40" w:type="dxa"/>
            <w:vAlign w:val="bottom"/>
          </w:tcPr>
          <w:p>
            <w:pPr>
              <w:spacing w:after="0"/>
              <w:rPr>
                <w:sz w:val="14"/>
                <w:szCs w:val="14"/>
                <w:color w:val="auto"/>
              </w:rPr>
            </w:pPr>
          </w:p>
        </w:tc>
        <w:tc>
          <w:tcPr>
            <w:tcW w:w="1720" w:type="dxa"/>
            <w:vAlign w:val="bottom"/>
            <w:gridSpan w:val="4"/>
          </w:tcPr>
          <w:p>
            <w:pPr>
              <w:jc w:val="center"/>
              <w:ind w:right="8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Pr>
          <w:p>
            <w:pPr>
              <w:spacing w:after="0"/>
              <w:rPr>
                <w:sz w:val="14"/>
                <w:szCs w:val="14"/>
                <w:color w:val="auto"/>
              </w:rPr>
            </w:pPr>
          </w:p>
        </w:tc>
        <w:tc>
          <w:tcPr>
            <w:tcW w:w="14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598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Fair Value</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current assets - Fair value of derivative contracts</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980" w:type="dxa"/>
            <w:vAlign w:val="bottom"/>
            <w:gridSpan w:val="3"/>
          </w:tcPr>
          <w:p>
            <w:pPr>
              <w:ind w:left="100"/>
              <w:spacing w:after="0"/>
              <w:rPr>
                <w:sz w:val="20"/>
                <w:szCs w:val="20"/>
                <w:color w:val="auto"/>
              </w:rPr>
            </w:pPr>
            <w:r>
              <w:rPr>
                <w:rFonts w:ascii="Arial" w:cs="Arial" w:eastAsia="Arial" w:hAnsi="Arial"/>
                <w:sz w:val="18"/>
                <w:szCs w:val="18"/>
                <w:color w:val="auto"/>
              </w:rPr>
              <w:t>Other noncurrent assets - Fair value of derivative contracts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Current - Fair value of derivative contracts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(297)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left="830"/>
              <w:spacing w:after="0"/>
              <w:rPr>
                <w:sz w:val="20"/>
                <w:szCs w:val="20"/>
                <w:color w:val="auto"/>
              </w:rPr>
            </w:pPr>
            <w:r>
              <w:rPr>
                <w:rFonts w:ascii="Arial" w:cs="Arial" w:eastAsia="Arial" w:hAnsi="Arial"/>
                <w:sz w:val="18"/>
                <w:szCs w:val="18"/>
                <w:color w:val="auto"/>
                <w:w w:val="99"/>
              </w:rPr>
              <w:t>(143)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9"/>
              </w:rPr>
              <w:t>(395)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recognized fair value changes on derivative instruments each reporting period in net loss from commodity derivatives on our condensed consolidated statements of operations for the three and nine months ended September 30, 2022 and 2021. The changes in fair value result from the relationship between our existing positions, volatility, time to expiration, contract prices and the associated forward curves.</w:t>
      </w:r>
    </w:p>
    <w:p>
      <w:pPr>
        <w:spacing w:after="0" w:line="20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tab/>
        <w:t>EARNINGS PER SHARE</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Basic and diluted earnings per share (EPS) were calculated using the treasury stock method for the three and nine months ended September 30, 2022 and 2021. Our restricted stock unit (RSU) and performance stock unit (PSU) awards are not considered participating securities since the dividend rights on unvested shares are forfeitable.</w:t>
      </w:r>
    </w:p>
    <w:p>
      <w:pPr>
        <w:spacing w:after="0" w:line="19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For basic EPS, the weighted-average number of common shares outstanding excludes shares underlying our equity-settled awards and warrants. For diluted EPS, the basic shares outstanding are adjusted by adding potential common shares, if dilutive.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0" w:name="page21"/>
    <w:bookmarkEnd w:id="20"/>
    <w:p>
      <w:pPr>
        <w:ind w:right="420" w:firstLine="324"/>
        <w:spacing w:after="0" w:line="287" w:lineRule="auto"/>
        <w:rPr>
          <w:sz w:val="20"/>
          <w:szCs w:val="20"/>
          <w:color w:val="auto"/>
        </w:rPr>
      </w:pPr>
      <w:r>
        <w:rPr>
          <w:rFonts w:ascii="Arial" w:cs="Arial" w:eastAsia="Arial" w:hAnsi="Arial"/>
          <w:sz w:val="18"/>
          <w:szCs w:val="18"/>
          <w:color w:val="auto"/>
        </w:rPr>
        <w:t>The following table presents the calculation of basic and diluted EPS, for the three and nine months ended September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70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3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940" w:type="dxa"/>
            <w:vAlign w:val="bottom"/>
          </w:tcPr>
          <w:p>
            <w:pPr>
              <w:spacing w:after="0"/>
              <w:rPr>
                <w:sz w:val="21"/>
                <w:szCs w:val="21"/>
                <w:color w:val="auto"/>
              </w:rPr>
            </w:pPr>
          </w:p>
        </w:tc>
        <w:tc>
          <w:tcPr>
            <w:tcW w:w="218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188"/>
        </w:trPr>
        <w:tc>
          <w:tcPr>
            <w:tcW w:w="5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color w:val="auto"/>
              </w:rPr>
              <w:t>(in millions, except per-share amounts)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net income attributable to noncontrolling interests</w:t>
            </w:r>
          </w:p>
        </w:tc>
        <w:tc>
          <w:tcPr>
            <w:tcW w:w="8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1"/>
        </w:trPr>
        <w:tc>
          <w:tcPr>
            <w:tcW w:w="5940" w:type="dxa"/>
            <w:vAlign w:val="bottom"/>
            <w:tcBorders>
              <w:top w:val="single" w:sz="8" w:color="CCEEFF"/>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 (loss) attributable to common stock</w:t>
            </w:r>
          </w:p>
        </w:tc>
        <w:tc>
          <w:tcPr>
            <w:tcW w:w="820" w:type="dxa"/>
            <w:vAlign w:val="bottom"/>
            <w:tcBorders>
              <w:top w:val="single" w:sz="8" w:color="auto"/>
              <w:bottom w:val="single" w:sz="8" w:color="auto"/>
            </w:tcBorders>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33"/>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74.1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237"/>
        </w:trPr>
        <w:tc>
          <w:tcPr>
            <w:tcW w:w="59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Potential Common Shares, if dilutive:</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Stock Units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Diluted EPS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76.3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196"/>
        </w:trPr>
        <w:tc>
          <w:tcPr>
            <w:tcW w:w="5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5.75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9"/>
        </w:trPr>
        <w:tc>
          <w:tcPr>
            <w:tcW w:w="5940" w:type="dxa"/>
            <w:vAlign w:val="bottom"/>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5.58</w:t>
            </w:r>
          </w:p>
        </w:tc>
        <w:tc>
          <w:tcPr>
            <w:tcW w:w="100" w:type="dxa"/>
            <w:vAlign w:val="bottom"/>
          </w:tcPr>
          <w:p>
            <w:pPr>
              <w:spacing w:after="0"/>
              <w:rPr>
                <w:sz w:val="20"/>
                <w:szCs w:val="20"/>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1.25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potentially dilutive weighted-average common shares which were excluded from the denominator for diluted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EPS in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Pr>
          <w:p>
            <w:pPr>
              <w:spacing w:after="0"/>
              <w:rPr>
                <w:sz w:val="20"/>
                <w:szCs w:val="20"/>
                <w:color w:val="auto"/>
              </w:rPr>
            </w:pPr>
          </w:p>
        </w:tc>
        <w:tc>
          <w:tcPr>
            <w:tcW w:w="33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32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7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09"/>
        </w:trPr>
        <w:tc>
          <w:tcPr>
            <w:tcW w:w="4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4"/>
          </w:tcPr>
          <w:p>
            <w:pPr>
              <w:ind w:left="1200"/>
              <w:spacing w:after="0"/>
              <w:rPr>
                <w:sz w:val="20"/>
                <w:szCs w:val="20"/>
                <w:color w:val="auto"/>
              </w:rPr>
            </w:pPr>
            <w:r>
              <w:rPr>
                <w:rFonts w:ascii="Arial" w:cs="Arial" w:eastAsia="Arial" w:hAnsi="Arial"/>
                <w:sz w:val="16"/>
                <w:szCs w:val="16"/>
                <w:color w:val="auto"/>
              </w:rPr>
              <w:t>(in millions)</w:t>
            </w:r>
          </w:p>
        </w:tc>
        <w:tc>
          <w:tcPr>
            <w:tcW w:w="1560" w:type="dxa"/>
            <w:vAlign w:val="bottom"/>
          </w:tcPr>
          <w:p>
            <w:pPr>
              <w:spacing w:after="0"/>
              <w:rPr>
                <w:sz w:val="18"/>
                <w:szCs w:val="18"/>
                <w:color w:val="auto"/>
              </w:rPr>
            </w:pPr>
          </w:p>
        </w:tc>
      </w:tr>
      <w:tr>
        <w:trPr>
          <w:trHeight w:val="230"/>
        </w:trPr>
        <w:tc>
          <w:tcPr>
            <w:tcW w:w="5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Shares issuable upon exercise of warrants</w:t>
            </w:r>
            <w:r>
              <w:rPr>
                <w:rFonts w:ascii="Arial" w:cs="Arial" w:eastAsia="Arial" w:hAnsi="Arial"/>
                <w:sz w:val="23"/>
                <w:szCs w:val="23"/>
                <w:color w:val="auto"/>
                <w:vertAlign w:val="superscript"/>
              </w:rPr>
              <w:t>(a)</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Shares issuable upon settlement of RSUs</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settlement of PSUs</w:t>
            </w: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Total antidilutive shares</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4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280" w:hanging="332"/>
        <w:spacing w:after="0" w:line="299"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Diluted earnings per share for the three and nine months ended September 30, 2021 excludes 4.3 million common shares issuable upon exercise of warrants that were out-of-the-money based on the average stock price for those periods. See </w:t>
      </w:r>
      <w:r>
        <w:rPr>
          <w:rFonts w:ascii="Arial" w:cs="Arial" w:eastAsia="Arial" w:hAnsi="Arial"/>
          <w:sz w:val="14"/>
          <w:szCs w:val="14"/>
          <w:i w:val="1"/>
          <w:iCs w:val="1"/>
          <w:color w:val="auto"/>
        </w:rPr>
        <w:t>Note 14 Stockholders' Equity</w:t>
      </w:r>
      <w:r>
        <w:rPr>
          <w:rFonts w:ascii="Arial" w:cs="Arial" w:eastAsia="Arial" w:hAnsi="Arial"/>
          <w:sz w:val="14"/>
          <w:szCs w:val="14"/>
          <w:color w:val="auto"/>
        </w:rPr>
        <w:t xml:space="preserve"> for information on the terms of the warrant</w:t>
      </w:r>
      <w:r>
        <w:rPr>
          <w:rFonts w:ascii="Arial" w:cs="Arial" w:eastAsia="Arial" w:hAnsi="Arial"/>
          <w:sz w:val="17"/>
          <w:szCs w:val="17"/>
          <w:color w:val="auto"/>
        </w:rPr>
        <w: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PENSION AND POSTRETIREMENT BENEFIT PLANS</w:t>
      </w:r>
    </w:p>
    <w:p>
      <w:pPr>
        <w:spacing w:after="0" w:line="2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and nine months ended September 30, 2022 and 2021:</w:t>
      </w:r>
    </w:p>
    <w:p>
      <w:pPr>
        <w:sectPr>
          <w:pgSz w:w="11900" w:h="16838" w:orient="portrait"/>
          <w:cols w:equalWidth="0" w:num="1">
            <w:col w:w="11240"/>
          </w:cols>
          <w:pgMar w:left="320" w:top="890" w:right="339" w:bottom="1440" w:gutter="0" w:footer="0" w:header="0"/>
        </w:sectPr>
      </w:pPr>
    </w:p>
    <w:p>
      <w:pPr>
        <w:spacing w:after="0" w:line="7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Three months ended September 30,</w:t>
      </w:r>
    </w:p>
    <w:p>
      <w:pPr>
        <w:spacing w:after="0" w:line="28" w:lineRule="exact"/>
        <w:rPr>
          <w:sz w:val="20"/>
          <w:szCs w:val="20"/>
          <w:color w:val="auto"/>
        </w:rPr>
      </w:pPr>
    </w:p>
    <w:tbl>
      <w:tblPr>
        <w:tblLayout w:type="fixed"/>
        <w:tblInd w:w="3340" w:type="dxa"/>
        <w:tblCellMar>
          <w:top w:w="0" w:type="dxa"/>
          <w:left w:w="0" w:type="dxa"/>
          <w:bottom w:w="0" w:type="dxa"/>
          <w:right w:w="0" w:type="dxa"/>
        </w:tblCellMar>
      </w:tblPr>
      <w:tr>
        <w:trPr>
          <w:trHeight w:val="223"/>
        </w:trPr>
        <w:tc>
          <w:tcPr>
            <w:tcW w:w="14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2022</w:t>
            </w:r>
          </w:p>
        </w:tc>
      </w:tr>
      <w:tr>
        <w:trPr>
          <w:trHeight w:val="169"/>
        </w:trPr>
        <w:tc>
          <w:tcPr>
            <w:tcW w:w="144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2440" w:type="dxa"/>
            <w:vAlign w:val="bottom"/>
          </w:tcPr>
          <w:p>
            <w:pPr>
              <w:jc w:val="center"/>
              <w:ind w:left="45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244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40" w:type="dxa"/>
            <w:vAlign w:val="bottom"/>
          </w:tcPr>
          <w:p>
            <w:pPr>
              <w:spacing w:after="0"/>
              <w:rPr>
                <w:sz w:val="16"/>
                <w:szCs w:val="16"/>
                <w:color w:val="auto"/>
              </w:rPr>
            </w:pPr>
          </w:p>
        </w:tc>
        <w:tc>
          <w:tcPr>
            <w:tcW w:w="2440" w:type="dxa"/>
            <w:vAlign w:val="bottom"/>
          </w:tcPr>
          <w:p>
            <w:pPr>
              <w:jc w:val="center"/>
              <w:ind w:right="1355"/>
              <w:spacing w:after="0"/>
              <w:rPr>
                <w:sz w:val="20"/>
                <w:szCs w:val="20"/>
                <w:color w:val="auto"/>
              </w:rPr>
            </w:pPr>
            <w:r>
              <w:rPr>
                <w:rFonts w:ascii="Arial" w:cs="Arial" w:eastAsia="Arial" w:hAnsi="Arial"/>
                <w:sz w:val="14"/>
                <w:szCs w:val="14"/>
                <w:color w:val="auto"/>
              </w:rPr>
              <w:t>(in millions)</w:t>
            </w: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2021</w:t>
            </w:r>
          </w:p>
        </w:tc>
      </w:tr>
      <w:tr>
        <w:trPr>
          <w:trHeight w:val="169"/>
        </w:trPr>
        <w:tc>
          <w:tcPr>
            <w:tcW w:w="142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9"/>
              </w:rPr>
              <w:t>Pension</w:t>
            </w:r>
          </w:p>
        </w:tc>
        <w:tc>
          <w:tcPr>
            <w:tcW w:w="2460" w:type="dxa"/>
            <w:vAlign w:val="bottom"/>
          </w:tcPr>
          <w:p>
            <w:pPr>
              <w:jc w:val="center"/>
              <w:ind w:left="47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rPr>
              <w:t>Benefit</w:t>
            </w:r>
          </w:p>
        </w:tc>
        <w:tc>
          <w:tcPr>
            <w:tcW w:w="246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20" w:type="dxa"/>
            <w:vAlign w:val="bottom"/>
          </w:tcPr>
          <w:p>
            <w:pPr>
              <w:spacing w:after="0"/>
              <w:rPr>
                <w:sz w:val="16"/>
                <w:szCs w:val="16"/>
                <w:color w:val="auto"/>
              </w:rPr>
            </w:pPr>
          </w:p>
        </w:tc>
        <w:tc>
          <w:tcPr>
            <w:tcW w:w="2460" w:type="dxa"/>
            <w:vAlign w:val="bottom"/>
          </w:tcPr>
          <w:p>
            <w:pPr>
              <w:jc w:val="center"/>
              <w:ind w:right="1335"/>
              <w:spacing w:after="0"/>
              <w:rPr>
                <w:sz w:val="20"/>
                <w:szCs w:val="20"/>
                <w:color w:val="auto"/>
              </w:rPr>
            </w:pPr>
            <w:r>
              <w:rPr>
                <w:rFonts w:ascii="Arial" w:cs="Arial" w:eastAsia="Arial" w:hAnsi="Arial"/>
                <w:sz w:val="14"/>
                <w:szCs w:val="14"/>
                <w:color w:val="auto"/>
              </w:rPr>
              <w:t>(in millions)</w:t>
            </w:r>
          </w:p>
        </w:tc>
      </w:tr>
    </w:tbl>
    <w:p>
      <w:pPr>
        <w:spacing w:after="0" w:line="1" w:lineRule="exact"/>
        <w:rPr>
          <w:sz w:val="20"/>
          <w:szCs w:val="20"/>
          <w:color w:val="auto"/>
        </w:rPr>
      </w:pPr>
    </w:p>
    <w:p>
      <w:pPr>
        <w:sectPr>
          <w:pgSz w:w="11900" w:h="16838" w:orient="portrait"/>
          <w:cols w:equalWidth="0" w:num="2">
            <w:col w:w="7220" w:space="140"/>
            <w:col w:w="388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3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Service cost - benefits earned during the</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88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Interest cost on projected benefit</w:t>
            </w:r>
          </w:p>
        </w:tc>
        <w:tc>
          <w:tcPr>
            <w:tcW w:w="8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obligation</w:t>
            </w:r>
          </w:p>
        </w:tc>
        <w:tc>
          <w:tcPr>
            <w:tcW w:w="8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Curtailment gain</w:t>
            </w:r>
          </w:p>
        </w:tc>
        <w:tc>
          <w:tcPr>
            <w:tcW w:w="8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8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Pr>
          <w:p>
            <w:pPr>
              <w:ind w:left="300"/>
              <w:spacing w:after="0"/>
              <w:rPr>
                <w:sz w:val="20"/>
                <w:szCs w:val="20"/>
                <w:color w:val="auto"/>
              </w:rPr>
            </w:pPr>
            <w:r>
              <w:rPr>
                <w:rFonts w:ascii="Arial" w:cs="Arial" w:eastAsia="Arial" w:hAnsi="Arial"/>
                <w:sz w:val="18"/>
                <w:szCs w:val="18"/>
                <w:color w:val="auto"/>
              </w:rPr>
              <w:t>Net periodic benefit costs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type w:val="continuous"/>
        </w:sectPr>
      </w:pPr>
    </w:p>
    <w:p>
      <w:pPr>
        <w:spacing w:after="0" w:line="33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3340" w:type="dxa"/>
        <w:tblCellMar>
          <w:top w:w="0" w:type="dxa"/>
          <w:left w:w="0" w:type="dxa"/>
          <w:bottom w:w="0" w:type="dxa"/>
          <w:right w:w="0" w:type="dxa"/>
        </w:tblCellMar>
      </w:tblPr>
      <w:tr>
        <w:trPr>
          <w:trHeight w:val="223"/>
        </w:trPr>
        <w:tc>
          <w:tcPr>
            <w:tcW w:w="14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2022</w:t>
            </w:r>
          </w:p>
        </w:tc>
      </w:tr>
      <w:tr>
        <w:trPr>
          <w:trHeight w:val="169"/>
        </w:trPr>
        <w:tc>
          <w:tcPr>
            <w:tcW w:w="144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2440" w:type="dxa"/>
            <w:vAlign w:val="bottom"/>
          </w:tcPr>
          <w:p>
            <w:pPr>
              <w:jc w:val="center"/>
              <w:ind w:left="45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244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40" w:type="dxa"/>
            <w:vAlign w:val="bottom"/>
          </w:tcPr>
          <w:p>
            <w:pPr>
              <w:spacing w:after="0"/>
              <w:rPr>
                <w:sz w:val="16"/>
                <w:szCs w:val="16"/>
                <w:color w:val="auto"/>
              </w:rPr>
            </w:pPr>
          </w:p>
        </w:tc>
        <w:tc>
          <w:tcPr>
            <w:tcW w:w="2440" w:type="dxa"/>
            <w:vAlign w:val="bottom"/>
          </w:tcPr>
          <w:p>
            <w:pPr>
              <w:jc w:val="center"/>
              <w:ind w:right="1355"/>
              <w:spacing w:after="0"/>
              <w:rPr>
                <w:sz w:val="20"/>
                <w:szCs w:val="20"/>
                <w:color w:val="auto"/>
              </w:rPr>
            </w:pPr>
            <w:r>
              <w:rPr>
                <w:rFonts w:ascii="Arial" w:cs="Arial" w:eastAsia="Arial" w:hAnsi="Arial"/>
                <w:sz w:val="14"/>
                <w:szCs w:val="14"/>
                <w:color w:val="auto"/>
              </w:rPr>
              <w:t>(in millions)</w:t>
            </w:r>
          </w:p>
        </w:tc>
      </w:tr>
    </w:tbl>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2021</w:t>
            </w:r>
          </w:p>
        </w:tc>
      </w:tr>
      <w:tr>
        <w:trPr>
          <w:trHeight w:val="169"/>
        </w:trPr>
        <w:tc>
          <w:tcPr>
            <w:tcW w:w="142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9"/>
              </w:rPr>
              <w:t>Pension</w:t>
            </w:r>
          </w:p>
        </w:tc>
        <w:tc>
          <w:tcPr>
            <w:tcW w:w="2460" w:type="dxa"/>
            <w:vAlign w:val="bottom"/>
          </w:tcPr>
          <w:p>
            <w:pPr>
              <w:jc w:val="center"/>
              <w:ind w:left="47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rPr>
              <w:t>Benefit</w:t>
            </w:r>
          </w:p>
        </w:tc>
        <w:tc>
          <w:tcPr>
            <w:tcW w:w="246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20" w:type="dxa"/>
            <w:vAlign w:val="bottom"/>
          </w:tcPr>
          <w:p>
            <w:pPr>
              <w:spacing w:after="0"/>
              <w:rPr>
                <w:sz w:val="16"/>
                <w:szCs w:val="16"/>
                <w:color w:val="auto"/>
              </w:rPr>
            </w:pPr>
          </w:p>
        </w:tc>
        <w:tc>
          <w:tcPr>
            <w:tcW w:w="2460" w:type="dxa"/>
            <w:vAlign w:val="bottom"/>
          </w:tcPr>
          <w:p>
            <w:pPr>
              <w:jc w:val="center"/>
              <w:ind w:right="1335"/>
              <w:spacing w:after="0"/>
              <w:rPr>
                <w:sz w:val="20"/>
                <w:szCs w:val="20"/>
                <w:color w:val="auto"/>
              </w:rPr>
            </w:pPr>
            <w:r>
              <w:rPr>
                <w:rFonts w:ascii="Arial" w:cs="Arial" w:eastAsia="Arial" w:hAnsi="Arial"/>
                <w:sz w:val="14"/>
                <w:szCs w:val="14"/>
                <w:color w:val="auto"/>
              </w:rPr>
              <w:t>(in millions)</w:t>
            </w:r>
          </w:p>
        </w:tc>
      </w:tr>
    </w:tbl>
    <w:p>
      <w:pPr>
        <w:spacing w:after="0" w:line="1" w:lineRule="exact"/>
        <w:rPr>
          <w:sz w:val="20"/>
          <w:szCs w:val="20"/>
          <w:color w:val="auto"/>
        </w:rPr>
      </w:pPr>
    </w:p>
    <w:p>
      <w:pPr>
        <w:sectPr>
          <w:pgSz w:w="11900" w:h="16838" w:orient="portrait"/>
          <w:cols w:equalWidth="0" w:num="2">
            <w:col w:w="7220" w:space="140"/>
            <w:col w:w="388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3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Service cost - benefits earned during the</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88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Interest cost on projected benefit</w:t>
            </w:r>
          </w:p>
        </w:tc>
        <w:tc>
          <w:tcPr>
            <w:tcW w:w="8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obligation</w:t>
            </w:r>
          </w:p>
        </w:tc>
        <w:tc>
          <w:tcPr>
            <w:tcW w:w="8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Curtailment gain</w:t>
            </w:r>
          </w:p>
        </w:tc>
        <w:tc>
          <w:tcPr>
            <w:tcW w:w="8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8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Pr>
          <w:p>
            <w:pPr>
              <w:ind w:left="300"/>
              <w:spacing w:after="0"/>
              <w:rPr>
                <w:sz w:val="20"/>
                <w:szCs w:val="20"/>
                <w:color w:val="auto"/>
              </w:rPr>
            </w:pPr>
            <w:r>
              <w:rPr>
                <w:rFonts w:ascii="Arial" w:cs="Arial" w:eastAsia="Arial" w:hAnsi="Arial"/>
                <w:sz w:val="18"/>
                <w:szCs w:val="18"/>
                <w:color w:val="auto"/>
              </w:rPr>
              <w:t>Net periodic benefit costs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500" w:firstLine="324"/>
        <w:spacing w:after="0" w:line="262" w:lineRule="auto"/>
        <w:rPr>
          <w:sz w:val="20"/>
          <w:szCs w:val="20"/>
          <w:color w:val="auto"/>
        </w:rPr>
      </w:pPr>
      <w:r>
        <w:rPr>
          <w:rFonts w:ascii="Arial" w:cs="Arial" w:eastAsia="Arial" w:hAnsi="Arial"/>
          <w:sz w:val="18"/>
          <w:szCs w:val="18"/>
          <w:color w:val="auto"/>
        </w:rPr>
        <w:t>We made contributions of approximately $1 million for the three months ended September 30, 2022 and contributed approximately $2 million to our defined benefit plans during the nine months ended September 30, 2022. We contributed approximately $1 million and $2 million to our defined benefit plans during the three and nine months ended September 30, 2021, respectively. We expect to satisfy minimum funding requirements with insignificant contributions to our defined benefit pension plans during the remainder of 2022.</w:t>
      </w:r>
    </w:p>
    <w:p>
      <w:pPr>
        <w:spacing w:after="0" w:line="2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third quarter of 2021, we adopted a postretirement benefit design change, which terminated the employer cost sharing for post age 65 retiree health benefits effective as of January 1, 2022. Our retiree health care benefits provided up to age 65 to current and future retirees who meet certain eligibility requirements were not affected by this change. As a result of this change, our postretirement medical benefit obligation was remeasured as of September 30, 2021. The remeasurement resulted in a decrease to the benefit obligation of $82 million with a corresponding increase to accumulated other comprehensive income. The benefit from the change in plan design will be recognized in our statement of operations over the average remaining years of future service for active employees as a component of other non-operating expenses, net. During the three and nine months ended September 30, 2022, we have recognized a benefit of $2 million and $5 million,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2" w:name="page23"/>
    <w:bookmarkEnd w:id="22"/>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difference between the U.S. federal statutory tax rate of 21% and our effective tax rate of 26% for the three months ended September 30, 2022 primarily relates to California state taxes, partially offset by the benefit of federal tax credits. The difference between the U.S. federal statutory tax rate of 21% and our effective tax rate of 32% for the nine months ended September 30, 2022 primarily relates to California state taxes and an increase in the valuation allowance related to a capital loss realized on the Lost Hills divestiture, the deductibility of which is limited to future capital gains partially offset by the benefit of federal tax credits. We did not record an income tax benefit for the three and nine months ended September 30, 2021, because we maintained a full valuation allowance against our net deferred tax assets given our anticipated future earnings trends at that time.</w:t>
      </w:r>
    </w:p>
    <w:p>
      <w:pPr>
        <w:spacing w:after="0" w:line="210"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Realization of our deferred tax assets is subjective and remains dependent on a number of factors including our ability to generate sufficient taxable income, including capital gains, in future periods.</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STOCKHOLDERS' EQUITY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Our Board of Directors has authorized a Share Repurchase Program to acquire up to $650 million of our common stock through June 30, 2023. As of September 30, 2022, we have repurchased an aggregate 9,935,070 shares of our common stock for $395 million, at an average price of $39.74 per share, since inception of the Share Repurchase Program in May 2021.The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See </w:t>
      </w:r>
      <w:r>
        <w:rPr>
          <w:rFonts w:ascii="Arial" w:cs="Arial" w:eastAsia="Arial" w:hAnsi="Arial"/>
          <w:sz w:val="18"/>
          <w:szCs w:val="18"/>
          <w:i w:val="1"/>
          <w:iCs w:val="1"/>
          <w:color w:val="auto"/>
        </w:rPr>
        <w:t>Note 16 Subsequent Events</w:t>
      </w:r>
      <w:r>
        <w:rPr>
          <w:rFonts w:ascii="Arial" w:cs="Arial" w:eastAsia="Arial" w:hAnsi="Arial"/>
          <w:sz w:val="18"/>
          <w:szCs w:val="18"/>
          <w:color w:val="auto"/>
        </w:rPr>
        <w:t xml:space="preserve"> for information on an increase and extension to our Share Repurchase Program.</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September 30, 2022, we repurchased 1,921,181 shares of our common stock for $80 million at an average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price of $41.78 per share. For the nine months ended September 30, 2022, we repurchased 5,845,082 shares of our common stock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$247 million at an average price of $42.29 per share. For the three months ended September 30, 2021, we repurchased 1,151,596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for $39 million at an average price of $33.42 per share. For the nine months ended September 30, 2021, we repurchased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2,591,799 shares of our common stock for $84 million at an average price of $32.39 per share.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repurchased were held as treasury stock as of September 30, 2022.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February 23, 2022, our Board of Directors declared a quarterly cash dividend of $0.17 per share of common stock. The dividend was payable to shareholders of record at the close of business on March 7, 2022 and $13 million was paid on March 16, 2022. On May 4, 2022, our Board of Directors declared a quarterly cash dividend of $0.17 per share of common stock. The dividend was payable to shareholders of record at the close of business on June 1, 2022 and $ 13 million was paid on June 16, 2022. On August 3, 2022, our Board of Directors declared a quarterly cash dividend of $0.17 per share of common stock. The dividend was payable to shareholders of record at the close of business on September 1, 2022 and $13 million was paid on September 16, 2022.</w:t>
      </w:r>
    </w:p>
    <w:p>
      <w:pPr>
        <w:spacing w:after="0" w:line="209"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 xml:space="preserve">Future cash dividends, and the establishment of record and payment dates, are subject to final determination by our Board of Directors each quarter after reviewing our financial performance and position. See </w:t>
      </w:r>
      <w:r>
        <w:rPr>
          <w:rFonts w:ascii="Arial" w:cs="Arial" w:eastAsia="Arial" w:hAnsi="Arial"/>
          <w:sz w:val="18"/>
          <w:szCs w:val="18"/>
          <w:i w:val="1"/>
          <w:iCs w:val="1"/>
          <w:color w:val="auto"/>
        </w:rPr>
        <w:t>Note 16 Subsequent Events</w:t>
      </w:r>
      <w:r>
        <w:rPr>
          <w:rFonts w:ascii="Arial" w:cs="Arial" w:eastAsia="Arial" w:hAnsi="Arial"/>
          <w:sz w:val="18"/>
          <w:szCs w:val="18"/>
          <w:color w:val="auto"/>
        </w:rPr>
        <w:t xml:space="preserve"> for information on future cash dividends.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reserved an aggregate 4,384,182 shares of our common stock for warrants which are exercisable at $36 per share through October 26, 2024. As of September 30, 2022, we had outstanding warrants exercisable into 4,295,434 shares of our common stock (subject to adjustments pursuant to the terms of the warrants).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ind w:firstLine="324"/>
        <w:spacing w:after="0" w:line="257" w:lineRule="auto"/>
        <w:rPr>
          <w:sz w:val="20"/>
          <w:szCs w:val="20"/>
          <w:color w:val="auto"/>
        </w:rPr>
      </w:pPr>
      <w:r>
        <w:rPr>
          <w:rFonts w:ascii="Arial" w:cs="Arial" w:eastAsia="Arial" w:hAnsi="Arial"/>
          <w:sz w:val="18"/>
          <w:szCs w:val="18"/>
          <w:color w:val="auto"/>
        </w:rPr>
        <w:t xml:space="preserve">The Warrant Agreement contains customary anti-dilution adjustments in the event of any stock split, reverse stock split, stock dividend and certain other distributions. The warrant holder may elect, in its sole discretion, to pay cash or to exercise on a cashless basis, pursuant to which the holder will not be required to pay cash for shares of common stock upon exercise of the warrant but will instead receive fewer shares. See </w:t>
      </w:r>
      <w:r>
        <w:rPr>
          <w:rFonts w:ascii="Arial" w:cs="Arial" w:eastAsia="Arial" w:hAnsi="Arial"/>
          <w:sz w:val="18"/>
          <w:szCs w:val="18"/>
          <w:i w:val="1"/>
          <w:iCs w:val="1"/>
          <w:color w:val="auto"/>
        </w:rPr>
        <w:t>Part II, Item 8 – Financial Statements and Supplementary Data, Note 10 Equity</w:t>
      </w:r>
      <w:r>
        <w:rPr>
          <w:rFonts w:ascii="Arial" w:cs="Arial" w:eastAsia="Arial" w:hAnsi="Arial"/>
          <w:sz w:val="18"/>
          <w:szCs w:val="18"/>
          <w:color w:val="auto"/>
        </w:rPr>
        <w:t xml:space="preserve"> in our 2021 Annual Report for a description of our warrants and </w:t>
      </w:r>
      <w:r>
        <w:rPr>
          <w:rFonts w:ascii="Arial" w:cs="Arial" w:eastAsia="Arial" w:hAnsi="Arial"/>
          <w:sz w:val="18"/>
          <w:szCs w:val="18"/>
          <w:i w:val="1"/>
          <w:iCs w:val="1"/>
          <w:color w:val="auto"/>
        </w:rPr>
        <w:t>Note 14 Chapter 11 Proceedings</w:t>
      </w:r>
      <w:r>
        <w:rPr>
          <w:rFonts w:ascii="Arial" w:cs="Arial" w:eastAsia="Arial" w:hAnsi="Arial"/>
          <w:sz w:val="18"/>
          <w:szCs w:val="18"/>
          <w:color w:val="auto"/>
        </w:rPr>
        <w:t xml:space="preserve"> for more information on the issuance of these warrants pursuant to our joint plan of reorganization.</w:t>
      </w:r>
    </w:p>
    <w:p>
      <w:pPr>
        <w:spacing w:after="0" w:line="20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did not issue any shares of our common stock in exchange for warrants during the three months ended September 30, 2022. During the nine months ended September 30, 2022, we issued an insignificant number of shares of our common stock in exchange for warrants. During the three and nine months ended September 30, 2021, we issued 47,416 shares of common stock and received approximately $2 million related to warrants exercised.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May 2022, our shareholders approved a new California Resources Corporation Employee Stock Purchase Plan (ESPP), which took effect in July 2022. The ESPP provides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16,480 shares were issued under our ESPP.</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BSP JV</w:t>
      </w:r>
    </w:p>
    <w:p>
      <w:pPr>
        <w:spacing w:after="0" w:line="25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development joint venture with Benefit Street Partners (BSP JV) contemplated that BSP contributed funds for the development of our oil and natural gas properties in exchange for preferred interests in the BSP JV. In September 2021, BSP's preferred interest was automatically redeemed in full under the terms of the joint venture agreement. Prior to redemption, BSP's preferred interest was reported in equity on our condensed consolidated balance sheets and BSP's share of net income (loss) was reported in net income attributable to noncontrolling interest on our condensed consolidated statements of operations.</w:t>
      </w:r>
    </w:p>
    <w:p>
      <w:pPr>
        <w:spacing w:after="0" w:line="2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REVENUE RECOGNITION</w:t>
      </w:r>
    </w:p>
    <w:p>
      <w:pPr>
        <w:spacing w:after="0" w:line="239" w:lineRule="exact"/>
        <w:rPr>
          <w:sz w:val="20"/>
          <w:szCs w:val="20"/>
          <w:color w:val="auto"/>
        </w:rPr>
      </w:pPr>
    </w:p>
    <w:p>
      <w:pPr>
        <w:ind w:right="360" w:firstLine="324"/>
        <w:spacing w:after="0" w:line="271" w:lineRule="auto"/>
        <w:rPr>
          <w:sz w:val="20"/>
          <w:szCs w:val="20"/>
          <w:color w:val="auto"/>
        </w:rPr>
      </w:pPr>
      <w:r>
        <w:rPr>
          <w:rFonts w:ascii="Arial" w:cs="Arial" w:eastAsia="Arial" w:hAnsi="Arial"/>
          <w:sz w:val="18"/>
          <w:szCs w:val="18"/>
          <w:color w:val="auto"/>
        </w:rPr>
        <w:t>We derive most of our revenue from sales of oil, natural gas and NGLs, with the remaining revenue primarily generated from sales of electricity and marketing activities related to storage and managing excess pipeline capacity.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sales of produced oil, natural gas and NGLs to customers: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60" w:type="dxa"/>
            <w:vAlign w:val="bottom"/>
          </w:tcPr>
          <w:p>
            <w:pPr>
              <w:spacing w:after="0"/>
              <w:rPr>
                <w:sz w:val="20"/>
                <w:szCs w:val="20"/>
                <w:color w:val="auto"/>
              </w:rPr>
            </w:pPr>
          </w:p>
        </w:tc>
        <w:tc>
          <w:tcPr>
            <w:tcW w:w="3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360" w:type="dxa"/>
            <w:vAlign w:val="bottom"/>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192"/>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w:t>
            </w:r>
          </w:p>
        </w:tc>
        <w:tc>
          <w:tcPr>
            <w:tcW w:w="1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3360" w:type="dxa"/>
            <w:vAlign w:val="bottom"/>
          </w:tcPr>
          <w:p>
            <w:pPr>
              <w:ind w:left="140"/>
              <w:spacing w:after="0"/>
              <w:rPr>
                <w:sz w:val="20"/>
                <w:szCs w:val="20"/>
                <w:color w:val="auto"/>
              </w:rPr>
            </w:pPr>
            <w:r>
              <w:rPr>
                <w:rFonts w:ascii="Arial" w:cs="Arial" w:eastAsia="Arial" w:hAnsi="Arial"/>
                <w:sz w:val="18"/>
                <w:szCs w:val="18"/>
                <w:color w:val="auto"/>
              </w:rPr>
              <w:t>Oil, natural gas and NGL sales</w:t>
            </w: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r>
      <w:tr>
        <w:trPr>
          <w:trHeight w:val="20"/>
        </w:trPr>
        <w:tc>
          <w:tcPr>
            <w:tcW w:w="3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 w:name="page25"/>
    <w:bookmarkEnd w:id="24"/>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November 2, 2022, our Board of Directors increased the cash dividend policy to anticipate a total annual dividend of $1.13, payable to shareholders in quarterly increments of $0.2825 per share of common stock. The actual declaration of future cash dividends, and the establishment of record and payment dates, is subject to final determination by our Board of Directors each quarter after reviewing our financial performance and position. Also on November 2, 2022, our Board of Directors declared a quarterly cash dividend of $ 0.2825 per share of common stock. The dividend is payable to shareholders of record at the close of business on December 1, 2022 and is expected to be paid on December 16,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November 2, 2022, our Board of Directors increased the Share Repurchase Program by $200 million to $850 million and extended the program through December 31, 2023. In October 2022, we repurchased 682,792 shares of our common stock for $29 million, at an average price of $42.19 per share. As of October 31, 2022, we have repurchased an aggregate 10,617,862 shares of our common stock for $424 million, at an average price of $39.89 per share, since the inception of the Share Repurchase Program in May 2021. After giving effect to the increase, there was approximately $426 million of capacity under our Share Repurchase Program as of October 31, 2022.</w:t>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provide ample, affordable and reliable energy in a safe and responsible manner, to support and enhance the quality of life of Californians and the local communities in which we operate. We do this through the development of our broad portfolio of assets while adhering to our commitment to make value-based capital investments. Further, we are committed to energy transition and have some of the lowest carbon intensity production in the United States.</w:t>
      </w:r>
    </w:p>
    <w:p>
      <w:pPr>
        <w:spacing w:after="0" w:line="206"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Through our subsidiary, Carbon TerraVault, we are in the early stages of developing several carbon capture and storage projects in California. We intend to pursue some or all of these projects through our Carbon TerraVault JV described below. Currently, we have applied for permits for two initial permanent CCS projects at the Elk Hills Field. In May 2022, we applied for permits for an additional 80 MMT of carbon storage, which once approved, will increase our total potential permitted storage to 120 MMT. We are targeting filing additional carbon storage permits before the end of 2022, which, once approved, would increase our total permitted storage to 140 MMT to be utilized in carbon capture and storage projects. Separately, we are evaluating the feasibility of a carbon capture system to be located at our Elk Hills power plant for CCS. A new front-end engineering design (FEED) study to explore the application of proprietary post-combustion capture and compression of up to 95% of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from the Elk Hills power plant is ongoing. We are also pursuing multiple solar projects for supplying the grid (front-of-the-meter solar) and powering our operations (behind-the-meter solar).</w:t>
      </w:r>
    </w:p>
    <w:p>
      <w:pPr>
        <w:spacing w:after="0" w:line="21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 xml:space="preserve">While all of these projects are in early stages, we expect that the size and scope of our projects providing these and similar services and capital spent on such projects will continue to grow given our strategy of expansion into these services. For more information about the risks involved in our carbon capture projects, see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xml:space="preserve"> in our Annual Report on Form 10-K for the year ended December 31, 2021 (2021 Annual Report)</w:t>
      </w:r>
      <w:r>
        <w:rPr>
          <w:rFonts w:ascii="Arial" w:cs="Arial" w:eastAsia="Arial" w:hAnsi="Arial"/>
          <w:sz w:val="18"/>
          <w:szCs w:val="18"/>
          <w:i w:val="1"/>
          <w:iCs w:val="1"/>
          <w:color w:val="auto"/>
        </w:rPr>
        <w:t>.</w:t>
      </w:r>
    </w:p>
    <w:p>
      <w:pPr>
        <w:spacing w:after="0" w:line="203"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TerraVault Joint Venture</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August 2022, we entered into the Carbon TerraVault JV with Brookfield for the development of a carbon management business in California. We hold a 51% interest in the Carbon TerraVault JV and Brookfield holds a 49% interest.</w:t>
      </w:r>
    </w:p>
    <w:p>
      <w:pPr>
        <w:spacing w:after="0" w:line="11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As part of the formation of the Carbon TerraVault JV, we contributed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(26R reservoir) and Brookfield committed to make an initial investment of $137 million, payable in three equal installments with the last two installments subject to the achievement of certain milestones. Brookfield contributed the first $46 million installment of their initial investment to the Carbon TerraVault JV during the three months ended September 30, 2022. This amount may, at our sole discretion, be distributed to us or used to satisfy future capital contributions, among other items. The parties have certain put and call rights with respect to the 26R reservoir if certain milestones are not met.</w:t>
      </w:r>
    </w:p>
    <w:p>
      <w:pPr>
        <w:spacing w:after="0" w:line="154" w:lineRule="exact"/>
        <w:rPr>
          <w:sz w:val="20"/>
          <w:szCs w:val="20"/>
          <w:color w:val="auto"/>
        </w:rPr>
      </w:pPr>
    </w:p>
    <w:p>
      <w:pPr>
        <w:ind w:right="300" w:firstLine="324"/>
        <w:spacing w:after="0" w:line="282" w:lineRule="auto"/>
        <w:rPr>
          <w:sz w:val="20"/>
          <w:szCs w:val="20"/>
          <w:color w:val="auto"/>
        </w:rPr>
      </w:pPr>
      <w:r>
        <w:rPr>
          <w:rFonts w:ascii="Arial" w:cs="Arial" w:eastAsia="Arial" w:hAnsi="Arial"/>
          <w:sz w:val="17"/>
          <w:szCs w:val="17"/>
          <w:color w:val="auto"/>
        </w:rPr>
        <w:t>The Carbon TerraVault JV has an option to participate in certain projects that involve the capture, transportation and storage of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in California. This option expires upon the earlier of (1) August 2027, (2) when a final investment decision has been approved by the Carbon TerraVault JV for storage projects representing in excess of 5 million metric tons per annum (MMTPA) in the aggregate, or (3) when Brookfield has made contributions to the joint venture in excess of $500 million (unless Brookfield elects to increase its commitment).</w:t>
      </w:r>
    </w:p>
    <w:p>
      <w:pPr>
        <w:spacing w:after="0" w:line="187"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8 Investments and Related Party Transactions</w:t>
      </w:r>
      <w:r>
        <w:rPr>
          <w:rFonts w:ascii="Arial" w:cs="Arial" w:eastAsia="Arial" w:hAnsi="Arial"/>
          <w:sz w:val="18"/>
          <w:szCs w:val="18"/>
          <w:color w:val="auto"/>
        </w:rPr>
        <w:t xml:space="preserve"> for more information on our Carbon TerraVault JV.</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Dividends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2021, our Board of Directors approved a cash dividend policy which anticipates a total annual dividend of $0.68 per share of common stock, payable in quarterly increments of $ 0.17 per share of common stock. On November 2, 2022, our Board of Directors increased the cash dividend policy to anticipate a total annual dividend of $1.13, payable to shareholders in quarterly increments of $0.2825 per share of common stock. The actual declaration of future cash dividends, and the establishment of record and payment dates, is subject to final determination by our Board of Directors each quarter after reviewing our financial performance and position. Also on November 2, 2022, our Board of Directors declared a quarterly cash dividend of $ 0.2825 per share of common stock. The dividend is payable to shareholders of record at the close of business on December 1, 2022 and is expected to be paid on December 16, 2022. The aggregate payment for this quarterly dividend is approximately $20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Board of Directors has authorized a Share Repurchase Program to acquire up to $650 million of our common stock through June 30, 2023. On November 2, 2022, our Board of Directors increased the Share Repurchase Program by $200 million to $850 million from $650 million and extended the program through December 31, 2023. As of October 31, 2022, we have repurchased an aggregate 10,617,862 shares of our common stock for $424 million, at an average price of $39.89 per share, since the inception of the Share Repurchase Program in May 2021. The repurchases may be effected from time-to-time through open market purchases, privately negotiated transactions, Rule 10b5-1 plans, accelerated stock repurchases, derivative contracts or otherwise in compliance with Rule 10b-18, subject to market conditions and contractual limitations in our debt agreements. The Share Repurchase Program does not obligate us to repurchase any dollar amount or number of shares and our Board of Directors may modify, suspend, or discontinue authorization of the program at any time.</w:t>
      </w:r>
    </w:p>
    <w:p>
      <w:pPr>
        <w:spacing w:after="0" w:line="212"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color w:val="auto"/>
        </w:rPr>
        <w:t xml:space="preserve">Shares repurchased are held as treasury stock. See </w:t>
      </w:r>
      <w:r>
        <w:rPr>
          <w:rFonts w:ascii="Arial" w:cs="Arial" w:eastAsia="Arial" w:hAnsi="Arial"/>
          <w:sz w:val="18"/>
          <w:szCs w:val="18"/>
          <w:i w:val="1"/>
          <w:iCs w:val="1"/>
          <w:color w:val="auto"/>
        </w:rPr>
        <w:t>Part I, Item 1 – Financial Statements, Note 14 Stockholders' Equity</w:t>
      </w:r>
      <w:r>
        <w:rPr>
          <w:rFonts w:ascii="Arial" w:cs="Arial" w:eastAsia="Arial" w:hAnsi="Arial"/>
          <w:sz w:val="18"/>
          <w:szCs w:val="18"/>
          <w:color w:val="auto"/>
        </w:rPr>
        <w:t xml:space="preserve"> for more information on our share repurchase activity during the three and nine months ended September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Acquisitions</w:t>
      </w:r>
    </w:p>
    <w:p>
      <w:pPr>
        <w:spacing w:after="0" w:line="252"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7 Divestitures and Acquisitions</w:t>
      </w:r>
      <w:r>
        <w:rPr>
          <w:rFonts w:ascii="Arial" w:cs="Arial" w:eastAsia="Arial" w:hAnsi="Arial"/>
          <w:sz w:val="18"/>
          <w:szCs w:val="18"/>
          <w:color w:val="auto"/>
        </w:rPr>
        <w:t xml:space="preserve"> for information on our transactions during the three and nine months ended September 30, 2022 and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5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natural gas prices and differentials may fluctuate significantly as a result of numerous market-related variables. These and other factors make it impossible to predict realized prices reliably. We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ind w:right="60" w:firstLine="324"/>
        <w:spacing w:after="0" w:line="238" w:lineRule="auto"/>
        <w:rPr>
          <w:sz w:val="20"/>
          <w:szCs w:val="20"/>
          <w:color w:val="auto"/>
        </w:rPr>
      </w:pPr>
      <w:r>
        <w:rPr>
          <w:rFonts w:ascii="Arial" w:cs="Arial" w:eastAsia="Arial" w:hAnsi="Arial"/>
          <w:sz w:val="18"/>
          <w:szCs w:val="18"/>
          <w:color w:val="auto"/>
        </w:rPr>
        <w:t>Global oil prices increased in the first nine months of 2022 compared to the same period in 2021 due to Russia's invasion of Ukraine and following boycotts of Russian oil and sanctions imposed on Russia by the United States and other countries, increasing demand from the remaining world producers of oil. Global oil prices were also positively impacted as demand outpaced supply as COVID-19 restrictions eased. Currently, global oil inventories are low relative to historical levels and supply from OPEC+ and other oil producing nations are not expected to be sufficient to meet forecasted oil demand growth for the next few years. It is believed that many OPEC+ countries will be unable to increase their production levels or even produce at expected levels due to their lack of capital investments in developing</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incremental oil supplies over the past few years. In October 2022, OPEC+ determined to reduce production beginning in November 2022 through December 2023 by 2 million barrels per day, due to the uncertainty surrounding the global economic and oil market outlooks. In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United States, natural gas prices were influenced by increased domestic demand, global demand for natural gas in the form of liquified natural gas exports as a result of the Russia-Ukraine conflict and concerns over low inventories. Brent crude oil prices have declined from the high experienced in the second quarter of 2022 and could decline further due to, among other things, a prolonged high inflationary environment, additional releases from the U.S. Strategic Petroleum Reserve or a recession. Although the forward strip prices for the next twelve months remain high relative to commodity prices in recent years, the current commodity price environment remains uncertain. The extent to which commodity prices and our operating and financial results of future periods will be impacted by the ongoing conflict in Ukraine, increasing inflation, government efforts to reduce inflation, any recession, the COVID-19 pandemic and the actions of foreign oil and gas producers will depend largely on future developments, which are highly uncertain and cannot be accurately predicted.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benchmark prices for oil and natural gas during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Nine months ended</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Pr>
          <w:p>
            <w:pPr>
              <w:spacing w:after="0"/>
              <w:rPr>
                <w:sz w:val="14"/>
                <w:szCs w:val="14"/>
                <w:color w:val="auto"/>
              </w:rPr>
            </w:pPr>
          </w:p>
        </w:tc>
        <w:tc>
          <w:tcPr>
            <w:tcW w:w="158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460" w:type="dxa"/>
            <w:vAlign w:val="bottom"/>
            <w:gridSpan w:val="2"/>
          </w:tcPr>
          <w:p>
            <w:pPr>
              <w:jc w:val="right"/>
              <w:ind w:right="30"/>
              <w:spacing w:after="0" w:line="169"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67.78</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91.56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98.09</w:t>
            </w:r>
          </w:p>
        </w:tc>
        <w:tc>
          <w:tcPr>
            <w:tcW w:w="100" w:type="dxa"/>
            <w:vAlign w:val="bottom"/>
          </w:tcPr>
          <w:p>
            <w:pPr>
              <w:spacing w:after="0"/>
              <w:rPr>
                <w:sz w:val="19"/>
                <w:szCs w:val="19"/>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64.82</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Henry Hub ($/MMBtu) Contract Month Average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6"/>
        </w:trPr>
        <w:tc>
          <w:tcPr>
            <w:tcW w:w="4680" w:type="dxa"/>
            <w:vAlign w:val="bottom"/>
          </w:tcPr>
          <w:p>
            <w:pPr>
              <w:ind w:left="20"/>
              <w:spacing w:after="0" w:line="176" w:lineRule="exact"/>
              <w:rPr>
                <w:sz w:val="20"/>
                <w:szCs w:val="20"/>
                <w:color w:val="auto"/>
              </w:rPr>
            </w:pPr>
            <w:r>
              <w:rPr>
                <w:rFonts w:ascii="Arial" w:cs="Arial" w:eastAsia="Arial" w:hAnsi="Arial"/>
                <w:sz w:val="18"/>
                <w:szCs w:val="18"/>
                <w:color w:val="auto"/>
              </w:rPr>
              <w:t>NYMEX Henry Hub ($/MMBtu) Average Monthly Settled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5"/>
                <w:szCs w:val="15"/>
                <w:color w:val="auto"/>
              </w:rPr>
            </w:pPr>
          </w:p>
        </w:tc>
        <w:tc>
          <w:tcPr>
            <w:tcW w:w="940" w:type="dxa"/>
            <w:vAlign w:val="bottom"/>
            <w:vMerge w:val="restart"/>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7"/>
        </w:trPr>
        <w:tc>
          <w:tcPr>
            <w:tcW w:w="4680" w:type="dxa"/>
            <w:vAlign w:val="bottom"/>
          </w:tcPr>
          <w:p>
            <w:pPr>
              <w:ind w:left="20"/>
              <w:spacing w:after="0"/>
              <w:rPr>
                <w:sz w:val="20"/>
                <w:szCs w:val="20"/>
                <w:color w:val="auto"/>
              </w:rPr>
            </w:pPr>
            <w:r>
              <w:rPr>
                <w:rFonts w:ascii="Arial" w:cs="Arial" w:eastAsia="Arial" w:hAnsi="Arial"/>
                <w:sz w:val="18"/>
                <w:szCs w:val="18"/>
                <w:color w:val="auto"/>
              </w:rPr>
              <w:t>Price</w:t>
            </w:r>
          </w:p>
        </w:tc>
        <w:tc>
          <w:tcPr>
            <w:tcW w:w="16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and Cost Inflation</w:t>
      </w:r>
    </w:p>
    <w:p>
      <w:pPr>
        <w:spacing w:after="0" w:line="2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Operating and capital costs in the oil and natural gas industry are heavily influenced by commodity prices which are typically cyclical in nature. Typically, suppliers will negotiate increases for drilling and completion, oilfield services, equipment and materials as prices for energy-related commodities and raw materials (such as steel, metals and chemicals) increase. Recent worldwide and U.S. supply chain issues, together with rising commodity prices and tight labor markets in the U.S., have created cost inflation during 2022. Cost inflation may continue into 2023 if rising energy prices result in factory constraints, placing certain items such as directional drilling components and materials that have a high energy input intensity in short supply. We have taken measures to limit the effects of the inflationary market by entering into contracts for materials and services with terms of one to three years. We have also taken steps to build our on -hand supply stock for items frequently used in our operations to address possible supply chain disruptions. Despite these efforts, we have experienced significant increased costs thus far in 2022 and we anticipate additional increases in the cost of goods and services and wages in our operations during the remainder of 2022. These increases will factor into our operating and capital costs and could also negatively impact our results of operations and cash flows in 2023 and beyond.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Regulatory Updates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Kern County Environmental Impact Report</w:t>
      </w:r>
    </w:p>
    <w:p>
      <w:pPr>
        <w:spacing w:after="0" w:line="25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CalGEM is California's primary regulator of the oil and natural gas industry on private and state lands, with additional oversight from the State Lands Commission’s administration of state surface and mineral interests. CalGEM currently requires an operator to identify the manner in which the California Environmental Quality Act (CEQA) has been satisfied prior to issuing various state permits, typically through either an environmental review or an exemption by a state or local agency. In Kern County, this requirement has typically been satisfied by complying with the local oil and gas ordinance which was supported by an Environmental Impact Report (EIR) certified by the Kern County Board of Supervisors in 2015.</w:t>
      </w:r>
    </w:p>
    <w:p>
      <w:pPr>
        <w:spacing w:after="0" w:line="2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 group of petitioners challenged the EIR and on February 25, 2020, a California Appellate Court (the Court) issued a ruling that required Kern County to decertify the EIR and set aside the amended Zoning Ordinance. In response, Kern County prepared, circulated and certified a supplementary recirculated EIR (Supplemental EIR) to address the ruling from the Court and, in April 2021, resumed issuing local permits relying on the Supplemental EIR. However, on October 22, 2021, Kern County was ordered to cease reviewing and approving oil and gas permits until the trial court determined that the Zoning Ordinance complies with CEQA requirements. On May 26, 2022, a hearing was held in Kern County and the Court ruled that Kern County’s local permitting system must cease until the trial court verified that the noted deficiencies had been remedied and that the remedies satisfied the concerns raised by the Court. In October 2022, the trial court ruled that the Supplemental EIR was not decertified but ordered Kern County to address four discrete issues before suspension of the local permitting could be lifted, which, once resolved, would bring the Supplemental EIR into compliance with applicable laws. The four discrete issues included requirements for the removal of offsite legacy equipment to mitigate agricultural land use impacts, revising emission reduction requirements to address particulate matter, the establishment of a drinking water grant fund for disadvantaged communities in Kern County, and updating the local oil and gas ordinance to reflect these requirements. The Kern County Board of Supervisors approved these changes in August 2022. On October 12, 2022, Kern County submitted notice with the trial court of these changes and on November 2, 2022 the trial court lifted the order preventing reliance on the local permitting system. This ruling is subject to further appeal by the petitioners and there is still some potential for future disruptions to obtaining permits in Kern County until any such appeals are resolved.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Capture, Sequestration and Storage – California Program Management</w:t>
      </w:r>
    </w:p>
    <w:p>
      <w:pPr>
        <w:spacing w:after="0" w:line="237" w:lineRule="exact"/>
        <w:rPr>
          <w:sz w:val="20"/>
          <w:szCs w:val="20"/>
          <w:color w:val="auto"/>
        </w:rPr>
      </w:pPr>
    </w:p>
    <w:p>
      <w:pPr>
        <w:ind w:right="20" w:firstLine="324"/>
        <w:spacing w:after="0" w:line="236" w:lineRule="auto"/>
        <w:rPr>
          <w:sz w:val="20"/>
          <w:szCs w:val="20"/>
          <w:color w:val="auto"/>
        </w:rPr>
      </w:pPr>
      <w:r>
        <w:rPr>
          <w:rFonts w:ascii="Arial" w:cs="Arial" w:eastAsia="Arial" w:hAnsi="Arial"/>
          <w:sz w:val="18"/>
          <w:szCs w:val="18"/>
          <w:color w:val="auto"/>
        </w:rPr>
        <w:t>On September 16, 2022, the Governor of California signed Senate Bill No. 905 into law, which contemplates the development of unitization, permitting and pipeline safety regulations over a multi-year period to facilitate the development of CCS projects in California. We believe our Carbon TerraVault projects, for which permits with the EPA have been filed,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that will need to comply with yet to be developed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pipeline safety regulations from the federal Pipeline and Hazardous Materials Safety Administration. Delays in developing required pipeline safety regulations would delay projects requiring pipeline transportation of CO</w:t>
      </w:r>
      <w:r>
        <w:rPr>
          <w:rFonts w:ascii="Arial" w:cs="Arial" w:eastAsia="Arial" w:hAnsi="Arial"/>
          <w:sz w:val="23"/>
          <w:szCs w:val="23"/>
          <w:color w:val="auto"/>
          <w:vertAlign w:val="subscript"/>
        </w:rPr>
        <w:t>2</w:t>
      </w:r>
      <w:r>
        <w:rPr>
          <w:rFonts w:ascii="Arial" w:cs="Arial" w:eastAsia="Arial" w:hAnsi="Arial"/>
          <w:sz w:val="18"/>
          <w:szCs w:val="18"/>
          <w:color w:val="auto"/>
        </w:rPr>
        <w:t>.</w:t>
      </w:r>
    </w:p>
    <w:p>
      <w:pPr>
        <w:spacing w:after="0" w:line="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unified permitting process contemplated by Senate Bill No. 905 will be optional for project applicants and is intended to simplify the permitting process for CCS projects. In the meantime, pursuant to this legislation we are permitted to proceed with our existing and future permit applications with the EPA. This law also contemplates the implementation of a new regulatory program incorporating standards that are not yet defined and that could affect the timing of future CCS projects in California.</w:t>
      </w:r>
    </w:p>
    <w:p>
      <w:pPr>
        <w:spacing w:after="0" w:line="14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Senate Bill No. 905 also prohibits projects that utilize and permanently sequester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connection with EOR projects. These projects had the potential to create incremental net zero carbon oil production that displaces higher carbon intensity foreign imports. In light of this prohibition and the enhancement of energy credits under the Inflation Reduction Act of 2022 (the Act), we will transition our CalCapture project to target CCS.</w:t>
      </w:r>
    </w:p>
    <w:p>
      <w:pPr>
        <w:spacing w:after="0" w:line="133" w:lineRule="exact"/>
        <w:rPr>
          <w:sz w:val="20"/>
          <w:szCs w:val="20"/>
          <w:color w:val="auto"/>
        </w:rPr>
      </w:pPr>
    </w:p>
    <w:p>
      <w:pPr>
        <w:ind w:right="100" w:firstLine="324"/>
        <w:spacing w:after="0" w:line="274" w:lineRule="auto"/>
        <w:rPr>
          <w:sz w:val="20"/>
          <w:szCs w:val="20"/>
          <w:color w:val="auto"/>
        </w:rPr>
      </w:pPr>
      <w:r>
        <w:rPr>
          <w:rFonts w:ascii="Arial" w:cs="Arial" w:eastAsia="Arial" w:hAnsi="Arial"/>
          <w:sz w:val="18"/>
          <w:szCs w:val="18"/>
          <w:color w:val="auto"/>
        </w:rPr>
        <w:t>We do not have any existing oil and gas production, and only have contingent resources, associated with EOR projects that rely on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floods. As a result, we do not expect the limitations on EOR activities included in Senate Bill No. 905 to impact our existing oil and gas production or proved reserves.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Oil and Gas Operations – Health Protection Zones</w:t>
      </w:r>
    </w:p>
    <w:p>
      <w:pPr>
        <w:spacing w:after="0" w:line="23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September 16, 2022, the Governor of California signed Senate Bill No. 1137 into law, which establishes 3,200 feet as the minimum distance between new oil and gas production wells and certain sensitive receptors such as homes, schools or parks effective January 1, 2023. This law also imposes health, safety and environmental controls applicable to both current and new wells located within this distance of sensitive receptors related to noise, light, and dust pollution controls and air emission monitoring, as well as providing for the immediate suspension of operations at production facilities determined to not be in compliance with certain air emission requirements, among other matters. The latter provisions are effective January 1, 2025.</w:t>
      </w:r>
    </w:p>
    <w:p>
      <w:pPr>
        <w:spacing w:after="0" w:line="209"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majority of our production is in rural areas in the San Joaquin basin and is unlikely to be affected by Senate Bill No. 1137. We are evaluating the impact on our remaining assets, including our Wilmington and Huntington Beach fields in the LA Basin and our natural gas fields in the Sacramento Basin. Certain proved undeveloped and proved developed non-producing reserves associated with projects would be impacted by this legislation; however, we may accelerate other substitute projects within the five-year period associated with our proved reserves. We do not expect this law to result in any change in our existing proved developed producing reserves or current production rates or any material change to the timing of plugging and abandonment liabilities. As a result of this law, our development plans will change but we do not currently expect an impairment of our assets or that our overall pace of development to be affected materially.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Reduction Act</w:t>
      </w:r>
    </w:p>
    <w:p>
      <w:pPr>
        <w:spacing w:after="0" w:line="250"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color w:val="auto"/>
        </w:rPr>
        <w:t>President Biden signed the Inflation Reduction Act into law on August 16, 2022. Beginning in 2024, the Act’s methane emissions charge imposes a fee on excess methane emissions from certain oil and gas facilities, including some of our facilities, starting at $900 per metric ton of leaked methane in 2024 and rising to $1,200 in 2025, and $1,500 in 2026 and thereafter.</w:t>
      </w:r>
    </w:p>
    <w:p>
      <w:pPr>
        <w:spacing w:after="0" w:line="1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Act also enhanced existing credits for emissions reduction and sequestration (45Q credit) by increasing the size of the credit by $35 per metric ton for permanent storage to $85 per metric ton from $50 per metric ton and extended the date for when qualifying facilities must begin construction by seven years, among other modifications. Further, a direct pay option for the 45Q credit (for a limited five-year period) was added and the Act provides an option to monetize the 45Q credit through a sale to another taxpayer. These additional energy-related tax incentives are effective for new projects beginning on January 1, 2023 and enhance the development of CCS projects in California.</w:t>
      </w:r>
    </w:p>
    <w:p>
      <w:pPr>
        <w:spacing w:after="0" w:line="20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Additionally, the Act includes a new corporate alternative minimum tax and an excise tax on certain repurchases of corporate stock. The new corporate alternative minimum tax provisions do not currently apply to us based on our size. The 1% stock buyback excise tax applies to certain publicly traded corporations that repurchase stock from their shareholders after December 31, 2022. The amount subject to the excise tax is the fair market value of stock repurchased by such corporation net of the fair market value of any stock issued by such corporation during such taxable year. Although the application of this excise tax is not entirely clear, any redemptions made after December 31, 2022 in connection with our Share Repurchase Program will be subject to this excise tax.</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Production</w:t>
      </w:r>
    </w:p>
    <w:p>
      <w:pPr>
        <w:spacing w:after="0" w:line="2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following table sets forth our average net production of oil, NGLs and natural gas per day in each of the California oil and natural gas basins in which we operated for the periods presented. See </w:t>
      </w:r>
      <w:r>
        <w:rPr>
          <w:rFonts w:ascii="Arial" w:cs="Arial" w:eastAsia="Arial" w:hAnsi="Arial"/>
          <w:sz w:val="18"/>
          <w:szCs w:val="18"/>
          <w:i w:val="1"/>
          <w:iCs w:val="1"/>
          <w:color w:val="auto"/>
        </w:rPr>
        <w:t>Part II, Item 8 – Financial Statements and Supplementary Data, Note 3</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and Acquisitions </w:t>
      </w:r>
      <w:r>
        <w:rPr>
          <w:rFonts w:ascii="Arial" w:cs="Arial" w:eastAsia="Arial" w:hAnsi="Arial"/>
          <w:sz w:val="18"/>
          <w:szCs w:val="18"/>
          <w:color w:val="auto"/>
        </w:rPr>
        <w:t>in our 2021 Annual Report for information regarding the divestiture of our Ventura basin operations and</w:t>
      </w:r>
      <w:r>
        <w:rPr>
          <w:rFonts w:ascii="Arial" w:cs="Arial" w:eastAsia="Arial" w:hAnsi="Arial"/>
          <w:sz w:val="18"/>
          <w:szCs w:val="18"/>
          <w:i w:val="1"/>
          <w:iCs w:val="1"/>
          <w:color w:val="auto"/>
        </w:rPr>
        <w:t xml:space="preserve"> Part I, Item 1 – Financial Statements, Note 7 Divestitures and Acquisitions </w:t>
      </w:r>
      <w:r>
        <w:rPr>
          <w:rFonts w:ascii="Arial" w:cs="Arial" w:eastAsia="Arial" w:hAnsi="Arial"/>
          <w:sz w:val="18"/>
          <w:szCs w:val="18"/>
          <w:color w:val="auto"/>
        </w:rPr>
        <w:t>above for information regarding the divestiture of our 50% non-operated</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interest in certain horizons within our Lost Hills field, located in the San Joaquin basin.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40" w:type="dxa"/>
            <w:vAlign w:val="bottom"/>
          </w:tcPr>
          <w:p>
            <w:pPr>
              <w:spacing w:after="0"/>
              <w:rPr>
                <w:sz w:val="20"/>
                <w:szCs w:val="20"/>
                <w:color w:val="auto"/>
              </w:rPr>
            </w:pPr>
          </w:p>
        </w:tc>
        <w:tc>
          <w:tcPr>
            <w:tcW w:w="31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31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77"/>
        </w:trPr>
        <w:tc>
          <w:tcPr>
            <w:tcW w:w="4840" w:type="dxa"/>
            <w:vAlign w:val="bottom"/>
          </w:tcPr>
          <w:p>
            <w:pPr>
              <w:spacing w:after="0"/>
              <w:rPr>
                <w:sz w:val="15"/>
                <w:szCs w:val="15"/>
                <w:color w:val="auto"/>
              </w:rPr>
            </w:pPr>
          </w:p>
        </w:tc>
        <w:tc>
          <w:tcPr>
            <w:tcW w:w="1620" w:type="dxa"/>
            <w:vAlign w:val="bottom"/>
            <w:gridSpan w:val="2"/>
          </w:tcPr>
          <w:p>
            <w:pPr>
              <w:ind w:left="140"/>
              <w:spacing w:after="0" w:line="177" w:lineRule="exact"/>
              <w:rPr>
                <w:sz w:val="20"/>
                <w:szCs w:val="20"/>
                <w:color w:val="auto"/>
              </w:rPr>
            </w:pPr>
            <w:r>
              <w:rPr>
                <w:rFonts w:ascii="Arial" w:cs="Arial" w:eastAsia="Arial" w:hAnsi="Arial"/>
                <w:sz w:val="18"/>
                <w:szCs w:val="18"/>
                <w:b w:val="1"/>
                <w:bCs w:val="1"/>
                <w:color w:val="auto"/>
              </w:rPr>
              <w:t>September 30,</w:t>
            </w:r>
          </w:p>
        </w:tc>
        <w:tc>
          <w:tcPr>
            <w:tcW w:w="16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June 30, 2022</w:t>
            </w:r>
          </w:p>
        </w:tc>
        <w:tc>
          <w:tcPr>
            <w:tcW w:w="1620" w:type="dxa"/>
            <w:vAlign w:val="bottom"/>
            <w:gridSpan w:val="2"/>
          </w:tcPr>
          <w:p>
            <w:pPr>
              <w:ind w:left="140"/>
              <w:spacing w:after="0" w:line="177" w:lineRule="exact"/>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5"/>
        </w:trPr>
        <w:tc>
          <w:tcPr>
            <w:tcW w:w="4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84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40" w:type="dxa"/>
            <w:vAlign w:val="bottom"/>
          </w:tcPr>
          <w:p>
            <w:pPr>
              <w:ind w:left="5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San Joaquin Basin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Natural gas (MMcf/d)</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484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Sacramento Basin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 (MBoe/d)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Total daily net production for the three months ended September 30, 2022, compared to the three months ended June 30, 2022 increased by approximately 1 MBoe/d, or 1%. This increase is predominately a result of our production-sharing contracts (PSCs), which positively impacted our net oil production in the three months ended September 30, 2022 by approximately 2 MBoe/d, compared to the three months ended June 30, 2022. This increase was partially offset by natural decline.</w:t>
      </w:r>
    </w:p>
    <w:p>
      <w:pPr>
        <w:spacing w:after="0" w:line="20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Total daily net production for the nine months ended September 30, 2022, compared to the same period in 2021, decreased by approximately 10 MBoe/d, or 10%. The decrease in production reflects the divestiture of our remaining 50% working interest in certain zones in the Lost Hills field in February 2022 and the divestiture of certain assets in our Ventura basin operations which began in the fourth quarter of 2021. Divestitures reduced our total net production by approximately 5 MBoe/d for the nine months ended September 30, 2022 compared to the prior year period. The decrease also resulted from planned maintenance at one of our cryogenic gas processing facilities in the first quarter of 2022 as well as natural decline. These decreases were partially offset by improved operational results from our developmental drilling program and our acquisition of the working interests in certain joint venture wells held by Macquarie Infrastructure and Real Assets Inc. (MIRA) in the third quarter of 2021. Our PSCs, which are described below, negatively impacted our net oil production in the nine months ended September 30, 2022 by approximately 1 MBoe/d,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Production-Sharing Contracts (PSCs)</w:t>
      </w:r>
    </w:p>
    <w:p>
      <w:pPr>
        <w:spacing w:after="0" w:line="2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operating and abandonment costs and an additional share for profit. Our portion of the production represents volumes: (i) to recover our partners’ share of capital, operating and abandonment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contracts represented approximately 16% of our net production for both the three and nine months ended September 30, 2022.</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and general and administrative costs but only our net share of production equally inflates our oil, natural gas and NGL sales revenue, general and administrative expenses and operating costs but has no effect on our net results.</w:t>
      </w:r>
    </w:p>
    <w:p>
      <w:pPr>
        <w:spacing w:after="0" w:line="209"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The reporting of our PSC-type contracts creates a difference between reported operating costs, which are for the full field, and reported volumes, which are only our net share, inflating the per barrel operating costs. Operating costs, excluding effects of PSC-type contracts is a non-GAAP measure which adjusts for excess costs attributable to PSC-type contracts for the periods presented in the tables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8"/>
                <w:szCs w:val="18"/>
                <w:b w:val="1"/>
                <w:bCs w:val="1"/>
                <w:color w:val="auto"/>
              </w:rPr>
              <w:t>June 30, 2022</w:t>
            </w:r>
          </w:p>
        </w:tc>
      </w:tr>
      <w:tr>
        <w:trPr>
          <w:trHeight w:val="192"/>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 per Boe)</w:t>
            </w:r>
          </w:p>
        </w:tc>
        <w:tc>
          <w:tcPr>
            <w:tcW w:w="1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1060" w:type="dxa"/>
            <w:vAlign w:val="bottom"/>
          </w:tcPr>
          <w:p>
            <w:pPr>
              <w:jc w:val="right"/>
              <w:ind w:right="175"/>
              <w:spacing w:after="0"/>
              <w:rPr>
                <w:sz w:val="20"/>
                <w:szCs w:val="20"/>
                <w:color w:val="auto"/>
              </w:rPr>
            </w:pPr>
            <w:r>
              <w:rPr>
                <w:rFonts w:ascii="Arial" w:cs="Arial" w:eastAsia="Arial" w:hAnsi="Arial"/>
                <w:sz w:val="14"/>
                <w:szCs w:val="14"/>
                <w:color w:val="auto"/>
              </w:rPr>
              <w:t>($ per Boe)</w:t>
            </w: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PSC-type contracts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excluding effects of PSC-type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8"/>
                <w:szCs w:val="18"/>
                <w:b w:val="1"/>
                <w:bCs w:val="1"/>
                <w:color w:val="auto"/>
              </w:rPr>
              <w:t>September 30, 2021</w:t>
            </w:r>
          </w:p>
        </w:tc>
      </w:tr>
      <w:tr>
        <w:trPr>
          <w:trHeight w:val="192"/>
        </w:trPr>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 per Boe)</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1060" w:type="dxa"/>
            <w:vAlign w:val="bottom"/>
          </w:tcPr>
          <w:p>
            <w:pPr>
              <w:jc w:val="right"/>
              <w:ind w:right="195"/>
              <w:spacing w:after="0"/>
              <w:rPr>
                <w:sz w:val="20"/>
                <w:szCs w:val="20"/>
                <w:color w:val="auto"/>
              </w:rPr>
            </w:pPr>
            <w:r>
              <w:rPr>
                <w:rFonts w:ascii="Arial" w:cs="Arial" w:eastAsia="Arial" w:hAnsi="Arial"/>
                <w:sz w:val="14"/>
                <w:szCs w:val="14"/>
                <w:color w:val="auto"/>
              </w:rPr>
              <w:t>($ per Boe)</w:t>
            </w:r>
          </w:p>
        </w:tc>
      </w:tr>
      <w:tr>
        <w:trPr>
          <w:trHeight w:val="23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19.04</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PSC-type contracts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excluding effects of PSC-type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17.32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2" w:name="page33"/>
    <w:bookmarkEnd w:id="32"/>
    <w:p>
      <w:pPr>
        <w:ind w:right="120" w:firstLine="324"/>
        <w:spacing w:after="0" w:line="281" w:lineRule="auto"/>
        <w:rPr>
          <w:sz w:val="20"/>
          <w:szCs w:val="20"/>
          <w:color w:val="auto"/>
        </w:rPr>
      </w:pPr>
      <w:r>
        <w:rPr>
          <w:rFonts w:ascii="Arial" w:cs="Arial" w:eastAsia="Arial" w:hAnsi="Arial"/>
          <w:sz w:val="18"/>
          <w:szCs w:val="18"/>
          <w:color w:val="auto"/>
        </w:rPr>
        <w:t>The following table reconciles our average net production to our average gross production (which includes production from the fields we operate and our share of production for fields operated by others)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8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7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77"/>
        </w:trPr>
        <w:tc>
          <w:tcPr>
            <w:tcW w:w="5680" w:type="dxa"/>
            <w:vAlign w:val="bottom"/>
          </w:tcPr>
          <w:p>
            <w:pPr>
              <w:spacing w:after="0"/>
              <w:rPr>
                <w:sz w:val="15"/>
                <w:szCs w:val="15"/>
                <w:color w:val="auto"/>
              </w:rPr>
            </w:pPr>
          </w:p>
        </w:tc>
        <w:tc>
          <w:tcPr>
            <w:tcW w:w="1420" w:type="dxa"/>
            <w:vAlign w:val="bottom"/>
            <w:gridSpan w:val="2"/>
          </w:tcPr>
          <w:p>
            <w:pPr>
              <w:ind w:left="40"/>
              <w:spacing w:after="0" w:line="177" w:lineRule="exact"/>
              <w:rPr>
                <w:sz w:val="20"/>
                <w:szCs w:val="20"/>
                <w:color w:val="auto"/>
              </w:rPr>
            </w:pPr>
            <w:r>
              <w:rPr>
                <w:rFonts w:ascii="Arial" w:cs="Arial" w:eastAsia="Arial" w:hAnsi="Arial"/>
                <w:sz w:val="18"/>
                <w:szCs w:val="18"/>
                <w:b w:val="1"/>
                <w:bCs w:val="1"/>
                <w:color w:val="auto"/>
              </w:rPr>
              <w:t>September 30,</w:t>
            </w:r>
          </w:p>
        </w:tc>
        <w:tc>
          <w:tcPr>
            <w:tcW w:w="14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2022</w:t>
            </w:r>
          </w:p>
        </w:tc>
        <w:tc>
          <w:tcPr>
            <w:tcW w:w="1420" w:type="dxa"/>
            <w:vAlign w:val="bottom"/>
            <w:gridSpan w:val="2"/>
          </w:tcPr>
          <w:p>
            <w:pPr>
              <w:ind w:left="40"/>
              <w:spacing w:after="0" w:line="177" w:lineRule="exact"/>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5"/>
        </w:trPr>
        <w:tc>
          <w:tcPr>
            <w:tcW w:w="5680" w:type="dxa"/>
            <w:vAlign w:val="bottom"/>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vMerge w:val="continue"/>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2"/>
        </w:trPr>
        <w:tc>
          <w:tcPr>
            <w:tcW w:w="5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1060"/>
              <w:spacing w:after="0"/>
              <w:rPr>
                <w:sz w:val="20"/>
                <w:szCs w:val="20"/>
                <w:color w:val="auto"/>
              </w:rPr>
            </w:pPr>
            <w:r>
              <w:rPr>
                <w:rFonts w:ascii="Arial" w:cs="Arial" w:eastAsia="Arial" w:hAnsi="Arial"/>
                <w:sz w:val="14"/>
                <w:szCs w:val="14"/>
                <w:color w:val="auto"/>
              </w:rPr>
              <w:t>(MBoe/d)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5680" w:type="dxa"/>
            <w:vAlign w:val="bottom"/>
          </w:tcPr>
          <w:p>
            <w:pPr>
              <w:ind w:left="240"/>
              <w:spacing w:after="0"/>
              <w:rPr>
                <w:sz w:val="20"/>
                <w:szCs w:val="20"/>
                <w:color w:val="auto"/>
              </w:rPr>
            </w:pPr>
            <w:r>
              <w:rPr>
                <w:rFonts w:ascii="Arial" w:cs="Arial" w:eastAsia="Arial" w:hAnsi="Arial"/>
                <w:sz w:val="18"/>
                <w:szCs w:val="18"/>
                <w:color w:val="auto"/>
              </w:rPr>
              <w:t>Partners' share under PSC-type contracts</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Working interest and royalty holders' share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Production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and Realizations</w:t>
      </w:r>
    </w:p>
    <w:p>
      <w:pPr>
        <w:spacing w:after="0" w:line="252"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indexes for our products for the periods presented: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5"/>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4"/>
          </w:tcPr>
          <w:p>
            <w:pPr>
              <w:ind w:left="220"/>
              <w:spacing w:after="0"/>
              <w:rPr>
                <w:sz w:val="20"/>
                <w:szCs w:val="20"/>
                <w:color w:val="auto"/>
              </w:rPr>
            </w:pPr>
            <w:r>
              <w:rPr>
                <w:rFonts w:ascii="Arial" w:cs="Arial" w:eastAsia="Arial" w:hAnsi="Arial"/>
                <w:sz w:val="17"/>
                <w:szCs w:val="17"/>
                <w:b w:val="1"/>
                <w:bCs w:val="1"/>
                <w:color w:val="auto"/>
              </w:rPr>
              <w:t>September 30, 2022</w:t>
            </w:r>
          </w:p>
        </w:tc>
        <w:tc>
          <w:tcPr>
            <w:tcW w:w="280" w:type="dxa"/>
            <w:vAlign w:val="bottom"/>
          </w:tcPr>
          <w:p>
            <w:pPr>
              <w:spacing w:after="0"/>
              <w:rPr>
                <w:sz w:val="19"/>
                <w:szCs w:val="19"/>
                <w:color w:val="auto"/>
              </w:rPr>
            </w:pPr>
          </w:p>
        </w:tc>
        <w:tc>
          <w:tcPr>
            <w:tcW w:w="2320" w:type="dxa"/>
            <w:vAlign w:val="bottom"/>
            <w:gridSpan w:val="3"/>
          </w:tcPr>
          <w:p>
            <w:pPr>
              <w:ind w:left="460"/>
              <w:spacing w:after="0"/>
              <w:rPr>
                <w:sz w:val="20"/>
                <w:szCs w:val="20"/>
                <w:color w:val="auto"/>
              </w:rPr>
            </w:pPr>
            <w:r>
              <w:rPr>
                <w:rFonts w:ascii="Arial" w:cs="Arial" w:eastAsia="Arial" w:hAnsi="Arial"/>
                <w:sz w:val="17"/>
                <w:szCs w:val="17"/>
                <w:b w:val="1"/>
                <w:bCs w:val="1"/>
                <w:color w:val="auto"/>
              </w:rPr>
              <w:t>June 30, 2022</w:t>
            </w:r>
          </w:p>
        </w:tc>
      </w:tr>
      <w:tr>
        <w:trPr>
          <w:trHeight w:val="223"/>
        </w:trPr>
        <w:tc>
          <w:tcPr>
            <w:tcW w:w="59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Price</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Realization</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Price</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Realization</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Brent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97.81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111.79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97.96</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112.32</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100%</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62.45</w:t>
            </w:r>
          </w:p>
        </w:tc>
        <w:tc>
          <w:tcPr>
            <w:tcW w:w="1340" w:type="dxa"/>
            <w:vAlign w:val="bottom"/>
            <w:gridSpan w:val="2"/>
          </w:tcPr>
          <w:p>
            <w:pPr>
              <w:jc w:val="center"/>
              <w:spacing w:after="0"/>
              <w:rPr>
                <w:sz w:val="20"/>
                <w:szCs w:val="20"/>
                <w:color w:val="auto"/>
              </w:rPr>
            </w:pPr>
            <w:r>
              <w:rPr>
                <w:rFonts w:ascii="Arial" w:cs="Arial" w:eastAsia="Arial" w:hAnsi="Arial"/>
                <w:sz w:val="17"/>
                <w:szCs w:val="17"/>
                <w:color w:val="auto"/>
                <w:w w:val="99"/>
              </w:rPr>
              <w:t>64%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63.17</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57%</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WTI</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91.56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108.41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97.96</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112.32</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104%</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62.45</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9"/>
              </w:rPr>
              <w:t>68%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63.17</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58%</w:t>
            </w:r>
          </w:p>
        </w:tc>
      </w:tr>
      <w:tr>
        <w:trPr>
          <w:trHeight w:val="270"/>
        </w:trPr>
        <w:tc>
          <w:tcPr>
            <w:tcW w:w="5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57.68</w:t>
            </w:r>
          </w:p>
        </w:tc>
        <w:tc>
          <w:tcPr>
            <w:tcW w:w="1340" w:type="dxa"/>
            <w:vAlign w:val="bottom"/>
            <w:gridSpan w:val="2"/>
          </w:tcPr>
          <w:p>
            <w:pPr>
              <w:jc w:val="center"/>
              <w:spacing w:after="0"/>
              <w:rPr>
                <w:sz w:val="20"/>
                <w:szCs w:val="20"/>
                <w:color w:val="auto"/>
              </w:rPr>
            </w:pPr>
            <w:r>
              <w:rPr>
                <w:rFonts w:ascii="Arial" w:cs="Arial" w:eastAsia="Arial" w:hAnsi="Arial"/>
                <w:sz w:val="17"/>
                <w:szCs w:val="17"/>
                <w:color w:val="auto"/>
                <w:w w:val="99"/>
              </w:rPr>
              <w:t>59%</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68.29</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61%</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57.68</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9"/>
              </w:rPr>
              <w:t>63%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68.29</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63%</w:t>
            </w:r>
          </w:p>
        </w:tc>
      </w:tr>
      <w:tr>
        <w:trPr>
          <w:trHeight w:val="270"/>
        </w:trPr>
        <w:tc>
          <w:tcPr>
            <w:tcW w:w="5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NYMEX Henry Hub ($/MMBtu) - Contract Month Average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7.85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8.80</w:t>
            </w:r>
          </w:p>
        </w:tc>
        <w:tc>
          <w:tcPr>
            <w:tcW w:w="1340" w:type="dxa"/>
            <w:vAlign w:val="bottom"/>
            <w:gridSpan w:val="2"/>
          </w:tcPr>
          <w:p>
            <w:pPr>
              <w:jc w:val="center"/>
              <w:spacing w:after="0"/>
              <w:rPr>
                <w:sz w:val="20"/>
                <w:szCs w:val="20"/>
                <w:color w:val="auto"/>
              </w:rPr>
            </w:pPr>
            <w:r>
              <w:rPr>
                <w:rFonts w:ascii="Arial" w:cs="Arial" w:eastAsia="Arial" w:hAnsi="Arial"/>
                <w:sz w:val="17"/>
                <w:szCs w:val="17"/>
                <w:color w:val="auto"/>
                <w:w w:val="96"/>
              </w:rPr>
              <w:t>112%</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6.85</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103%</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102%</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NYMEX Henry Hub ($/MMBtu) - Average Monthly Settled Price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8.20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7.17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8.80</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6.85</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96%</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94%</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7"/>
                <w:szCs w:val="17"/>
                <w:b w:val="1"/>
                <w:bCs w:val="1"/>
                <w:color w:val="auto"/>
              </w:rPr>
              <w:t>Nine months ended</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5"/>
        </w:trPr>
        <w:tc>
          <w:tcPr>
            <w:tcW w:w="5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4"/>
          </w:tcPr>
          <w:p>
            <w:pPr>
              <w:ind w:left="220"/>
              <w:spacing w:after="0"/>
              <w:rPr>
                <w:sz w:val="20"/>
                <w:szCs w:val="20"/>
                <w:color w:val="auto"/>
              </w:rPr>
            </w:pPr>
            <w:r>
              <w:rPr>
                <w:rFonts w:ascii="Arial" w:cs="Arial" w:eastAsia="Arial" w:hAnsi="Arial"/>
                <w:sz w:val="17"/>
                <w:szCs w:val="17"/>
                <w:b w:val="1"/>
                <w:bCs w:val="1"/>
                <w:color w:val="auto"/>
              </w:rPr>
              <w:t>September 30, 2022</w:t>
            </w:r>
          </w:p>
        </w:tc>
        <w:tc>
          <w:tcPr>
            <w:tcW w:w="260" w:type="dxa"/>
            <w:vAlign w:val="bottom"/>
          </w:tcPr>
          <w:p>
            <w:pPr>
              <w:spacing w:after="0"/>
              <w:rPr>
                <w:sz w:val="19"/>
                <w:szCs w:val="19"/>
                <w:color w:val="auto"/>
              </w:rPr>
            </w:pPr>
          </w:p>
        </w:tc>
        <w:tc>
          <w:tcPr>
            <w:tcW w:w="2320" w:type="dxa"/>
            <w:vAlign w:val="bottom"/>
            <w:gridSpan w:val="3"/>
          </w:tcPr>
          <w:p>
            <w:pPr>
              <w:ind w:left="240"/>
              <w:spacing w:after="0"/>
              <w:rPr>
                <w:sz w:val="20"/>
                <w:szCs w:val="20"/>
                <w:color w:val="auto"/>
              </w:rPr>
            </w:pPr>
            <w:r>
              <w:rPr>
                <w:rFonts w:ascii="Arial" w:cs="Arial" w:eastAsia="Arial" w:hAnsi="Arial"/>
                <w:sz w:val="17"/>
                <w:szCs w:val="17"/>
                <w:b w:val="1"/>
                <w:bCs w:val="1"/>
                <w:color w:val="auto"/>
              </w:rPr>
              <w:t>September 30, 2021</w:t>
            </w:r>
          </w:p>
        </w:tc>
      </w:tr>
      <w:tr>
        <w:trPr>
          <w:trHeight w:val="223"/>
        </w:trPr>
        <w:tc>
          <w:tcPr>
            <w:tcW w:w="59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Price</w:t>
            </w:r>
          </w:p>
        </w:tc>
        <w:tc>
          <w:tcPr>
            <w:tcW w:w="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Price</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Realization</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Brent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102.33</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67.78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102.01</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67.62</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100%</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61.96</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54.43</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80%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83"/>
        </w:trPr>
        <w:tc>
          <w:tcPr>
            <w:tcW w:w="5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WTI</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98.09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64.82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102.01</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67.62</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104%</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61.96</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54.43</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84%</w:t>
            </w:r>
          </w:p>
        </w:tc>
      </w:tr>
      <w:tr>
        <w:trPr>
          <w:trHeight w:val="216"/>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66.98</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65%</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49.20</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73%</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66.98</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49.20</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76%</w:t>
            </w:r>
          </w:p>
        </w:tc>
      </w:tr>
      <w:tr>
        <w:trPr>
          <w:trHeight w:val="216"/>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NYMEX Henry Hub ($/MMBtu) - Contract Month Average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6.22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7.33</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6"/>
              </w:rPr>
              <w:t>118%</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3.67</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120%</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6"/>
              </w:rPr>
              <w:t>116%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119%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NYMEX Henry Hub ($/MMBtu) - Average Monthly Settled Price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6.77</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9"/>
        </w:trPr>
        <w:tc>
          <w:tcPr>
            <w:tcW w:w="5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7.33</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3.67</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115%</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114%</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prices decreased for the three months ended September 30, 2022 compared to the three months ended June 30, 2022 due</w:t>
      </w:r>
      <w:r>
        <w:rPr>
          <w:rFonts w:ascii="Arial" w:cs="Arial" w:eastAsia="Arial" w:hAnsi="Arial"/>
          <w:sz w:val="18"/>
          <w:szCs w:val="18"/>
          <w:i w:val="1"/>
          <w:iCs w:val="1"/>
          <w:color w:val="auto"/>
        </w:rPr>
        <w:t xml:space="preserve"> </w:t>
      </w:r>
      <w:r>
        <w:rPr>
          <w:rFonts w:ascii="Arial" w:cs="Arial" w:eastAsia="Arial" w:hAnsi="Arial"/>
          <w:sz w:val="18"/>
          <w:szCs w:val="18"/>
          <w:color w:val="auto"/>
        </w:rPr>
        <w:t>to slowing global economic activity and ongoing releases from the U.S. Strategic Petroleum Reserve. Prices increased for the nine months ended September 30, 2022 compared to the same prior-year period as the effects of the COVID-19 pandemic have subsided leaving crude oil production and product inventories at low levels. Producers have generally maintained capital discipline, OPEC+ members have failed to produce at stepped-up quotas, and the conflict between Russia and Ukraine has created disconnects between traditional buyers and sellers of Russian-produced crude oil.</w:t>
      </w:r>
    </w:p>
    <w:p>
      <w:pPr>
        <w:spacing w:after="0" w:line="20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NGL prices for the three months ended September 30, 2022 decreased compared to the three months ended June 30,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incremental North American production and seasonal demand. NGL prices for the nine months ended September 30, 2022 increased compared to the nine months ended September 30, 2021 as NGL markets benefited from higher energy and fuel prices, as a whole.</w:t>
      </w:r>
    </w:p>
    <w:p>
      <w:pPr>
        <w:spacing w:after="0" w:line="20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Our realized price for natural gas increased for the three and nine months ended September 30, 2022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2022 and nine months ended September 30, 2021 primarily due to strong domestic demand for power generation during the summer and the need to refill storage ahead of the upcoming heating season. Storage volumes in the beginning of 2022 were lower than the prior year, which led to increased demand to replenish inventories before the winter months.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November 2020, the SEC amended Regulation S-K to, among other things, provide companies with the option to discuss material changes to results of operations between the current and immediately preceding quarter. Beginning in the first quarter of 2022, we elected to discuss our results of operations on a sequential-quarter basis. We believe this approach provides more meaningful and useful information to measure our performance from the immediately preceding quarter. In accordance with this final rule, we are not required to include a comparison of the current quarter and the same prior-year quarter.</w:t>
      </w:r>
    </w:p>
    <w:p>
      <w:pPr>
        <w:spacing w:after="0" w:line="20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following table includes key operating data for our oil and gas operations, excluding certain corporate expenses, on a per Boe basis for the three months ended September 30, 2022 and June 30, 2022 and the nine months ended September 30, 2022 and 2021.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 Purchased natural gas used to generate steam in our steamfloods was reclassified from non-energy operating costs to energy operating costs beginning in the third quarter of 2022. All prior periods have been updated to conform to this presentation.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540" w:type="dxa"/>
            <w:vAlign w:val="bottom"/>
            <w:gridSpan w:val="3"/>
          </w:tcPr>
          <w:p>
            <w:pPr>
              <w:ind w:left="100"/>
              <w:spacing w:after="0" w:line="169"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2022</w:t>
            </w:r>
          </w:p>
        </w:tc>
        <w:tc>
          <w:tcPr>
            <w:tcW w:w="1540" w:type="dxa"/>
            <w:vAlign w:val="bottom"/>
            <w:gridSpan w:val="3"/>
          </w:tcPr>
          <w:p>
            <w:pPr>
              <w:ind w:left="100"/>
              <w:spacing w:after="0" w:line="169" w:lineRule="exact"/>
              <w:rPr>
                <w:sz w:val="20"/>
                <w:szCs w:val="20"/>
                <w:color w:val="auto"/>
              </w:rPr>
            </w:pPr>
            <w:r>
              <w:rPr>
                <w:rFonts w:ascii="Arial" w:cs="Arial" w:eastAsia="Arial" w:hAnsi="Arial"/>
                <w:sz w:val="18"/>
                <w:szCs w:val="18"/>
                <w:b w:val="1"/>
                <w:bCs w:val="1"/>
                <w:color w:val="auto"/>
              </w:rPr>
              <w:t>September 30,</w:t>
            </w:r>
          </w:p>
        </w:tc>
        <w:tc>
          <w:tcPr>
            <w:tcW w:w="1440" w:type="dxa"/>
            <w:vAlign w:val="bottom"/>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color w:val="auto"/>
              </w:rPr>
              <w:t>($ per Boe)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(b)</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unallocated general and administrative expenses.</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carbon management assets and our Elk Hills power plant.</w:t>
      </w:r>
    </w:p>
    <w:p>
      <w:pPr>
        <w:spacing w:after="0" w:line="23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Operating costs for the three months ended September 30, 2022 were higher than the three months ended June 30, 2022 on both a total and per Boe basis primarily as a result of higher electricity and natural gas prices (increasing energy operating costs) and downhole maintenance activity (increasing non-energy operating costs). Operating costs in the nine months ended September 30, 2022 were higher than the same period in 2021 primarily as a result of higher natural gas and electricity prices. Lower production volumes in 2022 also contributed to the increase on a per Boe basis. We expect non-energy operating costs related to repair and maintenance activities to increase during the remainder of 2022 and 2023 as inflationary pressures increase costs for services, labor and supplies.</w:t>
      </w:r>
    </w:p>
    <w:p>
      <w:pPr>
        <w:spacing w:after="0" w:line="20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Field taxes other than on income for the three months ended September 30, 2022 were consistent with the three months ended June 30, 2022. Field taxes other than on income for the nine months ended September 30, 2022 were also consistent with the same period in 2021, but higher on a per Boe basis due to lower production volumes in 2022. Field taxes other than income for the nine months ended September 30, 2022 compared to the same prior year period were lower for ad valorem taxes which was offset by increased production taxes and higher greenhouse gas taxes due to emission levels as we increased activity and market prices.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2022 compared to June 30, 2022</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revenues for the three months ended September 30, 2022 and June 30,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gridSpan w:val="4"/>
          </w:tcPr>
          <w:p>
            <w:pPr>
              <w:jc w:val="right"/>
              <w:ind w:right="169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5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September 30, 2022</w:t>
            </w:r>
          </w:p>
        </w:tc>
        <w:tc>
          <w:tcPr>
            <w:tcW w:w="5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June 30, 2022</w:t>
            </w:r>
          </w:p>
        </w:tc>
      </w:tr>
      <w:tr>
        <w:trPr>
          <w:trHeight w:val="192"/>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2080" w:type="dxa"/>
            <w:vAlign w:val="bottom"/>
          </w:tcPr>
          <w:p>
            <w:pPr>
              <w:spacing w:after="0"/>
              <w:rPr>
                <w:sz w:val="16"/>
                <w:szCs w:val="16"/>
                <w:color w:val="auto"/>
              </w:rPr>
            </w:pPr>
          </w:p>
        </w:tc>
      </w:tr>
      <w:tr>
        <w:trPr>
          <w:trHeight w:val="23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Net gain (loss) from commodity derivatives</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92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1"/>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effects of cash settlements on our commodity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were $ 680 million for the three months ended September 30, 2022, which is a decrease of $ 38 million compared to $718 million for the three months ended June 30, 2022. This decrease was primarily due to lower realized prices for oil and NGLs. This decrease was partially offset by increased oil production and higher realized prices for natural gas.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Oil</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92"/>
        </w:trPr>
        <w:tc>
          <w:tcPr>
            <w:tcW w:w="4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2022</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September 30, 2022</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3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effect of cash settlements on our commodity derivative contracts is not included in the table above. Payments on commodity derivatives were $182 million for the three months ended September 30, 2022 compared to payments of $241 million for the three months ended June 30, 2022. Including the effect of settlement payments for commodity derivatives, our oil, natural gas and NGL sales increased by $21 million, or 4% compared to the three months ended June 30, 2022.</w:t>
      </w:r>
    </w:p>
    <w:p>
      <w:pPr>
        <w:spacing w:after="0" w:line="20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i w:val="1"/>
          <w:iCs w:val="1"/>
          <w:color w:val="auto"/>
        </w:rPr>
        <w:t xml:space="preserve">Net gain (loss) from commodity derivatives </w:t>
      </w:r>
      <w:r>
        <w:rPr>
          <w:rFonts w:ascii="Arial" w:cs="Arial" w:eastAsia="Arial" w:hAnsi="Arial"/>
          <w:sz w:val="18"/>
          <w:szCs w:val="18"/>
          <w:color w:val="auto"/>
        </w:rPr>
        <w:t>— Net gain from commodity derivatives was $243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compared to a net loss of $100 million for the three months ended June 30, 2022. The change primarily resulted from non-cash changes in the fair value of our outstanding commodity derivatives from the positions held at the end of each measurement period as well as the relationship between contract prices and the associated forward curves as shown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4"/>
          </w:tcPr>
          <w:p>
            <w:pPr>
              <w:ind w:left="124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September 30, 2022</w:t>
            </w: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June 30, 2022</w:t>
            </w:r>
          </w:p>
        </w:tc>
      </w:tr>
      <w:tr>
        <w:trPr>
          <w:trHeight w:val="192"/>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ind w:left="1760"/>
              <w:spacing w:after="0"/>
              <w:rPr>
                <w:sz w:val="20"/>
                <w:szCs w:val="20"/>
                <w:color w:val="auto"/>
              </w:rPr>
            </w:pPr>
            <w:r>
              <w:rPr>
                <w:rFonts w:ascii="Arial" w:cs="Arial" w:eastAsia="Arial" w:hAnsi="Arial"/>
                <w:sz w:val="14"/>
                <w:szCs w:val="14"/>
                <w:color w:val="auto"/>
              </w:rPr>
              <w:t>(in millions)</w:t>
            </w:r>
          </w:p>
        </w:tc>
        <w:tc>
          <w:tcPr>
            <w:tcW w:w="1860" w:type="dxa"/>
            <w:vAlign w:val="bottom"/>
          </w:tcPr>
          <w:p>
            <w:pPr>
              <w:spacing w:after="0"/>
              <w:rPr>
                <w:sz w:val="16"/>
                <w:szCs w:val="16"/>
                <w:color w:val="auto"/>
              </w:rPr>
            </w:pPr>
          </w:p>
        </w:tc>
      </w:tr>
      <w:tr>
        <w:trPr>
          <w:trHeight w:val="23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center"/>
              <w:ind w:left="1310"/>
              <w:spacing w:after="0"/>
              <w:rPr>
                <w:sz w:val="20"/>
                <w:szCs w:val="20"/>
                <w:color w:val="auto"/>
              </w:rPr>
            </w:pPr>
            <w:r>
              <w:rPr>
                <w:rFonts w:ascii="Arial" w:cs="Arial" w:eastAsia="Arial" w:hAnsi="Arial"/>
                <w:sz w:val="18"/>
                <w:szCs w:val="18"/>
                <w:color w:val="auto"/>
                <w:w w:val="99"/>
              </w:rPr>
              <w:t>141</w:t>
            </w:r>
          </w:p>
        </w:tc>
      </w:tr>
      <w:tr>
        <w:trPr>
          <w:trHeight w:val="229"/>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payments on settled commodity derivatives</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w w:val="99"/>
              </w:rPr>
              <w:t>(182)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9"/>
              </w:rPr>
              <w:t>(241)</w:t>
            </w:r>
          </w:p>
        </w:tc>
      </w:tr>
      <w:tr>
        <w:trPr>
          <w:trHeight w:val="248"/>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from commodity derivatives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center"/>
              <w:ind w:left="1310"/>
              <w:spacing w:after="0"/>
              <w:rPr>
                <w:sz w:val="20"/>
                <w:szCs w:val="20"/>
                <w:color w:val="auto"/>
              </w:rPr>
            </w:pPr>
            <w:r>
              <w:rPr>
                <w:rFonts w:ascii="Arial" w:cs="Arial" w:eastAsia="Arial" w:hAnsi="Arial"/>
                <w:sz w:val="18"/>
                <w:szCs w:val="18"/>
                <w:color w:val="auto"/>
                <w:w w:val="99"/>
              </w:rPr>
              <w:t>(100)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relates to natural gas acquired from third parties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sold in connection with certain of our marketing activities. Sales of purchased natural gas were $113 million for the three months ended September 30, 2022, an increase of $38 million, or 51% from $75 million during the three months ended June 30, 2022. The increase was primarily the result of higher natural gas prices. Our natural gas sales net of related purchased natural gas expense were $15 million for the three months ended September 30, 2022 compared to $8 million for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6" w:name="page37"/>
    <w:bookmarkEnd w:id="36"/>
    <w:p>
      <w:pPr>
        <w:jc w:val="both"/>
        <w:ind w:right="60" w:firstLine="324"/>
        <w:spacing w:after="0" w:line="268"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by $39 million to $ 88 million for the three months ended September 30,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$49 million for the three months ended June 30, 2022. The increase was primarily due to higher natural gas prices and demand for electricity in the summer months.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operating and non-operating expenses and income for the three months ended September 30, 2022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020" w:type="dxa"/>
            <w:vAlign w:val="bottom"/>
            <w:tcBorders>
              <w:bottom w:val="single" w:sz="8" w:color="auto"/>
            </w:tcBorders>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September 30, 2022</w:t>
            </w:r>
          </w:p>
        </w:tc>
        <w:tc>
          <w:tcPr>
            <w:tcW w:w="8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June 30, 2022</w:t>
            </w:r>
          </w:p>
        </w:tc>
      </w:tr>
      <w:tr>
        <w:trPr>
          <w:trHeight w:val="192"/>
        </w:trPr>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60" w:type="dxa"/>
            <w:vAlign w:val="bottom"/>
            <w:gridSpan w:val="3"/>
          </w:tcPr>
          <w:p>
            <w:pPr>
              <w:jc w:val="right"/>
              <w:ind w:right="450"/>
              <w:spacing w:after="0"/>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6"/>
                <w:szCs w:val="16"/>
                <w:color w:val="auto"/>
              </w:rPr>
            </w:pPr>
          </w:p>
        </w:tc>
      </w:tr>
      <w:tr>
        <w:trPr>
          <w:trHeight w:val="23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36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Purchased natural gas expense</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3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asset divestitures</w:t>
            </w:r>
          </w:p>
        </w:tc>
        <w:tc>
          <w:tcPr>
            <w:tcW w:w="3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7"/>
        </w:trPr>
        <w:tc>
          <w:tcPr>
            <w:tcW w:w="5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Interest and debt expense, net</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 net</w:t>
            </w:r>
          </w:p>
        </w:tc>
        <w:tc>
          <w:tcPr>
            <w:tcW w:w="36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5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three months ended September 30, 2022 were $ 93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$ 16 million, or 21% from $77 million for the three months ended June 30, 2022. This increase was predominantly a result of higher prices for purchased natural gas, which we used to generate electricity for our operations, steam for our steamfloods and purchased electricity.</w:t>
      </w:r>
    </w:p>
    <w:p>
      <w:pPr>
        <w:spacing w:after="0" w:line="203"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three months ended September 30, 2022 were $117 million,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an increase of $ 8 million or 7% from $109 million for the three months ended June 30, 2022. This increase was primarily a result of increased downhole maintenance activity.</w:t>
      </w:r>
    </w:p>
    <w:p>
      <w:pPr>
        <w:spacing w:after="0" w:line="19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relates to natural gas acquired from third parties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marketing activities. We purchased $98 million of natural gas for marketing activities during the three months ended September 30, 2022, which was an increase of $31 million, or 46% from $67 million for the three months ended June 30, 2022. The increase was predominantly the result of higher prices in the three months ended September 30, 2022 compared to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ind w:right="220" w:firstLine="324"/>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income tax provision for the three months ended September 30, 2022 was $153 million (effective tax rate of 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$ 76 million (effective tax rate of 29%) for the three months ended June 30, 2022. The effect tax rate decreased in the three months ended September 30, 2022 compared to the three months ended June 30, 2022 due to the benefit of federal tax credits.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2022 compared to September 30, 2021</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revenues for the nine months ended September 30, 2022 and 2021:</w:t>
      </w:r>
    </w:p>
    <w:p>
      <w:pPr>
        <w:spacing w:after="0" w:line="18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Nine months ended</w:t>
      </w:r>
    </w:p>
    <w:p>
      <w:pPr>
        <w:jc w:val="center"/>
        <w:ind w:left="596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2021</w:t>
            </w:r>
          </w:p>
        </w:tc>
      </w:tr>
      <w:tr>
        <w:trPr>
          <w:trHeight w:val="192"/>
        </w:trPr>
        <w:tc>
          <w:tcPr>
            <w:tcW w:w="5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1880" w:type="dxa"/>
            <w:vAlign w:val="bottom"/>
          </w:tcPr>
          <w:p>
            <w:pPr>
              <w:spacing w:after="0"/>
              <w:rPr>
                <w:sz w:val="16"/>
                <w:szCs w:val="16"/>
                <w:color w:val="auto"/>
              </w:rPr>
            </w:pPr>
          </w:p>
        </w:tc>
      </w:tr>
      <w:tr>
        <w:trPr>
          <w:trHeight w:val="23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178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Net loss from commodity derivatives</w:t>
            </w:r>
          </w:p>
        </w:tc>
        <w:tc>
          <w:tcPr>
            <w:tcW w:w="1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17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1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7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98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178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0"/>
        </w:trPr>
        <w:tc>
          <w:tcPr>
            <w:tcW w:w="59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effects of cash settlements on our commodity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were $2,026 million for the nine months ended September 30, 2022, which is an increase of $567 million compared to $1,459 million for the same period of 2021. This increase was due to higher realized prices, which was partially offset by lower production, as reflected in the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92"/>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2021</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Nine months ended September 30, 2022</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3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The effect of cash settlements on our commodity derivative contracts is not included in the table above. Payments on commodity derivatives were $604 million for the nine months ended September 30, 2022 compared to payments of $ 220 million for the same period of 2021. Including the effect of settlement payments for commodity derivatives, our oil, natural gas and NGL sales increased by $183 million or 15% for the nine months ended September 30, 2022 compared to the same prior-year period.</w:t>
      </w:r>
    </w:p>
    <w:p>
      <w:pPr>
        <w:spacing w:after="0" w:line="20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i w:val="1"/>
          <w:iCs w:val="1"/>
          <w:color w:val="auto"/>
        </w:rPr>
        <w:t xml:space="preserve">Net loss from commodity derivatives </w:t>
      </w:r>
      <w:r>
        <w:rPr>
          <w:rFonts w:ascii="Arial" w:cs="Arial" w:eastAsia="Arial" w:hAnsi="Arial"/>
          <w:sz w:val="18"/>
          <w:szCs w:val="18"/>
          <w:color w:val="auto"/>
        </w:rPr>
        <w:t>— Net loss from commodity derivatives was $419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compared to a net loss of $603 million for the same prior year period. The decrease in the net loss primarily resulted from non-cash changes in the fair value of our outstanding commodity derivatives from the positions held at the end of each measurement period as well as the relationship between contract prices and the associated forward curves, as shown in the table below:</w:t>
      </w:r>
    </w:p>
    <w:p>
      <w:pPr>
        <w:spacing w:after="0" w:line="82"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Nine months ended</w:t>
      </w:r>
    </w:p>
    <w:p>
      <w:pPr>
        <w:jc w:val="center"/>
        <w:ind w:left="754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192"/>
        </w:trPr>
        <w:tc>
          <w:tcPr>
            <w:tcW w:w="7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6"/>
                <w:szCs w:val="16"/>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 (loss)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9"/>
              </w:rPr>
              <w:t>185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7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payments on settled commodity derivatives</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15"/>
              <w:spacing w:after="0"/>
              <w:rPr>
                <w:sz w:val="20"/>
                <w:szCs w:val="20"/>
                <w:color w:val="auto"/>
              </w:rPr>
            </w:pPr>
            <w:r>
              <w:rPr>
                <w:rFonts w:ascii="Arial" w:cs="Arial" w:eastAsia="Arial" w:hAnsi="Arial"/>
                <w:sz w:val="18"/>
                <w:szCs w:val="18"/>
                <w:color w:val="auto"/>
                <w:w w:val="99"/>
              </w:rPr>
              <w:t>(604)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48"/>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commodity derivatives</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8" w:name="page39"/>
    <w:bookmarkEnd w:id="38"/>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relates to natural gas acquired from third parties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sold in connection with certain of our marketing activities. Sales of purchased natural gas were $220 million for the nine months ended September 30, 2022, a decrease of $21 million, or 9% from $241 million during the same period of 2021. The decrease was predominantly the result of lower volumes, partially offset by generally higher prices. Our natural gas sales net of related purchased natural gas expense was $34 million for the nine months ended September 30, 2022 compared to $97 million for the same period of 2021.</w:t>
      </w:r>
    </w:p>
    <w:p>
      <w:pPr>
        <w:spacing w:after="0" w:line="20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by $40 million to $171 million for the nine months ended September 30,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$131 million for the same prior-year period. The increase was predominantly due to higher electricity prices associated with higher natural gas prices.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and non-operating expenses for the nine months ended September 30, 2022 and 2021:</w:t>
      </w:r>
    </w:p>
    <w:p>
      <w:pPr>
        <w:spacing w:after="0" w:line="36" w:lineRule="exact"/>
        <w:rPr>
          <w:sz w:val="20"/>
          <w:szCs w:val="20"/>
          <w:color w:val="auto"/>
        </w:rPr>
      </w:pPr>
    </w:p>
    <w:p>
      <w:pPr>
        <w:jc w:val="center"/>
        <w:ind w:left="5380"/>
        <w:spacing w:after="0"/>
        <w:rPr>
          <w:sz w:val="20"/>
          <w:szCs w:val="20"/>
          <w:color w:val="auto"/>
        </w:rPr>
      </w:pPr>
      <w:r>
        <w:rPr>
          <w:rFonts w:ascii="Arial" w:cs="Arial" w:eastAsia="Arial" w:hAnsi="Arial"/>
          <w:sz w:val="18"/>
          <w:szCs w:val="18"/>
          <w:b w:val="1"/>
          <w:bCs w:val="1"/>
          <w:color w:val="auto"/>
        </w:rPr>
        <w:t>Nine months ended</w:t>
      </w:r>
    </w:p>
    <w:p>
      <w:pPr>
        <w:jc w:val="center"/>
        <w:ind w:left="538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2021</w:t>
            </w:r>
          </w:p>
        </w:tc>
      </w:tr>
      <w:tr>
        <w:trPr>
          <w:trHeight w:val="192"/>
        </w:trPr>
        <w:tc>
          <w:tcPr>
            <w:tcW w:w="5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80" w:type="dxa"/>
            <w:vAlign w:val="bottom"/>
            <w:gridSpan w:val="3"/>
          </w:tcPr>
          <w:p>
            <w:pPr>
              <w:jc w:val="right"/>
              <w:ind w:right="390"/>
              <w:spacing w:after="0"/>
              <w:rPr>
                <w:sz w:val="20"/>
                <w:szCs w:val="20"/>
                <w:color w:val="auto"/>
              </w:rPr>
            </w:pPr>
            <w:r>
              <w:rPr>
                <w:rFonts w:ascii="Arial" w:cs="Arial" w:eastAsia="Arial" w:hAnsi="Arial"/>
                <w:sz w:val="14"/>
                <w:szCs w:val="14"/>
                <w:color w:val="auto"/>
              </w:rPr>
              <w:t>(in millions)</w:t>
            </w:r>
          </w:p>
        </w:tc>
        <w:tc>
          <w:tcPr>
            <w:tcW w:w="2080" w:type="dxa"/>
            <w:vAlign w:val="bottom"/>
          </w:tcPr>
          <w:p>
            <w:pPr>
              <w:spacing w:after="0"/>
              <w:rPr>
                <w:sz w:val="16"/>
                <w:szCs w:val="16"/>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9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1980" w:type="dxa"/>
            <w:vAlign w:val="bottom"/>
          </w:tcPr>
          <w:p>
            <w:pPr>
              <w:jc w:val="right"/>
              <w:ind w:right="17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1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1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1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1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Purchased natural gas expense</w:t>
            </w:r>
          </w:p>
        </w:tc>
        <w:tc>
          <w:tcPr>
            <w:tcW w:w="1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1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1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1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9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on asset divestitures</w:t>
            </w:r>
          </w:p>
        </w:tc>
        <w:tc>
          <w:tcPr>
            <w:tcW w:w="1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 (loss)</w:t>
            </w:r>
          </w:p>
        </w:tc>
        <w:tc>
          <w:tcPr>
            <w:tcW w:w="19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6"/>
        </w:trPr>
        <w:tc>
          <w:tcPr>
            <w:tcW w:w="5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19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19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1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loss on early extinguishment of debt</w:t>
            </w:r>
          </w:p>
        </w:tc>
        <w:tc>
          <w:tcPr>
            <w:tcW w:w="19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 net</w:t>
            </w:r>
          </w:p>
        </w:tc>
        <w:tc>
          <w:tcPr>
            <w:tcW w:w="19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1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9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9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54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nine months ended September 30, 2022 were $243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$59 million, or 32% from $184 million for the same period of 2021. This increase was predominantly a result of higher prices for purchased natural gas, which we used to generate electricity for our operations, steam for our steamfloods and for purchased electricity.</w:t>
      </w:r>
    </w:p>
    <w:p>
      <w:pPr>
        <w:spacing w:after="0" w:line="19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nine months ended September 30, 2022 were $330 million,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$7 million, or 2% from $323 million for the same period of 2021. This increase was primarily a result of increased surface and downhole maintenance activity in the nine months ended September 30, 2022 compared to the same prior year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9" w:name="page40"/>
    <w:bookmarkEnd w:id="39"/>
    <w:p>
      <w:pPr>
        <w:ind w:right="20" w:firstLine="324"/>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General and administrative expenses increased $16 million to $163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compared to $147 million for the nine months ended September 30, 2021 as a result of increased compensation-related expenses and additional headcount related to developing our carbon management business as shown in the table below.</w:t>
      </w:r>
    </w:p>
    <w:p>
      <w:pPr>
        <w:spacing w:after="0" w:line="225"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Nine months ended</w:t>
      </w:r>
    </w:p>
    <w:p>
      <w:pPr>
        <w:jc w:val="center"/>
        <w:ind w:left="658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192"/>
        </w:trPr>
        <w:tc>
          <w:tcPr>
            <w:tcW w:w="6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16"/>
                <w:szCs w:val="16"/>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G&amp;A </w:t>
            </w:r>
            <w:r>
              <w:rPr>
                <w:rFonts w:ascii="Arial" w:cs="Arial" w:eastAsia="Arial" w:hAnsi="Arial"/>
                <w:sz w:val="18"/>
                <w:szCs w:val="18"/>
                <w:i w:val="1"/>
                <w:iCs w:val="1"/>
                <w:color w:val="auto"/>
              </w:rPr>
              <w:t>–</w:t>
            </w:r>
            <w:r>
              <w:rPr>
                <w:rFonts w:ascii="Arial" w:cs="Arial" w:eastAsia="Arial" w:hAnsi="Arial"/>
                <w:sz w:val="18"/>
                <w:szCs w:val="18"/>
                <w:color w:val="auto"/>
              </w:rPr>
              <w:t xml:space="preserve"> E&amp;P, corporate and other</w:t>
            </w:r>
          </w:p>
        </w:tc>
        <w:tc>
          <w:tcPr>
            <w:tcW w:w="16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G&amp;A </w:t>
            </w:r>
            <w:r>
              <w:rPr>
                <w:rFonts w:ascii="Arial" w:cs="Arial" w:eastAsia="Arial" w:hAnsi="Arial"/>
                <w:sz w:val="18"/>
                <w:szCs w:val="18"/>
                <w:i w:val="1"/>
                <w:iCs w:val="1"/>
                <w:color w:val="auto"/>
              </w:rPr>
              <w:t>–</w:t>
            </w:r>
            <w:r>
              <w:rPr>
                <w:rFonts w:ascii="Arial" w:cs="Arial" w:eastAsia="Arial" w:hAnsi="Arial"/>
                <w:sz w:val="18"/>
                <w:szCs w:val="18"/>
                <w:color w:val="auto"/>
              </w:rPr>
              <w:t xml:space="preserve"> Carbon management business</w:t>
            </w:r>
          </w:p>
        </w:tc>
        <w:tc>
          <w:tcPr>
            <w:tcW w:w="1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Depreciation, depletion and amortization decreased $11 million to $149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ended September 30, 2022 from $160 million for the same prior year period. The decrease was primarily the result of our divestiture of our Ventura basin assets in the fourth quarter of 2021. more information on our asset divestitures,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Note 7 Divestitures and Acquisitions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Note 3 Divestitures and Acquisitions </w:t>
      </w:r>
      <w:r>
        <w:rPr>
          <w:rFonts w:ascii="Arial" w:cs="Arial" w:eastAsia="Arial" w:hAnsi="Arial"/>
          <w:sz w:val="18"/>
          <w:szCs w:val="18"/>
          <w:color w:val="auto"/>
        </w:rPr>
        <w:t>in our 2021 Annual Report</w:t>
      </w:r>
      <w:r>
        <w:rPr>
          <w:rFonts w:ascii="Arial" w:cs="Arial" w:eastAsia="Arial" w:hAnsi="Arial"/>
          <w:sz w:val="18"/>
          <w:szCs w:val="18"/>
          <w:i w:val="1"/>
          <w:iCs w:val="1"/>
          <w:color w:val="auto"/>
        </w:rPr>
        <w:t>.</w:t>
      </w:r>
    </w:p>
    <w:p>
      <w:pPr>
        <w:spacing w:after="0" w:line="20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Asset impairments were $2 million for the nine months ended September 30, 2022 compared to $28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same prior year period. During the nine months ended September 30, 2022, we recorded a $ 2 million impairment related to the write-down of a commercial office building located in Bakersfield, California to fair market value. During the nine months ended September 30, 2021, we recorded a write-down of $ 25 million related to a decline in value of the same commercial office building and a $3 million write-off of capitalized costs related to projects which were abandoned. The decline in asset value of our commercial office building primarily related to limited demand for office space of this size and type in the Bakersfield market and general trends in commercial real estate due to the COVID-19 pandemic in 2021. See </w:t>
      </w:r>
      <w:r>
        <w:rPr>
          <w:rFonts w:ascii="Arial" w:cs="Arial" w:eastAsia="Arial" w:hAnsi="Arial"/>
          <w:sz w:val="18"/>
          <w:szCs w:val="18"/>
          <w:i w:val="1"/>
          <w:iCs w:val="1"/>
          <w:color w:val="auto"/>
        </w:rPr>
        <w:t>Part I, Item 1 – Financial Statements, Note 7 Divestitures and Acquisitions</w:t>
      </w:r>
      <w:r>
        <w:rPr>
          <w:rFonts w:ascii="Arial" w:cs="Arial" w:eastAsia="Arial" w:hAnsi="Arial"/>
          <w:sz w:val="18"/>
          <w:szCs w:val="18"/>
          <w:color w:val="auto"/>
        </w:rPr>
        <w:t xml:space="preserve"> for additional information.</w:t>
      </w:r>
    </w:p>
    <w:p>
      <w:pPr>
        <w:spacing w:after="0" w:line="21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relates to natural gas acquired from third parties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marketing activities. We purchased $186 million of natural gas for marketing activities during the nine months ended September 30, 2022, which was an increase of $42 million, or 29% from $144 million for the same prior year period. The increase was predominantly the result of generally higher prices in the nine months ended September 30, 2022 compared to 2021.</w:t>
      </w:r>
    </w:p>
    <w:p>
      <w:pPr>
        <w:spacing w:after="0" w:line="203"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i w:val="1"/>
          <w:iCs w:val="1"/>
          <w:color w:val="auto"/>
        </w:rPr>
        <w:t xml:space="preserve">Electricity generation expenses </w:t>
      </w:r>
      <w:r>
        <w:rPr>
          <w:rFonts w:ascii="Arial" w:cs="Arial" w:eastAsia="Arial" w:hAnsi="Arial"/>
          <w:sz w:val="18"/>
          <w:szCs w:val="18"/>
          <w:color w:val="auto"/>
        </w:rPr>
        <w:t>— Electricity generation expenses were $99 million for the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an increase of $29 million, or 41%, from $70 million in the same prior-year period. The increase was predominantly due to higher natural gas prices.</w:t>
      </w:r>
    </w:p>
    <w:p>
      <w:pPr>
        <w:spacing w:after="0" w:line="198" w:lineRule="exact"/>
        <w:rPr>
          <w:sz w:val="20"/>
          <w:szCs w:val="20"/>
          <w:color w:val="auto"/>
        </w:rPr>
      </w:pPr>
    </w:p>
    <w:p>
      <w:pPr>
        <w:jc w:val="both"/>
        <w:ind w:right="260" w:firstLine="324"/>
        <w:spacing w:after="0" w:line="262" w:lineRule="auto"/>
        <w:rPr>
          <w:sz w:val="20"/>
          <w:szCs w:val="20"/>
          <w:color w:val="auto"/>
        </w:rPr>
      </w:pPr>
      <w:r>
        <w:rPr>
          <w:rFonts w:ascii="Arial" w:cs="Arial" w:eastAsia="Arial" w:hAnsi="Arial"/>
          <w:sz w:val="18"/>
          <w:szCs w:val="18"/>
          <w:i w:val="1"/>
          <w:iCs w:val="1"/>
          <w:color w:val="auto"/>
        </w:rPr>
        <w:t xml:space="preserve">Net gain on asset divestitures </w:t>
      </w:r>
      <w:r>
        <w:rPr>
          <w:rFonts w:ascii="Arial" w:cs="Arial" w:eastAsia="Arial" w:hAnsi="Arial"/>
          <w:sz w:val="18"/>
          <w:szCs w:val="18"/>
          <w:color w:val="auto"/>
        </w:rPr>
        <w:t>– Net gain on asset divestitures for the nine months ended September 30, 2022 of $60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relates to the sale of our 50% non-operated working interest in certain horizons within our Lost Hills field and certain Ventura basin assets. For more information on our asset divestitures, see </w:t>
      </w:r>
      <w:r>
        <w:rPr>
          <w:rFonts w:ascii="Arial" w:cs="Arial" w:eastAsia="Arial" w:hAnsi="Arial"/>
          <w:sz w:val="18"/>
          <w:szCs w:val="18"/>
          <w:i w:val="1"/>
          <w:iCs w:val="1"/>
          <w:color w:val="auto"/>
        </w:rPr>
        <w:t>Part I, Item 1 – Financial Information, Note 7 Divestitures and Acquisitions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8 – Financial Statements and Supplementary Data, Note 3 Divestitures and Acquisitions </w:t>
      </w:r>
      <w:r>
        <w:rPr>
          <w:rFonts w:ascii="Arial" w:cs="Arial" w:eastAsia="Arial" w:hAnsi="Arial"/>
          <w:sz w:val="18"/>
          <w:szCs w:val="18"/>
          <w:color w:val="auto"/>
        </w:rPr>
        <w:t>in our 2021 Annual Report</w:t>
      </w:r>
      <w:r>
        <w:rPr>
          <w:rFonts w:ascii="Arial" w:cs="Arial" w:eastAsia="Arial" w:hAnsi="Arial"/>
          <w:sz w:val="18"/>
          <w:szCs w:val="18"/>
          <w:i w:val="1"/>
          <w:iCs w:val="1"/>
          <w:color w:val="auto"/>
        </w:rPr>
        <w:t>.</w:t>
      </w:r>
    </w:p>
    <w:p>
      <w:pPr>
        <w:spacing w:after="0" w:line="2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income tax provision for the nine months ended September 30, 2022 was $ 203 million (effective tax rate of 32%),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includes a $31 million charge for a valuation allowance recorded in the first quarter of 2022 at the time of our Lost Hills divestiture. See </w:t>
      </w:r>
      <w:r>
        <w:rPr>
          <w:rFonts w:ascii="Arial" w:cs="Arial" w:eastAsia="Arial" w:hAnsi="Arial"/>
          <w:sz w:val="18"/>
          <w:szCs w:val="18"/>
          <w:i w:val="1"/>
          <w:iCs w:val="1"/>
          <w:color w:val="auto"/>
        </w:rPr>
        <w:t xml:space="preserve">Part I, Item 1 – Financial Statements, Note 13 Income Taxes </w:t>
      </w:r>
      <w:r>
        <w:rPr>
          <w:rFonts w:ascii="Arial" w:cs="Arial" w:eastAsia="Arial" w:hAnsi="Arial"/>
          <w:sz w:val="18"/>
          <w:szCs w:val="18"/>
          <w:color w:val="auto"/>
        </w:rPr>
        <w:t>for more information. Realization of our deferred tax assets is subjective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remains dependent on a number of factors including our ability to generate sufficient taxable income, including capital gains, in future periods. We did not recognize an income tax benefit in the nine months ended September 30, 2021 due to a full valuation allowance against our net deferred tax assets at that time.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primary sources of liquidity and capital resources are cash flows from operations, cash on hand and available borrowing capacity under our Revolving Credit Facility which matures in April 2024. We consider our low leverage and ability to control costs to be a core strength and strategic advantage, which we are focused on maintaining. Our primary uses of operating cash flow for the three months ended September 30, 2022 were for capital investments, repurchases of our common stock and dividends.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center"/>
              <w:ind w:right="293"/>
              <w:spacing w:after="0"/>
              <w:rPr>
                <w:sz w:val="20"/>
                <w:szCs w:val="20"/>
                <w:color w:val="auto"/>
              </w:rPr>
            </w:pPr>
            <w:r>
              <w:rPr>
                <w:rFonts w:ascii="Arial" w:cs="Arial" w:eastAsia="Arial" w:hAnsi="Arial"/>
                <w:sz w:val="18"/>
                <w:szCs w:val="18"/>
                <w:b w:val="1"/>
                <w:bCs w:val="1"/>
                <w:color w:val="auto"/>
                <w:w w:val="99"/>
              </w:rPr>
              <w:t>September 30, 2022</w:t>
            </w:r>
          </w:p>
        </w:tc>
      </w:tr>
      <w:tr>
        <w:trPr>
          <w:trHeight w:val="192"/>
        </w:trPr>
        <w:tc>
          <w:tcPr>
            <w:tcW w:w="8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tcPr>
          <w:p>
            <w:pPr>
              <w:jc w:val="center"/>
              <w:ind w:right="293"/>
              <w:spacing w:after="0"/>
              <w:rPr>
                <w:sz w:val="20"/>
                <w:szCs w:val="20"/>
                <w:color w:val="auto"/>
              </w:rPr>
            </w:pPr>
            <w:r>
              <w:rPr>
                <w:rFonts w:ascii="Arial" w:cs="Arial" w:eastAsia="Arial" w:hAnsi="Arial"/>
                <w:sz w:val="14"/>
                <w:szCs w:val="14"/>
                <w:color w:val="auto"/>
              </w:rPr>
              <w:t>(in millions)</w:t>
            </w:r>
          </w:p>
        </w:tc>
      </w:tr>
      <w:tr>
        <w:trPr>
          <w:trHeight w:val="23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580" w:type="dxa"/>
            <w:vAlign w:val="bottom"/>
            <w:shd w:val="clear" w:color="auto" w:fill="CCEEFF"/>
          </w:tcPr>
          <w:p>
            <w:pPr>
              <w:jc w:val="center"/>
              <w:ind w:left="2033"/>
              <w:spacing w:after="0"/>
              <w:rPr>
                <w:sz w:val="20"/>
                <w:szCs w:val="20"/>
                <w:color w:val="auto"/>
              </w:rPr>
            </w:pPr>
            <w:r>
              <w:rPr>
                <w:rFonts w:ascii="Arial" w:cs="Arial" w:eastAsia="Arial" w:hAnsi="Arial"/>
                <w:sz w:val="18"/>
                <w:szCs w:val="18"/>
                <w:color w:val="auto"/>
                <w:w w:val="99"/>
              </w:rPr>
              <w:t>358</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380" w:type="dxa"/>
            <w:vAlign w:val="bottom"/>
            <w:shd w:val="clear" w:color="auto" w:fill="CCEEFF"/>
          </w:tcPr>
          <w:p>
            <w:pPr>
              <w:spacing w:after="0"/>
              <w:rPr>
                <w:sz w:val="19"/>
                <w:szCs w:val="19"/>
                <w:color w:val="auto"/>
              </w:rPr>
            </w:pPr>
          </w:p>
        </w:tc>
        <w:tc>
          <w:tcPr>
            <w:tcW w:w="2580" w:type="dxa"/>
            <w:vAlign w:val="bottom"/>
            <w:shd w:val="clear" w:color="auto" w:fill="CCEEFF"/>
          </w:tcPr>
          <w:p>
            <w:pPr>
              <w:jc w:val="center"/>
              <w:ind w:left="2033"/>
              <w:spacing w:after="0"/>
              <w:rPr>
                <w:sz w:val="20"/>
                <w:szCs w:val="20"/>
                <w:color w:val="auto"/>
              </w:rPr>
            </w:pPr>
            <w:r>
              <w:rPr>
                <w:rFonts w:ascii="Arial" w:cs="Arial" w:eastAsia="Arial" w:hAnsi="Arial"/>
                <w:sz w:val="18"/>
                <w:szCs w:val="18"/>
                <w:color w:val="auto"/>
                <w:w w:val="99"/>
              </w:rPr>
              <w:t>602</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3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center"/>
              <w:ind w:left="2033"/>
              <w:spacing w:after="0"/>
              <w:rPr>
                <w:sz w:val="20"/>
                <w:szCs w:val="20"/>
                <w:color w:val="auto"/>
              </w:rPr>
            </w:pPr>
            <w:r>
              <w:rPr>
                <w:rFonts w:ascii="Arial" w:cs="Arial" w:eastAsia="Arial" w:hAnsi="Arial"/>
                <w:sz w:val="18"/>
                <w:szCs w:val="18"/>
                <w:color w:val="auto"/>
                <w:w w:val="99"/>
              </w:rPr>
              <w:t>(141)</w:t>
            </w:r>
          </w:p>
        </w:tc>
      </w:tr>
      <w:tr>
        <w:trPr>
          <w:trHeight w:val="223"/>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580" w:type="dxa"/>
            <w:vAlign w:val="bottom"/>
            <w:shd w:val="clear" w:color="auto" w:fill="CCEEFF"/>
          </w:tcPr>
          <w:p>
            <w:pPr>
              <w:jc w:val="center"/>
              <w:ind w:left="2033"/>
              <w:spacing w:after="0"/>
              <w:rPr>
                <w:sz w:val="20"/>
                <w:szCs w:val="20"/>
                <w:color w:val="auto"/>
              </w:rPr>
            </w:pPr>
            <w:r>
              <w:rPr>
                <w:rFonts w:ascii="Arial" w:cs="Arial" w:eastAsia="Arial" w:hAnsi="Arial"/>
                <w:sz w:val="18"/>
                <w:szCs w:val="18"/>
                <w:color w:val="auto"/>
                <w:w w:val="99"/>
              </w:rPr>
              <w:t>461</w:t>
            </w:r>
          </w:p>
        </w:tc>
      </w:tr>
      <w:tr>
        <w:trPr>
          <w:trHeight w:val="216"/>
        </w:trPr>
        <w:tc>
          <w:tcPr>
            <w:tcW w:w="8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r>
      <w:tr>
        <w:trPr>
          <w:trHeight w:val="248"/>
        </w:trPr>
        <w:tc>
          <w:tcPr>
            <w:tcW w:w="8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center"/>
              <w:ind w:left="2033"/>
              <w:spacing w:after="0"/>
              <w:rPr>
                <w:sz w:val="20"/>
                <w:szCs w:val="20"/>
                <w:color w:val="auto"/>
              </w:rPr>
            </w:pPr>
            <w:r>
              <w:rPr>
                <w:rFonts w:ascii="Arial" w:cs="Arial" w:eastAsia="Arial" w:hAnsi="Arial"/>
                <w:sz w:val="18"/>
                <w:szCs w:val="18"/>
                <w:color w:val="auto"/>
                <w:w w:val="99"/>
              </w:rPr>
              <w:t>819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On October 25, 2022, the borrowing base under our Revolving Credit Facility was reaffirmed at $1.2 billion. The aggregate commitment from our lenders under our Revolving Credit Facility increased to $602 million at September 30, 2022 from $492 million at December 31, 2021 due to additional commitments from new lenders that joined this facility. See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for more information on amendments to our Revolving Credit Facility.</w:t>
      </w:r>
    </w:p>
    <w:p>
      <w:pPr>
        <w:spacing w:after="0" w:line="20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At current commodity prices and based upon our planned 2022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Senior Notes indenture, (iii) advance carbon management activities, or (iv) maintain cash on our balance sheet. We believe we have sufficient sources of liquidity to meet our obligations for the next twelve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Prior to May 2022, our Revolving Credit Facility required us to maintain certain levels of hedges regardless of our leverage. We also entered into incremental hedges above and beyond these requirements for certain time periods. In certain circumstances, these hedges (including hedges entered into by us in 2020 to comply with covenants in our Revolving Credit Facility) prevent us from realizing the full benefits of price increases. Following an amendment to our Revolving Credit Facility in April 2022, we are only required to maintain hedges in the event the ratio of our consolidated total secured debt to consolidated EBITDAX as defined in our Credit Agreement exceeds 1:1. We will continue to evaluate our hedging strategy based on prevailing market prices and conditions.</w:t>
      </w:r>
    </w:p>
    <w:p>
      <w:pPr>
        <w:spacing w:after="0" w:line="20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months ended September 30, 2022.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10 Derivatives </w:t>
      </w:r>
      <w:r>
        <w:rPr>
          <w:rFonts w:ascii="Arial" w:cs="Arial" w:eastAsia="Arial" w:hAnsi="Arial"/>
          <w:sz w:val="18"/>
          <w:szCs w:val="18"/>
          <w:color w:val="auto"/>
        </w:rPr>
        <w:t>for further information on our derivatives and a summary of our open derivative contracts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September 30, 2022 and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for information for more information on an amendment to the hedging requirements included in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2022 Capital Program</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capital program is dynamic in response to oil market volatility while focusing on oil production and strong liquidity and maximizing our free cash flow. We entered the fourth quarter of 2022 with four drilling rigs. We plan to average three drilling rigs during the quarter in the Huntington Beach, Buena Vista, Elk Hills and Wilmington fields as we reposition for our 2023 program.</w:t>
      </w:r>
    </w:p>
    <w:p>
      <w:pPr>
        <w:spacing w:after="0" w:line="198"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expect our 2022 capital program to range between $380 million to $400 million. We have and will likely continue to experience cost increases related to our drilling program due to inflationary pressures, including for items such as oilfield tubular goods (tubing, casing and pipe), fuel and drilling services. We increased our 2022 capital program during the year for inflation and these cost increases could also impact our capital program in 2023 and beyond.</w:t>
      </w:r>
    </w:p>
    <w:p>
      <w:pPr>
        <w:spacing w:after="0" w:line="203"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Any curtailment of the development of our properties for regulatory or operational reasons will lead to a decline in our production and may lower our reserves. A continued decline in our production and reserves would negatively impact our cash flow from operations and the value of our assets.</w:t>
      </w:r>
    </w:p>
    <w:p>
      <w:pPr>
        <w:spacing w:after="0" w:line="19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This level of expected spending is consistent with our capital allocation strategy. Following entry into the Carbon TerraVault JV with Brookfield, we anticipate that Brookfield will fund a portion of the operating cash flow that we would have otherwise provided for advancing decarbonization and other emission reducing projects. As a result, this portion of operating cash flow will now be available for other corporate purposes, such as shareholder returns and other strategic opportunities. See a summary of our Business Strategy in </w:t>
      </w:r>
      <w:r>
        <w:rPr>
          <w:rFonts w:ascii="Arial" w:cs="Arial" w:eastAsia="Arial" w:hAnsi="Arial"/>
          <w:sz w:val="18"/>
          <w:szCs w:val="18"/>
          <w:i w:val="1"/>
          <w:iCs w:val="1"/>
          <w:color w:val="auto"/>
        </w:rPr>
        <w:t>Part I, Item 1 &amp; 2 –</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Properties</w:t>
      </w:r>
      <w:r>
        <w:rPr>
          <w:rFonts w:ascii="Arial" w:cs="Arial" w:eastAsia="Arial" w:hAnsi="Arial"/>
          <w:sz w:val="18"/>
          <w:szCs w:val="18"/>
          <w:color w:val="auto"/>
        </w:rPr>
        <w:t>, in our 2021 Annual Report and more details on our joint venture with Brookfield in</w:t>
      </w:r>
      <w:r>
        <w:rPr>
          <w:rFonts w:ascii="Arial" w:cs="Arial" w:eastAsia="Arial" w:hAnsi="Arial"/>
          <w:sz w:val="18"/>
          <w:szCs w:val="18"/>
          <w:i w:val="1"/>
          <w:iCs w:val="1"/>
          <w:color w:val="auto"/>
        </w:rPr>
        <w:t xml:space="preserve"> Part I, Item 1 – Financial Statements, Note 8 Investments and Related Party Transactions</w:t>
      </w:r>
      <w:r>
        <w:rPr>
          <w:rFonts w:ascii="Arial" w:cs="Arial" w:eastAsia="Arial" w:hAnsi="Arial"/>
          <w:sz w:val="18"/>
          <w:szCs w:val="18"/>
          <w:color w:val="auto"/>
        </w:rPr>
        <w:t>.</w:t>
      </w:r>
    </w:p>
    <w:p>
      <w:pPr>
        <w:spacing w:after="0" w:line="209"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The amounts in the table below reflect components of our capital investment for the periods indicated, excluding changes in capital investment accruals: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24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2022 Full Year Estimate</w:t>
            </w:r>
          </w:p>
        </w:tc>
        <w:tc>
          <w:tcPr>
            <w:tcW w:w="220" w:type="dxa"/>
            <w:vAlign w:val="bottom"/>
          </w:tcPr>
          <w:p>
            <w:pPr>
              <w:spacing w:after="0"/>
              <w:rPr>
                <w:sz w:val="18"/>
                <w:szCs w:val="18"/>
                <w:color w:val="auto"/>
              </w:rPr>
            </w:pPr>
          </w:p>
        </w:tc>
        <w:tc>
          <w:tcPr>
            <w:tcW w:w="2100" w:type="dxa"/>
            <w:vAlign w:val="bottom"/>
          </w:tcPr>
          <w:p>
            <w:pPr>
              <w:jc w:val="right"/>
              <w:ind w:right="2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September 30, 2022</w:t>
            </w:r>
          </w:p>
        </w:tc>
        <w:tc>
          <w:tcPr>
            <w:tcW w:w="0" w:type="dxa"/>
            <w:vAlign w:val="bottom"/>
          </w:tcPr>
          <w:p>
            <w:pPr>
              <w:spacing w:after="0"/>
              <w:rPr>
                <w:sz w:val="1"/>
                <w:szCs w:val="1"/>
                <w:color w:val="auto"/>
              </w:rPr>
            </w:pPr>
          </w:p>
        </w:tc>
      </w:tr>
      <w:tr>
        <w:trPr>
          <w:trHeight w:val="83"/>
        </w:trPr>
        <w:tc>
          <w:tcPr>
            <w:tcW w:w="652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4720" w:type="dxa"/>
            <w:vAlign w:val="bottom"/>
            <w:gridSpan w:val="4"/>
          </w:tcPr>
          <w:p>
            <w:pPr>
              <w:jc w:val="right"/>
              <w:ind w:right="191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operations, corporate and other</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 $370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Carbon management business</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20 - 30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Capital</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$380 - $400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For the nine months ended September 30, 2022, our operating cash flow increased 26%, or $120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to $576 million from $456 million in the same prior period of 2021. The increases in operating cash flow for the nine months ended September 30, 2022 primarily relates to higher average realized prices (including the effects of settlements on our commodity derivatives) in 2022 compared to the same prior-year period. This increase was partially offset by lower production volumes in 2022 as compared to the same period in 2021. The increase in our revenue was partially offset by an increase in operating costs primarily related to higher prices for purchased natural gas and electricity used in our operations.</w:t>
      </w:r>
    </w:p>
    <w:p>
      <w:pPr>
        <w:spacing w:after="0" w:line="209" w:lineRule="exact"/>
        <w:rPr>
          <w:sz w:val="20"/>
          <w:szCs w:val="20"/>
          <w:color w:val="auto"/>
        </w:rPr>
      </w:pPr>
    </w:p>
    <w:p>
      <w:pPr>
        <w:ind w:right="860" w:firstLine="324"/>
        <w:spacing w:after="0" w:line="287" w:lineRule="auto"/>
        <w:rPr>
          <w:sz w:val="20"/>
          <w:szCs w:val="20"/>
          <w:color w:val="auto"/>
        </w:rPr>
      </w:pPr>
      <w:r>
        <w:rPr>
          <w:rFonts w:ascii="Arial" w:cs="Arial" w:eastAsia="Arial" w:hAnsi="Arial"/>
          <w:sz w:val="18"/>
          <w:szCs w:val="18"/>
          <w:color w:val="auto"/>
        </w:rPr>
        <w:t>Net cash used in operating activities for the nine months ended September 30, 2022 included $21 million related to our carbon management business.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 The following table provides a comparative summary of net cash used in investing activities:</w:t>
      </w:r>
    </w:p>
    <w:p>
      <w:pPr>
        <w:spacing w:after="0" w:line="279"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Nine months ended</w:t>
      </w:r>
    </w:p>
    <w:p>
      <w:pPr>
        <w:jc w:val="center"/>
        <w:ind w:left="780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192"/>
        </w:trPr>
        <w:tc>
          <w:tcPr>
            <w:tcW w:w="7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6"/>
                <w:szCs w:val="16"/>
                <w:color w:val="auto"/>
              </w:rPr>
            </w:pPr>
          </w:p>
        </w:tc>
      </w:tr>
      <w:tr>
        <w:trPr>
          <w:trHeight w:val="23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Changes in accrued capital investments</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 net</w:t>
            </w: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related to the Carbon TerraVault JV</w:t>
            </w: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Capitalized joint venture transaction costs</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82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1"/>
        </w:trPr>
        <w:tc>
          <w:tcPr>
            <w:tcW w:w="7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Proceeds from divestitures, net for the nine months ended September 30, 2022 included the sale of our 50% non-operated working interest in certain horizons within our Lost Hills field, certain of our Ventura basin assets and our commercial office building in Bakersfield, California. Proceeds from divestitures, net for the nine months ended September 30, 2021 included divestitures of non-core assets including unimproved land.</w:t>
      </w:r>
    </w:p>
    <w:p>
      <w:pPr>
        <w:spacing w:after="0" w:line="20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Net cash used in investing activities for the nine months ended September 30, 2022, included carbon management business outflows of $17 million related to acquisitions, $17 million that included permitting and easements and $9 million to replace water disposal facilities at our 26R reservoir in Elk Hills. We did not have investing activities related to our carbon management business for the nine months ended September 30, 2021.</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 The following table provides a comparative summary of net cash used in financing activities:</w:t>
      </w:r>
    </w:p>
    <w:p>
      <w:pPr>
        <w:spacing w:after="0" w:line="279"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Nine months ended</w:t>
      </w:r>
    </w:p>
    <w:p>
      <w:pPr>
        <w:jc w:val="center"/>
        <w:ind w:left="804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192"/>
        </w:trPr>
        <w:tc>
          <w:tcPr>
            <w:tcW w:w="8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6"/>
                <w:szCs w:val="16"/>
                <w:color w:val="auto"/>
              </w:rPr>
            </w:pPr>
          </w:p>
        </w:tc>
      </w:tr>
      <w:tr>
        <w:trPr>
          <w:trHeight w:val="23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transactions, net</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Distributions paid to a noncontrolling interest holder</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Common stock dividends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warrants exercised</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Issuance of common stock</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September 30, 2022 and December 31, 2021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9 Lawsuits, Claims, Commitments and Contingencies</w:t>
      </w:r>
      <w:r>
        <w:rPr>
          <w:rFonts w:ascii="Arial" w:cs="Arial" w:eastAsia="Arial" w:hAnsi="Arial"/>
          <w:sz w:val="18"/>
          <w:szCs w:val="18"/>
          <w:color w:val="auto"/>
        </w:rPr>
        <w:t xml:space="preserve"> for further information.</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Critical Accounting Estimates and Significant Accounting and Disclosure Changes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 xml:space="preserve">There have been no changes to our critical accounting estimates, which are summarized in </w:t>
      </w:r>
      <w:r>
        <w:rPr>
          <w:rFonts w:ascii="Arial" w:cs="Arial" w:eastAsia="Arial" w:hAnsi="Arial"/>
          <w:sz w:val="18"/>
          <w:szCs w:val="18"/>
          <w:i w:val="1"/>
          <w:iCs w:val="1"/>
          <w:color w:val="auto"/>
        </w:rPr>
        <w:t>Part II, Item 7 –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Critical Accounting Estimates </w:t>
      </w:r>
      <w:r>
        <w:rPr>
          <w:rFonts w:ascii="Arial" w:cs="Arial" w:eastAsia="Arial" w:hAnsi="Arial"/>
          <w:sz w:val="18"/>
          <w:szCs w:val="18"/>
          <w:color w:val="auto"/>
        </w:rPr>
        <w:t>of our 2021 Annual Report. See</w:t>
      </w:r>
      <w:r>
        <w:rPr>
          <w:rFonts w:ascii="Arial" w:cs="Arial" w:eastAsia="Arial" w:hAnsi="Arial"/>
          <w:sz w:val="18"/>
          <w:szCs w:val="18"/>
          <w:i w:val="1"/>
          <w:iCs w:val="1"/>
          <w:color w:val="auto"/>
        </w:rPr>
        <w:t xml:space="preserve"> Part I, Item 1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Statements, Note 2 Accounting Policy and Disclosure Changes </w:t>
      </w:r>
      <w:r>
        <w:rPr>
          <w:rFonts w:ascii="Arial" w:cs="Arial" w:eastAsia="Arial" w:hAnsi="Arial"/>
          <w:sz w:val="18"/>
          <w:szCs w:val="18"/>
          <w:color w:val="auto"/>
        </w:rPr>
        <w:t>for a discussion of new accounting standards.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3"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1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9" w:right="439" w:bottom="1440" w:gutter="0" w:footer="0" w:header="0"/>
        </w:sectPr>
      </w:pPr>
    </w:p>
    <w:p>
      <w:pPr>
        <w:spacing w:after="0" w:line="206" w:lineRule="exact"/>
        <w:rPr>
          <w:sz w:val="20"/>
          <w:szCs w:val="20"/>
          <w:color w:val="auto"/>
        </w:rPr>
      </w:pPr>
    </w:p>
    <w:p>
      <w:pPr>
        <w:jc w:val="both"/>
        <w:ind w:left="660" w:right="669"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commodity prices and the potential for sustained low oil, natural gas and natural gas liquids prices;</w:t>
      </w:r>
    </w:p>
    <w:p>
      <w:pPr>
        <w:spacing w:after="0" w:line="1" w:lineRule="exact"/>
        <w:rPr>
          <w:rFonts w:ascii="Arial" w:cs="Arial" w:eastAsia="Arial" w:hAnsi="Arial"/>
          <w:sz w:val="18"/>
          <w:szCs w:val="18"/>
          <w:color w:val="auto"/>
        </w:rPr>
      </w:pPr>
    </w:p>
    <w:p>
      <w:pPr>
        <w:ind w:left="660" w:right="136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ind w:left="660" w:right="369" w:hanging="328"/>
        <w:spacing w:after="0" w:line="24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(i) the location, drilling, completion, well stimulation, operation, maintenance or abandonment of wells or facilities, (ii) the management of energy, water, land, greenhouse gases (GHGs) or other emissions, (iii) the protection of health, safety and the environment, (iv) our ability to claim and utilize tax credits or other incentives, or (v) the transportation, marketing and sale of our products and CO</w:t>
      </w:r>
      <w:r>
        <w:rPr>
          <w:rFonts w:ascii="Arial" w:cs="Arial" w:eastAsia="Arial" w:hAnsi="Arial"/>
          <w:sz w:val="23"/>
          <w:szCs w:val="23"/>
          <w:color w:val="auto"/>
          <w:vertAlign w:val="subscript"/>
        </w:rPr>
        <w:t>2</w:t>
      </w: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660" w:right="28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 necessary for drilling or development activities and carbon management projects;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business strategy and our capital plan;</w:t>
      </w:r>
    </w:p>
    <w:p>
      <w:pPr>
        <w:spacing w:after="0" w:line="9" w:lineRule="exact"/>
        <w:rPr>
          <w:rFonts w:ascii="Arial" w:cs="Arial" w:eastAsia="Arial" w:hAnsi="Arial"/>
          <w:sz w:val="18"/>
          <w:szCs w:val="18"/>
          <w:color w:val="auto"/>
        </w:rPr>
      </w:pPr>
    </w:p>
    <w:p>
      <w:pPr>
        <w:ind w:left="660" w:right="48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or acquisitions, or higher-than-expected decline rates;</w:t>
      </w:r>
    </w:p>
    <w:p>
      <w:pPr>
        <w:spacing w:after="0" w:line="1" w:lineRule="exact"/>
        <w:rPr>
          <w:rFonts w:ascii="Arial" w:cs="Arial" w:eastAsia="Arial" w:hAnsi="Arial"/>
          <w:sz w:val="18"/>
          <w:szCs w:val="18"/>
          <w:color w:val="auto"/>
        </w:rPr>
      </w:pPr>
    </w:p>
    <w:p>
      <w:pPr>
        <w:ind w:left="660" w:right="50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ind w:left="660" w:right="40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ind w:left="660" w:right="32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execute on the construction and other aspects of the infrastructure projects and enter into third party contracts on contemplated terms;</w:t>
      </w:r>
    </w:p>
    <w:p>
      <w:pPr>
        <w:spacing w:after="0" w:line="1" w:lineRule="exact"/>
        <w:rPr>
          <w:rFonts w:ascii="Arial" w:cs="Arial" w:eastAsia="Arial" w:hAnsi="Arial"/>
          <w:sz w:val="18"/>
          <w:szCs w:val="18"/>
          <w:color w:val="auto"/>
        </w:rPr>
      </w:pPr>
    </w:p>
    <w:p>
      <w:pPr>
        <w:ind w:left="660" w:right="389"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realize the benefits contemplated by the business strategies and initiatives related to energy transition, including carbon capture and storage projects and other renewable energy efforts;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31" w:right="20" w:hanging="331"/>
        <w:spacing w:after="0" w:line="255"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identify, develop and finance carbon capture and storage projects and other renewable energy efforts, including those in connection with the Carbon TerraVault JV;</w:t>
      </w:r>
    </w:p>
    <w:p>
      <w:pPr>
        <w:spacing w:after="0" w:line="2" w:lineRule="exact"/>
        <w:rPr>
          <w:rFonts w:ascii="Arial" w:cs="Arial" w:eastAsia="Arial" w:hAnsi="Arial"/>
          <w:sz w:val="18"/>
          <w:szCs w:val="18"/>
          <w:color w:val="auto"/>
        </w:rPr>
      </w:pPr>
    </w:p>
    <w:p>
      <w:pPr>
        <w:ind w:left="331" w:right="38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geopolitical, socio-demographic and economic trends and technological innovations;</w:t>
      </w:r>
    </w:p>
    <w:p>
      <w:pPr>
        <w:ind w:left="331" w:right="18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dividend policy and our ability to declare future dividends under our debt agreements;</w:t>
      </w:r>
    </w:p>
    <w:p>
      <w:pPr>
        <w:ind w:left="331" w:right="8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share repurchase program and our ability to repurchase shares under our debt agreements;</w:t>
      </w:r>
    </w:p>
    <w:p>
      <w:pPr>
        <w:ind w:left="331" w:right="22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operating costs;</w:t>
      </w:r>
    </w:p>
    <w:p>
      <w:pPr>
        <w:ind w:left="331" w:right="24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our financial flexibility due to existing and future debt;</w:t>
      </w:r>
    </w:p>
    <w:p>
      <w:pPr>
        <w:ind w:left="331" w:right="160" w:hanging="331"/>
        <w:spacing w:after="0" w:line="265" w:lineRule="auto"/>
        <w:tabs>
          <w:tab w:leader="none" w:pos="32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insufficient cash flow to fund our capital plan and other planned investments, stock repurchases and dividends;</w:t>
      </w:r>
    </w:p>
    <w:p>
      <w:pPr>
        <w:ind w:left="331" w:right="680" w:hanging="331"/>
        <w:spacing w:after="0" w:line="265" w:lineRule="auto"/>
        <w:tabs>
          <w:tab w:leader="none" w:pos="32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insufficient capital or lack of liquidity in the capital markets or inability to attract potential investors;</w:t>
      </w:r>
    </w:p>
    <w:p>
      <w:pPr>
        <w:ind w:left="331" w:right="18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ind w:left="331" w:right="380" w:hanging="331"/>
        <w:spacing w:after="0" w:line="265" w:lineRule="auto"/>
        <w:tabs>
          <w:tab w:leader="none" w:pos="32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ind w:left="331" w:right="56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expected synergies from joint ventures and acquisitions;</w:t>
      </w:r>
    </w:p>
    <w:p>
      <w:pPr>
        <w:ind w:left="331" w:right="20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ind w:left="331" w:right="420" w:hanging="331"/>
        <w:spacing w:after="0" w:line="258"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gather and verify data regarding emissions, our environmental impacts and other initiatives;</w:t>
      </w:r>
    </w:p>
    <w:p>
      <w:pPr>
        <w:spacing w:after="0" w:line="844" w:lineRule="exact"/>
        <w:rPr>
          <w:sz w:val="20"/>
          <w:szCs w:val="20"/>
          <w:color w:val="auto"/>
        </w:rPr>
      </w:pPr>
    </w:p>
    <w:p>
      <w:pPr>
        <w:sectPr>
          <w:pgSz w:w="11900" w:h="16838" w:orient="portrait"/>
          <w:cols w:equalWidth="0" w:num="2">
            <w:col w:w="5509" w:space="720"/>
            <w:col w:w="4911"/>
          </w:cols>
          <w:pgMar w:left="320" w:top="1039" w:right="439" w:bottom="1440" w:gutter="0" w:footer="0" w:header="0"/>
          <w:type w:val="continuous"/>
        </w:sect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45" w:name="page46"/>
    <w:bookmarkEnd w:id="45"/>
    <w:p>
      <w:pPr>
        <w:ind w:left="3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compliance of various third parties with our policies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procedures and legal requirements as well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contracts we enter into in connection with our climate-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initiatives;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stock price on costs associated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intensity of competition in the oil and gas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effects of hedging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climate-related conditions and weather events;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disruptions due to accidents, mechanical failures, power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outages, transportation or storage constraints, natural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disasters, labor difficulties, cyber-attacks or other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catastrophic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pandemics, epidemics, outbreaks, or other public health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events, such as the COVID-19;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p>
    <w:p>
      <w:pPr>
        <w:spacing w:after="0" w:line="848" w:lineRule="exact"/>
        <w:rPr>
          <w:sz w:val="20"/>
          <w:szCs w:val="20"/>
          <w:color w:val="auto"/>
        </w:rPr>
      </w:pPr>
    </w:p>
    <w:p>
      <w:pPr>
        <w:sectPr>
          <w:pgSz w:w="11900" w:h="16838" w:orient="portrait"/>
          <w:cols w:equalWidth="0" w:num="4">
            <w:col w:w="400" w:space="260"/>
            <w:col w:w="4840" w:space="720"/>
            <w:col w:w="80" w:space="240"/>
            <w:col w:w="4600"/>
          </w:cols>
          <w:pgMar w:left="320" w:top="890" w:right="439" w:bottom="1440" w:gutter="0" w:footer="0" w:header="0"/>
        </w:sectPr>
      </w:pPr>
    </w:p>
    <w:p>
      <w:pPr>
        <w:spacing w:after="0" w:line="27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type w:val="continuous"/>
        </w:sectPr>
      </w:pPr>
    </w:p>
    <w:bookmarkStart w:id="46" w:name="page47"/>
    <w:bookmarkEnd w:id="46"/>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For the three and nine months ended September 30, 2022,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2021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0"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 xml:space="preserve">Our financial results are sensitive to fluctuations in oil, NGL and natural gas prices. These commodity price changes also impact the volume changes under our PSC-type contracts. We maintain a commodity hedging program primarily focused on hedging crude oil sales to help protect our cash flows, margins and capital program from the volatility of crude oil prices. As of September 30, 2022, we had net liabilities of $191 million for our derivative commodity positions which are carried at fair value. For more information on our derivative positions as of September 30, 2022, refer to </w:t>
      </w:r>
      <w:r>
        <w:rPr>
          <w:rFonts w:ascii="Arial" w:cs="Arial" w:eastAsia="Arial" w:hAnsi="Arial"/>
          <w:sz w:val="18"/>
          <w:szCs w:val="18"/>
          <w:i w:val="1"/>
          <w:iCs w:val="1"/>
          <w:color w:val="auto"/>
        </w:rPr>
        <w:t>Part I, Item 1 – Financial Statements, Note 10 Derivatives.</w:t>
      </w:r>
      <w:r>
        <w:rPr>
          <w:rFonts w:ascii="Arial" w:cs="Arial" w:eastAsia="Arial" w:hAnsi="Arial"/>
          <w:sz w:val="18"/>
          <w:szCs w:val="18"/>
          <w:color w:val="auto"/>
        </w:rPr>
        <w:t xml:space="preserve"> We have price exposure for natural gas we purchase and use in our business. We used natural gas to generate electricity for our operations and higher natural gas prices will also result in an increase to our electricity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w:t>
      </w:r>
    </w:p>
    <w:p>
      <w:pPr>
        <w:spacing w:after="0" w:line="20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of September 30, 2022, the majority of our credit exposure was with investment-grade counterparties. We believe exposure to counterparty credit-related losses related to our business at September 30, 2022 was not material and losses associated with counterparty credit risk have been insignificant for all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50"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Changes in interest rate may affect the amount of interest we pay on our long-term debt. We had no variable-rate debt outstanding as of September 30, 2022. Our Senior Notes bear interest at a fixed rate of 7.125% per annum.</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5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Our Chief Executive Officer and our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September 30, 2022.</w:t>
      </w:r>
    </w:p>
    <w:p>
      <w:pPr>
        <w:spacing w:after="0" w:line="13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September 30, 2022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47" w:name="page48"/>
    <w:bookmarkEnd w:id="47"/>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9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2021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2021 Annual Report. Except as set forth below, there were no material changes to those risk factors during the nine months ended September 30, 2022.</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California regulations regarding setbacks are expected to reduce the value of our proved reserves.</w:t>
      </w:r>
    </w:p>
    <w:p>
      <w:pPr>
        <w:spacing w:after="0" w:line="2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September 16, 2022, the Governor of California signed Senate Bill No. 1137 into law, which establishes 3,200 feet as the minimum distance between new oil and gas production wells and certain sensitive receptors such as homes, schools or parks effective January 1, 2023. This bill also imposes health, safety and environmental controls applicable to both current and new wells located within this distance of sensitive receptors related to noise, light, and dust pollution controls and air emission monitoring, as well as providing for the immediate suspension of operations at production facilities determined to not be in compliance with certain air emission requirements, among other matters. The latter provisions are effective January 1, 2025. We do not expect this bill to result in any change in our existing proved developed producing reserves or current production rates or any material change to the timing of plugging and abandonment liabilities. As a result of this bill, our development plans will change but we do not currently expect its overall pace of development to be affected materially. We will continue to monitor the effects of the new law on our operations.</w:t>
      </w:r>
    </w:p>
    <w:p>
      <w:pPr>
        <w:spacing w:after="0" w:line="20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Board of Directors authorized a Share Repurchase Program to acquire up to $650 million of our common stock through June 30, 2023. On November 2, 2022, our Board of Directors increased the Share Repurchase Program to $850 million and extended the program through December 31, 2023. 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 repurchase activity for the three months ended September 30, 2022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8"/>
                <w:szCs w:val="18"/>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c>
          <w:tcPr>
            <w:tcW w:w="0" w:type="dxa"/>
            <w:vAlign w:val="bottom"/>
          </w:tcPr>
          <w:p>
            <w:pPr>
              <w:spacing w:after="0"/>
              <w:rPr>
                <w:sz w:val="1"/>
                <w:szCs w:val="1"/>
                <w:color w:val="auto"/>
              </w:rPr>
            </w:pPr>
          </w:p>
        </w:tc>
      </w:tr>
      <w:tr>
        <w:trPr>
          <w:trHeight w:val="181"/>
        </w:trPr>
        <w:tc>
          <w:tcPr>
            <w:tcW w:w="4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of Shares</w:t>
            </w:r>
          </w:p>
        </w:tc>
        <w:tc>
          <w:tcPr>
            <w:tcW w:w="11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rPr>
              <w:t>Price Paid</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5"/>
                <w:szCs w:val="15"/>
                <w:color w:val="auto"/>
              </w:rPr>
            </w:pPr>
          </w:p>
        </w:tc>
        <w:tc>
          <w:tcPr>
            <w:tcW w:w="2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30"/>
        </w:trPr>
        <w:tc>
          <w:tcPr>
            <w:tcW w:w="4200" w:type="dxa"/>
            <w:vAlign w:val="bottom"/>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per Share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 or Programs</w:t>
            </w:r>
          </w:p>
        </w:tc>
        <w:tc>
          <w:tcPr>
            <w:tcW w:w="140" w:type="dxa"/>
            <w:vAlign w:val="bottom"/>
          </w:tcPr>
          <w:p>
            <w:pPr>
              <w:spacing w:after="0"/>
              <w:rPr>
                <w:sz w:val="19"/>
                <w:szCs w:val="19"/>
                <w:color w:val="auto"/>
              </w:rPr>
            </w:pPr>
          </w:p>
        </w:tc>
        <w:tc>
          <w:tcPr>
            <w:tcW w:w="220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2022 - July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1,122,947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1,122,947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August 1, 2022 - August 31, 2022</w:t>
            </w:r>
          </w:p>
        </w:tc>
        <w:tc>
          <w:tcPr>
            <w:tcW w:w="1240" w:type="dxa"/>
            <w:vAlign w:val="bottom"/>
          </w:tcPr>
          <w:p>
            <w:pPr>
              <w:jc w:val="right"/>
              <w:spacing w:after="0"/>
              <w:rPr>
                <w:sz w:val="20"/>
                <w:szCs w:val="20"/>
                <w:color w:val="auto"/>
              </w:rPr>
            </w:pPr>
            <w:r>
              <w:rPr>
                <w:rFonts w:ascii="Arial" w:cs="Arial" w:eastAsia="Arial" w:hAnsi="Arial"/>
                <w:sz w:val="18"/>
                <w:szCs w:val="18"/>
                <w:color w:val="auto"/>
              </w:rPr>
              <w:t>527,187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527,187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2022 - September 30,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 dollar value of shares that may yet be purchased under the Share Repurchase Program totaled $255 million as of September 30, 2022</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48" w:name="page49"/>
    <w:bookmarkEnd w:id="48"/>
    <w:p>
      <w:pPr>
        <w:ind w:left="20" w:hanging="17"/>
        <w:spacing w:after="0" w:line="443" w:lineRule="auto"/>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3.1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Exhibits</w:t>
      </w:r>
    </w:p>
    <w:p>
      <w:pPr>
        <w:spacing w:after="0" w:line="158" w:lineRule="exact"/>
        <w:rPr>
          <w:sz w:val="20"/>
          <w:szCs w:val="20"/>
          <w:color w:val="auto"/>
        </w:rPr>
      </w:pPr>
    </w:p>
    <w:p>
      <w:pPr>
        <w:ind w:left="160" w:right="200"/>
        <w:spacing w:after="0" w:line="271" w:lineRule="auto"/>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Amended and Restated Certificate of Incorporation of California Resources Corporation (filed as Exhibit 3.1 to Registrant’s</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Registration Statement on Form 8-A filed October 27, 2020 and incorporated herein by reference).</w:t>
        </w:r>
      </w:hyperlink>
    </w:p>
    <w:p>
      <w:pPr>
        <w:spacing w:after="0" w:line="59" w:lineRule="exact"/>
        <w:rPr>
          <w:sz w:val="20"/>
          <w:szCs w:val="20"/>
          <w:color w:val="auto"/>
        </w:rPr>
      </w:pPr>
    </w:p>
    <w:p>
      <w:pPr>
        <w:ind w:left="160"/>
        <w:spacing w:after="0" w:line="271" w:lineRule="auto"/>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Certificate of Amendment of Amended and Restated Certificate of Incorporation of California Resources Corporation (filed as</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Exhibit 3.1 to Registrant's Current Report on Form 8-K filed on May 6, 2022 and incorporated herein by reference).</w:t>
        </w:r>
      </w:hyperlink>
    </w:p>
    <w:p>
      <w:pPr>
        <w:spacing w:after="0" w:line="46" w:lineRule="exact"/>
        <w:rPr>
          <w:sz w:val="20"/>
          <w:szCs w:val="20"/>
          <w:color w:val="auto"/>
        </w:rPr>
      </w:pPr>
    </w:p>
    <w:p>
      <w:pPr>
        <w:sectPr>
          <w:pgSz w:w="11900" w:h="16838" w:orient="portrait"/>
          <w:cols w:equalWidth="0" w:num="2">
            <w:col w:w="520" w:space="440"/>
            <w:col w:w="10080"/>
          </w:cols>
          <w:pgMar w:left="320" w:top="890" w:right="539" w:bottom="1440" w:gutter="0" w:footer="0" w:header="0"/>
        </w:sectPr>
      </w:pPr>
    </w:p>
    <w:tbl>
      <w:tblPr>
        <w:tblLayout w:type="fixed"/>
        <w:tblInd w:w="20" w:type="dxa"/>
        <w:tblCellMar>
          <w:top w:w="0" w:type="dxa"/>
          <w:left w:w="0" w:type="dxa"/>
          <w:bottom w:w="0" w:type="dxa"/>
          <w:right w:w="0" w:type="dxa"/>
        </w:tblCellMar>
      </w:tblPr>
      <w:tr>
        <w:trPr>
          <w:trHeight w:val="208"/>
        </w:trPr>
        <w:tc>
          <w:tcPr>
            <w:tcW w:w="1100" w:type="dxa"/>
            <w:vAlign w:val="bottom"/>
          </w:tcPr>
          <w:p>
            <w:pPr>
              <w:spacing w:after="0"/>
              <w:rPr>
                <w:sz w:val="20"/>
                <w:szCs w:val="20"/>
                <w:color w:val="auto"/>
              </w:rPr>
            </w:pPr>
            <w:r>
              <w:rPr>
                <w:rFonts w:ascii="Arial" w:cs="Arial" w:eastAsia="Arial" w:hAnsi="Arial"/>
                <w:sz w:val="18"/>
                <w:szCs w:val="18"/>
                <w:color w:val="auto"/>
              </w:rPr>
              <w:t>3.3</w:t>
            </w:r>
          </w:p>
        </w:tc>
        <w:tc>
          <w:tcPr>
            <w:tcW w:w="9520" w:type="dxa"/>
            <w:vAlign w:val="bottom"/>
            <w:gridSpan w:val="6"/>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Amended and Restated Bylaws of California Resources Corporation (filed as Exhibit 3.2 to the Registrant’s Registration</w:t>
              </w:r>
            </w:hyperlink>
          </w:p>
        </w:tc>
      </w:tr>
      <w:tr>
        <w:trPr>
          <w:trHeight w:val="183"/>
        </w:trPr>
        <w:tc>
          <w:tcPr>
            <w:tcW w:w="1100" w:type="dxa"/>
            <w:vAlign w:val="bottom"/>
          </w:tcPr>
          <w:p>
            <w:pPr>
              <w:spacing w:after="0"/>
              <w:rPr>
                <w:sz w:val="15"/>
                <w:szCs w:val="15"/>
                <w:color w:val="auto"/>
              </w:rPr>
            </w:pPr>
          </w:p>
        </w:tc>
        <w:tc>
          <w:tcPr>
            <w:tcW w:w="950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Statement on Form 8-A filed October 27, 2020 and incorporated herein by reference).</w:t>
              </w:r>
            </w:hyperlink>
          </w:p>
        </w:tc>
        <w:tc>
          <w:tcPr>
            <w:tcW w:w="20" w:type="dxa"/>
            <w:vAlign w:val="bottom"/>
          </w:tcPr>
          <w:p>
            <w:pPr>
              <w:spacing w:after="0"/>
              <w:rPr>
                <w:sz w:val="15"/>
                <w:szCs w:val="15"/>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64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of CEO Pursuant to Section 302 of the Sarbanes-Oxley Act of 2002.</w:t>
            </w:r>
          </w:p>
        </w:tc>
        <w:tc>
          <w:tcPr>
            <w:tcW w:w="380" w:type="dxa"/>
            <w:vAlign w:val="bottom"/>
            <w:tcBorders>
              <w:top w:val="single" w:sz="8" w:color="0000FF"/>
            </w:tcBorders>
          </w:tcPr>
          <w:p>
            <w:pPr>
              <w:spacing w:after="0"/>
              <w:rPr>
                <w:sz w:val="24"/>
                <w:szCs w:val="24"/>
                <w:color w:val="auto"/>
              </w:rPr>
            </w:pPr>
          </w:p>
        </w:tc>
        <w:tc>
          <w:tcPr>
            <w:tcW w:w="2720" w:type="dxa"/>
            <w:vAlign w:val="bottom"/>
            <w:gridSpan w:val="3"/>
          </w:tcPr>
          <w:p>
            <w:pPr>
              <w:spacing w:after="0"/>
              <w:rPr>
                <w:sz w:val="24"/>
                <w:szCs w:val="24"/>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520" w:type="dxa"/>
            <w:vAlign w:val="bottom"/>
            <w:gridSpan w:val="6"/>
          </w:tcPr>
          <w:p>
            <w:pPr>
              <w:spacing w:after="0"/>
              <w:rPr>
                <w:sz w:val="20"/>
                <w:szCs w:val="20"/>
                <w:color w:val="auto"/>
              </w:rPr>
            </w:pPr>
            <w:r>
              <w:rPr>
                <w:rFonts w:ascii="Arial" w:cs="Arial" w:eastAsia="Arial" w:hAnsi="Arial"/>
                <w:sz w:val="18"/>
                <w:szCs w:val="18"/>
                <w:color w:val="0000FF"/>
              </w:rPr>
              <w:t>Certification of CFO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640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520" w:type="dxa"/>
            <w:vAlign w:val="bottom"/>
            <w:gridSpan w:val="6"/>
          </w:tcPr>
          <w:p>
            <w:pPr>
              <w:spacing w:after="0"/>
              <w:rPr>
                <w:sz w:val="20"/>
                <w:szCs w:val="20"/>
                <w:color w:val="auto"/>
              </w:rPr>
            </w:pPr>
            <w:r>
              <w:rPr>
                <w:rFonts w:ascii="Arial" w:cs="Arial" w:eastAsia="Arial" w:hAnsi="Arial"/>
                <w:sz w:val="18"/>
                <w:szCs w:val="18"/>
                <w:color w:val="0000FF"/>
              </w:rPr>
              <w:t>Certifications of CEO and CFO Pursuant to Section 906 of the Sarbanes-Oxley Act of 2002.</w:t>
            </w:r>
          </w:p>
        </w:tc>
      </w:tr>
      <w:tr>
        <w:trPr>
          <w:trHeight w:val="308"/>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2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2240" w:type="dxa"/>
            <w:vAlign w:val="bottom"/>
            <w:gridSpan w:val="2"/>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5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5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5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5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5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5" w:lineRule="exact"/>
        <w:rPr>
          <w:sz w:val="20"/>
          <w:szCs w:val="20"/>
          <w:color w:val="auto"/>
        </w:rPr>
      </w:pPr>
    </w:p>
    <w:p>
      <w:pPr>
        <w:ind w:left="1120" w:hanging="1094"/>
        <w:spacing w:after="0"/>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herewith</w:t>
      </w: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type w:val="continuous"/>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80" w:type="dxa"/>
            <w:vAlign w:val="bottom"/>
            <w:gridSpan w:val="2"/>
          </w:tcPr>
          <w:p>
            <w:pPr>
              <w:ind w:left="820"/>
              <w:spacing w:after="0"/>
              <w:rPr>
                <w:sz w:val="20"/>
                <w:szCs w:val="20"/>
                <w:color w:val="auto"/>
              </w:rPr>
            </w:pPr>
            <w:r>
              <w:rPr>
                <w:rFonts w:ascii="Arial" w:cs="Arial" w:eastAsia="Arial" w:hAnsi="Arial"/>
                <w:sz w:val="18"/>
                <w:szCs w:val="18"/>
                <w:color w:val="auto"/>
              </w:rPr>
              <w:t>CALIFORNIA RESOURCES CORPORATION</w:t>
            </w:r>
          </w:p>
        </w:tc>
      </w:tr>
      <w:tr>
        <w:trPr>
          <w:trHeight w:val="59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540" w:type="dxa"/>
            <w:vAlign w:val="bottom"/>
          </w:tcPr>
          <w:p>
            <w:pPr>
              <w:ind w:left="240"/>
              <w:spacing w:after="0"/>
              <w:rPr>
                <w:sz w:val="20"/>
                <w:szCs w:val="20"/>
                <w:color w:val="auto"/>
              </w:rPr>
            </w:pPr>
            <w:r>
              <w:rPr>
                <w:rFonts w:ascii="Arial" w:cs="Arial" w:eastAsia="Arial" w:hAnsi="Arial"/>
                <w:sz w:val="18"/>
                <w:szCs w:val="18"/>
                <w:color w:val="auto"/>
              </w:rPr>
              <w:t>November 7, 2022</w:t>
            </w:r>
          </w:p>
        </w:tc>
        <w:tc>
          <w:tcPr>
            <w:tcW w:w="82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Noelle M. Repetti</w:t>
            </w:r>
          </w:p>
        </w:tc>
      </w:tr>
      <w:tr>
        <w:trPr>
          <w:trHeight w:val="218"/>
        </w:trPr>
        <w:tc>
          <w:tcPr>
            <w:tcW w:w="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Noelle M. Repetti</w:t>
            </w:r>
          </w:p>
        </w:tc>
      </w:tr>
      <w:tr>
        <w:trPr>
          <w:trHeight w:val="229"/>
        </w:trPr>
        <w:tc>
          <w:tcPr>
            <w:tcW w:w="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and Controller</w:t>
            </w:r>
          </w:p>
        </w:tc>
      </w:tr>
      <w:tr>
        <w:trPr>
          <w:trHeight w:val="239"/>
        </w:trPr>
        <w:tc>
          <w:tcPr>
            <w:tcW w:w="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89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 Mark A. (Mac) McFarland, certify that:</w:t>
      </w:r>
    </w:p>
    <w:p>
      <w:pPr>
        <w:spacing w:after="0" w:line="358"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74" w:lineRule="auto"/>
        <w:tabs>
          <w:tab w:leader="none" w:pos="654"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60" w:right="360" w:hanging="328"/>
        <w:spacing w:after="0" w:line="266" w:lineRule="auto"/>
        <w:tabs>
          <w:tab w:leader="none" w:pos="65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66" w:lineRule="auto"/>
        <w:tabs>
          <w:tab w:leader="none" w:pos="129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300" w:right="20" w:hanging="644"/>
        <w:spacing w:after="0" w:line="274" w:lineRule="auto"/>
        <w:tabs>
          <w:tab w:leader="none" w:pos="129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7"/>
          <w:szCs w:val="17"/>
          <w:color w:val="auto"/>
        </w:rPr>
      </w:pPr>
    </w:p>
    <w:p>
      <w:pPr>
        <w:ind w:left="1300" w:right="80" w:hanging="644"/>
        <w:spacing w:after="0" w:line="266" w:lineRule="auto"/>
        <w:tabs>
          <w:tab w:leader="none" w:pos="129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7"/>
          <w:szCs w:val="17"/>
          <w:color w:val="auto"/>
        </w:rPr>
      </w:pPr>
    </w:p>
    <w:p>
      <w:pPr>
        <w:ind w:left="1300" w:right="260" w:hanging="644"/>
        <w:spacing w:after="0" w:line="266" w:lineRule="auto"/>
        <w:tabs>
          <w:tab w:leader="none" w:pos="129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7"/>
          <w:szCs w:val="17"/>
          <w:color w:val="auto"/>
        </w:rPr>
      </w:pPr>
    </w:p>
    <w:p>
      <w:pPr>
        <w:ind w:left="660" w:right="360" w:hanging="328"/>
        <w:spacing w:after="0" w:line="274" w:lineRule="auto"/>
        <w:tabs>
          <w:tab w:leader="none" w:pos="65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2" w:lineRule="exact"/>
        <w:rPr>
          <w:rFonts w:ascii="Arial" w:cs="Arial" w:eastAsia="Arial" w:hAnsi="Arial"/>
          <w:sz w:val="17"/>
          <w:szCs w:val="17"/>
          <w:color w:val="auto"/>
        </w:rPr>
      </w:pPr>
    </w:p>
    <w:p>
      <w:pPr>
        <w:ind w:left="1300" w:right="140" w:hanging="644"/>
        <w:spacing w:after="0" w:line="284" w:lineRule="auto"/>
        <w:tabs>
          <w:tab w:leader="none" w:pos="1293"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84" w:lineRule="auto"/>
        <w:tabs>
          <w:tab w:leader="none" w:pos="1293"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Date: November 7, 2022</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27305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Mark A. (Mac) McFarland</w:t>
      </w:r>
    </w:p>
    <w:p>
      <w:pPr>
        <w:spacing w:after="0" w:line="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President and Chief Executive Officer</w:t>
      </w:r>
    </w:p>
    <w:p>
      <w:pPr>
        <w:spacing w:after="0" w:line="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33"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45"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66"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660" w:right="380" w:hanging="652"/>
        <w:spacing w:after="0" w:line="284"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ind w:left="660" w:right="360" w:hanging="652"/>
        <w:spacing w:after="0" w:line="258"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74"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7"/>
          <w:szCs w:val="17"/>
          <w:color w:val="auto"/>
        </w:rPr>
      </w:pPr>
    </w:p>
    <w:p>
      <w:pPr>
        <w:ind w:left="1300" w:right="20" w:hanging="644"/>
        <w:spacing w:after="0" w:line="266"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1300" w:right="80" w:hanging="644"/>
        <w:spacing w:after="0" w:line="274" w:lineRule="auto"/>
        <w:tabs>
          <w:tab w:leader="none" w:pos="129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7"/>
          <w:szCs w:val="17"/>
          <w:color w:val="auto"/>
        </w:rPr>
      </w:pPr>
    </w:p>
    <w:p>
      <w:pPr>
        <w:ind w:left="1300" w:right="260" w:hanging="644"/>
        <w:spacing w:after="0" w:line="266"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60" w:right="360" w:hanging="652"/>
        <w:spacing w:after="0" w:line="274"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300" w:right="140" w:hanging="644"/>
        <w:spacing w:after="0" w:line="284"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301"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Date: November 7, 2022</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27305</wp:posOffset>
            </wp:positionV>
            <wp:extent cx="28803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9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10" w:lineRule="exact"/>
        <w:rPr>
          <w:sz w:val="20"/>
          <w:szCs w:val="20"/>
          <w:color w:val="auto"/>
        </w:rPr>
      </w:pPr>
    </w:p>
    <w:p>
      <w:pPr>
        <w:ind w:right="20" w:firstLine="324"/>
        <w:spacing w:after="0" w:line="282" w:lineRule="auto"/>
        <w:rPr>
          <w:sz w:val="20"/>
          <w:szCs w:val="20"/>
          <w:color w:val="auto"/>
        </w:rPr>
      </w:pPr>
      <w:r>
        <w:rPr>
          <w:rFonts w:ascii="Arial" w:cs="Arial" w:eastAsia="Arial" w:hAnsi="Arial"/>
          <w:sz w:val="17"/>
          <w:szCs w:val="17"/>
          <w:color w:val="auto"/>
        </w:rPr>
        <w:t>In connection with the Quarterly Report on Form 10-Q of California Resources Corporation (the “Company”) for the fiscal period ended September 30, 2022, as filed with the Securities and Exchange Commission on November 7, 2022 (the “Report”), Mark A. (Mac) McFarland,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377"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(Mac) McFarland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A. (Mac) McFarland</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November 7, 2022</w:t>
            </w:r>
          </w:p>
        </w:tc>
      </w:tr>
      <w:tr>
        <w:trPr>
          <w:trHeight w:val="347"/>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18"/>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November 7, 2022</w:t>
            </w:r>
          </w:p>
        </w:tc>
      </w:tr>
    </w:tbl>
    <w:p>
      <w:pPr>
        <w:spacing w:after="0" w:line="396"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31"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Roman"/>
      <w:start w:val="2"/>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lvl w:ilvl="1">
      <w:lvlJc w:val="left"/>
      <w:lvlText w:val="%2"/>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57" Type="http://schemas.openxmlformats.org/officeDocument/2006/relationships/hyperlink" Target="http://www.sec.gov/Archives/edgar/data/1609253/000160925320000137/a8aex31.htm" TargetMode="External"/><Relationship Id="rId58" Type="http://schemas.openxmlformats.org/officeDocument/2006/relationships/hyperlink" Target="http://www.sec.gov/Archives/edgar/data/1609253/000160925322000036/a20220504ex31.htm" TargetMode="External"/><Relationship Id="rId59" Type="http://schemas.openxmlformats.org/officeDocument/2006/relationships/hyperlink" Target="http://www.sec.gov/Archives/edgar/data/1609253/000160925320000137/a8a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2022-11-07T17:22:07Z</dcterms:created>
  <dcterms:modified xsi:type="dcterms:W3CDTF">2022-11-07T17:22:07Z</dcterms:modified>
</cp:coreProperties>
</file>