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On July 1, 2024, California Resources Corporation, a Delaware corporation (“</w:t>
      </w:r>
      <w:r>
        <w:rPr>
          <w:rFonts w:ascii="Times New Roman" w:cs="Times New Roman" w:eastAsia="Times New Roman" w:hAnsi="Times New Roman"/>
          <w:sz w:val="18"/>
          <w:szCs w:val="18"/>
          <w:u w:val="single" w:color="auto"/>
          <w:color w:val="auto"/>
        </w:rPr>
        <w:t>CRC</w:t>
      </w:r>
      <w:r>
        <w:rPr>
          <w:rFonts w:ascii="Times New Roman" w:cs="Times New Roman" w:eastAsia="Times New Roman" w:hAnsi="Times New Roman"/>
          <w:sz w:val="18"/>
          <w:szCs w:val="18"/>
          <w:color w:val="auto"/>
        </w:rPr>
        <w:t>”), completed the transactions contemplated by the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described in our Current Report on Form 8-K, filed on February 9, 2024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As a result of the Transaction, Aera Energy, LLC (together with its wholly-owned subsidiaries, “</w:t>
      </w:r>
      <w:r>
        <w:rPr>
          <w:rFonts w:ascii="Times New Roman" w:cs="Times New Roman" w:eastAsia="Times New Roman" w:hAnsi="Times New Roman"/>
          <w:sz w:val="18"/>
          <w:szCs w:val="18"/>
          <w:u w:val="single" w:color="auto"/>
          <w:color w:val="auto"/>
        </w:rPr>
        <w:t>Aera</w:t>
      </w:r>
      <w:r>
        <w:rPr>
          <w:rFonts w:ascii="Times New Roman" w:cs="Times New Roman" w:eastAsia="Times New Roman" w:hAnsi="Times New Roman"/>
          <w:sz w:val="18"/>
          <w:szCs w:val="18"/>
          <w:color w:val="auto"/>
        </w:rPr>
        <w:t>”) and its operating affiliate Aera Energy Services Company (together with Aera, the “</w:t>
      </w:r>
      <w:r>
        <w:rPr>
          <w:rFonts w:ascii="Times New Roman" w:cs="Times New Roman" w:eastAsia="Times New Roman" w:hAnsi="Times New Roman"/>
          <w:sz w:val="18"/>
          <w:szCs w:val="18"/>
          <w:u w:val="single" w:color="auto"/>
          <w:color w:val="auto"/>
        </w:rPr>
        <w:t>Aera Companies</w:t>
      </w:r>
      <w:r>
        <w:rPr>
          <w:rFonts w:ascii="Times New Roman" w:cs="Times New Roman" w:eastAsia="Times New Roman" w:hAnsi="Times New Roman"/>
          <w:sz w:val="18"/>
          <w:szCs w:val="18"/>
          <w:color w:val="auto"/>
        </w:rPr>
        <w:t>”) are now wholly-owned subsidiaries of CRC.</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Registration Rights Agreement and Stockholder Agreements.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text set forth under the “Introductory Note” above is incorporated herein by reference.</w:t>
      </w:r>
    </w:p>
    <w:p>
      <w:pPr>
        <w:spacing w:after="0" w:line="225" w:lineRule="exact"/>
        <w:rPr>
          <w:sz w:val="20"/>
          <w:szCs w:val="20"/>
          <w:color w:val="auto"/>
        </w:rPr>
      </w:pPr>
    </w:p>
    <w:p>
      <w:pPr>
        <w:ind w:left="4" w:right="180" w:firstLine="440"/>
        <w:spacing w:after="0" w:line="269" w:lineRule="auto"/>
        <w:rPr>
          <w:sz w:val="20"/>
          <w:szCs w:val="20"/>
          <w:color w:val="auto"/>
        </w:rPr>
      </w:pPr>
      <w:r>
        <w:rPr>
          <w:rFonts w:ascii="Times New Roman" w:cs="Times New Roman" w:eastAsia="Times New Roman" w:hAnsi="Times New Roman"/>
          <w:sz w:val="17"/>
          <w:szCs w:val="17"/>
          <w:color w:val="auto"/>
        </w:rPr>
        <w:t>At the effective time of the Transaction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CRC entered into (i) a Registration Rights Agreement (the “</w:t>
      </w: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(x) IKAV Energy Inc., a Delaware corporation, IKAV Impact S.a.r.l., a Luxembourg corporation, and Simlog Inc., a Delaware corporation (collectively, “</w:t>
      </w:r>
      <w:r>
        <w:rPr>
          <w:rFonts w:ascii="Times New Roman" w:cs="Times New Roman" w:eastAsia="Times New Roman" w:hAnsi="Times New Roman"/>
          <w:sz w:val="17"/>
          <w:szCs w:val="17"/>
          <w:u w:val="single" w:color="auto"/>
          <w:color w:val="auto"/>
        </w:rPr>
        <w:t>IKAV Seller</w:t>
      </w:r>
      <w:r>
        <w:rPr>
          <w:rFonts w:ascii="Times New Roman" w:cs="Times New Roman" w:eastAsia="Times New Roman" w:hAnsi="Times New Roman"/>
          <w:sz w:val="17"/>
          <w:szCs w:val="17"/>
          <w:color w:val="auto"/>
        </w:rPr>
        <w:t>”), (y) Oaktree Huntington Investment Fund II AIF (Delaware), L.P. – Class C, Oaktree Huntington Investment Fund II AIF (Delaware), L.P. – Class G, OCM Opps XI AIV Holdings (Delaware), L.P., OCM Opps Xb AIF Holdings (Delaware), L.P., each a Delaware limited partnership, and OCM Aera E Holdings, LLC, a Delaware limited liability company (collectively, “</w:t>
      </w:r>
      <w:r>
        <w:rPr>
          <w:rFonts w:ascii="Times New Roman" w:cs="Times New Roman" w:eastAsia="Times New Roman" w:hAnsi="Times New Roman"/>
          <w:sz w:val="17"/>
          <w:szCs w:val="17"/>
          <w:u w:val="single" w:color="auto"/>
          <w:color w:val="auto"/>
        </w:rPr>
        <w:t>IKAV Co-Invest Seller</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left="4" w:right="100" w:hanging="4"/>
        <w:spacing w:after="0" w:line="253"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CPP Investment Board Private Holdings (6), Inc., a Canadian corporation (“</w:t>
      </w:r>
      <w:r>
        <w:rPr>
          <w:rFonts w:ascii="Times New Roman" w:cs="Times New Roman" w:eastAsia="Times New Roman" w:hAnsi="Times New Roman"/>
          <w:sz w:val="18"/>
          <w:szCs w:val="18"/>
          <w:u w:val="single" w:color="auto"/>
          <w:color w:val="auto"/>
        </w:rPr>
        <w:t>CPP Seller</w:t>
      </w:r>
      <w:r>
        <w:rPr>
          <w:rFonts w:ascii="Times New Roman" w:cs="Times New Roman" w:eastAsia="Times New Roman" w:hAnsi="Times New Roman"/>
          <w:sz w:val="18"/>
          <w:szCs w:val="18"/>
          <w:color w:val="auto"/>
        </w:rPr>
        <w:t>” and, together with IKAV Seller and IKAV Co-Invest Seller,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(ii) Stockholder Agreements with each of IKAV Seller and CPP Seller (the “</w:t>
      </w:r>
      <w:r>
        <w:rPr>
          <w:rFonts w:ascii="Times New Roman" w:cs="Times New Roman" w:eastAsia="Times New Roman" w:hAnsi="Times New Roman"/>
          <w:sz w:val="18"/>
          <w:szCs w:val="18"/>
          <w:u w:val="single" w:color="auto"/>
          <w:color w:val="auto"/>
        </w:rPr>
        <w:t>Stockholder Agreements</w:t>
      </w:r>
      <w:r>
        <w:rPr>
          <w:rFonts w:ascii="Times New Roman" w:cs="Times New Roman" w:eastAsia="Times New Roman" w:hAnsi="Times New Roman"/>
          <w:sz w:val="18"/>
          <w:szCs w:val="18"/>
          <w:color w:val="auto"/>
        </w:rPr>
        <w:t>”), which agreements are described under the captions “Registration Rights Agreement” and “Stockholder Agreements” in CRC’s Current Report on Form 8-K, filed on February 9, 2024.</w:t>
      </w:r>
    </w:p>
    <w:p>
      <w:pPr>
        <w:spacing w:after="0" w:line="18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and the Stockholder Agreements and the transactions contemplated thereby contained in this Item 1.01 does not purport to be complete and is subject to and qualified in its entirety by reference to the full text of the Registration Rights Agreement, which is filed as Exhibit 10.1 to this Current Report on Form 8-K, and the Stockholder Agreements, which are filed as Exhibits 10.2 and 10.3 to this Current Report on Form 8-K, and are in each case incorporated by reference herein.</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Fourth Amendment to CRC’s Amended and Restated Credit Agreement.</w:t>
      </w:r>
    </w:p>
    <w:p>
      <w:pPr>
        <w:spacing w:after="0" w:line="11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Transaction, CRC and certain of its subsidiaries entered into a fourth amendment (the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to the Amended and Restated Credit Agreement, dated as of April 26, 2023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by and among CRC, as borrower, Citibank, N.A., as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93"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administrative agent and collateral agent, and the banks, financial institutions and other lending institutions from time to time parties thereto. The Fourth Amendment provides for, among other things, an increase in the aggregate revolving commitments available under the Revolving Credit Facility from $630 million to $1.1 billion.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condition to the effectiveness of the Fourth Amendment, the Aera Companies and certain of their affiliates were joined as guarantors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Aera Guarantors</w:t>
      </w:r>
      <w:r>
        <w:rPr>
          <w:rFonts w:ascii="Times New Roman" w:cs="Times New Roman" w:eastAsia="Times New Roman" w:hAnsi="Times New Roman"/>
          <w:sz w:val="17"/>
          <w:szCs w:val="17"/>
          <w:color w:val="auto"/>
        </w:rPr>
        <w:t>”) of the obligations under the Revolving Credit Facility and granted security over substantially all of their assets, subject to customary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exclusions, to secure such guarantees. In addition, all amounts outstanding under Aera’s existing credit facilities were repaid and all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were terminated.</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Fourth Amendment and the transactions contemplated thereby contained in this Item 1.01 does not purport to be complete and is subject to and qualified in its entirety by reference to the full text of the Fourth Amendment, which is filed as Exhibit 10.5 to this Current Report on Form 8-K and incorporated by reference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w:t>
      </w:r>
    </w:p>
    <w:p>
      <w:pPr>
        <w:spacing w:after="0" w:line="11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Transaction and the guarantees by the Aera Guarantors of the obligations under the Revolving Credit Facility, CRC, certain of CRC’s other existing subsidiaries and the Aera Guarantors entered into (x) a supplemental indenture (the “</w:t>
      </w:r>
      <w:r>
        <w:rPr>
          <w:rFonts w:ascii="Times New Roman" w:cs="Times New Roman" w:eastAsia="Times New Roman" w:hAnsi="Times New Roman"/>
          <w:sz w:val="18"/>
          <w:szCs w:val="18"/>
          <w:u w:val="single" w:color="auto"/>
          <w:color w:val="auto"/>
        </w:rPr>
        <w:t>2026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that certain Indenture, dated as of January 20, 2021, among CRC, certain of CRC’s subsidiaries and Wilmington Trust,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(y) a supplemental indenture (the “</w:t>
      </w:r>
      <w:r>
        <w:rPr>
          <w:rFonts w:ascii="Times New Roman" w:cs="Times New Roman" w:eastAsia="Times New Roman" w:hAnsi="Times New Roman"/>
          <w:sz w:val="18"/>
          <w:szCs w:val="18"/>
          <w:u w:val="single" w:color="auto"/>
          <w:color w:val="auto"/>
        </w:rPr>
        <w:t>2029 Supplemental Indenture</w:t>
      </w:r>
      <w:r>
        <w:rPr>
          <w:rFonts w:ascii="Times New Roman" w:cs="Times New Roman" w:eastAsia="Times New Roman" w:hAnsi="Times New Roman"/>
          <w:sz w:val="18"/>
          <w:szCs w:val="18"/>
          <w:color w:val="auto"/>
        </w:rPr>
        <w:t>”) to that certain Indenture, dated as of June 4, 2024 among CRC, certain of CRC’s subsidiaries and the Trustee, in each case pursuant to which the Aera Guarantors have guaranteed the obligations of CRC with respect to the 7.125% Senior Notes due 2026 and the 8.250% Senior Notes due 2029, respectively.</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2026 Supplemental Indenture and the 2029 Supplemental Indenture, and the transactions contemplated thereby, contained in this Item 1.01 does not purport to be complete and is subject to and qualified in its entirety by reference to the full text of the 2026 Supplemental Indenture and the 2029 Supplemental Indenture, which are filed as Exhibit 10.6 and 10.7, respectively, to this Current Report on Form 8-K and incorporated by reference herein.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text set forth under the “Introductory Note” above is incorporated herein by reference.</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at the Closing, CRC completed the Transaction through a series of mergers of CRC merger subsidiaries and holding companies of the Aera Companies and issued to the Sellers consideration of 21,315,707 shares of common stock of CRC,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7" w:right="479" w:bottom="1440" w:gutter="0" w:footer="0" w:header="0"/>
        </w:sectPr>
      </w:pPr>
    </w:p>
    <w:bookmarkStart w:id="3" w:name="page4"/>
    <w:bookmarkEnd w:id="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Transaction and the Merger Agreement contained in this Item 2.01 does not purport to be complete and is subject to and qualified in its entirety by reference to the Merger Agreement, which was filed as Exhibit 10.1 to the Current Report on Form 8-K, filed on February 9, 2024,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On July 1, 2024, CRC issued a press release, providing, among other things, an operational update. A copy of this press release is attached hereto as Exhibit 99.1 to this Current Report on Form 8-K. In the press release, CRC announced certain pro forma combined net daily production amounts for CRC and the Aera Companies for April and May 2024.</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under Item 2.02, including the accompanying Exhibit 99.1, is being furnished pursuant to Item 2.02 of Form 8-K and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Such information shall not be incorporated by reference into any filing under the Securities Act of 1933, as amended, or the Exchange Act, whether made before or after the date hereof, except as shall be expressly set forth by specific reference in such a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Fourth Amendment, the 2026 Supplemental Indenture and the 2029 Supplemental Indenture and the related guarantees is incorporated by reference into this Item 2.03.</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text set forth in Item 2.01 above with respect to CRC’s issuance of Common Stock as consideration for the Transaction is incorporated into this Item 3.02 by reference.</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share issuance was made in reliance on an exemption from the registration requirements pursuant to Section 4(a)(2) of the Securities Act of 1933, as amended, and Rule 506 of Regulation D promulgated thereunder, since the share issuance does not involve any public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97" w:right="49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Appointment of Certain officers; Compensatory Arrangements of Certain Officers.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text set forth under Item 1.01 above is incorporated herein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11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Effective July 1, 2024, pursuant to the terms of the Stockholder Agreements, our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appointed Bobby Saadati and James Jackson as directors.</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404(a) of Regulation S-K with respect to Messrs. Saadati and Jackson is not yet determined. The Board has not yet determined whether Messrs. Saadati and Jackson will be named to any committees of the Board. CRC will file a Current Report on Form 8-K once such determinations have been made.</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Messrs. Saadati and Jackson will receive the same annual director compensation as is paid to the other non-employee directors under CRC’s compensation program for non-employee directors. The specific terms of such compensation are described further in CRC’s Definitive Proxy Statement on Schedule 14A, filed on March 21,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Entry into Indemnification Agreement.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appointments described above, CRC will enter into CRC’s standard form of indemnification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with each of Mr. Saadati and Mr. Jackson, pursuant to which CRC agrees to indemnify each of Mr. Saadati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Jackson to the fullest extent permitted under Delaware law against liability that may arise by reason of his service to CRC and to advance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incurred as a result of any proceeding against him to which he could be indemnified.</w:t>
      </w:r>
    </w:p>
    <w:p>
      <w:pPr>
        <w:spacing w:after="0" w:line="207"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qualified in its entirety by reference to the full and complete text of the Indemnification Agreement, a form of which is filed herewith as Exhibit 10.4, and is incorporated into this Item 5.02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June 28, 2024, Ms. Nicole Neeman Brady notified CRC of her intent to resign from the Board effective as of July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Neeman Brady’s decision to resign was not related to any disagreement with CRC regarding its operations, policies or practices. CRC thanks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 Neeman Brady for her outstanding leadership, knowledge, and contributions to CRC throughout her tenure on the Board and wishes her all the best.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3" w:right="479" w:bottom="1440" w:gutter="0" w:footer="0" w:header="0"/>
        </w:sectPr>
      </w:pPr>
    </w:p>
    <w:bookmarkStart w:id="5" w:name="page6"/>
    <w:bookmarkEnd w:id="5"/>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On July 1, 2024, CRC issued a press release announcing the completion of the Transaction and the appointment of two new directors to the Board.</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copy of this press release is attached hereto as Exhibit 99.1 to this Current Report on Form 8-K.</w:t>
      </w:r>
    </w:p>
    <w:p>
      <w:pPr>
        <w:spacing w:after="0" w:line="207" w:lineRule="exact"/>
        <w:rPr>
          <w:sz w:val="20"/>
          <w:szCs w:val="20"/>
          <w:color w:val="auto"/>
        </w:rPr>
      </w:pPr>
    </w:p>
    <w:p>
      <w:pPr>
        <w:jc w:val="both"/>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under Item 8.01, including the accompanying Exhibit 99.1, is being furnished pursuant to Item 8.01 of Form 8-K and shall not be deemed to be “filed” for purposes of Section 18 of the Exchange Act, or otherwise subject to the liabilities of that section. Such information shall not be incorporated by reference into any filing under the Securities Act of 1933, as amended, or the Exchange Act, whether made before or after the date hereof, except as shall be expressly set forth by specific reference in such a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audited consolidated and combined financial information of (i) the combined activity of the Aera Companies in respect of the period prior to February 28, 2023 and (ii)(x) the combined activity of Green Gate Holdings, LLC (“</w:t>
      </w:r>
      <w:r>
        <w:rPr>
          <w:rFonts w:ascii="Times New Roman" w:cs="Times New Roman" w:eastAsia="Times New Roman" w:hAnsi="Times New Roman"/>
          <w:sz w:val="18"/>
          <w:szCs w:val="18"/>
          <w:u w:val="single" w:color="auto"/>
          <w:color w:val="auto"/>
        </w:rPr>
        <w:t>GGR Holdings</w:t>
      </w:r>
      <w:r>
        <w:rPr>
          <w:rFonts w:ascii="Times New Roman" w:cs="Times New Roman" w:eastAsia="Times New Roman" w:hAnsi="Times New Roman"/>
          <w:sz w:val="18"/>
          <w:szCs w:val="18"/>
          <w:color w:val="auto"/>
        </w:rPr>
        <w:t>”) and its consolidated subsidiaries in respect of the period subsequent to the incorporation of GGR Holdings on August 31, 2022 through December 28, 2023 and (y) the combined activity of Green Gate Resources Parent, LLC (“</w:t>
      </w:r>
      <w:r>
        <w:rPr>
          <w:rFonts w:ascii="Times New Roman" w:cs="Times New Roman" w:eastAsia="Times New Roman" w:hAnsi="Times New Roman"/>
          <w:sz w:val="18"/>
          <w:szCs w:val="18"/>
          <w:u w:val="single" w:color="auto"/>
          <w:color w:val="auto"/>
        </w:rPr>
        <w:t>GGR Parent</w:t>
      </w:r>
      <w:r>
        <w:rPr>
          <w:rFonts w:ascii="Times New Roman" w:cs="Times New Roman" w:eastAsia="Times New Roman" w:hAnsi="Times New Roman"/>
          <w:sz w:val="18"/>
          <w:szCs w:val="18"/>
          <w:color w:val="auto"/>
        </w:rPr>
        <w:t>”) and its consolidated subsidiaries with respect to the period from and after December 29, 2023 (the entities described in clauses (i) and (ii) on an individual basis and collective basis, as the context requires, “</w:t>
      </w:r>
      <w:r>
        <w:rPr>
          <w:rFonts w:ascii="Times New Roman" w:cs="Times New Roman" w:eastAsia="Times New Roman" w:hAnsi="Times New Roman"/>
          <w:sz w:val="18"/>
          <w:szCs w:val="18"/>
          <w:u w:val="single" w:color="auto"/>
          <w:color w:val="auto"/>
        </w:rPr>
        <w:t>Aera Parent</w:t>
      </w:r>
      <w:r>
        <w:rPr>
          <w:rFonts w:ascii="Times New Roman" w:cs="Times New Roman" w:eastAsia="Times New Roman" w:hAnsi="Times New Roman"/>
          <w:sz w:val="18"/>
          <w:szCs w:val="18"/>
          <w:color w:val="auto"/>
        </w:rPr>
        <w:t>”), as of and for the fiscal years ended December 31, 2023 and 2022, and the notes related thereto, is included in CRC’s Definitive Proxy Statement on Schedule 14A, filed on May 7, 2024 (the “</w:t>
      </w:r>
      <w:r>
        <w:rPr>
          <w:rFonts w:ascii="Times New Roman" w:cs="Times New Roman" w:eastAsia="Times New Roman" w:hAnsi="Times New Roman"/>
          <w:sz w:val="18"/>
          <w:szCs w:val="18"/>
          <w:u w:val="single" w:color="auto"/>
          <w:color w:val="auto"/>
        </w:rPr>
        <w:t>Transaction Proxy Statement</w:t>
      </w:r>
      <w:r>
        <w:rPr>
          <w:rFonts w:ascii="Times New Roman" w:cs="Times New Roman" w:eastAsia="Times New Roman" w:hAnsi="Times New Roman"/>
          <w:sz w:val="18"/>
          <w:szCs w:val="18"/>
          <w:color w:val="auto"/>
        </w:rPr>
        <w:t>”), beginning on page F-4 thereof, and is incorporated herein by reference.</w:t>
      </w:r>
    </w:p>
    <w:p>
      <w:pPr>
        <w:spacing w:after="0" w:line="189"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The unaudited condensed combined financial information of Aera Parent, which includes condensed consolidated and combined (i) statements of operations for the three-month periods ending on March 31, 2024 and March 31, 2023, (ii) balance sheets as of March 31, 2024 and December 31, 2023,</w:t>
      </w:r>
    </w:p>
    <w:p>
      <w:pPr>
        <w:spacing w:after="0" w:line="1" w:lineRule="exact"/>
        <w:rPr>
          <w:sz w:val="20"/>
          <w:szCs w:val="20"/>
          <w:color w:val="auto"/>
        </w:rPr>
      </w:pPr>
    </w:p>
    <w:p>
      <w:pPr>
        <w:ind w:left="4" w:right="300" w:hanging="4"/>
        <w:spacing w:after="0" w:line="255"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members’ and stockholders’ equity as of March 31, 2024, and (iii) statements of cash flows for the three-month periods ending on March 31, 2024 and March 31, 2023, and the notes related thereto, is included in the offering memorandum excerpts filed as Exhibit 99.2 to CRC’s Current Report on Form 8-K, filed on May 20, 2024, beginning on page 18 thereof, and is incorporated herein by reference.</w:t>
      </w:r>
    </w:p>
    <w:p>
      <w:pPr>
        <w:spacing w:after="0" w:line="18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225"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CRC and Aera Parent for the fiscal year ended December 31, 2023 is included in the Transaction Proxy Statement, beginning on page 95 thereof, and is incorporated herein by reference.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93" w:right="479" w:bottom="1440" w:gutter="0" w:footer="0" w:header="0"/>
        </w:sectPr>
      </w:pPr>
    </w:p>
    <w:bookmarkStart w:id="6" w:name="page7"/>
    <w:bookmarkEnd w:id="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unaudited pro forma condensed combined financial information of CRC and Aera Parent, which includes a pro forma condensed combined balance sheet as of March 31, 2024, and pro forma condensed combined statements of operations for (i) the three-month period ended on March 31, 2024, (ii) the fiscal year ended on December 31, 2023 and (iii) the three-month period ended on March 31, 2023, and the notes related thereto, is included in the offering memorandum excerpts filed as Exhibit 99.2 to CRC’s Current Report on Form 8-K, filed on May 20, 2024, beginning on page 6 thereof, and is incorporated herein by reference.</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 Exhibits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97"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vMerge w:val="restart"/>
          </w:tcPr>
          <w:p>
            <w:pPr>
              <w:spacing w:after="0"/>
              <w:rPr>
                <w:sz w:val="13"/>
                <w:szCs w:val="13"/>
                <w:color w:val="auto"/>
              </w:rPr>
            </w:pPr>
          </w:p>
        </w:tc>
        <w:tc>
          <w:tcPr>
            <w:tcW w:w="528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5280" w:type="dxa"/>
            <w:vAlign w:val="bottom"/>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4"/>
                <w:szCs w:val="24"/>
                <w:color w:val="auto"/>
              </w:rPr>
            </w:pPr>
          </w:p>
        </w:tc>
        <w:tc>
          <w:tcPr>
            <w:tcW w:w="9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Agreement and Plan of Merger, dated February 7, 2024, by and among California Resources Corporation, a Delaware corporation, and</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Petra Merger Sub I, LLC, Petra Merger Sub C, LLC, Petra Merger Sub O, LLC, Petra Merger Sub O2, LLC, Petra Merger Sub O3, LLC,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each a Delaware limited liability company and a wholly-owned direct subsidiary of CRC, Petra Merger Sub S, LLC, a Delaware limited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liability company and a wholly-owned direct subsidiary of CRC, IKAV Impact USA Inc., a Delaware corporation, CPPIB Vedder US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Holdings LLC, a Delaware limited liability company, Opps Xb Aera E CTB, LLC, a Delaware limited liability company, Opps XI Aera 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CTB, LLC, a Delaware limited liability company, Green Gate COI, LLC, a Delaware limited liability company and solely for purposes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the Member Provisions (as defined in the Merger Agreement), IKAV Impact S.a.r.l., a Luxembourg corporation, Simlog Inc., a Delaware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corporation, and IKAV Energy Inc., a Delaware corporation, CPP Investment Board Private Holdings (6), Inc., a Canadian corporation,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OCM Opps Xb AIF Holdings (Delaware), L.P., a Delaware limited partnership, Oaktree Huntington Investment Fund II AIF (Delaware),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L.P. – Class C, a Delaware limited partnership, OCM Opps XI AIV Holdings (Delaware), L.P., a Delaware limited partnership and OCM</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Aera E Holdings, LLC, a Delaware limited liability company. (filed as Exhibit 10.1 to CRC’s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February 9, 2024, and incorporated herein by reference).*</w:t>
              </w:r>
            </w:hyperlink>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24"/>
                <w:szCs w:val="24"/>
                <w:color w:val="auto"/>
              </w:rPr>
            </w:pPr>
          </w:p>
        </w:tc>
        <w:tc>
          <w:tcPr>
            <w:tcW w:w="6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by and between CRC and the Sellers, dated as of July 1, 2024.</w:t>
            </w:r>
          </w:p>
        </w:tc>
        <w:tc>
          <w:tcPr>
            <w:tcW w:w="31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24"/>
                <w:szCs w:val="24"/>
                <w:color w:val="auto"/>
              </w:rPr>
            </w:pPr>
          </w:p>
        </w:tc>
        <w:tc>
          <w:tcPr>
            <w:tcW w:w="6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Stockholder Agreement, by and between CRC and IKAV Seller, dated as of July 1, 2024.</w:t>
            </w:r>
          </w:p>
        </w:tc>
        <w:tc>
          <w:tcPr>
            <w:tcW w:w="3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24"/>
                <w:szCs w:val="24"/>
                <w:color w:val="auto"/>
              </w:rPr>
            </w:pPr>
          </w:p>
        </w:tc>
        <w:tc>
          <w:tcPr>
            <w:tcW w:w="6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Stockholder Agreement, by and between CRC and CPP Seller dated as of July 1, 2024.</w:t>
            </w:r>
          </w:p>
        </w:tc>
        <w:tc>
          <w:tcPr>
            <w:tcW w:w="3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19"/>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of Indemnification Agreement between CRC and its directors and executive officers (filed as Exhibit 10.1 to CRC’s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on Form 8-K filed on October 27, 2020,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24"/>
                <w:szCs w:val="24"/>
                <w:color w:val="auto"/>
              </w:rPr>
            </w:pPr>
          </w:p>
        </w:tc>
        <w:tc>
          <w:tcPr>
            <w:tcW w:w="95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Fourth Amendment to Amended and Restated Credit Agreement, dated as of July 1, 2024, by and among CRC, the guarantors party</w:t>
            </w:r>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the banks, financial institution and other lending institutions from time to time parties as lenders thereto, and Citibank, N.A., as</w:t>
            </w: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administrative agent and collateral agent.</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Borders>
              <w:top w:val="single" w:sz="8" w:color="0000EE"/>
            </w:tcBorders>
          </w:tcPr>
          <w:p>
            <w:pPr>
              <w:spacing w:after="0"/>
              <w:rPr>
                <w:sz w:val="24"/>
                <w:szCs w:val="24"/>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440" w:top="278"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8" w:name="page9"/>
    <w:bookmarkEnd w:id="8"/>
    <w:p>
      <w:pPr>
        <w:ind w:left="664" w:hanging="660"/>
        <w:spacing w:after="0" w:line="273" w:lineRule="auto"/>
        <w:tabs>
          <w:tab w:leader="none" w:pos="6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10.6</w:t>
      </w:r>
      <w:r>
        <w:rPr>
          <w:sz w:val="20"/>
          <w:szCs w:val="20"/>
          <w:color w:val="auto"/>
        </w:rPr>
        <w:tab/>
      </w:r>
      <w:r>
        <w:rPr>
          <w:rFonts w:ascii="Times New Roman" w:cs="Times New Roman" w:eastAsia="Times New Roman" w:hAnsi="Times New Roman"/>
          <w:sz w:val="17"/>
          <w:szCs w:val="17"/>
          <w:u w:val="single" w:color="auto"/>
          <w:color w:val="0000EE"/>
        </w:rPr>
        <w:t>Supplemental Indenture to the 2026 Indenture,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the other guarantors party thereto, CRC and Wilmington Trust, National Association, as trustee.</w:t>
      </w:r>
    </w:p>
    <w:p>
      <w:pPr>
        <w:spacing w:after="0" w:line="63" w:lineRule="exact"/>
        <w:rPr>
          <w:sz w:val="20"/>
          <w:szCs w:val="20"/>
          <w:color w:val="auto"/>
        </w:rPr>
      </w:pPr>
    </w:p>
    <w:p>
      <w:pPr>
        <w:ind w:left="664" w:hanging="660"/>
        <w:spacing w:after="0" w:line="273" w:lineRule="auto"/>
        <w:tabs>
          <w:tab w:leader="none" w:pos="64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u w:val="single" w:color="auto"/>
          <w:color w:val="0000EE"/>
        </w:rPr>
        <w:t>Supplemental Indenture to the 2029 Indenture,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the other guarantors party thereto, CRC and Wilmington Trust, National Association, as trustee.</w:t>
      </w:r>
    </w:p>
    <w:p>
      <w:pPr>
        <w:spacing w:after="0" w:line="63"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 2024.</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424" w:right="180" w:hanging="424"/>
        <w:spacing w:after="0" w:line="257"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 exhibits pursuant to Item 601(a)(5) of Regulation S-K, which the registrant agrees to furnish supplementally to the SEC upon request by the SEC; provided, however, that the registrant may request confidential treatment pursuant to Rule 24b-2 of the Securities Exchange Act of 1934, as amended, for any schedules or exhibits so furnished.</w:t>
      </w:r>
    </w:p>
    <w:p>
      <w:pPr>
        <w:spacing w:after="0" w:line="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4"/>
          </w:cols>
          <w:pgMar w:left="436" w:top="297" w:right="51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Information set forth in this communication, including financial estimates and statements as to the effects of the Transaction pursuant to the Merger Agreement, constitute forward-looking statements within the meaning of the safe harbor provisions of the Private Securities Litigation Reform Act of 1995. All statements other than historical facts are forward-looking statements, and include statements regarding the benefits of the Transaction, CRC’s future financial position and operating results,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are subject to risks and uncertainties that could cause actual results to differ materially from those expressed in, projected in, or implied by, such statements. 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from those described in the forward-looking statements include: (i) Transaction costs,</w:t>
      </w:r>
    </w:p>
    <w:p>
      <w:pPr>
        <w:spacing w:after="0" w:line="1" w:lineRule="exact"/>
        <w:rPr>
          <w:sz w:val="20"/>
          <w:szCs w:val="20"/>
          <w:color w:val="auto"/>
        </w:rPr>
      </w:pPr>
    </w:p>
    <w:p>
      <w:pPr>
        <w:ind w:left="4" w:right="40" w:hanging="4"/>
        <w:spacing w:after="0" w:line="251"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liabilities, (iii) the risk that any announcements relating to the Transaction could have adverse effects on the market price of CRC’s Common Stock, (iv) the ability to successfully integrate the businesses, (v) the ability to achieve projected operational and capital synergies or it may take longer than expected to achieve those synergies, (vi) risks related to financial community and rating agency perceptions of CRC or its business, operations, financial condition and the industry in which it operates, (vii) risks related to the potential impact of general economic, political and market factors on CRC or the Transaction and (viii) those expressed in its forward-looking statements include those factors discussed in Part I, Item 1A – Risk Factors in CRC’s Annual Report on Form 10-K and its other SEC filings available at www.crc.com. CRC cautions you not to place undue reliance on forward-looking statements contained in this communication, which speak only as of the filing date,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 not warrant the accuracy or completeness of such third-party information.</w:t>
      </w:r>
    </w:p>
    <w:p>
      <w:pPr>
        <w:spacing w:after="0" w:line="1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93"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1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662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L. Preston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L. Preston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Executive Vice President, Chief Strategy Officer and</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93"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CALIFORNIA RESOURCES CORPORATION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EACH OF THE SELLERS PARTY HERETO</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July 1, 2024</w:t>
      </w:r>
    </w:p>
    <w:p>
      <w:pPr>
        <w:sectPr>
          <w:pgSz w:w="11900" w:h="16838" w:orient="portrait"/>
          <w:cols w:equalWidth="0" w:num="1">
            <w:col w:w="10020"/>
          </w:cols>
          <w:pgMar w:left="1440" w:top="117" w:right="4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1, 2024, by and among California Resources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parties set forth on the signature pages hereto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WHEREAS, pursuant to the Agreement and Plan of Merger, dated as of February 7,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Company, Petra Merger Sub I, LLC, Petra Merger Sub C, LLC,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 Fund II AIF (Delaware), L.P. – Class C, a Delaware limited partnership, OCM Opps XI AIV Holdings (Delaware), L.P., a Delaware limited partnership, and OCM Aera E Holdings, LLC, a Delaware limited liability company, the Company issued the Securities to the Sellers; and</w:t>
      </w:r>
    </w:p>
    <w:p>
      <w:pPr>
        <w:spacing w:after="0" w:line="19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enter into an agreement to provide for certain rights and obligations associated with ownership of the Securities.</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without definition shall have the meanings given to them in the Merger Agreement, except that the terms set forth below are used herein as so defined:</w:t>
      </w:r>
    </w:p>
    <w:p>
      <w:pPr>
        <w:spacing w:after="0" w:line="5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ascribed to it, on the date hereof, under Rule 405 of the Securities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solely for purposes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“Affiliate”, with respect to any Person, means any other Person that directly or indirectly through one or more intermediaries controls, is controlled by or is under common control with, the Person in question; it being understood that, with respect to a Holder or any of its Affiliates, (x) “Affiliate” does not include any portfolio company of a Holder or any of its Affiliates and (y) for purposes of this Agreement, the Company and its subsidiaries shall not be deemed to be an Affiliate of any Holder or such Holder’s Affiliates. As used herein,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ectPr>
          <w:pgSz w:w="11900" w:h="16838" w:orient="portrait"/>
          <w:cols w:equalWidth="0" w:num="1">
            <w:col w:w="11000"/>
          </w:cols>
          <w:pgMar w:left="440" w:top="266" w:right="4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therefor in the introductory paragraph of this Registration Rights Agreement.</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ascribed to it in Section 13(d) of the Exchange Act. “Beneficial Ownership” has a correlative meaning.</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means the sale of Registrable Securities to one or more purchasers that are financial institutions in an offering registered under the Securities Act without a prior public marketing process by means of a block trade.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 Notice</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Bought or Overnight Underwritten Offerin</w:t>
      </w:r>
      <w:r>
        <w:rPr>
          <w:rFonts w:ascii="Times New Roman" w:cs="Times New Roman" w:eastAsia="Times New Roman" w:hAnsi="Times New Roman"/>
          <w:sz w:val="18"/>
          <w:szCs w:val="18"/>
          <w:color w:val="auto"/>
        </w:rPr>
        <w:t xml:space="preserve">g” has the meaning specified therefor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Bought or Overnight Underwritten Holder Offering</w:t>
      </w:r>
      <w:r>
        <w:rPr>
          <w:rFonts w:ascii="Times New Roman" w:cs="Times New Roman" w:eastAsia="Times New Roman" w:hAnsi="Times New Roman"/>
          <w:sz w:val="18"/>
          <w:szCs w:val="18"/>
          <w:color w:val="auto"/>
        </w:rPr>
        <w:t>” means the sale of Registrable Securities to one or more purchasers that are financial institutions in an offering registered under the Securities Act (a) without a prior public marketing process by means of a bought deal or (b) pursuant to an “overnight” underwritten offering.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the SEC is closed.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 and any class or classes of securities issued or issuable with respect to such common stock by way of reclassification, dividend or distribution or in connection with any reorganization or other recapitalization, merger, consolidation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 has the meaning specified therefor in the introductory paragraph of this Agreement and includes any successor thereto.</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 Holder</w:t>
      </w:r>
      <w:r>
        <w:rPr>
          <w:rFonts w:ascii="Times New Roman" w:cs="Times New Roman" w:eastAsia="Times New Roman" w:hAnsi="Times New Roman"/>
          <w:sz w:val="18"/>
          <w:szCs w:val="18"/>
          <w:color w:val="auto"/>
        </w:rPr>
        <w:t>” means CPP Investment Board Private Holdings (6), Inc., a Canadian corporation, and its Affiliates, when any such Person is a holder or owner of any Registrable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 Holder Group</w:t>
      </w:r>
      <w:r>
        <w:rPr>
          <w:rFonts w:ascii="Times New Roman" w:cs="Times New Roman" w:eastAsia="Times New Roman" w:hAnsi="Times New Roman"/>
          <w:sz w:val="18"/>
          <w:szCs w:val="18"/>
          <w:color w:val="auto"/>
        </w:rPr>
        <w:t>” means, as of any time of determination, all CPPIB Holders at such time.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has the meaning specified therefore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Sellers and their respective Affiliates, when such Person is a holder or owner of any Registrable Securities.</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IKAV Holder</w:t>
      </w:r>
      <w:r>
        <w:rPr>
          <w:rFonts w:ascii="Times New Roman" w:cs="Times New Roman" w:eastAsia="Times New Roman" w:hAnsi="Times New Roman"/>
          <w:sz w:val="18"/>
          <w:szCs w:val="18"/>
          <w:color w:val="auto"/>
        </w:rPr>
        <w:t>” means each of IKAV Impact S.a.r.l., a Luxembourg corporation, Simlog, Inc., a Delaware corporation, and IKAV Energy Inc., a Delaware corporation, and each of their respective Affiliates, when any such Person is a holder or owner of any Registrable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IKAV Holder Group</w:t>
      </w:r>
      <w:r>
        <w:rPr>
          <w:rFonts w:ascii="Times New Roman" w:cs="Times New Roman" w:eastAsia="Times New Roman" w:hAnsi="Times New Roman"/>
          <w:sz w:val="18"/>
          <w:szCs w:val="18"/>
          <w:color w:val="auto"/>
        </w:rPr>
        <w:t>” means, as of any time of determination, all IKAV Holders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Included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Launch Date</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Underwriter</w:t>
      </w:r>
      <w:r>
        <w:rPr>
          <w:rFonts w:ascii="Times New Roman" w:cs="Times New Roman" w:eastAsia="Times New Roman" w:hAnsi="Times New Roman"/>
          <w:sz w:val="18"/>
          <w:szCs w:val="18"/>
          <w:color w:val="auto"/>
        </w:rPr>
        <w:t>” means, with respect to any Underwritten Offering or Bought or Overnight Underwritten Offering, the book running lead manager of such Underwritten Offering or Bought or Overnight Underwritten Offering.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Piggyback Number of Securities</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Holder Group</w:t>
      </w:r>
      <w:r>
        <w:rPr>
          <w:rFonts w:ascii="Times New Roman" w:cs="Times New Roman" w:eastAsia="Times New Roman" w:hAnsi="Times New Roman"/>
          <w:sz w:val="18"/>
          <w:szCs w:val="18"/>
          <w:color w:val="auto"/>
        </w:rPr>
        <w:t>” means each of the CPPIB Holder Group, the IKAV Holder Group and the Oaktree Holder Group, singly.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has the meaning specified therefor in the recitals of this Agreement.</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Oaktree Holder</w:t>
      </w:r>
      <w:r>
        <w:rPr>
          <w:rFonts w:ascii="Times New Roman" w:cs="Times New Roman" w:eastAsia="Times New Roman" w:hAnsi="Times New Roman"/>
          <w:sz w:val="18"/>
          <w:szCs w:val="18"/>
          <w:color w:val="auto"/>
        </w:rPr>
        <w:t>” means each of OCM Opps Xb AIF Holdings (Delaware), L.P., a Delaware limited partnership, Oaktree Huntington Investment Fund II AIF (Delaware), L.P. – Class C, a Delaware limited partnership, OCM Opps XI AIV Holdings (Delaware), L.P., a Delaware limited partnership, OCM Aera E Holdings, LLC, a Delaware limited liability company, Oaktree Huntington Investment Fund II AIF (Delaware), L.P. – Class G, a Delaware limited partnership, and each of their respective Affiliates, when any such Person is a holder or owner of any Registrable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Oaktree Holder Group</w:t>
      </w:r>
      <w:r>
        <w:rPr>
          <w:rFonts w:ascii="Times New Roman" w:cs="Times New Roman" w:eastAsia="Times New Roman" w:hAnsi="Times New Roman"/>
          <w:sz w:val="18"/>
          <w:szCs w:val="18"/>
          <w:color w:val="auto"/>
        </w:rPr>
        <w:t>” means, as of any time of determination, all Oaktree Holders at such time.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Holder</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partnership, limited liability company, joint venture, association, joint-stock company, trust, foundation, unincorporated organization or government or other agency or political subdivision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Offerin</w:t>
      </w:r>
      <w:r>
        <w:rPr>
          <w:rFonts w:ascii="Times New Roman" w:cs="Times New Roman" w:eastAsia="Times New Roman" w:hAnsi="Times New Roman"/>
          <w:sz w:val="18"/>
          <w:szCs w:val="18"/>
          <w:color w:val="auto"/>
        </w:rPr>
        <w:t xml:space="preserve">g” has the meaning specified therefor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Selling Holder</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xml:space="preserve">” means the Securities, upon original issuance thereof, or any shares or other securities issued in respect of such Registrable Securities because of or in connection with any stock dividend, stock distribution, stock split, purchase in any rights offering or in connection with any exchange for or replacement of such Registrable Securities or any combination of shares, recapitalization, merger or consolidation, or any other equity securities issued pursuant to any other pro rata distribution with respect to the Common Stock or other Registrable Securities, until such time as such securities cease to be Registrable Securities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Expenses</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or any similar rule or regulation hereafter adopted by the SEC having substantially the same effect as such rule.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agency).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of Common Stock issued pursuant to the Merger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specified therefor in the introductory paragraph of this Agreement.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xml:space="preserve">” means all underwriting discounts, selling commissions or similar fees or arrangements or stock transfer taxes allocable to the sale of the Registrable Securities, and fees and disbursements of counsel to the Selling Holders, other than those fees and disbursements of counsel required to be paid by the Company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Holder</w:t>
      </w:r>
      <w:r>
        <w:rPr>
          <w:rFonts w:ascii="Times New Roman" w:cs="Times New Roman" w:eastAsia="Times New Roman" w:hAnsi="Times New Roman"/>
          <w:sz w:val="18"/>
          <w:szCs w:val="18"/>
          <w:color w:val="auto"/>
        </w:rPr>
        <w:t>” means a Holder who is selling Registrable Securities pursuant to a registration statement.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Holder Indemnified Persons</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with respect to a Seller, that certain Stockholder’s Agreement, dated as of the date hereof, by and between such Seller or its Affiliate and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Registrable Securities.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w:t>
      </w:r>
      <w:r>
        <w:rPr>
          <w:rFonts w:ascii="Times New Roman" w:cs="Times New Roman" w:eastAsia="Times New Roman" w:hAnsi="Times New Roman"/>
          <w:sz w:val="18"/>
          <w:szCs w:val="18"/>
          <w:color w:val="auto"/>
        </w:rPr>
        <w:t xml:space="preserve">g” has the meaning specified therefor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 Filin</w:t>
      </w:r>
      <w:r>
        <w:rPr>
          <w:rFonts w:ascii="Times New Roman" w:cs="Times New Roman" w:eastAsia="Times New Roman" w:hAnsi="Times New Roman"/>
          <w:sz w:val="18"/>
          <w:szCs w:val="18"/>
          <w:color w:val="auto"/>
        </w:rPr>
        <w:t xml:space="preserve">g” has the meaning specified therefor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 Notice</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 Request</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xml:space="preserve">. Any Registrable Security will cease to be a Registrable Security when (a) a registration statement covering such Registrable Security becomes or has been declared effective by the SEC and such Registrable Security has been sold or disposed of pursuant to such effective registration statement; (b) such Registrable Security has been disposed of pursuant to any section of Rule 144 under circumstances in which all of the applicable conditions of such Rule (then in effect) are met; or (c) such Registrable Security has been sold or disposed of in a transaction in which the Holders’ rights under this Agreement are not transferred or assigned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39" w:lineRule="auto"/>
        <w:tabs>
          <w:tab w:leader="none" w:pos="12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Company shall, as soon as practicable after the Closing Date, but in any event within 20 Business Days after the Closing Date, file a “shelf” registration statement to permit the resale of the Registrable Securities from time to time pursuant to Rule 415 promulgated under the Securities Act (a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The registration statement shall be on Form S-3 or, if Form S-3 is not then available to the Company, on Form S-1 or such other form of registration statement as is then available to effect a registration for the offer and sale of the Registrable Securities (such registration statement,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If permitted under the Securities Act, such registration statement shall be one that is automatically effective upon filing and, if such registration is not automatically effective, the Company shall use its commercially reasonable efforts to have such registration statement declared effective as soon as practicable after the filing thereof, but no later than the earlier of (a)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filing date thereof if the SEC notifies the Company that it will “review” such registration statement and (b)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date the Company is notified (orally or in writing, whichever is earlier) by the SEC that the registration statement will not be “reviewed” or will not be subject to further review. Subject to the provision by each Holder of all information reasonably requested by the Company for such purposes, the Company shall use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for the resale of all the Registrable Securities by the Holders until such time as there are no longer any Registrable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other than in connection with an Underwritten Offering, the Company shall not be required to supplement or amend any registration statement to reflect the transfer to a new or existing Holder except upon request of either Seller and in any event not more than four times in any consecutive 12 months (excluding supplements or amendments in connection with an Underwritten Offering). In the event the Company files a registration statement on Form S-1, the Company shall use its commercially reasonable efforts to convert such registration statement into a registration statement on Form S-3 as soon as practicable after Form S-3 is available to the Company.</w:t>
      </w:r>
    </w:p>
    <w:p>
      <w:pPr>
        <w:spacing w:after="0" w:line="210"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Effect Underwritten Offerings</w:t>
      </w:r>
      <w:r>
        <w:rPr>
          <w:rFonts w:ascii="Times New Roman" w:cs="Times New Roman" w:eastAsia="Times New Roman" w:hAnsi="Times New Roman"/>
          <w:sz w:val="18"/>
          <w:szCs w:val="18"/>
          <w:color w:val="auto"/>
        </w:rPr>
        <w:t>. Subject to the provisions hereof, members of the CPPIB Holder Group and IKAV Holder Group shall be entitled, at any time and from time to time when a Shelf Registration Statement is effective and until the Termination Date, to sell all or a portion of such Registrable Securities as are then registered pursuant to such registration statement in an underwritten offering or a Bought or Overnight Underwritten Holder Offering (each, an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upon not less than seven Business Days’ prior written notice to the Company (such request, an “</w:t>
      </w:r>
      <w:r>
        <w:rPr>
          <w:rFonts w:ascii="Times New Roman" w:cs="Times New Roman" w:eastAsia="Times New Roman" w:hAnsi="Times New Roman"/>
          <w:sz w:val="18"/>
          <w:szCs w:val="18"/>
          <w:u w:val="single" w:color="auto"/>
          <w:color w:val="auto"/>
        </w:rPr>
        <w:t>Underwritten Offering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(based on then-current market prices) the number of Registrable Securities included in each such Underwritten Offering would reasonably be expected to yield gross proceeds to the Holders of at least $50,000,000,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each of the CPPIB Holder Group and the IKAV Holder Group shall not be entitled to request an Underwritten Offering (i) more than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in the aggregate and (ii) more than two times in any single calendar year. As soon as reasonably practicable after receipt by the Company of an Underwritten Offering Request from a Holder (the “</w:t>
      </w:r>
      <w:r>
        <w:rPr>
          <w:rFonts w:ascii="Times New Roman" w:cs="Times New Roman" w:eastAsia="Times New Roman" w:hAnsi="Times New Roman"/>
          <w:sz w:val="18"/>
          <w:szCs w:val="18"/>
          <w:u w:val="single" w:color="auto"/>
          <w:color w:val="auto"/>
        </w:rPr>
        <w:t>Primary Selling Holder</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Company shall give written notice (an “</w:t>
      </w:r>
      <w:r>
        <w:rPr>
          <w:rFonts w:ascii="Times New Roman" w:cs="Times New Roman" w:eastAsia="Times New Roman" w:hAnsi="Times New Roman"/>
          <w:sz w:val="18"/>
          <w:szCs w:val="18"/>
          <w:u w:val="single" w:color="auto"/>
          <w:color w:val="auto"/>
        </w:rPr>
        <w:t>Underwritten Offering Notice</w:t>
      </w:r>
      <w:r>
        <w:rPr>
          <w:rFonts w:ascii="Times New Roman" w:cs="Times New Roman" w:eastAsia="Times New Roman" w:hAnsi="Times New Roman"/>
          <w:sz w:val="18"/>
          <w:szCs w:val="18"/>
          <w:color w:val="auto"/>
        </w:rPr>
        <w:t xml:space="preserve">”) of such Underwritten Offering Request to all other Holders and shall, subject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use commercially reasonable efforts to include in such Underwritten Offering all Registrable Securities with respect to which the Company received written requests for inclusion therein within five Business Days after such Underwritten Offering Notice is given by the Company to such 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66" w:right="479" w:bottom="1440" w:gutter="0" w:footer="0" w:header="0"/>
        </w:sectPr>
      </w:pPr>
    </w:p>
    <w:bookmarkStart w:id="18" w:name="page19"/>
    <w:bookmarkEnd w:id="18"/>
    <w:p>
      <w:pPr>
        <w:ind w:firstLine="987"/>
        <w:spacing w:after="0" w:line="253"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Block Trade</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any member of the CPPIB Holder Group and IKAV Holder Group shall be permitted to request that the Company facilitate a Block Trade, subject to the provisions of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up to two times in any single calendar year. All requests that the Company facilitate a Block Trade by a member of the applicable Member Holder Group (a “</w:t>
      </w:r>
      <w:r>
        <w:rPr>
          <w:rFonts w:ascii="Times New Roman" w:cs="Times New Roman" w:eastAsia="Times New Roman" w:hAnsi="Times New Roman"/>
          <w:sz w:val="18"/>
          <w:szCs w:val="18"/>
          <w:u w:val="single" w:color="auto"/>
          <w:color w:val="auto"/>
        </w:rPr>
        <w:t>Holder Block Trade</w:t>
      </w:r>
      <w:r>
        <w:rPr>
          <w:rFonts w:ascii="Times New Roman" w:cs="Times New Roman" w:eastAsia="Times New Roman" w:hAnsi="Times New Roman"/>
          <w:sz w:val="18"/>
          <w:szCs w:val="18"/>
          <w:color w:val="auto"/>
        </w:rPr>
        <w:t>”) shall be made by giving written notice to the Company (a “</w:t>
      </w:r>
      <w:r>
        <w:rPr>
          <w:rFonts w:ascii="Times New Roman" w:cs="Times New Roman" w:eastAsia="Times New Roman" w:hAnsi="Times New Roman"/>
          <w:sz w:val="18"/>
          <w:szCs w:val="18"/>
          <w:u w:val="single" w:color="auto"/>
          <w:color w:val="auto"/>
        </w:rPr>
        <w:t>Block Trade Notice</w:t>
      </w:r>
      <w:r>
        <w:rPr>
          <w:rFonts w:ascii="Times New Roman" w:cs="Times New Roman" w:eastAsia="Times New Roman" w:hAnsi="Times New Roman"/>
          <w:sz w:val="18"/>
          <w:szCs w:val="18"/>
          <w:color w:val="auto"/>
        </w:rPr>
        <w:t xml:space="preserve">”). Each Block Trade Notice shall specify the approximate number of Registrable Securities proposed to be sold in the Holder Block Trade and the proposed date of such proposed Holder Block Trade, provided that such date must be at least five Business Days after receipt of the Block Trade Notice. Notwithstanding the foregoing, the Company will not be required to take any action pursuant to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if a Block Trade is not expected to yield aggregate gross proceeds of at least $50,000,000. The Company shall use its commercially reasonable efforts to facilitate each such Block Trade, including, the delivery of customary comfort letters and customary legal opinions, subject to receipt by the Company, its auditors and legal counsel of customary representations and other customary documentation as may be reasonably necessary to permit the delivery of such comfort letters and legal opinions.</w:t>
      </w:r>
    </w:p>
    <w:p>
      <w:pPr>
        <w:spacing w:after="0" w:line="194"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Underwritten Offering</w:t>
      </w:r>
      <w:r>
        <w:rPr>
          <w:rFonts w:ascii="Times New Roman" w:cs="Times New Roman" w:eastAsia="Times New Roman" w:hAnsi="Times New Roman"/>
          <w:sz w:val="18"/>
          <w:szCs w:val="18"/>
          <w:color w:val="auto"/>
        </w:rPr>
        <w:t xml:space="preserve">. With respect to the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may include shares of Common Stock other than Registrable Securities in an Underwritten Offering, subject to the terms provided below. If the Managing Underwriter or Underwriters of any Underwritten Offering advises the Company and the Primary Selling Holder that the total amount of securities that the Selling Holders and any other Persons intend to include in such Underwritten Offering exceeds the number that can be sold in such Underwritten Offering without being likely to have an adverse effect on the price, timing or distribution of the securities offered or the market for such securities (the “</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then the securities to be included in such Underwritten Offering shall include the number of securities that such Managing Underwriter or Underwriters advises the Company and the Primary Selling Holder can be sold without having such adverse effect, with such number to be allocated: (x) first, to the Registrable Securities proposed to be sold by the Primary Selling Holder in such Underwritten Offering up to the Maximum Number of Securities; (y) second, to the extent that the Maximum Number of Securities has not been reached under clause (x), to the Registrable Securities proposed to be sold by all other Selling Holders in such Underwritten Offering, pro rata based upon the number of Registrable Securities owned by each such Selling Holder at the time of such offering, which can be sold without exceeding the Maximum Number of Securities; and (z) third, to the extent that the Maximum Number of Securities has not been reached under clauses (x) and (y), to the securities to be offered and sold by or on behalf of the Company, which can be sold without exceeding the Maximum Number of Securities.</w:t>
      </w:r>
    </w:p>
    <w:p>
      <w:pPr>
        <w:spacing w:after="0" w:line="187"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If any of the Registrable Securities are to be sold (i) in an Underwritten Offering (excluding a Bought or Overnight Underwritten Holder Offering) initiated by the Holders, the Company shall propose three or more reputable nationally recognized investment banks to act as the Managing Underwriter or Underwriters in connection with such Underwritten Offering from which the Primary Selling Holder shall select the Managing Underwriter or Underwriters, and (ii) in a Bought or Overnight Underwritten Holder Offering, the Primary Selling Holder in such Bought or Overnight Underwritten Holder Offering shall be entitled to select the Underwriter or Underwriters for such Bought or Overnight Underwritten Holder Offering (which shall consist of one or more reputable nationally recognized investment banks). The Primary Selling Holder shall determine the pricing of the Registrable Securities offered pursuant to such Underwritten Offering, the applicable underwriting discounts and commissions, and the timing of any such Underwritten Offering, subject to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9" w:name="page20"/>
    <w:bookmarkEnd w:id="19"/>
    <w:p>
      <w:pPr>
        <w:ind w:left="1224" w:hanging="233"/>
        <w:spacing w:after="0"/>
        <w:tabs>
          <w:tab w:leader="none" w:pos="12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Basis of Participation</w:t>
      </w:r>
      <w:r>
        <w:rPr>
          <w:rFonts w:ascii="Times New Roman" w:cs="Times New Roman" w:eastAsia="Times New Roman" w:hAnsi="Times New Roman"/>
          <w:sz w:val="18"/>
          <w:szCs w:val="18"/>
          <w:color w:val="auto"/>
        </w:rPr>
        <w:t>. No Holder may sell Registrable Securities in any offering pursuant to an Underwritten Offering unless it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sell such Registrable Securities on the same basis provided in the underwriting or other distribution arrangements approved by the Company and the Primary Selling Holder that apply to the Company and/or the Primary Selling Holder, as applicable, and (ii) completes and executes all questionnaires, powers of attorney, indemnities, underwriting agreements, lockups and other customary documents as may be reasonably required under the terms of such arrangements;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Holder shall be required to make any representations or warranties to the Company or any underwriter (other than representations and warranties regarding such Holder’s ownership of its Registrable Securities to be sold or transferred, such Holder’s power and authority to effect such transfer, and such matters pertaining to compliance with securities laws as may be reasonably requested by the Company or the underwriters, and such other representations, warranties and other provisions relating to such Holder’s participation in such Underwritten Offering as may be reasonably requested by the underwriters) or to undertake any indemnification obligations to the Company with respect thereto, except as otherwise provided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or to the Underwriters with respect thereto.</w:t>
      </w:r>
    </w:p>
    <w:p>
      <w:pPr>
        <w:spacing w:after="0" w:line="193" w:lineRule="exact"/>
        <w:rPr>
          <w:rFonts w:ascii="Times New Roman" w:cs="Times New Roman" w:eastAsia="Times New Roman" w:hAnsi="Times New Roman"/>
          <w:sz w:val="18"/>
          <w:szCs w:val="18"/>
          <w:color w:val="auto"/>
        </w:rPr>
      </w:pPr>
    </w:p>
    <w:p>
      <w:pPr>
        <w:ind w:left="4" w:firstLine="987"/>
        <w:spacing w:after="0" w:line="251" w:lineRule="auto"/>
        <w:tabs>
          <w:tab w:leader="none" w:pos="12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xml:space="preserve">. Notwithstanding anything to the contrary contained herein, the Company may, upon written notice to the Selling Holders, delay the filing or effectiveness of a registration statement or execution of an Underwritten Offering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suspend the use of any prospectus which is a part of a registration statement filed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which event the Selling Holders shall discontinue sales of the Registrable Securities pursuant to such registration statement but such Selling Holder may settle any contracted sales of Registrable Securities) if the Company notifies the Selling Holders in writing that the Company (i) is pursuing a bona fide material acquisition, merger, reorganization, disposition, joint venture, financing or other similar transaction and a majority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determines in its reasonable and good faith discretion that any required disclosure of such transaction in the registration statement would have an adverse effect on any such transaction or (ii) is in possession of material non-public information and a majority of the Board determines in its reasonable and good faith discretion that any required disclosure in the registration statement of such information or event would not be in the best interest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no event shall (A) such filing of the registration statement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delayed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period that exceeds 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consecutive days or 120 days in the aggregate, in each case, in any 12-month period, or (B) any Selling Holder be suspended under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2.3(p)</w:t>
      </w:r>
      <w:r>
        <w:rPr>
          <w:rFonts w:ascii="Times New Roman" w:cs="Times New Roman" w:eastAsia="Times New Roman" w:hAnsi="Times New Roman"/>
          <w:sz w:val="18"/>
          <w:szCs w:val="18"/>
          <w:color w:val="auto"/>
        </w:rPr>
        <w:t xml:space="preserve"> from selling Registrable Securities pursuant to such registration statement for a period that exceeds 90 consecutive days or 120 days in the aggregate, in each case, in any 12-month period. Upon notice by the Company to the Selling Holders of any Board determination to delay the filing of a registration statement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suspend the use of any prospectus which is a part of a registration statement filed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Selling Holders shall refrain from making offers and sales of Registrable Securities during the pendency of such delay or suspension, keep the fact of any such delay or suspension strictly confidential and not use or disclose such notice or information to any Person other than such Selling Holders’ legal counsel or as required by law. If, pursuant to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Company delays an Underwritten Offering requested by the Holders, the Holders shall be entitled to withdraw such Underwritten Offering Request and, if they do so, such request shall not count against the limitations on the number of such registrations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Upon disclosure of such information or the termination of the condition described above, the Company shall provide prompt notice to the Selling Holders and shall promptly terminate any suspension of sales it has put into effect and shall take such other actions to permit registered sales of Registrable Securities as contemplated in this Agreement. The Company may only exercise its suspension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it exercises similar suspension rights with respect to each other holder of securities that is entitled to registration rights under an agreement with the Company.</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0" w:name="page21"/>
    <w:bookmarkEnd w:id="2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Piggyback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firstLine="987"/>
        <w:spacing w:after="0" w:line="251" w:lineRule="auto"/>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if at any time after 180 days following the date of this Agreement, the Company proposes to file (i) a shelf registration statement, (ii) a prospectus supplement to an effective shelf registration statement, and Holders could be included without the filing of a post-effective amendment thereto (other than a post-effective amendment that is immediately effective), or (iii) a registration statement, other than the registration statements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Agreement, in the case of each of clause (i), (ii) or (iii), for the sale of Common Stock in an Underwritten Offering (other than a Bought or Overnight Underwritten Holder Offering) for its own account and/or the account of another Person, then as soon as reasonably practicable but not less than five Business Days prior to the filing of (A) any preliminary prospectus supplement relating to such Underwritten Offering pursuant to Rule 424(b) under the Securities Act, (B) the prospectus supplement relating to such Underwritten Offering pursuant to Rule 424(b) under the Securities Act (if no preliminary prospectus supplement is used) or (C) such registration statement, as the case may be (an “</w:t>
      </w:r>
      <w:r>
        <w:rPr>
          <w:rFonts w:ascii="Times New Roman" w:cs="Times New Roman" w:eastAsia="Times New Roman" w:hAnsi="Times New Roman"/>
          <w:sz w:val="18"/>
          <w:szCs w:val="18"/>
          <w:u w:val="single" w:color="auto"/>
          <w:color w:val="auto"/>
        </w:rPr>
        <w:t>Underwritten Offering Filing</w:t>
      </w:r>
      <w:r>
        <w:rPr>
          <w:rFonts w:ascii="Times New Roman" w:cs="Times New Roman" w:eastAsia="Times New Roman" w:hAnsi="Times New Roman"/>
          <w:sz w:val="18"/>
          <w:szCs w:val="18"/>
          <w:color w:val="auto"/>
        </w:rPr>
        <w:t>”), the Company shall give notice (including, but not limited to, notification by electronic mail) of such proposed Underwritten Offering (a “</w:t>
      </w:r>
      <w:r>
        <w:rPr>
          <w:rFonts w:ascii="Times New Roman" w:cs="Times New Roman" w:eastAsia="Times New Roman" w:hAnsi="Times New Roman"/>
          <w:sz w:val="18"/>
          <w:szCs w:val="18"/>
          <w:u w:val="single" w:color="auto"/>
          <w:color w:val="auto"/>
        </w:rPr>
        <w:t>Piggyback Offering</w:t>
      </w:r>
      <w:r>
        <w:rPr>
          <w:rFonts w:ascii="Times New Roman" w:cs="Times New Roman" w:eastAsia="Times New Roman" w:hAnsi="Times New Roman"/>
          <w:sz w:val="18"/>
          <w:szCs w:val="18"/>
          <w:color w:val="auto"/>
        </w:rPr>
        <w:t>”) to the Holders and such notice shall offer the Holders the opportunity to include in such Underwritten Offering such number of the Registrable Securities (the “</w:t>
      </w:r>
      <w:r>
        <w:rPr>
          <w:rFonts w:ascii="Times New Roman" w:cs="Times New Roman" w:eastAsia="Times New Roman" w:hAnsi="Times New Roman"/>
          <w:sz w:val="18"/>
          <w:szCs w:val="18"/>
          <w:u w:val="single" w:color="auto"/>
          <w:color w:val="auto"/>
        </w:rPr>
        <w:t>Included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xml:space="preserve">”) as the Holders may request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Company has been advised by the Managing Underwriter, and the Company has advised the Selling Holders, that the inclusion of Registrable Securities for sale for the benefit of the Selling Holders will have an adverse effect on the price, timing or distribution of the Common Stock in the Underwritten Offering, then the amount of Registrable Securities to be offered for the accounts of Selling Holders shall be determined based on the provisions of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of this Agreement. The notice required to be provided in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to the Holders shall be provided on a Business Day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The Holders shall then have four Business Days to request inclusion of Registrable Securities in such Underwritten Offering. If no request for inclusion from the Holders is received within such period, the Holders and their Affiliates shall have no further right to participate in such Underwritten Offering. If, at any time after giving written notice of its intention to undertake an Underwritten Offering and prior to the closing of such Underwritten Offering, the Company or such other Persons who have or have been granted registration rights, as applicable, shall determine for any reason not to undertake or to delay such Underwritten Offering, the Company may, at its election, give written notice of such determination to the Selling Holders and, (x) in the case of a determination not to undertake such Underwritten Offering, shall be relieved of its obligation to sell any Included Registrable Securities in connection with such terminated Underwritten Offering, and</w:t>
      </w:r>
    </w:p>
    <w:p>
      <w:pPr>
        <w:spacing w:after="0" w:line="9" w:lineRule="exact"/>
        <w:rPr>
          <w:rFonts w:ascii="Times New Roman" w:cs="Times New Roman" w:eastAsia="Times New Roman" w:hAnsi="Times New Roman"/>
          <w:sz w:val="18"/>
          <w:szCs w:val="18"/>
          <w:color w:val="auto"/>
        </w:rPr>
      </w:pPr>
    </w:p>
    <w:p>
      <w:pPr>
        <w:ind w:left="4" w:right="220" w:hanging="4"/>
        <w:spacing w:after="0" w:line="253"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determination to delay such Underwritten Offering, shall be permitted to delay offering any Included Registrable Securities for the same period as the delay in the Underwritten Offering. A Selling Holder shall have the right to withdraw its request for inclusion of such Selling Holder’s Registrable Securities in such offering by giving written notice to the Company of such withdrawal prior to the filing of the registration statement or prospectus supplement relating to such offering.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1" w:name="page22"/>
    <w:bookmarkEnd w:id="21"/>
    <w:p>
      <w:pPr>
        <w:ind w:left="-40" w:firstLine="987"/>
        <w:spacing w:after="0" w:line="251" w:lineRule="auto"/>
        <w:tabs>
          <w:tab w:leader="none" w:pos="12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Bought or Overnight Underwritten Offering Piggyback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If, at any time after 180 days following the date of this Agreement, the Company or any other Person proposes to file an Underwritten Offering Filing and such Underwritten Offering is a bought Underwritten Offering or is expected to be launched (the “</w:t>
      </w:r>
      <w:r>
        <w:rPr>
          <w:rFonts w:ascii="Times New Roman" w:cs="Times New Roman" w:eastAsia="Times New Roman" w:hAnsi="Times New Roman"/>
          <w:sz w:val="18"/>
          <w:szCs w:val="18"/>
          <w:u w:val="single" w:color="auto"/>
          <w:color w:val="auto"/>
        </w:rPr>
        <w:t>Launch Date</w:t>
      </w:r>
      <w:r>
        <w:rPr>
          <w:rFonts w:ascii="Times New Roman" w:cs="Times New Roman" w:eastAsia="Times New Roman" w:hAnsi="Times New Roman"/>
          <w:sz w:val="18"/>
          <w:szCs w:val="18"/>
          <w:color w:val="auto"/>
        </w:rPr>
        <w:t>”) after the close of trading on one trading day and priced before the open of trading on the next succeeding trading day (either such execution format, a “</w:t>
      </w:r>
      <w:r>
        <w:rPr>
          <w:rFonts w:ascii="Times New Roman" w:cs="Times New Roman" w:eastAsia="Times New Roman" w:hAnsi="Times New Roman"/>
          <w:sz w:val="18"/>
          <w:szCs w:val="18"/>
          <w:u w:val="single" w:color="auto"/>
          <w:color w:val="auto"/>
        </w:rPr>
        <w:t>Bought or Overnight Underwritten Offerin</w:t>
      </w:r>
      <w:r>
        <w:rPr>
          <w:rFonts w:ascii="Times New Roman" w:cs="Times New Roman" w:eastAsia="Times New Roman" w:hAnsi="Times New Roman"/>
          <w:sz w:val="18"/>
          <w:szCs w:val="18"/>
          <w:color w:val="auto"/>
        </w:rPr>
        <w:t xml:space="preserve">g”), then no later than one Business Day after the Managing Underwriter is engaged for the proposed Bought or Overnight Underwritten Offering, the Company shall notify (including, but not limited to, notice by electronic mail) the Holders of the pendency of the Bought or Overnight Underwritten Offering and such notice shall offer the Holders the opportunity to include in such Bought or Overnight Underwritten Offering such number of Registrable Securities as any Holder may request in writing within one Business Day after the Holders receive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Managing Underwriter or Underwriters advises the Company that the giving of notice pursuant to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would adversely affect the Bought or Overnight Underwritten Offering, no such notice shall be required (and the Holders shall have no right to include Registrable Securities in such Bought or Overnight Underwritten Offering). The notice required to be provided in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to the Holders shall be provided on a Business Day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The Holders shall then have two Business Days to request inclusion of Registrable Securities in the Bought or Overnight Underwritten Offering. If no request for inclusion from the Holders is received within such period, the Holders and their Affiliates shall have no further right to participate in such Underwritten Offering. If, at any time after giving written notice of such Bought or Overnight Underwritten Offering pursuant to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prior to the execution of the underwriting agreement or purchase agreement for such Bought or Overnight Underwritten Offering, the Company or the applicable Person initiating such Bought or Overnight Underwritten Offering determines for any reason not to undertake or to delay such Bought or Overnight Underwritten Offering, the Company shall give written notice of such determination to the Selling Holders and, (i) in the case of a determination not to undertake such Bought or Overnight Underwritten Offering, shall be relieved of its obligation to sell any Registrable Securities held by the Selling Holders in connection with such abandoned or delayed Bought or Overnight Underwritten Offering, and (ii) in the case of a determination to delay such Bought or Overnight Underwritten Offering, shall be permitted to delay offering any Registrable Securities held by the Selling Holders for the same period as the delay of the Bought or Overnight Underwritten Offering. Each Selling Holder shall have the right to withdraw its request for inclusion of such Selling Holder’s Registrable Securities in such Bought or Overnight Underwritten Offering by giving written notice to the Company of such withdrawal at least one Business Day prior to execution of the underwriting agreement or purchase agreement for such Bought or Overnight Underwritten Offering. Notwithstanding the foregoing, a Holder may deliver a written notice (an “</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xml:space="preserve">”) to the Company requesting that such Holder not receive notice from the Company of any proposed Piggyback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Holder may later revoke such Opt-Out Notice in writing. Following receipt of such Opt-Out Notice from a Holder (unless subsequently revoked), the Company shall not deliver any notice to such Holder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such Holder shall not be entitled to participate in any such Piggyback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70" w:right="499" w:bottom="1440" w:gutter="0" w:footer="0" w:header="0"/>
        </w:sectPr>
      </w:pPr>
    </w:p>
    <w:bookmarkStart w:id="22" w:name="page23"/>
    <w:bookmarkEnd w:id="22"/>
    <w:p>
      <w:pPr>
        <w:ind w:firstLine="987"/>
        <w:spacing w:after="0" w:line="252"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Priority of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xml:space="preserve">. In connection with an Underwritten Offering contemplated by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as applicable, if the Managing Underwriter or Underwriters of any such Underwritten Offering or advises the Company, and the Company advises the Selling Holders in writing, that the total amount of Common Stock that the Selling Holders and any other Persons intend to include in such Underwritten Offering exceeds the number that can be sold in such Underwritten Offering without being likely to have an adverse effect on the price, timing or distribution of the Common Stock offered or the market for the Common Stock (the “</w:t>
      </w:r>
      <w:r>
        <w:rPr>
          <w:rFonts w:ascii="Times New Roman" w:cs="Times New Roman" w:eastAsia="Times New Roman" w:hAnsi="Times New Roman"/>
          <w:sz w:val="18"/>
          <w:szCs w:val="18"/>
          <w:u w:val="single" w:color="auto"/>
          <w:color w:val="auto"/>
        </w:rPr>
        <w:t>Maximum Piggyback Number of Securities</w:t>
      </w:r>
      <w:r>
        <w:rPr>
          <w:rFonts w:ascii="Times New Roman" w:cs="Times New Roman" w:eastAsia="Times New Roman" w:hAnsi="Times New Roman"/>
          <w:sz w:val="18"/>
          <w:szCs w:val="18"/>
          <w:color w:val="auto"/>
        </w:rPr>
        <w:t>”), then the Common Stock to be included in such Underwritten Offering shall include the number of Registrable Securities that such Managing Underwriter or Underwriters advises the Company can be sold without having such adverse effect, with such number to be allocated (i) first, to the shares of Common Stock proposed to be sold by the Company or such other Person that has requested such registration, filing or offering, as the case may be, up to the Maximum Piggyback Number of Securities; (ii) second, to the extent the Maximum Piggyback Number of Securities has not been reached under clause (i), to the Registrable Securities proposed to be included in such Underwritten Offering by the other Selling Holders, pro rata among such Selling Holders based on the number of Registrable Securities owned by such Selling Holder at the time of such offering, which can be sold without exceeding the Maximum Piggyback Number of Securities; and (iii) third, to the extent the Maximum Piggyback Number of Securities has not been reached under clauses (i) and (ii), to the shares of Common Stock proposed to be included in such Underwritten offering by any other holders of shares of Common Stock having rights of registration with respect to such shares (“</w:t>
      </w:r>
      <w:r>
        <w:rPr>
          <w:rFonts w:ascii="Times New Roman" w:cs="Times New Roman" w:eastAsia="Times New Roman" w:hAnsi="Times New Roman"/>
          <w:sz w:val="18"/>
          <w:szCs w:val="18"/>
          <w:u w:val="single" w:color="auto"/>
          <w:color w:val="auto"/>
        </w:rPr>
        <w:t>Other Holders</w:t>
      </w:r>
      <w:r>
        <w:rPr>
          <w:rFonts w:ascii="Times New Roman" w:cs="Times New Roman" w:eastAsia="Times New Roman" w:hAnsi="Times New Roman"/>
          <w:sz w:val="18"/>
          <w:szCs w:val="18"/>
          <w:color w:val="auto"/>
        </w:rPr>
        <w:t>”) who have requested participation in such Underwritten Offering, pro rata among such Other Holders based on the number of shares of Common Stock owned by such Other Holder at the time of such offering, which can be sold without exceeding the Maximum Piggyback Number of Securities.</w:t>
      </w:r>
    </w:p>
    <w:p>
      <w:pPr>
        <w:spacing w:after="0" w:line="194"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At-the-Market Offerings</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the contrary, no Holder shall have any right to include any securities in any offering by the Company of securities executed pursuant to any “at the market” program that the Company may have in effect from time to time on or after the date of this Agreement.</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Procedures</w:t>
      </w:r>
      <w:r>
        <w:rPr>
          <w:rFonts w:ascii="Times New Roman" w:cs="Times New Roman" w:eastAsia="Times New Roman" w:hAnsi="Times New Roman"/>
          <w:sz w:val="18"/>
          <w:szCs w:val="18"/>
          <w:color w:val="auto"/>
        </w:rPr>
        <w:t xml:space="preserve">. In connection with its obligations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Company (or the applicable Selling Holder in the case of </w:t>
      </w:r>
      <w:r>
        <w:rPr>
          <w:rFonts w:ascii="Times New Roman" w:cs="Times New Roman" w:eastAsia="Times New Roman" w:hAnsi="Times New Roman"/>
          <w:sz w:val="18"/>
          <w:szCs w:val="18"/>
          <w:u w:val="single" w:color="auto"/>
          <w:color w:val="auto"/>
        </w:rPr>
        <w:t>Section 2.3(p)</w:t>
      </w:r>
      <w:r>
        <w:rPr>
          <w:rFonts w:ascii="Times New Roman" w:cs="Times New Roman" w:eastAsia="Times New Roman" w:hAnsi="Times New Roman"/>
          <w:sz w:val="18"/>
          <w:szCs w:val="18"/>
          <w:color w:val="auto"/>
        </w:rPr>
        <w:t>), will:</w:t>
      </w:r>
    </w:p>
    <w:p>
      <w:pPr>
        <w:spacing w:after="0" w:line="54" w:lineRule="exact"/>
        <w:rPr>
          <w:sz w:val="20"/>
          <w:szCs w:val="20"/>
          <w:color w:val="auto"/>
        </w:rPr>
      </w:pPr>
    </w:p>
    <w:p>
      <w:pPr>
        <w:ind w:right="140" w:firstLine="987"/>
        <w:spacing w:after="0" w:line="273" w:lineRule="auto"/>
        <w:tabs>
          <w:tab w:leader="none" w:pos="12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and use its commercially reasonable efforts to cause to be declared or become effective as soon as reasonably practicable, each registration statement contemplated by this Agreement with respect to all Registrable Securities as provided herein, and make all required filings with FINRA;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upon the occurrence of any event that would cause any registration statement or the prospectus contained therein to contain a material misstatement or omission, the Company shall file an appropriate amendment to the registration statement, a supplement to the prospectus, or a report filed with the SEC pursuant to Section 13(a), 14 or 15(d) of the Exchange Act, correcting any such misstatement or omission, and the Company shall use its commercially reasonable efforts to cause such amendment to be declared or become effective and the registration statement and the related prospectus to become usable for their intended purposes as soon as reasonably practicable thereafter;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3" w:name="page24"/>
    <w:bookmarkEnd w:id="23"/>
    <w:p>
      <w:pPr>
        <w:ind w:left="-20" w:firstLine="987"/>
        <w:spacing w:after="0" w:line="252" w:lineRule="auto"/>
        <w:tabs>
          <w:tab w:leader="none" w:pos="12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prepare and file with the SEC such amendments and supplements to each registration statement and the prospectus used in connection therewith as may be necessary to cause the registration statement to be effective and as may be necessary to comply with the provisions of the Securities Act with respect to the disposition of all securities covered by the registration statement; and (ii) if a prospectus supplement will be used in connection with the marketing of an Underwritten Offering or Bought or Overnight Underwritten Offering from a registration statement contemplated by this Agreement and the Managing Underwriter at any time shall notify each Selling Holder that, in the reasonable judgment of such Managing Underwriter, inclusion of detailed information to be used in such prospectus supplement is of material importance to the success of the Underwritten Offering or Bought or Overnight Underwritten Offering of such Registrable Securities, or if such information is required by applicable law (including the rules and regulations of the SEC), include such information in a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before filing any registration statement, prospectus or any amendments or supplements thereto the Company shall provide reasonable advance notice thereof to each Selling Holder and, if requested, furnish a reasonable opportunity to review copies of all such documents (including copies of any documents to be incorporated by reference therein and all exhibits thereto) proposed to be filed (in each case at least three Business Days prior to such filing or, in the case of documents filed in connection with an Bought or Overnight Underwritten Offering, at least one Business Day), and the Company shall not file any such registration statement or prospectus or any amendments or supplements thereto in respect of which a Selling Holder has provided or must provide information for the inclusion therein without such Selling Holder being afforded an opportunity to review such documentation;</w:t>
      </w:r>
    </w:p>
    <w:p>
      <w:pPr>
        <w:spacing w:after="0" w:line="197" w:lineRule="exact"/>
        <w:rPr>
          <w:rFonts w:ascii="Times New Roman" w:cs="Times New Roman" w:eastAsia="Times New Roman" w:hAnsi="Times New Roman"/>
          <w:sz w:val="18"/>
          <w:szCs w:val="18"/>
          <w:color w:val="auto"/>
        </w:rPr>
      </w:pPr>
    </w:p>
    <w:p>
      <w:pPr>
        <w:ind w:left="-20" w:right="460" w:firstLine="987"/>
        <w:spacing w:after="0" w:line="266"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Selling Holder such number of copies of the registration statement and the prospectus included therein and any supplements and amendments thereto as the Selling Holders may reasonably request in order to facilitate the public sale or other disposition of the Registrable Securities covered by the registration statement;</w:t>
      </w:r>
    </w:p>
    <w:p>
      <w:pPr>
        <w:spacing w:after="0" w:line="175" w:lineRule="exact"/>
        <w:rPr>
          <w:rFonts w:ascii="Times New Roman" w:cs="Times New Roman" w:eastAsia="Times New Roman" w:hAnsi="Times New Roman"/>
          <w:sz w:val="18"/>
          <w:szCs w:val="18"/>
          <w:color w:val="auto"/>
        </w:rPr>
      </w:pPr>
    </w:p>
    <w:p>
      <w:pPr>
        <w:ind w:left="-20" w:right="220" w:firstLine="987"/>
        <w:spacing w:after="0" w:line="254" w:lineRule="auto"/>
        <w:tabs>
          <w:tab w:leader="none" w:pos="12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applicable, use its commercially reasonable efforts to register or qualify the Registrable Securities covered by any registration statement contemplated by this Agreement under the securities or blue sky laws of such jurisdictions as a Selling Holder or, in the case of an Underwritten Offering or Bought or Overnight Underwritten Offering, the Managing Underwriter, shall reasonably request, to use its commercially reasonable efforts to keep such registration or qualification in effect for so long as such registration statement remains in effect, and to take any other action which may be reasonably necessary or advisable to enable each Selling Holder to consummate the disposition in such jurisdictions of the securities owned by such Selling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Company will not be required to qualify generally to transact business in any jurisdiction where it is not then required to so qualify, subject itself to taxation in any jurisdiction where it is not then taxed, or to take any action which would subject it to general service of process in any such jurisdiction where it is not then so subject;</w:t>
      </w:r>
    </w:p>
    <w:p>
      <w:pPr>
        <w:spacing w:after="0" w:line="191" w:lineRule="exact"/>
        <w:rPr>
          <w:rFonts w:ascii="Times New Roman" w:cs="Times New Roman" w:eastAsia="Times New Roman" w:hAnsi="Times New Roman"/>
          <w:sz w:val="18"/>
          <w:szCs w:val="18"/>
          <w:color w:val="auto"/>
        </w:rPr>
      </w:pPr>
    </w:p>
    <w:p>
      <w:pPr>
        <w:ind w:left="-20" w:right="120" w:firstLine="987"/>
        <w:spacing w:after="0" w:line="256"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and each underwriter of Registrable Securities, at any time when a prospectus relating thereto is required to be delivered under the Securities Act, of (i) the filing of any registration statement contemplated by this Agreement or any prospectus or prospectus supplement to be used in connection therewith, or any amendment or supplement thereto, and, with respect to such registration statement or any post-effective amendment thereto contemplated by this Agreement, when the same has become effective; and (ii) receipt of any written comments from the SEC with respect to any filing referred to in clause (i) and any written request by the SEC for amendments or supplements to any registration statement contemplated by this Agreement or any prospectus or prospectus supplement thereto;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270" w:right="479" w:bottom="1440" w:gutter="0" w:footer="0" w:header="0"/>
        </w:sectPr>
      </w:pPr>
    </w:p>
    <w:bookmarkStart w:id="24" w:name="page25"/>
    <w:bookmarkEnd w:id="24"/>
    <w:p>
      <w:pPr>
        <w:ind w:left="4" w:right="20" w:firstLine="987"/>
        <w:spacing w:after="0" w:line="253" w:lineRule="auto"/>
        <w:tabs>
          <w:tab w:leader="none" w:pos="12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notify each Selling Holder and each underwriter of Registrable Securities, at any time when a prospectus relating thereto is required to be delivered under the Securities Act, of (i) the happening of any event as a result of which the prospectus or prospectus supplement contained in any registration statement contemplated by this Agreement or any post-effective amendment thereto, as then in effect, includes an untrue statement of a material fact or omits to state any material fact required to be stated therein or necessary to make the statements therein, in the light of the circumstances under which they were made, not misleading; (ii) the issuance by the SEC of any stop order suspending the effectiveness of any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reasonably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in the light of the circumstances under which they were made, not misleading, and to use its commercially reasonable efforts to take such other action as is necessary to remove a stop order, suspension, threat thereof or proceedings related thereto;</w:t>
      </w:r>
    </w:p>
    <w:p>
      <w:pPr>
        <w:spacing w:after="0" w:line="18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Selling Holder copies of any and all transmittal letters or other correspondence with the SEC or any other governmental agency or self-regulatory body or other body having jurisdiction (including any domestic or foreign securities exchange) relating to such offering of Registrable Securities or any such registration statement relating to the offering of Registrable Securities;</w:t>
      </w:r>
    </w:p>
    <w:p>
      <w:pPr>
        <w:spacing w:after="0" w:line="175" w:lineRule="exact"/>
        <w:rPr>
          <w:rFonts w:ascii="Times New Roman" w:cs="Times New Roman" w:eastAsia="Times New Roman" w:hAnsi="Times New Roman"/>
          <w:sz w:val="18"/>
          <w:szCs w:val="18"/>
          <w:color w:val="auto"/>
        </w:rPr>
      </w:pPr>
    </w:p>
    <w:p>
      <w:pPr>
        <w:ind w:left="4" w:right="20" w:firstLine="987"/>
        <w:spacing w:after="0" w:line="270"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Underwritten Offering or Bought or Overnight Underwritten Offering, use its commercially reasonable efforts to furnish, or cause to be furnished, upon request and addressed to the underwriters, placement agents or sales agents, as applicable, and to the Selling Holders, (i) an opinion and negative assurance letter of counsel for the Company, dated the effective date of the applicable registration statement or the date of any amendment or supplement thereto, and an opinion and letter of like kind dated the date of the closing under the underwriting agreement, and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“comfort letter,” dated the effective date of the applicable registration statement or the date of any amendment or supplement thereto and a letter of like kind dated the date of the closing under the underwriting agreement or other purchase or sales agreement, in each case, signed by the independent public accountants (and, if applicable, independent reserve engineers who have certified the Company’s financial statements (or prepared or reviewed or audited, as applicable, oil and gas reserves) included or incorporated by reference into the applicable registration statement), and each such opinion and “comfort letter” shall be in customary form and cover substantially the same matters with respect to such registration statement (and the prospectus and any prospectus supplement included therein) as are customarily covered in opinions of issuer’s counsel and in accountants’ (and, if applicable, independent reserve engineers’) letters delivered to the underwriters in Underwritten Offerings or Bought or Overnight Underwritten Offerings of securities, and such other matters as such underwriters or placement or sales agents or a Selling Holder may reasonably request;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25" w:name="page26"/>
    <w:bookmarkEnd w:id="25"/>
    <w:p>
      <w:pPr>
        <w:ind w:right="60" w:firstLine="987"/>
        <w:spacing w:after="0" w:line="261"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use its commercially reasonable efforts to comply with all applicable rules and regulations of the SEC,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promulgated thereunder;</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available to the appropriate representatives of the Managing Underwriter and the Selling Holders access to such information and the Company personnel as is reasonable and customary to enable such parties to establish a due diligence defense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Company need not disclose any information to any such representative unless and until such representative has entered into a confidentiality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the Company;</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Registrable Securities registered pursuant to this Agreement to be listed on each securities exchange or nationally recognized quotation system on which similar securities issued by the Company are then listed or quoted;</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Securities to be registered with or approved by such other governmental agencies or authorities as may be necessary by virtue of the business and operations of the Company to enable the Selling Holders to consummate the disposition of such Registrable Securities;</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such registration statement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customary agreements and use its commercially reasonable efforts to take such other actions as are reasonably requested by the Selling Holders or the underwriters or placement or sales agents, if any, in order to expedite or facilitate the disposition of such Registrable Securities and entry of such Registrable Securities in book-entry with The Depository Trust Company (including, making appropriate officers of the Company available to participate in any “road show” presentations before analysts and other customary marketing activities (including one on one meetings with prospective purchasers of the Registrable Securities));</w:t>
      </w:r>
    </w:p>
    <w:p>
      <w:pPr>
        <w:spacing w:after="0" w:line="183" w:lineRule="exact"/>
        <w:rPr>
          <w:rFonts w:ascii="Times New Roman" w:cs="Times New Roman" w:eastAsia="Times New Roman" w:hAnsi="Times New Roman"/>
          <w:sz w:val="18"/>
          <w:szCs w:val="18"/>
          <w:color w:val="auto"/>
        </w:rPr>
      </w:pPr>
    </w:p>
    <w:p>
      <w:pPr>
        <w:ind w:right="380" w:firstLine="987"/>
        <w:spacing w:after="0" w:line="258"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Securities to be initially represented by direct registration with the Company’s transfer agent and provide a CUSIP number for all Registrable Securities and, in connection therewith, if reasonably required by the Company’s transfer agent, the Company shall promptly deliver any authorizations, certificates and directions required by the transfer agent which authorize and direct the transfer agent to issue such Registrable Securities without legend upon sale by the holder of such shares of Registrable Securities under a shelf registration statement or any other registration statement contemplated by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 w:name="page27"/>
    <w:bookmarkEnd w:id="26"/>
    <w:p>
      <w:pPr>
        <w:ind w:left="4" w:right="80" w:firstLine="987"/>
        <w:spacing w:after="0" w:line="255" w:lineRule="auto"/>
        <w:tabs>
          <w:tab w:leader="none" w:pos="12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Selling Holder, upon receipt of notice from the Company of the happening of any event of the kind described in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forthwith discontinue disposition of the Registrable Securities until such Selling Holder’s receipt of the copies of the supplemented or amended prospectus contemplated by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will, or will request the Managing Underwriter or Underwriters, if any, to deliver to the Company (at the Company’s expense) all copies in their possession or control, other than permanent file copies then in such Selling Holder’s possession, of the prospectus covering such Registrable Securities current at the time of receipt of such notice;</w:t>
      </w:r>
    </w:p>
    <w:p>
      <w:pPr>
        <w:spacing w:after="0" w:line="188"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Selling Holder, (i) as soon as reasonably practicable incorporate in a prospectus supplement or post-effective amendment such information as a Selling Holder reasonably requests to be included therein relating to the sale and distribution of Registrable Securities, including information with respect to such Holder or any subsequent Holder,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the registration statement; and</w:t>
      </w:r>
    </w:p>
    <w:p>
      <w:pPr>
        <w:spacing w:after="0" w:line="188" w:lineRule="exact"/>
        <w:rPr>
          <w:rFonts w:ascii="Times New Roman" w:cs="Times New Roman" w:eastAsia="Times New Roman" w:hAnsi="Times New Roman"/>
          <w:sz w:val="18"/>
          <w:szCs w:val="18"/>
          <w:color w:val="auto"/>
        </w:rPr>
      </w:pPr>
    </w:p>
    <w:p>
      <w:pPr>
        <w:ind w:left="4" w:right="580" w:firstLine="987"/>
        <w:spacing w:after="0" w:line="282" w:lineRule="auto"/>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take all other steps reasonably necessary to effect the registration of, and facilitate the disposition of, the Registrable Securities contemplated hereby.</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Cooperation by Holders</w:t>
      </w:r>
      <w:r>
        <w:rPr>
          <w:rFonts w:ascii="Times New Roman" w:cs="Times New Roman" w:eastAsia="Times New Roman" w:hAnsi="Times New Roman"/>
          <w:sz w:val="18"/>
          <w:szCs w:val="18"/>
          <w:color w:val="auto"/>
        </w:rPr>
        <w:t>. The Company shall have no obligation to include in any registration statement contemplated by this Agreement any Registrable Securities of a Holder who has failed to timely furnish such information that the Company, based on the advice of counsel, determines is reasonably required to be furnished or confirmed in order for the registration statement or prospectus supplement thereto, as applicable, to comply with the Securities Act.</w:t>
      </w:r>
    </w:p>
    <w:p>
      <w:pPr>
        <w:spacing w:after="0" w:line="180"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Restrictions on Public Sale by Holders of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xml:space="preserve">. Each Holder of Registrable Securities participating in an Underwritten Offering or Bought or Overnight Underwritten Offering of equity securities by the Company agrees, if requested by such Managing Underwriter or Underwriters with respect to such Underwritten Offering or Bought or Overnight Underwritten Offering such Holder is participating in, not to effect any public sale or distribution of the Registrable Securities for a period of up to 90 days following completion of such Underwritten Offering or Bought or Overnight Underwritten Offering,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Company gives written notice to the Holders of the date of the commencement and termination of such period with respect to any such Underwritten Offering or Bought or Overnight Underwritten Offering and</w:t>
      </w:r>
    </w:p>
    <w:p>
      <w:pPr>
        <w:spacing w:after="0" w:line="5" w:lineRule="exact"/>
        <w:rPr>
          <w:sz w:val="20"/>
          <w:szCs w:val="20"/>
          <w:color w:val="auto"/>
        </w:rPr>
      </w:pPr>
    </w:p>
    <w:p>
      <w:pPr>
        <w:ind w:left="4" w:hanging="4"/>
        <w:spacing w:after="0" w:line="251" w:lineRule="auto"/>
        <w:tabs>
          <w:tab w:leader="none" w:pos="2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duration of the foregoing restrictions shall be no longer than the duration of the shortest restriction generally imposed by the underwriters of such public sale or distribution on the Company or on the officers or directors or any other shareholder of the Company on whom a restriction is imposed;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a Holder that, together with its Affiliates, Beneficially Owns less than 7.5% of the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shares of Common Stock at the time of the offering unless such Holder (or its Affiliate) has the right to nominate a member of the Board and has not waived such right under the applicable Stockholder’s Agreement. Without limiting the generality of the foregoing, (a) no Holder participating in such offering shall be required to sign a lock-up agreement that contains restrictions that are more restrictive than the restrictions contained in the lock-up agreements executed by any other holder of Common Stock participating in such offering, and (b) each Holder shall be released, pro rata, from any lock-up agreement entered into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the event and to the extent that the Managing Underwriter or the Company permit any discretionary waiver or termination of the restrictions of any lock-up agreement pertaining to any officer, director or participating holder of Common Stock.</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4"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each Holder agrees that, without the prior written consent of the Company, such Holder shall not Transfer all or any part of the Registrable Securities or any right or economic interest pertaining thereto, including the right to vote or consent on any matter or to receive or have any economic interest in dividends from the Company pursuant thereto (the “</w:t>
      </w:r>
      <w:r>
        <w:rPr>
          <w:rFonts w:ascii="Times New Roman" w:cs="Times New Roman" w:eastAsia="Times New Roman" w:hAnsi="Times New Roman"/>
          <w:sz w:val="18"/>
          <w:szCs w:val="18"/>
          <w:u w:val="single" w:color="auto"/>
          <w:color w:val="auto"/>
        </w:rPr>
        <w:t>Lock-up 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Lock-up Restriction shall not apply with respect to any Transfer to general partners, limited partners, members or stockholders of any such Holder, or to any corporation, partnership, limited liability company, investment fund or other entity that controls or manages or is controlled or managed by any such Holder or its Affiliates, or to any Affiliate under common control or management with any such Holder other than, in each case, a portfolio company of a Holder or any of its Affiliates, provided that, as a condition to the effectiveness of such Transfer, (i) such transferee agrees in writing, for the benefit of the Company, to be bound by the terms of this Agreement applicable to such Holder and (ii) the Company is given written notice prior to any such Transfer, stating the name and address of each such transferee and identifying the Securities to be Transferred.</w:t>
      </w:r>
    </w:p>
    <w:p>
      <w:pPr>
        <w:spacing w:after="0" w:line="18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Restriction shall cease to apply to the Registrable Securities as follows:</w:t>
      </w:r>
    </w:p>
    <w:p>
      <w:pPr>
        <w:spacing w:after="0" w:line="117" w:lineRule="exact"/>
        <w:rPr>
          <w:rFonts w:ascii="Times New Roman" w:cs="Times New Roman" w:eastAsia="Times New Roman" w:hAnsi="Times New Roman"/>
          <w:sz w:val="18"/>
          <w:szCs w:val="18"/>
          <w:color w:val="auto"/>
        </w:rPr>
      </w:pPr>
    </w:p>
    <w:p>
      <w:pPr>
        <w:jc w:val="both"/>
        <w:ind w:left="-20" w:right="80" w:firstLine="1428"/>
        <w:spacing w:after="0" w:line="266" w:lineRule="auto"/>
        <w:tabs>
          <w:tab w:leader="none" w:pos="162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six-month anniversary of the date hereof, the members of each Member Holder Group may Transfer up to 1/3 of the total number of Registrable Securities in the aggregate (rounded up to the nearest whole Registrable Security) Beneficially Owned by such Member Holder Group as of the date hereof;</w:t>
      </w:r>
    </w:p>
    <w:p>
      <w:pPr>
        <w:spacing w:after="0" w:line="175" w:lineRule="exact"/>
        <w:rPr>
          <w:rFonts w:ascii="Times New Roman" w:cs="Times New Roman" w:eastAsia="Times New Roman" w:hAnsi="Times New Roman"/>
          <w:sz w:val="18"/>
          <w:szCs w:val="18"/>
          <w:color w:val="auto"/>
        </w:rPr>
      </w:pPr>
    </w:p>
    <w:p>
      <w:pPr>
        <w:jc w:val="both"/>
        <w:ind w:left="-20" w:firstLine="1428"/>
        <w:spacing w:after="0" w:line="261" w:lineRule="auto"/>
        <w:tabs>
          <w:tab w:leader="none" w:pos="16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the 12-month anniversary of the date hereof, the members of each Member Holder Group may Transfer up to 2/3 of the total number of Registrable Securities in the aggregate (rounded up to the nearest whole Registrable Security), minus the total number of Registrable Securities Transferred by the members of such Member Holder Group pursuant to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Beneficially Owned by such Member Holder Group as of the date hereof; and</w:t>
      </w:r>
    </w:p>
    <w:p>
      <w:pPr>
        <w:spacing w:after="0" w:line="179" w:lineRule="exact"/>
        <w:rPr>
          <w:rFonts w:ascii="Times New Roman" w:cs="Times New Roman" w:eastAsia="Times New Roman" w:hAnsi="Times New Roman"/>
          <w:sz w:val="18"/>
          <w:szCs w:val="18"/>
          <w:color w:val="auto"/>
        </w:rPr>
      </w:pPr>
    </w:p>
    <w:p>
      <w:pPr>
        <w:ind w:left="-20" w:right="240" w:firstLine="1428"/>
        <w:spacing w:after="0" w:line="282" w:lineRule="auto"/>
        <w:tabs>
          <w:tab w:leader="none" w:pos="172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18-month anniversary of the date hereof, the Lock-up Restriction shall no longer apply and each Holder may Transfer all of the total number of Securities Beneficially Owned by such Holder as of the date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28" w:name="page29"/>
    <w:bookmarkEnd w:id="28"/>
    <w:p>
      <w:pPr>
        <w:ind w:left="-20" w:right="260" w:firstLine="987"/>
        <w:spacing w:after="0" w:line="282" w:lineRule="auto"/>
        <w:tabs>
          <w:tab w:leader="none" w:pos="1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Lock-up Restriction shall not apply to, and nothing in the foregoing shall restrict or prohibit any Holder or any of its Affiliates from, any of the following:</w:t>
      </w:r>
    </w:p>
    <w:p>
      <w:pPr>
        <w:spacing w:after="0" w:line="53" w:lineRule="exact"/>
        <w:rPr>
          <w:rFonts w:ascii="Times New Roman" w:cs="Times New Roman" w:eastAsia="Times New Roman" w:hAnsi="Times New Roman"/>
          <w:sz w:val="18"/>
          <w:szCs w:val="18"/>
          <w:color w:val="auto"/>
        </w:rPr>
      </w:pPr>
    </w:p>
    <w:p>
      <w:pPr>
        <w:ind w:left="-20" w:right="160" w:firstLine="1428"/>
        <w:spacing w:after="0" w:line="282" w:lineRule="auto"/>
        <w:tabs>
          <w:tab w:leader="none" w:pos="162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 connection with the completion of a liquidation, stock exchange or other similar transaction that results in all of the Company’s securityholders having the right to exchange their shares of Common Stock for cash, securities or other property;</w:t>
      </w:r>
    </w:p>
    <w:p>
      <w:pPr>
        <w:spacing w:after="0" w:line="161" w:lineRule="exact"/>
        <w:rPr>
          <w:rFonts w:ascii="Times New Roman" w:cs="Times New Roman" w:eastAsia="Times New Roman" w:hAnsi="Times New Roman"/>
          <w:sz w:val="18"/>
          <w:szCs w:val="18"/>
          <w:color w:val="auto"/>
        </w:rPr>
      </w:pPr>
    </w:p>
    <w:p>
      <w:pPr>
        <w:ind w:left="-20" w:right="680" w:firstLine="1428"/>
        <w:spacing w:after="0" w:line="282" w:lineRule="auto"/>
        <w:tabs>
          <w:tab w:leader="none" w:pos="16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Registrable Securities to the Company pursuant to agreements under which the Company has the option to repurchase such Securities or pursuant to a share repurchase program approved by the Board;</w:t>
      </w:r>
    </w:p>
    <w:p>
      <w:pPr>
        <w:spacing w:after="0" w:line="161" w:lineRule="exact"/>
        <w:rPr>
          <w:rFonts w:ascii="Times New Roman" w:cs="Times New Roman" w:eastAsia="Times New Roman" w:hAnsi="Times New Roman"/>
          <w:sz w:val="18"/>
          <w:szCs w:val="18"/>
          <w:color w:val="auto"/>
        </w:rPr>
      </w:pPr>
    </w:p>
    <w:p>
      <w:pPr>
        <w:jc w:val="both"/>
        <w:ind w:left="-20" w:right="40" w:firstLine="1428"/>
        <w:spacing w:after="0" w:line="261" w:lineRule="auto"/>
        <w:tabs>
          <w:tab w:leader="none" w:pos="172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or other transactions or arrangements, in each case, concerning a broad-based index or basket of securities that may involve shares of Common Stock of the Company but do not otherwise involve the Transfer of any Registrable Securities Beneficially Owned by a Holder and would not require any filing by any Holder under the Securities Exchange Act of 1934, as amended, with respect to the Common Stock Beneficially Owned by such Holder; or</w:t>
      </w:r>
    </w:p>
    <w:p>
      <w:pPr>
        <w:spacing w:after="0" w:line="179"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Registrable Securities by operation of law or pursuant to a final order of a court or regulatory agency.</w:t>
      </w:r>
    </w:p>
    <w:p>
      <w:pPr>
        <w:spacing w:after="0" w:line="22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purported Transfer in violation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3" w:lineRule="auto"/>
        <w:tabs>
          <w:tab w:leader="none" w:pos="12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all expenses incident to the Company’s performance under or compliance with this Agreement to effect the registration of Registrable Securities on any registration statement, prospectus or prospectus supplement or amendment or supplement contemplated by this Agreement, an Underwritten Offering or Bought or Overnight Underwritten Offering covered under this Agreement, and/or the disposition of such securities, including, without limitation, all registration, filing, securities exchange listing fees, all registration, filing, qualification and other fees and expenses of complying with securities or blue sky laws, fees of FINRA and fees of transfer agents and registrars, all word processing, duplicating and printing expenses, and the reasonable and documented fees and disbursements of (x) one counsel to the CPPIB Holder Group, one counsel to the IKAV Holder Group and one counsel to the Oaktree Holder Group, in each case, to the extent such Member Holder Group is participating in such registration statement or offering, and (y) counsel and independent public accountants (and, if applicable, independent reserve engineers) for the Company, including the expenses of any legal opinions or letters, special audits or “comfort letters” required by or incident to such performance and compliance.</w:t>
      </w:r>
    </w:p>
    <w:p>
      <w:pPr>
        <w:spacing w:after="0" w:line="192" w:lineRule="exact"/>
        <w:rPr>
          <w:rFonts w:ascii="Times New Roman" w:cs="Times New Roman" w:eastAsia="Times New Roman" w:hAnsi="Times New Roman"/>
          <w:sz w:val="18"/>
          <w:szCs w:val="18"/>
          <w:color w:val="auto"/>
        </w:rPr>
      </w:pPr>
    </w:p>
    <w:p>
      <w:pPr>
        <w:jc w:val="both"/>
        <w:ind w:left="-20" w:right="400" w:firstLine="987"/>
        <w:spacing w:after="0" w:line="267" w:lineRule="auto"/>
        <w:tabs>
          <w:tab w:leader="none" w:pos="12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pay all Registration Expenses as determined in good faith, including, in the case of an Underwritten Offering or Bought or Overnight Underwritten Offering, whether or not any sale is made pursuant to a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Selling Holders shall pay any and all applicable Selling Expenses.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987"/>
        <w:spacing w:after="0" w:line="251"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of a registration of any Registrable Securities under the Securities Act pursuant to this Agreement, the Company shall indemnify and hold harmless each Selling Holder thereunder, its Affiliates and their respective directors, officers, managers, employees and agents and each Underwriter pursuant to the applicable underwriting agreement with such Underwriter and each Person, if any, who controls such Selling Holder or Underwriter within the meaning of the Securities Act and the Exchange Act and its directors, officers, employees and agents (collectively, the “</w:t>
      </w:r>
      <w:r>
        <w:rPr>
          <w:rFonts w:ascii="Times New Roman" w:cs="Times New Roman" w:eastAsia="Times New Roman" w:hAnsi="Times New Roman"/>
          <w:sz w:val="18"/>
          <w:szCs w:val="18"/>
          <w:u w:val="single" w:color="auto"/>
          <w:color w:val="auto"/>
        </w:rPr>
        <w:t>Sellin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Holder Indemnified Persons</w:t>
      </w:r>
      <w:r>
        <w:rPr>
          <w:rFonts w:ascii="Times New Roman" w:cs="Times New Roman" w:eastAsia="Times New Roman" w:hAnsi="Times New Roman"/>
          <w:sz w:val="18"/>
          <w:szCs w:val="18"/>
          <w:color w:val="auto"/>
        </w:rPr>
        <w:t>”), against any losses, claims, damages, expenses or liabilities (including reasonable attorneys’, accountants’ and experts’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joint or several, to which such Selling Holder Indemnified Person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contemplated by this Agreement, any preliminary prospectus, prospectus supplement, free writing prospectus (or roadshow or other similar marketing material) or final prospectus, or any amendment or supplement thereof, or (ii) the omission or alleged omission to state therein a material fact required to be stated therein or necessary to make the statements therein (in the case of a prospectus, in the light of the circumstances under which they were made) not misleading, and will reimburse each such Selling Holder Indemnified Person for any legal or other expenses reasonably incurred by them in connection with investigating or defending any such Loss or actions or proceedings;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will not be liable in any such case if and to the extent that any such Loss arises out of or is based upon an untrue statement or alleged untrue statement or omission or alleged omission so made in strict conformity with information furnished by such Selling Holder Indemnified Person in writing specifically for use in a registration statement or any prospectus contained therein or any amendment or supplement thereof;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will not be liable to any Selling Holder Indemnified Person with respect to any preliminary prospectus or the final prospectus (including any amended or supplemented preliminary or final prospectus), as the case may be, to the extent that any such Loss of such Selling Holder Indemnified Person results from the fact that such Selling Holder Indemnified Person did not send or give, at or prior to the written confirmation of the applicable sale of Registrable Securities, a copy of the final prospectus as then amended or supplemented, whichever is most recent, if the Company has previously furnished copies thereof to such Selling Holder Indemnified Person and such final prospectus, as then amended or supplemented, has corrected any such misstatement or omission (such failure to send or deliver,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Such indemnity shall remain in full force and effect regardless of any investigation made by or on behalf of such Selling Holder Indemnified Person and shall survive the transfer of such securities by the applicable Selling Holder.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0" w:name="page31"/>
    <w:bookmarkEnd w:id="30"/>
    <w:p>
      <w:pPr>
        <w:ind w:left="-40" w:right="100" w:firstLine="987"/>
        <w:spacing w:after="0" w:line="254"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Each Selling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Selling Holder agrees severally and not jointly to indemnify and hold harmless the Company, its directors and officers, and each Person, if any, who controls the Company (a “</w:t>
      </w:r>
      <w:r>
        <w:rPr>
          <w:rFonts w:ascii="Times New Roman" w:cs="Times New Roman" w:eastAsia="Times New Roman" w:hAnsi="Times New Roman"/>
          <w:sz w:val="18"/>
          <w:szCs w:val="18"/>
          <w:u w:val="single" w:color="auto"/>
          <w:color w:val="auto"/>
        </w:rPr>
        <w:t>Company Indemnified Person</w:t>
      </w:r>
      <w:r>
        <w:rPr>
          <w:rFonts w:ascii="Times New Roman" w:cs="Times New Roman" w:eastAsia="Times New Roman" w:hAnsi="Times New Roman"/>
          <w:sz w:val="18"/>
          <w:szCs w:val="18"/>
          <w:color w:val="auto"/>
        </w:rPr>
        <w:t xml:space="preserve">”) within the meaning of the Securities Act or of the Exchange Act against (i) any Losses to the same extent as the foregoing indemnity from the Company to the Selling Holders, but only with respect to information regarding such Selling Holder furnished in writing by or on behalf of such Selling Holder expressly for inclusion in any registration statement contemplated by this Agreement or any prospectus contained therein or any amendment or supplement thereof relating to the Registrable Securities and (ii) any Losses of such Company Indemnified Person resulting from any Delivery Failure on the part of such Selling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indemnity agreement contained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amounts paid in settlement of any claim if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is effected without the prior written consent of the Selling Holder, which consent shall not be unreasonably withheld or delayed;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 </w:t>
      </w:r>
      <w:r>
        <w:rPr>
          <w:rFonts w:ascii="Times New Roman" w:cs="Times New Roman" w:eastAsia="Times New Roman" w:hAnsi="Times New Roman"/>
          <w:sz w:val="18"/>
          <w:szCs w:val="18"/>
          <w:color w:val="auto"/>
        </w:rPr>
        <w:t>that the liability of each Selling Holder shall not be greater in amount than the dollar amount of the proceeds (net of any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received by such Selling Holder from the sale of the Registrable Securities giving rise to such indemnification.</w:t>
      </w:r>
    </w:p>
    <w:p>
      <w:pPr>
        <w:spacing w:after="0" w:line="185" w:lineRule="exact"/>
        <w:rPr>
          <w:rFonts w:ascii="Times New Roman" w:cs="Times New Roman" w:eastAsia="Times New Roman" w:hAnsi="Times New Roman"/>
          <w:sz w:val="18"/>
          <w:szCs w:val="18"/>
          <w:color w:val="auto"/>
        </w:rPr>
      </w:pPr>
    </w:p>
    <w:p>
      <w:pPr>
        <w:ind w:left="-40" w:firstLine="987"/>
        <w:spacing w:after="0" w:line="252" w:lineRule="auto"/>
        <w:tabs>
          <w:tab w:leader="none" w:pos="11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such indemnified party’s failure to so notify the indemnifying party shall not relieve the indemnifying party from any liability which it may have to any indemnified party other than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except to the extent it has been materially prejudiced (through the forfeiture of substantive rights or defenses) by such failure. In any action brought against any indemnified party, it shall notify the indemnifying party of the commencement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failure to notify the indemnifying party shall not relieve it from any liability that it may have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extent it has been materially prejudiced (through the forfeiture of substantive rights or defenses) by such failure.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for any legal expenses subsequently incurred by such indemnified party in connection with the defense thereof other than reasonable costs of investigation and of liaison with counsel so selected;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if the indemnifying party has failed to assume the defense and employ counsel reasonably acceptable to the indemnified party or (ii)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one separate counsel and to assume such legal defense and otherwise to participate in the defense of such action, with the reasonable expenses and fees of one such separate counsel (firm)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in its sole discretion, unless the settlement thereof imposes no liability or obligation on, and includes a complete and unconditional release from all liability of, the indemnifying party.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80" w:top="268" w:right="479" w:bottom="1440" w:gutter="0" w:footer="0" w:header="0"/>
        </w:sectPr>
      </w:pPr>
    </w:p>
    <w:bookmarkStart w:id="31" w:name="page32"/>
    <w:bookmarkEnd w:id="31"/>
    <w:p>
      <w:pPr>
        <w:ind w:right="20" w:firstLine="987"/>
        <w:spacing w:after="0" w:line="252"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is held by a court or government agency of competent jurisdiction to be unavailable to the Company or any Selling Holder Indemnified Person or is insufficient to hold it harmless in respect of any Losses, then each such indemnifying party, in lieu of indemnifying such indemnified party, shall contribute to the amount paid or payable by such indemnified party as a result of such Losses as between the Company, on the one hand, and such Selling Holder Indemnified Person, on the other hand, in such proportion as is appropriate to reflect the relative fault of the Company, on the one hand, and of such Selling Holder Indemnified Person, on the other, in connection with the statements or omissions which resulted in such Losses, as well as any other relevant equitable considerations;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Selling Holder be required to contribute an aggregate amount in excess of the dollar amount of proceeds (net of any Selling Expenses) received by any Selling Holder from the sale of Registrable Securities giving rise to such indemnification. The relative fault of the Company, on the one hand, and each Selling Holder Indemnified Person, on the other hand,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93" w:lineRule="exact"/>
        <w:rPr>
          <w:rFonts w:ascii="Times New Roman" w:cs="Times New Roman" w:eastAsia="Times New Roman" w:hAnsi="Times New Roman"/>
          <w:sz w:val="18"/>
          <w:szCs w:val="18"/>
          <w:color w:val="auto"/>
        </w:rPr>
      </w:pPr>
    </w:p>
    <w:p>
      <w:pPr>
        <w:ind w:right="400" w:firstLine="987"/>
        <w:spacing w:after="0" w:line="284"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be in addition to any other rights to indemnification or contribution which an indemnified party may have pursuant to law, equity, contract or otherwise.</w:t>
      </w:r>
    </w:p>
    <w:p>
      <w:pPr>
        <w:spacing w:after="0" w:line="16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Rule 144 Reportin</w:t>
      </w:r>
      <w:r>
        <w:rPr>
          <w:rFonts w:ascii="Times New Roman" w:cs="Times New Roman" w:eastAsia="Times New Roman" w:hAnsi="Times New Roman"/>
          <w:sz w:val="18"/>
          <w:szCs w:val="18"/>
          <w:color w:val="auto"/>
        </w:rPr>
        <w:t>g. With a view to making available the benefits of certain rules and regulations of the SEC that may permit the sale of the Registrable Securities to the public without registration, the Company agrees to use its commercially reasonable efforts to:</w:t>
      </w:r>
    </w:p>
    <w:p>
      <w:pPr>
        <w:spacing w:after="0" w:line="54" w:lineRule="exact"/>
        <w:rPr>
          <w:sz w:val="20"/>
          <w:szCs w:val="20"/>
          <w:color w:val="auto"/>
        </w:rPr>
      </w:pPr>
    </w:p>
    <w:p>
      <w:pPr>
        <w:ind w:firstLine="987"/>
        <w:spacing w:after="0" w:line="282"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Company available, as those terms are understood and defined in Rule 144, at all times from and after the Closing Date until there are no Registrable Securities outstanding;</w:t>
      </w:r>
    </w:p>
    <w:p>
      <w:pPr>
        <w:spacing w:after="0" w:line="161"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and the Exchange Act at all times from and after the Closing Date until there are no Registrable Securities outstanding;</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to such Holder forthwith upon request a copy of the most recent annual or quarterly report of the Company, and such other reports and documents so filed as such Holder may reasonably request in availing itself of any rule or regulation of the SEC allowing such Holder to sell any such securities without registration;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8" w:right="439" w:bottom="1440" w:gutter="0" w:footer="0" w:header="0"/>
        </w:sectPr>
      </w:pPr>
    </w:p>
    <w:bookmarkStart w:id="32" w:name="page33"/>
    <w:bookmarkEnd w:id="32"/>
    <w:p>
      <w:pPr>
        <w:ind w:right="60" w:firstLine="987"/>
        <w:spacing w:after="0" w:line="258"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take such further action as any Holder may reasonably request to enable the Holders to sell Registrable Securities without registration under the Securities Act within the limitations of the exemption provided by Rule 144, including, without limitation, delivering customary legal opinions, consents, certificates, resolutions and instructions to the Company’s transfer agent without unreasonable delay, and in each case as may be reasonably requested from time to time by the Holder, and otherwise use commercially reasonable efforts to cooperate with Holder and Holder’s broker in their efforts to effect such sale of securities pursuant to Rule 144.</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Information by Holder</w:t>
      </w:r>
      <w:r>
        <w:rPr>
          <w:rFonts w:ascii="Times New Roman" w:cs="Times New Roman" w:eastAsia="Times New Roman" w:hAnsi="Times New Roman"/>
          <w:sz w:val="18"/>
          <w:szCs w:val="18"/>
          <w:color w:val="auto"/>
        </w:rPr>
        <w:t>. Any Holder or Holders of Registrable Securities included in any registration statement shall promptly furnish to the Company such information regarding such Holder or Holders and the distribution proposed by such Holder or Holders as the Company may reasonably request and as shall be required in connection with any registration, qualification or compliance referred to herein.</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No Inconsistent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reements; Limitation on Subsequent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xml:space="preserve">. The Company has not entered, as of the date hereof, and the Company shall not enter, after the date of this Agreement, into any agreement with respect to any of its securities that is inconsistent with the rights granted to the Sellers in this Agreement. From and after the date of this Agreement until there are no Registrable Securities outstanding, the Company shall not, without the prior written consent of the Holders of a majority of the then outstanding Registrable Securities held by each Member Holder Group, (i) enter into any agreement with any current or future holder of any securities of the Company that would allow such current or future holder to require the Company to include securities in any Piggyback Offering on a basis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superior in any respect to the Piggyback Offering rights granted to the Holders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Agreement, or (ii) enter into any agreement, take any action or permit any change to occur with respect to its securities that subordinates, conflicts with, or would impair the rights granted to the Holders pursuant to, and subject to any conditions or limitations thereon contained in, this Agreement.</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each notice party shall use reasonable best efforts to confirm receipt of any such email correspondence promptly upon receipt of such request); or (c) if transmitted by national overnight courier, in each case as addressed as follows: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Michael L. Preston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michael.preston@crc.com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 (which copy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1888 Century Park East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California 90067-1725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Alison S. Ressler; Bradley S. King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resslera@sullcrom.com; kingbrad@sullcrom.com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Sellers,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Canada Pension Plan Investment Board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Queen Street East, Suite 2500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Toronto, ON M5C 2W5, Canada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Senior Managing Director and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legalnotice@cppib.com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IKAV Impact S.a.r.l.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1201 Louisiana Street, Suite 3400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Bobby Saadati</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bsaadati@ikav.com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Oaktree Capital Management</w:t>
      </w:r>
    </w:p>
    <w:p>
      <w:pPr>
        <w:ind w:left="980"/>
        <w:spacing w:after="0" w:line="196" w:lineRule="auto"/>
        <w:rPr>
          <w:sz w:val="20"/>
          <w:szCs w:val="20"/>
          <w:color w:val="auto"/>
        </w:rPr>
      </w:pPr>
      <w:r>
        <w:rPr>
          <w:rFonts w:ascii="Times New Roman" w:cs="Times New Roman" w:eastAsia="Times New Roman" w:hAnsi="Times New Roman"/>
          <w:sz w:val="18"/>
          <w:szCs w:val="18"/>
          <w:color w:val="auto"/>
        </w:rPr>
        <w:t>333 South Grand Ave.,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Robert LaRoche, Brook Hinchman, Samuel Williams and Jordan Mikes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rlaroche@oaktreecapital.com;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bhinchman@oaktreecapital.com; swilliams@oaktreecapital.com;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jmikes@oaktreecapital.com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David S. Allinson; Thomas G. Brandt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david.allinson@lw.com; thomas.brandt@lw.com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solely with respect to notices provided to any Oaktree Holder,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Jhett R. Nelson, P.C.; Adam Garmezy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jhett.nelson@kirkland.com; adam.garmezy@kirkland.com</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or, if to a transferee of a Holder, to the transferee at the address specified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below. All notices and communications shall be deemed to have been duly given: (i) at the time delivered by hand, if personally delivered; (ii) when notice is sent to the sender that the recipient has read the message, if sent by electronic mail; (iii) upon actual receipt if sent by registered or certified mail, return receipt requested, or regular mail, if mailed; and (iv) upon actual receipt when delivered to an air courier guaranteeing overnight deliver.</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440" w:top="270" w:right="759" w:bottom="1440" w:gutter="0" w:footer="0" w:header="0"/>
        </w:sectPr>
      </w:pPr>
    </w:p>
    <w:bookmarkStart w:id="34" w:name="page35"/>
    <w:bookmarkEnd w:id="34"/>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Successors and 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ns</w:t>
      </w:r>
      <w:r>
        <w:rPr>
          <w:rFonts w:ascii="Times New Roman" w:cs="Times New Roman" w:eastAsia="Times New Roman" w:hAnsi="Times New Roman"/>
          <w:sz w:val="18"/>
          <w:szCs w:val="18"/>
          <w:color w:val="auto"/>
        </w:rPr>
        <w:t>. This Agreement shall inure to the benefit of and be binding upon the permitted successors and assigns of each of the parties, including subsequent Holders of Registrable Securities to the extent permitted herein.</w:t>
      </w:r>
    </w:p>
    <w:p>
      <w:pPr>
        <w:spacing w:after="0" w:line="162"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Assi</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nment of Ri</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hts</w:t>
      </w:r>
      <w:r>
        <w:rPr>
          <w:rFonts w:ascii="Times New Roman" w:cs="Times New Roman" w:eastAsia="Times New Roman" w:hAnsi="Times New Roman"/>
          <w:sz w:val="17"/>
          <w:szCs w:val="17"/>
          <w:color w:val="auto"/>
        </w:rPr>
        <w:t xml:space="preserve">. All or any portion of the rights and obligations of any Holder under this Agreement may be transferred or assigned by such Holder only in accordance with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The rights to cause the Company to include Registrable Securities in any registration statement contemplated by this Agreement may be transferred or assigned by any Holder with a transfer of Registrable Securities to any Affiliate of such Holder that is not a portfolio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the Company is given written notice prior to any said transfer or assignment, stating the name and address of each such transferee and identifying the securities with respect to which such registration rights are being transferred or assigned and</w:t>
      </w:r>
    </w:p>
    <w:p>
      <w:pPr>
        <w:spacing w:after="0" w:line="3" w:lineRule="exact"/>
        <w:rPr>
          <w:sz w:val="20"/>
          <w:szCs w:val="20"/>
          <w:color w:val="auto"/>
        </w:rPr>
      </w:pPr>
    </w:p>
    <w:p>
      <w:pPr>
        <w:ind w:left="4" w:right="20" w:hanging="4"/>
        <w:spacing w:after="0" w:line="253"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effectiveness of such transfer, each such transferee or assignee assumes in writing responsibility for its portion of the obligations of such Holder under this Agreement. The Company may not transfer or assign any portion of its rights and obligations under this Agreement without the prior written consent of the Holders of at least a majority of the outstanding Registrable Securities, except that the Company may assign this Agreement at any time in connection with a sale or acquisition of the Company, whether by merger, consolidation, sale of all or substantially all of the Company’s assets, or similar transaction.</w:t>
      </w:r>
    </w:p>
    <w:p>
      <w:pPr>
        <w:spacing w:after="0" w:line="18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Recapitalization Affecting the Stock</w:t>
      </w:r>
      <w:r>
        <w:rPr>
          <w:rFonts w:ascii="Times New Roman" w:cs="Times New Roman" w:eastAsia="Times New Roman" w:hAnsi="Times New Roman"/>
          <w:sz w:val="18"/>
          <w:szCs w:val="18"/>
          <w:color w:val="auto"/>
        </w:rPr>
        <w:t>. The Company agrees that it shall not effect or permit to occur any combination or subdivision of shares of Common Stock or other securities constituting Registrable Securities which would adversely affect the ability of any Holder of any Registrable Securities to include such Registrable Securities in any registration contemplated by this Agreement or the marketability of such Registrable Securities in any such registration.</w:t>
      </w:r>
    </w:p>
    <w:p>
      <w:pPr>
        <w:spacing w:after="0" w:line="180"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5" w:name="page36"/>
    <w:bookmarkEnd w:id="35"/>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w:t>
      </w:r>
    </w:p>
    <w:p>
      <w:pPr>
        <w:spacing w:after="0" w:line="194" w:lineRule="exact"/>
        <w:rPr>
          <w:rFonts w:ascii="Times New Roman" w:cs="Times New Roman" w:eastAsia="Times New Roman" w:hAnsi="Times New Roman"/>
          <w:sz w:val="18"/>
          <w:szCs w:val="18"/>
          <w:color w:val="auto"/>
        </w:rPr>
      </w:pPr>
    </w:p>
    <w:p>
      <w:pPr>
        <w:ind w:right="80" w:firstLine="987"/>
        <w:spacing w:after="0" w:line="271"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61"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79" w:lineRule="exact"/>
        <w:rPr>
          <w:rFonts w:ascii="Times New Roman" w:cs="Times New Roman" w:eastAsia="Times New Roman" w:hAnsi="Times New Roman"/>
          <w:sz w:val="18"/>
          <w:szCs w:val="18"/>
          <w:color w:val="auto"/>
        </w:rPr>
      </w:pPr>
    </w:p>
    <w:p>
      <w:pPr>
        <w:ind w:firstLine="987"/>
        <w:spacing w:after="0" w:line="268" w:lineRule="auto"/>
        <w:tabs>
          <w:tab w:leader="none" w:pos="124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 IN SUCH OTHER MANNER AS MAY BE PERMITTED BY LAW SHALL BE VALID AND SUFFICIENT SERVICE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7" w:name="page38"/>
    <w:bookmarkEnd w:id="37"/>
    <w:p>
      <w:pPr>
        <w:ind w:right="20" w:firstLine="987"/>
        <w:spacing w:after="0" w:line="253"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9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 No Third Party Beneficiaries</w:t>
      </w:r>
      <w:r>
        <w:rPr>
          <w:rFonts w:ascii="Times New Roman" w:cs="Times New Roman" w:eastAsia="Times New Roman" w:hAnsi="Times New Roman"/>
          <w:sz w:val="18"/>
          <w:szCs w:val="18"/>
          <w:color w:val="auto"/>
        </w:rPr>
        <w:t>. This Agreement (together with the Merger Agreement, the Stockholders’ Agreements,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Nothing in this Agreement, express or implied, limits or supersedes the Lock-Up Restriction.</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only by means of a written amendment signed by each of the parties hereto or thereto affected by such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may only be amended by means of a written amendment signed by the Company and the Holders of a majority of the then outstanding Registrable Securities held by each Member Holder Group and (ii) no such amendment shall materially and adversely affect the rights of any Holder hereunder without the consent of such Holder.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3.12 </w:t>
      </w:r>
      <w:r>
        <w:rPr>
          <w:rFonts w:ascii="Times New Roman" w:cs="Times New Roman" w:eastAsia="Times New Roman" w:hAnsi="Times New Roman"/>
          <w:sz w:val="17"/>
          <w:szCs w:val="17"/>
          <w:u w:val="single" w:color="auto"/>
          <w:color w:val="auto"/>
        </w:rPr>
        <w:t>Obli</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ations Limited to Parties to A</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reement</w:t>
      </w:r>
      <w:r>
        <w:rPr>
          <w:rFonts w:ascii="Times New Roman" w:cs="Times New Roman" w:eastAsia="Times New Roman" w:hAnsi="Times New Roman"/>
          <w:sz w:val="17"/>
          <w:szCs w:val="17"/>
          <w:color w:val="auto"/>
        </w:rPr>
        <w:t>. Each of the parties hereto covenants, agrees and acknowledges that no Person other than the Sellers (and their transferees or assignees) and the Company shall have any obligation hereunder and that no recourse under this Agreement shall be had against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Seller or any former, current or future director, officer, employee, agent, general or limited partner, manager, member, stockholder or Affiliate of any of the foregoing, as such, for any obligations of any Seller under this Agreement or for any claim based on, in respect of or by reason of such obligation or its creation.</w:t>
      </w:r>
    </w:p>
    <w:p>
      <w:pPr>
        <w:spacing w:after="0" w:line="17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Confidentiality of Records</w:t>
      </w:r>
      <w:r>
        <w:rPr>
          <w:rFonts w:ascii="Times New Roman" w:cs="Times New Roman" w:eastAsia="Times New Roman" w:hAnsi="Times New Roman"/>
          <w:sz w:val="18"/>
          <w:szCs w:val="18"/>
          <w:color w:val="auto"/>
        </w:rPr>
        <w:t xml:space="preserve">. Except as otherwise permitted in a Stockholder’s Agreement, each of the parties shall, and shall cause its Affiliates to, keep confidential, disclose only to its Affiliates or representatives and use only in connection with the transactions contemplated by this Agreement all information and data obtained by them from the other party or its Affiliates or representatives relating to such other party or the transactions contemplated hereby (other than information or data that (i) is or becomes available to the public other than as a result of a breach of this Section, (ii) was available on a non-confidential basis prior to its disclosure to or by one party to another, or (iii) becomes available to one party on a non-confidential basis from a source other than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Independent Nature of each Seller’s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w:t>
      </w:r>
      <w:r>
        <w:rPr>
          <w:rFonts w:ascii="Times New Roman" w:cs="Times New Roman" w:eastAsia="Times New Roman" w:hAnsi="Times New Roman"/>
          <w:sz w:val="18"/>
          <w:szCs w:val="18"/>
          <w:color w:val="auto"/>
        </w:rPr>
        <w:t>. The obligations of each Seller under this Agreement are several and not joint with the obligations of the other Seller, and no Seller shall be responsible in any way for the performance of the obligations of the other Seller under this Agreement. Nothing contained herein, and no action taken by either Seller pursuant hereto, shall be deemed to constitute such Seller as a partnership, an association, a joint venture or any other kind of group or entity with the other Seller, or create a presumption that such Seller is in any way acting in concert or as a group with the other Seller with respect to such obligations or the transactions contemplated by this Agreement. Each Seller shall be entitled to independently protect and enforce its rights, including, the rights arising out of this Agreement, and it shall not be necessary for the other Seller to be joined as an additional party in any proceeding for such purpose.</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and each of the Holders shall cooperate with each other and shall take such further action and shall execute and deliver such further documents as may be reasonably requested by any other party in order to carry out the provisions and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9" w:name="page40"/>
    <w:bookmarkEnd w:id="3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with respect to any Holder on such date on which both (i) such Holder together with its Affiliates ceases to hold or Beneficially Own at least one percent of the issued and outstanding Common Stock and (ii) subject to such Holder’s compliance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all Registrable Securities owned by such Holder may be sold without restriction (including any limitation thereunder on volume or manner of sale without the need for current public information) pursuant to Rule 144;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such termination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with respect to such Holder).</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40" w:top="270"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Michael L. Preston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Executive Vice President, Chief Strategy Officer</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and General Counsel</w:t>
      </w:r>
    </w:p>
    <w:p>
      <w:pPr>
        <w:spacing w:after="0" w:line="1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460"/>
          </w:cols>
          <w:pgMar w:left="880" w:top="270" w:right="559"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CPP INVESTMENT BOARD PRIVATE HOLDINGS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(6), INC.</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Jackson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Chambers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740"/>
          </w:cols>
          <w:pgMar w:left="1440" w:top="266" w:right="719"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IKAV IMPACT S.A.R.L.</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SIMLOG,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IKAV ENERGY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019"/>
          </w:cols>
          <w:pgMar w:left="1440" w:top="266" w:right="1440" w:bottom="1440" w:gutter="0" w:footer="0" w:header="0"/>
        </w:sectPr>
      </w:pPr>
    </w:p>
    <w:bookmarkStart w:id="43" w:name="page44"/>
    <w:bookmarkEnd w:id="4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OCM OPPS XB AIF HOLDINGS (DELAWARE), L.P.</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Mikes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LaRoche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LaRoche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OAKTREE HUNTINGTON INVESTMENT FUND II</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AIF (DELAWARE), L.P. – CLASS 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AIF Series, L.P. - Series 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AIF,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 GP III,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Mikes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LaRoche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LaRoche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OCM OPPS XI AIV HOLDINGS (DELAWARE), L.P.</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Mikes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LaRoche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LaRoche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OCM AERA E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Mikes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LaRoche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LaRoche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OAKTREE HUNTINGTON INVESTMENT FUND II</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AIF (DELAWARE), L.P. – CLASS G</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AIF Series, L.P. - Series 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ectPr>
          <w:pgSz w:w="11900" w:h="16838" w:orient="portrait"/>
          <w:cols w:equalWidth="0" w:num="1">
            <w:col w:w="9800"/>
          </w:cols>
          <w:pgMar w:left="1440" w:top="266" w:right="659" w:bottom="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8"/>
          <w:szCs w:val="18"/>
          <w:color w:val="auto"/>
        </w:rPr>
        <w:t>By: Oaktree Fund GP AIF,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 GP III,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Mikes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LaRoche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LaRoche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14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019"/>
          </w:cols>
          <w:pgMar w:left="1440" w:top="121"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STOCKHOLDER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CALIFORNIA RESOURCES CORPORATION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STOCKHOLDERS PARTY HERETO</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July 1, 2024</w:t>
      </w:r>
    </w:p>
    <w:p>
      <w:pPr>
        <w:sectPr>
          <w:pgSz w:w="11900" w:h="16838" w:orient="portrait"/>
          <w:cols w:equalWidth="0" w:num="1">
            <w:col w:w="10020"/>
          </w:cols>
          <w:pgMar w:left="1440" w:top="117" w:right="4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AGREEMENT</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STOCKHOLDER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1, 2024 by and among California Resources Corporation, a Delaware corporation (the “</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 IKAV Impact S.a.r.l., a Luxembourg corporation (“</w:t>
      </w:r>
      <w:r>
        <w:rPr>
          <w:rFonts w:ascii="Times New Roman" w:cs="Times New Roman" w:eastAsia="Times New Roman" w:hAnsi="Times New Roman"/>
          <w:sz w:val="18"/>
          <w:szCs w:val="18"/>
          <w:u w:val="single" w:color="auto"/>
          <w:color w:val="auto"/>
        </w:rPr>
        <w:t>IKAV</w:t>
      </w:r>
      <w:r>
        <w:rPr>
          <w:rFonts w:ascii="Times New Roman" w:cs="Times New Roman" w:eastAsia="Times New Roman" w:hAnsi="Times New Roman"/>
          <w:sz w:val="18"/>
          <w:szCs w:val="18"/>
          <w:color w:val="auto"/>
        </w:rPr>
        <w:t>”), Simlog, Inc., a Delaware corporation (“</w:t>
      </w:r>
      <w:r>
        <w:rPr>
          <w:rFonts w:ascii="Times New Roman" w:cs="Times New Roman" w:eastAsia="Times New Roman" w:hAnsi="Times New Roman"/>
          <w:sz w:val="18"/>
          <w:szCs w:val="18"/>
          <w:u w:val="single" w:color="auto"/>
          <w:color w:val="auto"/>
        </w:rPr>
        <w:t>Simlog</w:t>
      </w:r>
      <w:r>
        <w:rPr>
          <w:rFonts w:ascii="Times New Roman" w:cs="Times New Roman" w:eastAsia="Times New Roman" w:hAnsi="Times New Roman"/>
          <w:sz w:val="18"/>
          <w:szCs w:val="18"/>
          <w:color w:val="auto"/>
        </w:rPr>
        <w:t>”), IKAV Energy Inc., a Delaware corporation (“</w:t>
      </w:r>
      <w:r>
        <w:rPr>
          <w:rFonts w:ascii="Times New Roman" w:cs="Times New Roman" w:eastAsia="Times New Roman" w:hAnsi="Times New Roman"/>
          <w:sz w:val="18"/>
          <w:szCs w:val="18"/>
          <w:u w:val="single" w:color="auto"/>
          <w:color w:val="auto"/>
        </w:rPr>
        <w:t>IKAV Energy</w:t>
      </w:r>
      <w:r>
        <w:rPr>
          <w:rFonts w:ascii="Times New Roman" w:cs="Times New Roman" w:eastAsia="Times New Roman" w:hAnsi="Times New Roman"/>
          <w:sz w:val="18"/>
          <w:szCs w:val="18"/>
          <w:color w:val="auto"/>
        </w:rPr>
        <w:t>” and, together with each of IKAV and Simlog,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each of them individually,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each other Person who after the date hereof becomes a party 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WHEREAS, pursuant to the Agreement and Plan of Merger, dated as of February 7,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Company, Petra Merger Sub I, LLC, Petra Merger Sub C, LLC,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Simlog, IKAV Energy, CPP Investment Board Private Holdings (6), Inc., a Canadian corporation, OCM Opps Xb AIF Holdings (Delaware), L.P., a Delaware limited partnership, Oaktree Huntington Investment Fund II AIF (Delaware), L.P. – Class C, a Delaware limited partnership, OCM Opps XI AIV Holdings (Delaware), L.P., a Delaware limited partnership, and OCM Aera E Holdings, LLC, a Delaware limited liability company, the Company issued the Securities to the Stockholders; and</w:t>
      </w:r>
    </w:p>
    <w:p>
      <w:pPr>
        <w:spacing w:after="0" w:line="194"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enter into an agreement to provide for certain rights and obligations associated with ownership of the Securities.</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without definition shall have the meanings given to them in the Merger Agreement, except that the terms set forth below are used herein as so defined:</w:t>
      </w:r>
    </w:p>
    <w:p>
      <w:pPr>
        <w:spacing w:after="0" w:line="54"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Activist</w:t>
      </w:r>
      <w:r>
        <w:rPr>
          <w:rFonts w:ascii="Times New Roman" w:cs="Times New Roman" w:eastAsia="Times New Roman" w:hAnsi="Times New Roman"/>
          <w:sz w:val="18"/>
          <w:szCs w:val="18"/>
          <w:color w:val="auto"/>
        </w:rPr>
        <w:t>” means, as of any date of the applicable Transfer, any Person or any Affiliate of any Person that is identified in the most recently available “SharkWatch 50” list (or, if “SharkWatch 50” is no longer available, the then-prevailing comparable list, as reasonably determined by the Company in good faith).</w:t>
      </w:r>
    </w:p>
    <w:p>
      <w:pPr>
        <w:sectPr>
          <w:pgSz w:w="11900" w:h="16838" w:orient="portrait"/>
          <w:cols w:equalWidth="0" w:num="1">
            <w:col w:w="11000"/>
          </w:cols>
          <w:pgMar w:left="440" w:top="266" w:right="459" w:bottom="1440" w:gutter="0" w:footer="0" w:header="0"/>
        </w:sectPr>
      </w:pPr>
    </w:p>
    <w:bookmarkStart w:id="47" w:name="page48"/>
    <w:bookmarkEnd w:id="47"/>
    <w:p>
      <w:pPr>
        <w:ind w:left="4" w:right="54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that directly or indirectly through one or more intermediaries controls, is controlled by or is under common control with, the Person in question; it being understood that, with respect to a Holder or any of its Affiliates,</w:t>
      </w:r>
    </w:p>
    <w:p>
      <w:pPr>
        <w:spacing w:after="0" w:line="1" w:lineRule="exact"/>
        <w:rPr>
          <w:sz w:val="20"/>
          <w:szCs w:val="20"/>
          <w:color w:val="auto"/>
        </w:rPr>
      </w:pPr>
    </w:p>
    <w:p>
      <w:pPr>
        <w:ind w:left="4" w:hanging="4"/>
        <w:spacing w:after="0" w:line="253"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 does not include any portfolio company of a Holder or any of its Affiliates other than for purposes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(y) for purposes of this Agreement, the Company and its subsidiaries shall not be deemed to be an Affiliate of any Stockholder or such Stockholder’s Affiliates. As used herein,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89"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ascribed to it in Section 13(d) of the Exchange Act. “Beneficial Ownership” has a correlative meaning.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the SEC is closed.</w:t>
      </w:r>
    </w:p>
    <w:p>
      <w:pPr>
        <w:spacing w:after="0" w:line="225"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of Common Stock, preferred stock or other forms of equity authorized and issued by the Company (however designated, whether voting or non-voting) and any instruments convertible into or exercisable or exchangeable for any of the foregoing (including any options or swaps).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w:t>
      </w:r>
    </w:p>
    <w:p>
      <w:pPr>
        <w:spacing w:after="0" w:line="225"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means options, warrants, rights to purchase Capital Stock, or any securities that are exercisable, convertible or exchangeable for Capital Stock.</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Stockholders and any of their permitted transferees, so long as such Person is a holder or owner of any Securities.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partnership, limited liability company, joint venture, association, joint-stock company, trust, foundation, unincorporated organization or government or other agency or political subdivision thereof.</w:t>
      </w:r>
    </w:p>
    <w:p>
      <w:pPr>
        <w:spacing w:after="0" w:line="162"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Nominee</w:t>
      </w:r>
      <w:r>
        <w:rPr>
          <w:rFonts w:ascii="Times New Roman" w:cs="Times New Roman" w:eastAsia="Times New Roman" w:hAnsi="Times New Roman"/>
          <w:sz w:val="18"/>
          <w:szCs w:val="18"/>
          <w:color w:val="auto"/>
        </w:rPr>
        <w:t>” means, in respect of a Stockholder Nominee, a natural person who, in the good faith determination of the Board or the Governance Committee: (i) is suitable to serve on the Board in accordance with the customary standards of suitability for directors of NYSE-listed companies; (ii) is not prohibited from serving as a director pursuant to any rule or regulation of the U.S. Securities and Exchange Commission or any national securities exchange on which the Securities are listed or admitted to trading; and (iii) is not subject to any order, decree or judgment of any Authority prohibiting service as a director of any public company.</w:t>
      </w:r>
    </w:p>
    <w:p>
      <w:pPr>
        <w:spacing w:after="0" w:line="116"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4"/>
          </w:cols>
          <w:pgMar w:left="436" w:top="270" w:right="579" w:bottom="1440" w:gutter="0" w:footer="0" w:header="0"/>
        </w:sectPr>
      </w:pPr>
    </w:p>
    <w:bookmarkStart w:id="48" w:name="page49"/>
    <w:bookmarkEnd w:id="48"/>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Parties</w:t>
      </w:r>
      <w:r>
        <w:rPr>
          <w:rFonts w:ascii="Times New Roman" w:cs="Times New Roman" w:eastAsia="Times New Roman" w:hAnsi="Times New Roman"/>
          <w:sz w:val="18"/>
          <w:szCs w:val="18"/>
          <w:color w:val="auto"/>
        </w:rPr>
        <w:t>” means, with respect to any Stockholder, (a) the full-time members of the formal investment or equivalent committee of such Stockholder responsible for the oversight of a Holder’s investment in the Company and (b) internal compliance, legal, accounting, tax, insurance and other personnel of a Holder, in each case with respect to clauses (a) and (b), who have a need to review information in order to perform the proper functions of their employment or duties to a Stockholder.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agency).</w:t>
      </w:r>
    </w:p>
    <w:p>
      <w:pPr>
        <w:spacing w:after="0" w:line="225"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of Common Stock issued to the Stockholders pursuant to the Merger Agreement and any securities issued or issuable with respect to such Common Stock by way of reclassification, dividend or distribution or in connection with any reorganization or other recapitalization, merger, consolidation or otherwise.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Termination Date</w:t>
      </w:r>
      <w:r>
        <w:rPr>
          <w:rFonts w:ascii="Times New Roman" w:cs="Times New Roman" w:eastAsia="Times New Roman" w:hAnsi="Times New Roman"/>
          <w:sz w:val="18"/>
          <w:szCs w:val="18"/>
          <w:color w:val="auto"/>
        </w:rPr>
        <w:t xml:space="preserve">” means the first date on which (a) the Stockholders, together with their respective Affiliates, no longer own, in the aggregate, at least 7.5% of the issued and outstanding Common Stock calculated on a fully diluted basis and (b) no Stockholder Nominee designated by IKAV is serving on the Board and IKAV either is no longer entitled to, or has irrevocably waived, the right to appoint a Stockholder Nominee under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Threshold</w:t>
      </w:r>
      <w:r>
        <w:rPr>
          <w:rFonts w:ascii="Times New Roman" w:cs="Times New Roman" w:eastAsia="Times New Roman" w:hAnsi="Times New Roman"/>
          <w:sz w:val="18"/>
          <w:szCs w:val="18"/>
          <w:color w:val="auto"/>
        </w:rPr>
        <w:t>” means, at any time of determination, 14.9% of the issued and outstanding Common Stock calculated on a fully diluted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07"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Securities.</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xml:space="preserve">. Until the Standstill Termination Date, each Holder shall not, without the prior written consent of the Company, Transfer all or any part of the Securities or any right or economic interest pertaining thereto, including the right to vote or consent on any matter or to receive or have any economic interest in dividends from the Company pursuant thereto, to an Activist;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restrict or limit any Transfer of the Securities (a) to an Affiliate of such Holder or (b) in an open market transaction effected through a broker-dealer or to a broker-dealer in a block trade, so long as such broker-dealer transferee is purchasing such securities in such block trade for its own account and makes block trades in the ordinary course of its business, or in a underwritten offering, and in each case under this clause (b), to such Holder’s knowledge, the ultimate transferee in such Transfer is not an Activist. Any purported Transfer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49" w:name="page50"/>
    <w:bookmarkEnd w:id="49"/>
    <w:p>
      <w:pPr>
        <w:ind w:left="49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STANDSTILL</w:t>
      </w:r>
    </w:p>
    <w:p>
      <w:pPr>
        <w:spacing w:after="0" w:line="20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Each Holder hereby agrees that, from the Closing Date until the Standstill Termination Date, unless an exemption or waiver is otherwise approved in advance in writing by the Board, such Holder shall not:</w:t>
      </w:r>
    </w:p>
    <w:p>
      <w:pPr>
        <w:spacing w:after="0" w:line="54" w:lineRule="exact"/>
        <w:rPr>
          <w:sz w:val="20"/>
          <w:szCs w:val="20"/>
          <w:color w:val="auto"/>
        </w:rPr>
      </w:pPr>
    </w:p>
    <w:p>
      <w:pPr>
        <w:ind w:left="4" w:firstLine="987"/>
        <w:spacing w:after="0" w:line="254"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or otherwise acquire, offer or propose to acquire, or solicit an offer to sell or agree to acquire, directly or indirectly, alone or in concert with others, Beneficial Ownership of any Capital Stock or any Derivative Securities (excluding shares and securities received by way of stock dividend, stock reclassification or other distributions or offerings made available on a pro rata basis to the Company’s stockholders) if, after giving effect thereto, the Holders would collectively Beneficially Own, in the aggregate, an amount of Capital Stock, including any Derivative Securities on an as-exercised, converted or exchanged basis, as applicable, in excess of the Stockholder Threshold;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as a result of a reduction in the number of shares of Common Stock outstanding due to the repurchase of shares of Common Stock by the Company, the Holders collectively Beneficially Own, in the aggregate, an amount of Capital Stock, including any Derivative Securities on an as-exercised, converted or exchanged basis, as applicable, in excess of the Stockholder Threshold, the Holders shall not be in violation of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so long as the Holders do not take any of the actions referred to in the first clause of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in any way participate in, directly or indirectly, alone or in concert with others (including by or through any group), any “solicitation” of “proxies” (as such terms are defined or used in Regulation 14A under the Exchange Act) to vote Common Stock or other Capital Stock of the Company or to provide or withhold consents with respect to Common Stock or other Capital Stock of the Company, whether subject to or exempt from the proxy rules, or seek to advise or influence any Person or entity with respect to the voting of, or the providing or withholding consent with respect to, any Common Stock or other Capital Stock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will not be deemed to restrict or limit in any manner in which any of the Holders votes any of its respective shares of Common Stock or Capital Stock, directly or by proxy, subject to compliance with the other terms and conditions of this Agreement;</w:t>
      </w:r>
    </w:p>
    <w:p>
      <w:pPr>
        <w:spacing w:after="0" w:line="188" w:lineRule="exact"/>
        <w:rPr>
          <w:rFonts w:ascii="Times New Roman" w:cs="Times New Roman" w:eastAsia="Times New Roman" w:hAnsi="Times New Roman"/>
          <w:sz w:val="18"/>
          <w:szCs w:val="18"/>
          <w:color w:val="auto"/>
        </w:rPr>
      </w:pPr>
    </w:p>
    <w:p>
      <w:pPr>
        <w:ind w:left="4" w:right="80" w:firstLine="987"/>
        <w:spacing w:after="0" w:line="269" w:lineRule="auto"/>
        <w:tabs>
          <w:tab w:leader="none" w:pos="124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permitted by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either directly or indirectly in concert with others (including by or through any group) make any offer with respect to, or make or submit a proposal with respect to, or ask or request any other Person to make an offer or proposal with respect to, any transaction that would, if consummated, be reasonably likely to result in a change of control of the Company, including a merger, business combination, restructuring, reorganization, recapitalization, tender or exchange offer or asset disposition involving the Company or any of its Affiliates;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however, </w:t>
      </w:r>
      <w:r>
        <w:rPr>
          <w:rFonts w:ascii="Times New Roman" w:cs="Times New Roman" w:eastAsia="Times New Roman" w:hAnsi="Times New Roman"/>
          <w:sz w:val="17"/>
          <w:szCs w:val="17"/>
          <w:color w:val="auto"/>
        </w:rPr>
        <w:t>that the Holders shall be permitted to (i) vote on any such transaction in accordance with the terms and conditions of this Agreement and</w:t>
      </w:r>
    </w:p>
    <w:p>
      <w:pPr>
        <w:spacing w:after="0" w:line="2" w:lineRule="exact"/>
        <w:rPr>
          <w:rFonts w:ascii="Times New Roman" w:cs="Times New Roman" w:eastAsia="Times New Roman" w:hAnsi="Times New Roman"/>
          <w:sz w:val="17"/>
          <w:szCs w:val="17"/>
          <w:color w:val="auto"/>
        </w:rPr>
      </w:pPr>
    </w:p>
    <w:p>
      <w:pPr>
        <w:ind w:left="4" w:right="80" w:hanging="4"/>
        <w:spacing w:after="0" w:line="253"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into any tender offer or exchange offer not commenced by a Holder if either (A) the Board recommends (by majority vote) that the stockholders of the Company tender their shares in response to such offer or does not recommend against the tender offer or exchange offer within 10 Business Days after the commencement thereof or such longer period as shall then be permitted under U.S. federal securities laws or (B) the Board later publicly recommends (by majority vote) that the stockholders of the Company tender their shares in response to such offer;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50" w:name="page51"/>
    <w:bookmarkEnd w:id="50"/>
    <w:p>
      <w:pPr>
        <w:ind w:right="120" w:firstLine="987"/>
        <w:spacing w:after="0" w:line="261"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provided in this Agreement, either directly or indirectly in concert with others (including by or through any group) seek representation on the Board or the board of directors (or equivalent governing body) of any of the Company’s controlled Affiliates, seek to remove any members of the Board or expand or reduce the size of the Board or otherwise act alone or in concert with others (including by or through any group) to seek control of the Board or the board of directors (or equivalent governing body) of any of the Company’s controlled Affiliates;</w:t>
      </w:r>
    </w:p>
    <w:p>
      <w:pPr>
        <w:spacing w:after="0" w:line="179"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knowingly encourage the formation of or knowingly engage in discussions relating to the formation of, or participate in, a “group” within the meaning of Section 13(d)(3) of the Exchange Act for purposes of seeking control, or influencing the control or management of, the Company; or</w:t>
      </w:r>
    </w:p>
    <w:p>
      <w:pPr>
        <w:spacing w:after="0" w:line="175"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directly or indirectly in concert with others (including by or through any group) publicly announce any intention, or enter into or disclose any plan or arrangement inconsistent with the foregoing (including publicly making a request that the Company or the Board waive, amend or terminate any provisions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Permitted Action</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nothing herein shall prohibit or restrict any activities of a Holder in connection with: (i) exercising any of its rights under this Agreement, (ii) privately communicating with Company management, the chairman of the Board or the lead independent director of the Board in its capacity as a stockholder of the Company (including by providing its views privately to Company management, the chairman of the Board or the lead independent director of the Board on any matter);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actions are not intended to and would not reasonably be expected to require public disclosure of such actions, (iii) exercising any voting, dividend or liquidation rights attached to any securities that it may own in accordance with its corporate governance policies and proxy voting guidelines, (iv) disclosing its voting intentions in accordance with normal practices, (v) making any disclosure pursuant to Section 13(d) of the Exchange Act that such Holder or such Affiliate reasonably believes, based on the advice of independent legal counsel, is required in connection with any action taken by such Holder or such Affiliate that is not inconsistent with this Agreement or (vi) complying with applicable laws. Nothing contained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shall in any way restrict or prohibit any actions taken by any Stockholder Nominee acting solely in his or her capacity as a Director consistent with his or her fiduciary duties as a Director, including communicating with, participating in, or otherwise seeking to affect the outcome of, discussions and votes of the Board (or any committee thereof) with respect to any matters coming before it, or otherwise deemed to be subject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with respect to such person’s activities in his or her capacity as a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action does not include any public announcement or disclosure by the Stockholder Nominee.</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restrictions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and shall cease to apply to each Holder on the Standstill Termination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Initial Appointment to the Board</w:t>
      </w:r>
      <w:r>
        <w:rPr>
          <w:rFonts w:ascii="Times New Roman" w:cs="Times New Roman" w:eastAsia="Times New Roman" w:hAnsi="Times New Roman"/>
          <w:sz w:val="18"/>
          <w:szCs w:val="18"/>
          <w:color w:val="auto"/>
        </w:rPr>
        <w:t xml:space="preserve">. Promptly following the Effective Time, the Company shall appoint to the Board a natural person designated in writing by IKAV prior to the Effective Time after consultation with the Company, provided that such natural person is a Qualifying Nominee (such person, and any other person designated for nomination by the Stockholder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Stockholder Nominee</w:t>
      </w:r>
      <w:r>
        <w:rPr>
          <w:rFonts w:ascii="Times New Roman" w:cs="Times New Roman" w:eastAsia="Times New Roman" w:hAnsi="Times New Roman"/>
          <w:sz w:val="18"/>
          <w:szCs w:val="18"/>
          <w:color w:val="auto"/>
        </w:rPr>
        <w:t>”). In determining its initial Stockholder Nominee, IKAV shall consider the composition of the Board and the IKAV’s internal voting policies, as well as any other factors IKAV determines to consider in its sole discretion. Such Stockholder Nominee shall serve an initial term that will expire no earlier than the annual meeting of the stockholders of the Company to be held in 2025.</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Stockholder Nominees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until the first date on which the Stockholders, together with their Affiliates, cease to Beneficially Own, in the aggregate, at least 5.0% of the issued and outstanding Common Stock calculated on a fully diluted basis, IKAV shall have the option and right (but not the obligation) to designate for nomination to the Board one Stockholder Nominee.</w:t>
      </w:r>
    </w:p>
    <w:p>
      <w:pPr>
        <w:spacing w:after="0" w:line="175"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first date on which the Stockholders, together with their respective Affiliates, cease to Beneficially Own, in the aggregate, at least 5.0% of the issued and outstanding Common Stock calculated on a fully diluted basis, (i) IKAV shall not have the right to designate a Stockholder Nominee to the Board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(ii) the Company shall not be obligated to nominate a Stockholder Nominee to the Board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For the avoidance of doubt, following the termination of IKAV’s right to designate a Stockholder Nominee to the Board pursuant to the foregoing sentence, such right of designation shall not be reinstated in the event that after such occurrence the Stockholders, together with their respective Affiliates, Beneficially Own, in the aggregate, at least 5.0% of the issued and outstanding Common Stock calculated on a fully diluted basis.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Election of Stockholder Nominees to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87"/>
        <w:spacing w:after="0" w:line="277" w:lineRule="auto"/>
        <w:tabs>
          <w:tab w:leader="none" w:pos="12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 Stockholder Nominee must stand for an election of the Board in connection with any annual or special meeting of stockholders of the Company at which Directors are to be elected (each annual or special meeting, an “</w:t>
      </w:r>
      <w:r>
        <w:rPr>
          <w:rFonts w:ascii="Times New Roman" w:cs="Times New Roman" w:eastAsia="Times New Roman" w:hAnsi="Times New Roman"/>
          <w:sz w:val="17"/>
          <w:szCs w:val="17"/>
          <w:u w:val="single" w:color="auto"/>
          <w:color w:val="auto"/>
        </w:rPr>
        <w:t>Election Meeting</w:t>
      </w:r>
      <w:r>
        <w:rPr>
          <w:rFonts w:ascii="Times New Roman" w:cs="Times New Roman" w:eastAsia="Times New Roman" w:hAnsi="Times New Roman"/>
          <w:sz w:val="17"/>
          <w:szCs w:val="17"/>
          <w:color w:val="auto"/>
        </w:rPr>
        <w:t xml:space="preserve">”), the Company shall give written notice, no earlier than 90 days prior to the date of such Election Meeting, to IKAV to request that IKAV nominate a Stockholder Nominee, and IKAV shall give written notice to the Company of the Stockholder Nominee no later than 30 days after receiving such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IKAV fails to give such notice in a timely manner, then IKAV shall be deemed to have nominated the incumbent Stockholder Nominee elected to the Board.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52" w:name="page53"/>
    <w:bookmarkEnd w:id="52"/>
    <w:p>
      <w:pPr>
        <w:ind w:left="-20" w:right="20" w:firstLine="987"/>
        <w:spacing w:after="0" w:line="256" w:lineRule="auto"/>
        <w:tabs>
          <w:tab w:leader="none" w:pos="12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Election Meeting in which a Stockholder Nominee stands for election to the Board (or in the event that IKAV is permitted to designate a Replacement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IKAV shall take all necessary action to cause the Stockholder Nominee to consent to such reference and background checks and to provide such information (including information necessary to determine any disclosure obligations of the Company) as the Board or the Nominating &amp; Corporate Governance Committee of the Board (the “</w:t>
      </w:r>
      <w:r>
        <w:rPr>
          <w:rFonts w:ascii="Times New Roman" w:cs="Times New Roman" w:eastAsia="Times New Roman" w:hAnsi="Times New Roman"/>
          <w:sz w:val="18"/>
          <w:szCs w:val="18"/>
          <w:u w:val="single" w:color="auto"/>
          <w:color w:val="auto"/>
        </w:rPr>
        <w:t>Governance Committee</w:t>
      </w:r>
      <w:r>
        <w:rPr>
          <w:rFonts w:ascii="Times New Roman" w:cs="Times New Roman" w:eastAsia="Times New Roman" w:hAnsi="Times New Roman"/>
          <w:sz w:val="18"/>
          <w:szCs w:val="18"/>
          <w:color w:val="auto"/>
        </w:rPr>
        <w:t>”) may reasonably request in connection with the Company’s disclosure obligations or in connection with the Company’s legal, regulatory or stock exchange requirements, which requests shall be of the same type as the Company requests of all other nominees to the Board.</w:t>
      </w:r>
    </w:p>
    <w:p>
      <w:pPr>
        <w:spacing w:after="0" w:line="187" w:lineRule="exact"/>
        <w:rPr>
          <w:rFonts w:ascii="Times New Roman" w:cs="Times New Roman" w:eastAsia="Times New Roman" w:hAnsi="Times New Roman"/>
          <w:sz w:val="18"/>
          <w:szCs w:val="18"/>
          <w:color w:val="auto"/>
        </w:rPr>
      </w:pPr>
    </w:p>
    <w:p>
      <w:pPr>
        <w:ind w:left="-20" w:firstLine="987"/>
        <w:spacing w:after="0" w:line="256" w:lineRule="auto"/>
        <w:tabs>
          <w:tab w:leader="none" w:pos="12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to the extent that a Stockholder Nominee must stand for an election of the Board in connection with an Election Meeting, subject to applicable requirements or qualifications under applicable Law or applicable stock exchange rules, the Company agrees to take all actions necessary to: (i) nominate and recommend that the holders of Capital Stock of the Company who are entitled to vote at such Election Meeting vote in favor of the election of the Stockholder Nominee (including ensuring that each Stockholder Nominee is included in the proxy statement prepared by the Company in connection with the Company’s solicitation of proxies for such Election Meeting) and (ii) support the Stockholder Nominee for election in a manner no less rigorous and favorable than the manner in which the Company supports its other nominees.</w:t>
      </w:r>
    </w:p>
    <w:p>
      <w:pPr>
        <w:spacing w:after="0" w:line="187"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none of the Company, the Governance Committee or the Board shall be under any obligation to nominate or recommend a proposed Stockholder Nominee if the Governance Committee determines (by majority vote) in good faith, following consultation with outside legal counsel, that such proposed Stockholder Nominee is not a Qualifying Nominee.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Qualification and Replacement of Stockholder Nominees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right="340" w:firstLine="987"/>
        <w:spacing w:after="0" w:line="266"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Governance Committee determines (by majority vote) in good faith, following consultation with outside legal counsel, that a Stockholder Nominee elected to the Board is not a Qualifying Nominee, IKAV shall take all necessary action to cause such Stockholder Nominee to resign promptly from the Board and any committee of the Board on which he or she then serves.</w:t>
      </w:r>
    </w:p>
    <w:p>
      <w:pPr>
        <w:spacing w:after="0" w:line="175"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Nominee shall cease for any reason to serve as a Director (including by death, disability, retirement, resignation or removal of such Stockholder Nominee), IKAV shall have the exclusive right to designate a replacement for such Stockholder Nominee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Unless the Governance Committee determines that such Replacement is not a Qualifying Nominee, the Company shall promptly take all action within its control necessary to satisfy the requirements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such Replacement, including by causing the appointment of such Replacement to the Board to fill any such vacancy. If any such Replacement is determined by the Governance Committee not to be a Qualifying Nominee, IKAV shall be entitled to continue designating a Replacement until such proposed designee is determined by the Governance Committee to qualify as a Qualifying Nominee. The Company shall not fill the vacancy on the Board during any period in which the appointment of a Stockholder Nominee is pending without the prior written consent of IKAV .</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Resignation; Removal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IKAV shall have right at any time and from time to time to cause the Stockholder Nominee elected to the Board to promptly tender his or her resignation from the Board and any committee of the Board on which he or she then serves.</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IKAV no longer has the right to designate a Stockholder Nominee then serving on the Board pursuant to the terms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then, unless the Governance Committee and IKAV agree in writing that such Stockholder Nominee should remain on the Board, IKAV shall cause the Stockholder Nominee to promptly tender their resignation from the Board and any committee of the Board on which he or she then serves and, if the Board accepts such resignation, the resulting vacancy shall be filled by the Board.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Rights of the Stockholder Nominee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8"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each Stockholder Nominee, at the same time and in the same manner as such notification is delivered to the other members of the Board, of all regular meetings and special meetings of the Board and of all regular and special meetings of any committee of the Board of which such Stockholder Nominee is a member. The Company and the Board shall provide such Stockholder Nominee with copies of all notices, minutes, consents and other material that it provides to all other members of the Board and each committee of the Board concurrently as such materials are provided to the other members of the Board or such committee.</w:t>
      </w:r>
    </w:p>
    <w:p>
      <w:pPr>
        <w:spacing w:after="0" w:line="183"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Nominee shall be entitled to the same directors’ and officers’ insurance coverage as the other non-employee Directors and the same indemnification from the Company as such other Directors, in each case, effective no later than the date on which such Stockholder Nominee joins the Board. If the Company enters into indemnification agreements with its Directors generally, the Company will enter into an indemnification agreement with such Stockholder Nominee in substantially the same form as the other Directors and with such changes as may be reasonably requested by IKAV.</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IKAV may otherwise notify the Company, each Stockholder Nominee shall be entitled to compensation (including equity awards) that is consistent with the compensation received by other non-employee Directors; provided, that at the election of a Stockholder Nominee, any Director compensation shall be paid to IKAV or any Affiliate thereof specified by such Stockholder Nominee rather than to such Stockholder Nominee. In addition, while serving as a Director, the Stockholder Nominee shall be entitled to reimbursement for reasonable expenses for his or her service as a Director, consistent with the Company’s policies applicable to other non-employee Directors.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COVENANTS OF THE COMPANY</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Committee Access</w:t>
      </w:r>
      <w:r>
        <w:rPr>
          <w:rFonts w:ascii="Times New Roman" w:cs="Times New Roman" w:eastAsia="Times New Roman" w:hAnsi="Times New Roman"/>
          <w:sz w:val="18"/>
          <w:szCs w:val="18"/>
          <w:color w:val="auto"/>
        </w:rPr>
        <w:t xml:space="preserve">. For so long as IKAV is entitled to nominate a Stockholder Nominee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with respect to each committee of the Board on which the Stockholder Nominee does not serve as a member, such committee of the Board shall allow the Stockholder Nominee to participate as a non-voting observer of such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Stockholder Nominee is not an independent Director under applicable stock exchange rules and the inclusion of the Stockholder Nominee as a non-voting observer would reasonably be expected to have an adverse effect on the Company, the parties hereto will discuss in good faith the implementation of an alternative arrangement to provide the Stockholder Nominee with an opportunity to review materials furnished to such committees.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54" w:name="page55"/>
    <w:bookmarkEnd w:id="5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Contemporaneously with the execution of this Agreement, the Board has duly approved resolutions (the “</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(a) renouncing any interest or expectancy of the Company in, or in being offered an opportunity to participate in, any business opportunities that are presented to any Stockholders, any of its Affiliates or any Stockholder Nominee (the “</w:t>
      </w:r>
      <w:r>
        <w:rPr>
          <w:rFonts w:ascii="Times New Roman" w:cs="Times New Roman" w:eastAsia="Times New Roman" w:hAnsi="Times New Roman"/>
          <w:sz w:val="18"/>
          <w:szCs w:val="18"/>
          <w:u w:val="single" w:color="auto"/>
          <w:color w:val="auto"/>
        </w:rPr>
        <w:t>Stockholder Entities</w:t>
      </w:r>
      <w:r>
        <w:rPr>
          <w:rFonts w:ascii="Times New Roman" w:cs="Times New Roman" w:eastAsia="Times New Roman" w:hAnsi="Times New Roman"/>
          <w:sz w:val="18"/>
          <w:szCs w:val="18"/>
          <w:color w:val="auto"/>
        </w:rPr>
        <w:t>”), other than any opportunity of which a Stockholder Nominee first becomes aware in his or her capacity as a Director and which has not been otherwise presented to any Stockholder or any of its Affiliates and (b) waiving any obligation on the part of any Stockholder Nominee to present any such business opportunity to the Company, in each case pursuant to Section 122(17) of the Delaware General Corporation Law. For the avoidance of doubt, the Stockholders and their Affiliates shall be entitled to and may have business interests and engage in business activities in addition to those relating to the Company and its subsidiaries, including business interests and activities that may be in direct competition with the Company and its subsidiaries. Neither the Company nor any of its subsidiaries shall have any rights by virtue of this Agreement in any business ventures of any Stockholder Entity or any Stockholder Nominee. For so long as this Agreement is in effect, the Company shall not, and shall not permit the Board to, rescind or retract the Board Resolution, or take any other action that would reduce or eliminate the renunciation or waivers included in the Board Resolution with respect to the Stockholder Entities or any Stockholder Nominee.</w:t>
      </w:r>
    </w:p>
    <w:p>
      <w:pPr>
        <w:spacing w:after="0" w:line="19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No Amendment of Organizational Documents</w:t>
      </w:r>
      <w:r>
        <w:rPr>
          <w:rFonts w:ascii="Times New Roman" w:cs="Times New Roman" w:eastAsia="Times New Roman" w:hAnsi="Times New Roman"/>
          <w:sz w:val="18"/>
          <w:szCs w:val="18"/>
          <w:color w:val="auto"/>
        </w:rPr>
        <w:t>. Prior to the Termination Date, without the prior written approval of the Stockholders, the Company shall not, and shall cause each of its subsidiaries not to, amend or modify any organizational documents of the Company or any of its subsidiaries in a way that materially, adversely and disproportionately affects the rights or privileges of any Stockholder or any of its Affiliates that owns Common Stock or other equity interests in the Company in their capacity as owners of Common Stock or other equity interests in the Company or any of its subsidiaries in relation to any other owner of equity interests of the Company or any of its subsidiaries.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(but only if confirmation of receipt of such e-mail is requested and received; provided, that, each notice party shall use reasonable best efforts to confirm receipt of any such e-mail correspondence promptly upon receipt of such request); or (c) if transmitted by national overnight courier, in each case as addressed as follows: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Michael L. Preston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michael.preston@crc.com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 (which copy shall not constitute notice):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1888 Century Park East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Los Angeles, California 90067-1725</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Alison S. Ressler; Bradley S. King</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resslera@sullcrom.com; kingbrad@sullcrom.com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Stockholder,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IKAV Impact S.a.r.l.</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1201 Louisiana Street, Suite 3400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Bobby Saadati</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bsaadati@ikav.com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David S. Allinson; Thomas G. Brandt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david.allinson@lw.com; thomas.brandt@lw.com</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or, if to a transferee of a Holder, to the transferee at the address specified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above. All notices and communications shall be deemed to have been duly given: (i) at the time delivered by hand, if personally delivered; (ii) when notice is sent to the sender that the recipient has read the message, if sent by e-mail; (iii) upon actual receipt if sent by registered or certified mail, return receipt requested, or regular mail, if mailed; and (iv) upon actual receipt when delivered to an air courier guaranteeing overnight delivery.</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Successors and 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ns</w:t>
      </w:r>
      <w:r>
        <w:rPr>
          <w:rFonts w:ascii="Times New Roman" w:cs="Times New Roman" w:eastAsia="Times New Roman" w:hAnsi="Times New Roman"/>
          <w:sz w:val="18"/>
          <w:szCs w:val="18"/>
          <w:color w:val="auto"/>
        </w:rPr>
        <w:t>. This Agreement shall inure to the benefit of and be binding upon the permitted successors and assigns of each of the parties hereto, including subsequent Holders to the extent permitted herein.</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nment of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xml:space="preserve">. Unless otherwise specified in this Agreement, neither this Agreement nor any of the rights, interests or obligations under this Agreement shall be assigned, in whole or in part, by a Stockholder or any of its Affiliates without the prior written consent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of the rights, interests or obligations of a Stockholder may be assigned to any of its Affiliates without the requirement of any such consent. Any purported assignment in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6" w:name="page57"/>
    <w:bookmarkEnd w:id="56"/>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9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7" w:name="page58"/>
    <w:bookmarkEnd w:id="57"/>
    <w:p>
      <w:pPr>
        <w:ind w:right="80" w:firstLine="987"/>
        <w:spacing w:after="0" w:line="27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87"/>
        <w:spacing w:after="0" w:line="261"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8" w:name="page59"/>
    <w:bookmarkEnd w:id="58"/>
    <w:p>
      <w:pPr>
        <w:ind w:firstLine="987"/>
        <w:spacing w:after="0" w:line="253"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Adjustments Upon Changes in Capitalization</w:t>
      </w:r>
      <w:r>
        <w:rPr>
          <w:rFonts w:ascii="Times New Roman" w:cs="Times New Roman" w:eastAsia="Times New Roman" w:hAnsi="Times New Roman"/>
          <w:sz w:val="18"/>
          <w:szCs w:val="18"/>
          <w:color w:val="auto"/>
        </w:rPr>
        <w:t>. In the event of any change in the Common Stock or in the number of outstanding shares of the Common Stock by reason of a stock dividend, subdivision, reclassification, recapitalization, split, combination, exchange of shares or other similar event or transaction or any other change in the corporate or capital structure of the Company as a result of which the number of issued and outstanding shares of Common Stock change or is otherwise adjusted or the Common Stock is converted into other securities of the Company, this Agreement and the obligations hereunder shall attach to any additional shares of Common Stock (or other securities) issued to or acquired by the Stockholders and any provision of this Agreement that requires a particular minimum ownership percentage of Common Stock shall be deemed to be automatically amended to account for such event, transaction or change and shall be construed accordingly.</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59" w:name="page60"/>
    <w:bookmarkEnd w:id="5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 No Third-Party Beneficiaries</w:t>
      </w:r>
      <w:r>
        <w:rPr>
          <w:rFonts w:ascii="Times New Roman" w:cs="Times New Roman" w:eastAsia="Times New Roman" w:hAnsi="Times New Roman"/>
          <w:sz w:val="18"/>
          <w:szCs w:val="18"/>
          <w:color w:val="auto"/>
        </w:rPr>
        <w:t>. This Agreement (together with the Merger Agreement and any other documents and instruments executed pursuant hereto) constitutes the entire agreement and supersedes all prior agreements and understandings, both written and oral, among the parties hereto with respect to the subject matter hereof. Nothing in this Agreement, express or implied, is intended to or shall confer upon any Person other than the parties hereto any right, benefit or remedy of any nature whatsoever under or by reason of this Agreement.</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Unless otherwise specified in this Agreement, this Agreement may be amended only by means of a written amendment signed by each of the parties hereto or thereto affected by such amendment.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 Limited to Parties to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Each of the parties hereto covenants, agrees and acknowledges that no Person other than the Stockholders, (and their respective transferees or assignees) and the Company shall have any obligation hereunder and that no recourse under this Agreement shall be had against any former, current or future director, officer, employee, agent, general or limited partner, manager, member, stockholder or Affiliate of any Stockholder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 Stockholder or any former, current or future director, officer, employee, agent, general or limited partner, manager, member, stockholder or Affiliate of any of the foregoing, as such, for any obligations of a Stockholder under this Agreement or for any claim based on, in respect of or by reason of such obligation or its creation.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Confidentiality of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3"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each of the parties hereto shall, and shall cause its Affiliates to, keep confidential, disclose only to its Affiliates or Permitted Parties (in the case of the Holder) or representatives (in the case of the Company) with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need to know, and use only in connection with the transactions contemplated by this Agreement all information and data obtained by them from the other party hereto or its Affiliates or its representatives relating to such other party or the transactions contemplated hereby (other than information or data that (i) is or becomes available to the public other than as a result of a breach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(ii) was available on a non-confidential basis prior to its disclosure to or by one party to another, or (iii) becomes available to one party hereto on a non-confidential basis from a source other than the other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60" w:name="page61"/>
    <w:bookmarkEnd w:id="60"/>
    <w:p>
      <w:pPr>
        <w:ind w:firstLine="987"/>
        <w:spacing w:after="0" w:line="252"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but subject to compliance with the Company’s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internal policies, and excluding any trade or business secrets, a Stockholder Nominee may disclose to any Holder, the Permitted Parties and its and their relevant directors, officers and employees, in each case with a </w:t>
      </w:r>
      <w:r>
        <w:rPr>
          <w:rFonts w:ascii="Times New Roman" w:cs="Times New Roman" w:eastAsia="Times New Roman" w:hAnsi="Times New Roman"/>
          <w:sz w:val="18"/>
          <w:szCs w:val="18"/>
          <w:i w:val="1"/>
          <w:iCs w:val="1"/>
          <w:color w:val="auto"/>
        </w:rPr>
        <w:t>bona fid</w:t>
      </w:r>
      <w:r>
        <w:rPr>
          <w:rFonts w:ascii="Times New Roman" w:cs="Times New Roman" w:eastAsia="Times New Roman" w:hAnsi="Times New Roman"/>
          <w:sz w:val="18"/>
          <w:szCs w:val="18"/>
          <w:color w:val="auto"/>
        </w:rPr>
        <w:t xml:space="preserve">e need to know, any and all information received or observed by him or her in his or her capacity as a Stockholder Nominee;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information shall not be (i) used for any purpose other than, to the extent consistent with applicable law, (A) to monitor, oversee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decisions with respect to the Holder’s investment in the Company; (B) to comply with the Holder’s obligations under this Agreement; (C) to exercise any of the Holder’s rights under this Agreement; (D) to collaborate with the Company and (E) in order to perform the proper functions of a Person’s employment or duties (clauses (A) through (D), the “</w:t>
      </w:r>
      <w:r>
        <w:rPr>
          <w:rFonts w:ascii="Times New Roman" w:cs="Times New Roman" w:eastAsia="Times New Roman" w:hAnsi="Times New Roman"/>
          <w:sz w:val="18"/>
          <w:szCs w:val="18"/>
          <w:u w:val="single" w:color="auto"/>
          <w:color w:val="auto"/>
        </w:rPr>
        <w:t>Permitted Purposes</w:t>
      </w:r>
      <w:r>
        <w:rPr>
          <w:rFonts w:ascii="Times New Roman" w:cs="Times New Roman" w:eastAsia="Times New Roman" w:hAnsi="Times New Roman"/>
          <w:sz w:val="18"/>
          <w:szCs w:val="18"/>
          <w:color w:val="auto"/>
        </w:rPr>
        <w:t xml:space="preserve">”) or (ii) disclosed to any Affiliate of a Stockholder other than the Permitted Parties. Notwithstanding anything in this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to the contrary but subject to the foregoing proviso, any competitively sensitive information (as determined in good faith by the Board and identified as such in writing to the Stockholders) or local pricing data may only be disclosed to Permitted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disclosure: (i) the Stockholder Nominee shall be subject to his or her fiduciary duties as a Director with respect to sharing such information, which duties shall include, without limitation, a restriction on sharing information regarding (A) any prospective business opportunities presented to the Board and (B) information subject to confidentiality by the Company with third parties if the Company has identified to the Stockholder Nominee in writing that such information is confidential and the disclosure thereof by the Stockholder Nominee would cause a breach of such confidentiality obligation, and (ii) no such disclosure shall be permitted to the extent it adversely affects the attorney-client privilege of the Company.</w:t>
      </w:r>
    </w:p>
    <w:p>
      <w:pPr>
        <w:spacing w:after="0" w:line="197"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to the contrary, the provisions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terminate with respect to Holder and its Affiliates and representatives on the date that is 12 months following the Termination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on the one hand, and the Stockholders, on the other hand, shall cooperate with each other and shall take such further action and shall execute and deliver such further documents as may be reasonably requested by any other party in order to carry out the provisions and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Action in Stockholder Capacity Only</w:t>
      </w:r>
      <w:r>
        <w:rPr>
          <w:rFonts w:ascii="Times New Roman" w:cs="Times New Roman" w:eastAsia="Times New Roman" w:hAnsi="Times New Roman"/>
          <w:sz w:val="18"/>
          <w:szCs w:val="18"/>
          <w:color w:val="auto"/>
        </w:rPr>
        <w:t>. Each of the Stockholders has executed this Agreement solely in its capacity as the record holder or Beneficial Owner of Securities and nothing herein shall limit or affect any actions or omissions taken by, or fiduciary duties of, any Stockholder Nominee in his or her capacity as a Director to the extent permitted by applicable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8" w:right="459" w:bottom="1440" w:gutter="0" w:footer="0" w:header="0"/>
        </w:sectPr>
      </w:pPr>
    </w:p>
    <w:bookmarkStart w:id="61" w:name="page62"/>
    <w:bookmarkEnd w:id="61"/>
    <w:p>
      <w:pPr>
        <w:ind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6.17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Unless otherwise specified herein, this Agreement shall terminate upon the earlier of (a) the first date on which IKAV, together with its Affiliates, is no longer entitled to designate a Stockholder Nominee pursuant to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and (b) the date on which the Stockholders provide written notice to the Company terminating this Agreement (such earlier date,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with respect to such Holder);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survive such termination in accordance with their respective terms.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Michael L. Preston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Executive Vice President, Chief Strategy Officer</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and General Counsel</w:t>
      </w:r>
    </w:p>
    <w:p>
      <w:pPr>
        <w:spacing w:after="0" w:line="15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[Signature Page to Stockholder Agreement]</w:t>
      </w:r>
    </w:p>
    <w:p>
      <w:pPr>
        <w:sectPr>
          <w:pgSz w:w="11900" w:h="16838" w:orient="portrait"/>
          <w:cols w:equalWidth="0" w:num="1">
            <w:col w:w="10560"/>
          </w:cols>
          <w:pgMar w:left="880" w:top="270" w:right="459" w:bottom="1440" w:gutter="0" w:footer="0" w:header="0"/>
        </w:sectPr>
      </w:pPr>
    </w:p>
    <w:bookmarkStart w:id="63" w:name="page64"/>
    <w:bookmarkEnd w:id="6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IKAV IMPACT S.A.R.L.</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SIMLOG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Bobby Saadati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Bobby Saadati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IKAV ENERGY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Constantin von Wasserschleben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Name: Constantin von Wasserschleben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[Signature Page to Stockholder Agreement]</w:t>
      </w:r>
    </w:p>
    <w:p>
      <w:pPr>
        <w:sectPr>
          <w:pgSz w:w="11900" w:h="16838" w:orient="portrait"/>
          <w:cols w:equalWidth="0" w:num="1">
            <w:col w:w="9019"/>
          </w:cols>
          <w:pgMar w:left="1440" w:top="266"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STOCKHOLDER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CALIFORNIA RESOURCES CORPORATION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STOCKHOLDER PARTY HERETO</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July 1, 2024</w:t>
      </w:r>
    </w:p>
    <w:p>
      <w:pPr>
        <w:sectPr>
          <w:pgSz w:w="11900" w:h="16838" w:orient="portrait"/>
          <w:cols w:equalWidth="0" w:num="1">
            <w:col w:w="10020"/>
          </w:cols>
          <w:pgMar w:left="1440" w:top="117" w:right="4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AGREEMENT</w:t>
      </w:r>
    </w:p>
    <w:p>
      <w:pPr>
        <w:spacing w:after="0" w:line="229"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This STOCKHOLDER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1, 2024 by and between California Resources Corporation, a Delaware corporation (the “</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 and CPP Investment Board Private Holdings (6), Inc., a Canadian corporation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each other Person who after the date hereof becomes a party hereto.</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WHEREAS, pursuant to the Agreement and Plan of Merger, dated as of February 7,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Company, Petra Merger Sub I, LLC, Petra Merger Sub C, LLC, Petra Merger Sub O, LLC, Petra Merger Sub O2, LLC, Petra Merger Sub O3, LLC, each a Delaware limited liability company and a wholly-owned subsidiary of the Company, Petra Merger Sub S, LLC, a Delaware limited liability company and a wholly-owned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Investments Fund II AIF (Delaware), L.P. – Class C, a Delaware limited partnership, OCM Opps XI AIV Holdings (Delaware), L.P., a Delaware limited partnership, and OCM Aera E Holdings, LLC, a Delaware limited liability company, the Company issued the Securities to the Stockholder; and</w:t>
      </w:r>
    </w:p>
    <w:p>
      <w:pPr>
        <w:spacing w:after="0" w:line="19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enter into an agreement to provide for certain rights and obligations associated with ownership of the Securities.</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without definition shall have the meanings given to them in the Merger Agreement, except that the terms set forth below are used herein as so defined:</w:t>
      </w:r>
    </w:p>
    <w:p>
      <w:pPr>
        <w:spacing w:after="0" w:line="54"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Activist</w:t>
      </w:r>
      <w:r>
        <w:rPr>
          <w:rFonts w:ascii="Times New Roman" w:cs="Times New Roman" w:eastAsia="Times New Roman" w:hAnsi="Times New Roman"/>
          <w:sz w:val="18"/>
          <w:szCs w:val="18"/>
          <w:color w:val="auto"/>
        </w:rPr>
        <w:t>” means, as of any date of the applicable Transfer, any Person or any Affiliate of any Person that is identified in the most recently available “SharkWatch 50” list (or, if “SharkWatch 50” is no longer available, the then-prevailing comparable list, as reasonably determined by the Company in good faith).</w:t>
      </w:r>
    </w:p>
    <w:p>
      <w:pPr>
        <w:sectPr>
          <w:pgSz w:w="11900" w:h="16838" w:orient="portrait"/>
          <w:cols w:equalWidth="0" w:num="1">
            <w:col w:w="11000"/>
          </w:cols>
          <w:pgMar w:left="440" w:top="266" w:right="459" w:bottom="1440" w:gutter="0" w:footer="0" w:header="0"/>
        </w:sectPr>
      </w:pPr>
    </w:p>
    <w:bookmarkStart w:id="66" w:name="page67"/>
    <w:bookmarkEnd w:id="66"/>
    <w:p>
      <w:pPr>
        <w:ind w:left="4" w:right="54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that directly or indirectly through one or more intermediaries controls, is controlled by or is under common control with, the Person in question; it being understood that, with respect to a Holder or any of its Affiliates,</w:t>
      </w:r>
    </w:p>
    <w:p>
      <w:pPr>
        <w:spacing w:after="0" w:line="1" w:lineRule="exact"/>
        <w:rPr>
          <w:sz w:val="20"/>
          <w:szCs w:val="20"/>
          <w:color w:val="auto"/>
        </w:rPr>
      </w:pPr>
    </w:p>
    <w:p>
      <w:pPr>
        <w:ind w:left="4" w:hanging="4"/>
        <w:spacing w:after="0" w:line="253"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 does not include any portfolio company of a Holder or any of its Affiliates other than for purposes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(y) for purposes of this Agreement, the Company and its subsidiaries shall not be deemed to be an Affiliate of any Stockholder or such Stockholder’s Affiliates. As used herein,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89"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ascribed to it in Section 13(d) of the Exchange Act. “Beneficial Ownership” has a correlative meaning.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the SEC is closed.</w:t>
      </w:r>
    </w:p>
    <w:p>
      <w:pPr>
        <w:spacing w:after="0" w:line="225"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of Common Stock, preferred stock or other forms of equity authorized and issued by the Company (however designated, whether voting or non-voting) and any instruments convertible into or exercisable or exchangeable for any of the foregoing (including any options or swaps).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w:t>
      </w:r>
      <w:r>
        <w:rPr>
          <w:rFonts w:ascii="Times New Roman" w:cs="Times New Roman" w:eastAsia="Times New Roman" w:hAnsi="Times New Roman"/>
          <w:sz w:val="18"/>
          <w:szCs w:val="18"/>
          <w:color w:val="auto"/>
        </w:rPr>
        <w:t>” means Canada Pension Plan Investment Board.</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 Sustainable Energies Group</w:t>
      </w:r>
      <w:r>
        <w:rPr>
          <w:rFonts w:ascii="Times New Roman" w:cs="Times New Roman" w:eastAsia="Times New Roman" w:hAnsi="Times New Roman"/>
          <w:sz w:val="18"/>
          <w:szCs w:val="18"/>
          <w:color w:val="auto"/>
        </w:rPr>
        <w:t>” means the Sustainable Energies Investment group of CPPIB and any successor group(s) of the Sustainable Energies Investment group of CPPIB that result(s) from any CPPIB internal reorganization or group or department name change.</w:t>
      </w:r>
    </w:p>
    <w:p>
      <w:pPr>
        <w:spacing w:after="0" w:line="162"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means options, warrants, rights to purchase Capital Stock, or any securities that are exercisable, convertible or exchangeable for Capital Stock.</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Stockholder and any of its permitted transferees, so long as such Person is a holder or owner of any Securities.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partnership, limited liability company, joint venture, association, joint-stock company, trust, foundation, unincorporated organization or government or other agency or political subdivision thereof.</w:t>
      </w:r>
    </w:p>
    <w:p>
      <w:pPr>
        <w:spacing w:after="0" w:line="94"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4"/>
          </w:cols>
          <w:pgMar w:left="436" w:top="270" w:right="579" w:bottom="1440" w:gutter="0" w:footer="0" w:header="0"/>
        </w:sectPr>
      </w:pPr>
    </w:p>
    <w:bookmarkStart w:id="67" w:name="page68"/>
    <w:bookmarkEnd w:id="67"/>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Qualifying Nominee</w:t>
      </w:r>
      <w:r>
        <w:rPr>
          <w:rFonts w:ascii="Times New Roman" w:cs="Times New Roman" w:eastAsia="Times New Roman" w:hAnsi="Times New Roman"/>
          <w:sz w:val="18"/>
          <w:szCs w:val="18"/>
          <w:color w:val="auto"/>
        </w:rPr>
        <w:t>” means, in respect of a Stockholder Nominee, a natural person who, in the good faith determination of the Board or the Governance Committee: (i) is suitable to serve on the Board in accordance with the customary standards of suitability for directors of NYSE-listed companies; (ii) is not prohibited from serving as a director pursuant to any rule or regulation of the U.S. Securities and Exchange Commission or any national securities exchange on which the Securities are listed or admitted to trading; and (iii) is not subject to any order, decree or judgment of any Authority prohibiting service as a director of any public company.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Parties</w:t>
      </w:r>
      <w:r>
        <w:rPr>
          <w:rFonts w:ascii="Times New Roman" w:cs="Times New Roman" w:eastAsia="Times New Roman" w:hAnsi="Times New Roman"/>
          <w:sz w:val="18"/>
          <w:szCs w:val="18"/>
          <w:color w:val="auto"/>
        </w:rPr>
        <w:t>” means (a) the full-time members of the formal investment or equivalent committee of CPPIB responsible for the oversight of a Holder’s investment in the Company and (b) (i) internal compliance, legal, accounting, tax, insurance and other personnel of a Holder (clauses (a) and (b)(i), collectively, “</w:t>
      </w:r>
      <w:r>
        <w:rPr>
          <w:rFonts w:ascii="Times New Roman" w:cs="Times New Roman" w:eastAsia="Times New Roman" w:hAnsi="Times New Roman"/>
          <w:sz w:val="18"/>
          <w:szCs w:val="18"/>
          <w:u w:val="single" w:color="auto"/>
          <w:color w:val="auto"/>
        </w:rPr>
        <w:t>Internal Permitted Parties</w:t>
      </w:r>
      <w:r>
        <w:rPr>
          <w:rFonts w:ascii="Times New Roman" w:cs="Times New Roman" w:eastAsia="Times New Roman" w:hAnsi="Times New Roman"/>
          <w:sz w:val="18"/>
          <w:szCs w:val="18"/>
          <w:color w:val="auto"/>
        </w:rPr>
        <w:t>”), and (ii) external compliance, legal, accounting, tax and other professional advisors of a Holder or its Affiliates who are bound by an obligation of confidentiality to the Holder or its Affiliate (either in the course of their professional duties or pursuant to a customary confidentiality agreement) (clause (b)(ii), collectively, “</w:t>
      </w:r>
      <w:r>
        <w:rPr>
          <w:rFonts w:ascii="Times New Roman" w:cs="Times New Roman" w:eastAsia="Times New Roman" w:hAnsi="Times New Roman"/>
          <w:sz w:val="18"/>
          <w:szCs w:val="18"/>
          <w:u w:val="single" w:color="auto"/>
          <w:color w:val="auto"/>
        </w:rPr>
        <w:t>External Permitted Parties</w:t>
      </w:r>
      <w:r>
        <w:rPr>
          <w:rFonts w:ascii="Times New Roman" w:cs="Times New Roman" w:eastAsia="Times New Roman" w:hAnsi="Times New Roman"/>
          <w:sz w:val="18"/>
          <w:szCs w:val="18"/>
          <w:color w:val="auto"/>
        </w:rPr>
        <w:t>”), in each case with respect to clauses (a) and (b), who have a need to review information in order to perform the proper functions of their employment or duties to CPPIB.</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xml:space="preserve">” means CPPIB Sustainable Energies Group but excludes (a) any other investment department and/or group within CPPIB that is not the CPPIB Sustainable Energies Group (including, for the avoidance of doubt, CPPIB itself), (b) any and all CPPIB portfolio companies, and (c) any CPPIB employee located in an international office of CPPIB (outside of Toronto, New York, London and Sydney) who are members of CPPIB Sustainable Energies Group in addition to other investment departments and/or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clause (a) and clause (b), that such other department or group or portfolio company is not acting at the direction of or in coordination with any Restricted Party with respect to the Company or in connection with a Holder’s interest therein;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clause (c), that such individuals are not acting at the direction of the CPPIB Sustainable Energies Group or in support of an investment to be approved by the CPPIB Sustainable Energies Group investment committee.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agency).</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of Common Stock issued to the Stockholder pursuant to the Merger Agreement and any securities issued or issuable with respect to such Common Stock by way of reclassification, dividend or distribution or in connection with any reorganization or other recapitalization, merger, consolidation or otherwise.</w:t>
      </w:r>
    </w:p>
    <w:p>
      <w:pPr>
        <w:spacing w:after="0" w:line="176" w:lineRule="exact"/>
        <w:rPr>
          <w:sz w:val="20"/>
          <w:szCs w:val="20"/>
          <w:color w:val="auto"/>
        </w:rPr>
      </w:pPr>
    </w:p>
    <w:p>
      <w:pPr>
        <w:jc w:val="both"/>
        <w:ind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Termination Date</w:t>
      </w:r>
      <w:r>
        <w:rPr>
          <w:rFonts w:ascii="Times New Roman" w:cs="Times New Roman" w:eastAsia="Times New Roman" w:hAnsi="Times New Roman"/>
          <w:sz w:val="18"/>
          <w:szCs w:val="18"/>
          <w:color w:val="auto"/>
        </w:rPr>
        <w:t>” means the first date on which (a) the Stockholder, together with its Affiliates, no longer owns at least 7.5% of the issued and outstanding Common Stock calculated on a fully diluted basis and (b) no Stockholder Nominee designated by the Stockholder is serving on the Board and the Stockholder either is no longer entitled to, or has irrevocably waived, the right to appoint a Stockholder Nominee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Threshold</w:t>
      </w:r>
      <w:r>
        <w:rPr>
          <w:rFonts w:ascii="Times New Roman" w:cs="Times New Roman" w:eastAsia="Times New Roman" w:hAnsi="Times New Roman"/>
          <w:sz w:val="18"/>
          <w:szCs w:val="18"/>
          <w:color w:val="auto"/>
        </w:rPr>
        <w:t>” means, at any time of determination, 14.9% of the issued and outstanding Common Stock calculated on a fully diluted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8" w:name="page69"/>
    <w:bookmarkEnd w:id="68"/>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Securities.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20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xml:space="preserve">. Until the Standstill Termination Date, each Holder shall not, without the prior written consent of the Company, Transfer all or any part of the Securities or any right or economic interest pertaining thereto, including the right to vote or consent on any matter or to receive or have any economic interest in dividends from the Company pursuant thereto, to an Activist;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restrict or limit any Transfer of the Securities (a) to an Affiliate of such Holder or (b) in an open market transaction effected through a broker-dealer or to a broker-dealer in a block trade, so long as such broker-dealer transferee is purchasing such securities in such block trade for its own account and makes block trades in the ordinary course of its business, or in a underwritten offering, and in each case under this clause (b), to such Holder’s knowledge, the ultimate transferee in such Transfer is not an Activist. Any purported Transfer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STANDSTILL</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Each Holder hereby agrees that, from the Closing Date until the Standstill Termination Date, unless an exemption or waiver is otherwise approved in advance in writing by the Board, such Holder shall not, and shall cause the Restricted Party not to:</w:t>
      </w:r>
    </w:p>
    <w:p>
      <w:pPr>
        <w:spacing w:after="0" w:line="54" w:lineRule="exact"/>
        <w:rPr>
          <w:sz w:val="20"/>
          <w:szCs w:val="20"/>
          <w:color w:val="auto"/>
        </w:rPr>
      </w:pPr>
    </w:p>
    <w:p>
      <w:pPr>
        <w:ind w:firstLine="987"/>
        <w:spacing w:after="0" w:line="253"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or otherwise acquire, offer or propose to acquire, or solicit an offer to sell or agree to acquire, directly or indirectly, alone or in concert with others, Beneficial Ownership of any Capital Stock or any Derivative Securities (excluding shares and securities received by way of stock dividend, stock reclassification or other distributions or offerings made available on a pro rata basis to the Company’s stockholders) if, after giving effect thereto, the Holders and the Restricted Party would collectively Beneficially Own, in the aggregate, an amount of Capital Stock, including any Derivative Securities on an as-exercised, converted or exchanged basis, as applicable, in excess of the Stockholder Threshold;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as a result of a reduction in the number of shares of Common Stock outstanding due to the repurchase of shares of Common Stock by the Company, the Holders and the Restricted Party collectively Beneficially Own, in the aggregate, an amount of Capital Stock, including any Derivative Securities on an as-exercised, converted or exchanged basis, as applicable, in excess of the Stockholder Threshold, the Holders and the Restricted Party shall not be in violation of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so long as the Holders and the Restricted Party do not take any of the actions referred to in the first clause of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69" w:name="page70"/>
    <w:bookmarkEnd w:id="69"/>
    <w:p>
      <w:pPr>
        <w:ind w:left="-60" w:firstLine="987"/>
        <w:spacing w:after="0" w:line="255" w:lineRule="auto"/>
        <w:tabs>
          <w:tab w:leader="none" w:pos="11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make, or in any way participate in, directly or indirectly, alone or in concert with others (including by or through any group), any “solicitation” of “proxies” (as such terms are defined or used in Regulation 14A under the Exchange Act) to vote Common Stock or other Capital Stock of the Company or to provide or withhold consents with respect to Common Stock or other Capital Stock of the Company, whether subject to or exempt from the proxy rules, or seek to advise or influence any Person or entity with respect to the voting of, or the providing or withholding consent with respect to, any Common Stock or other Capital Stock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will not be deemed to restrict or limit in any manner in which any of the Holders or the Restricted Party votes any of its respective shares of Common Stock or Capital Stock, directly or by proxy, subject to compliance with the other terms and conditions of this Agreement;</w:t>
      </w:r>
    </w:p>
    <w:p>
      <w:pPr>
        <w:spacing w:after="0" w:line="188" w:lineRule="exact"/>
        <w:rPr>
          <w:rFonts w:ascii="Times New Roman" w:cs="Times New Roman" w:eastAsia="Times New Roman" w:hAnsi="Times New Roman"/>
          <w:sz w:val="18"/>
          <w:szCs w:val="18"/>
          <w:color w:val="auto"/>
        </w:rPr>
      </w:pPr>
    </w:p>
    <w:p>
      <w:pPr>
        <w:ind w:left="-60" w:firstLine="987"/>
        <w:spacing w:after="0" w:line="253" w:lineRule="auto"/>
        <w:tabs>
          <w:tab w:leader="none" w:pos="11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either directly or indirectly in concert with others (including by or through any group) make any offer with respect to, or make or submit a proposal with respect to, or ask or request any other Person to make an offer or proposal with respect to, any transaction that would, if consummated, be reasonably likely to result in a change of control of the Company, including a merger, business combination, restructuring, reorganization, recapitalization, tender or exchange offer or asset disposition involving the Company or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Holders and the Restricted Party shall be permitted to (i) vote on any such transaction in accordance with the terms and conditions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(ii) tender into any tender offer or exchange offer not commenced by a Holder or the Restricted Party if either (A) the Board recommends (by majority vote) that the stockholders of the Company tender their shares in response to such offer or does not recommend against the tender offer or exchange offer within 10 Business Days after the commencement thereof or such longer period as shall then be permitted under U.S. federal securities laws or (B) the Board later publicly recommends (by majority vote) that the stockholders of the Company tender their shares in response to such offer;</w:t>
      </w:r>
    </w:p>
    <w:p>
      <w:pPr>
        <w:spacing w:after="0" w:line="194" w:lineRule="exact"/>
        <w:rPr>
          <w:rFonts w:ascii="Times New Roman" w:cs="Times New Roman" w:eastAsia="Times New Roman" w:hAnsi="Times New Roman"/>
          <w:sz w:val="18"/>
          <w:szCs w:val="18"/>
          <w:color w:val="auto"/>
        </w:rPr>
      </w:pPr>
    </w:p>
    <w:p>
      <w:pPr>
        <w:ind w:left="-60" w:right="80" w:firstLine="987"/>
        <w:spacing w:after="0" w:line="261" w:lineRule="auto"/>
        <w:tabs>
          <w:tab w:leader="none" w:pos="11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Agreement, either directly or indirectly in concert with others (including by or through any group) seek representation on the Board or the board of directors (or equivalent governing body) of any of the Company’s controlled Affiliates, seek to remove any members of the Board or expand or reduce the size of the Board or otherwise act alone or in concert with others (including by or through any group) to seek control of the Board or the board of directors (or equivalent governing body) of any of the Company’s controlled Affiliates;</w:t>
      </w:r>
    </w:p>
    <w:p>
      <w:pPr>
        <w:spacing w:after="0" w:line="179" w:lineRule="exact"/>
        <w:rPr>
          <w:rFonts w:ascii="Times New Roman" w:cs="Times New Roman" w:eastAsia="Times New Roman" w:hAnsi="Times New Roman"/>
          <w:sz w:val="18"/>
          <w:szCs w:val="18"/>
          <w:color w:val="auto"/>
        </w:rPr>
      </w:pPr>
    </w:p>
    <w:p>
      <w:pPr>
        <w:jc w:val="both"/>
        <w:ind w:left="-60" w:right="120" w:firstLine="987"/>
        <w:spacing w:after="0" w:line="266" w:lineRule="auto"/>
        <w:tabs>
          <w:tab w:leader="none" w:pos="11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knowingly encourage the formation of or knowingly engage in discussions relating to the formation of, or participate in, a “group” within the meaning of Section 13(d)(3) of the Exchange Act for purposes of seeking control, or influencing the control or management of, the Company; or</w:t>
      </w:r>
    </w:p>
    <w:p>
      <w:pPr>
        <w:spacing w:after="0" w:line="175" w:lineRule="exact"/>
        <w:rPr>
          <w:rFonts w:ascii="Times New Roman" w:cs="Times New Roman" w:eastAsia="Times New Roman" w:hAnsi="Times New Roman"/>
          <w:sz w:val="18"/>
          <w:szCs w:val="18"/>
          <w:color w:val="auto"/>
        </w:rPr>
      </w:pPr>
    </w:p>
    <w:p>
      <w:pPr>
        <w:jc w:val="both"/>
        <w:ind w:left="-60" w:right="20" w:firstLine="987"/>
        <w:spacing w:after="0" w:line="266" w:lineRule="auto"/>
        <w:tabs>
          <w:tab w:leader="none" w:pos="11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directly or indirectly in concert with others (including by or through any group) publicly announce any intention, or enter into or disclose any plan or arrangement inconsistent with the foregoing (including publicly making a request that the Company or the Board waive, amend or terminate any provisions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70" w:right="519" w:bottom="1440" w:gutter="0" w:footer="0" w:header="0"/>
        </w:sectPr>
      </w:pPr>
    </w:p>
    <w:bookmarkStart w:id="70" w:name="page71"/>
    <w:bookmarkEnd w:id="70"/>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7"/>
          <w:szCs w:val="17"/>
          <w:u w:val="single" w:color="auto"/>
          <w:color w:val="auto"/>
        </w:rPr>
        <w:t>Permitted Action</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nothing herein shall prohibit or restrict any activities of a Holder or the Restricted Party in connection with: (i) exercising any of its rights under this Agreement, (ii) privately communicating with Company management, the chairman of the Board or the lead independent director of the Board in its capacity as a stockholder of the Company (including by providing its views privately to Company management, the chairman of the Board or the lead independent director of the Board on any matter);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actions are not intended to and would not reasonably be expected to require public disclosure of such actions, (iii) exercising any voting, dividend or liquidation rights attached to any securities that it may own in accordance with its corporate governance policies and proxy voting guidelines,</w:t>
      </w:r>
    </w:p>
    <w:p>
      <w:pPr>
        <w:spacing w:after="0" w:line="5" w:lineRule="exact"/>
        <w:rPr>
          <w:sz w:val="20"/>
          <w:szCs w:val="20"/>
          <w:color w:val="auto"/>
        </w:rPr>
      </w:pPr>
    </w:p>
    <w:p>
      <w:pPr>
        <w:ind w:left="4" w:hanging="4"/>
        <w:spacing w:after="0" w:line="251" w:lineRule="auto"/>
        <w:tabs>
          <w:tab w:leader="none" w:pos="3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disclosing its voting intentions in accordance with normal practices, (v) making any disclosure pursuant to Section 13(d) of the Exchange Act that such Holder or such Affiliate reasonably believes, based on the advice of independent legal counsel, is required in connection with any action taken by such Holder or such Affiliate that is not inconsistent with this Agreement or (vi) complying with applicable laws. Nothing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in any way restrict or prohibit any actions taken by any Stockholder Nominee acting solely in his or her capacity as a Director consistent with his or her fiduciary duties as a Director, including communicating with, participating in, or otherwise seeking to affect the outcome of, discussions and votes of the Board (or any committee thereof) with respect to any matters coming before it, or otherwise deemed to be subject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with respect to such person’s activities in his or her capacity as a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action does not include any public announcement or disclosure by the Stockholder Nominee.</w:t>
      </w:r>
    </w:p>
    <w:p>
      <w:pPr>
        <w:spacing w:after="0" w:line="194"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restrictions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and shall cease to apply to each Holder and the Restricted Party on the Standstill Termination Date.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Initial Appointment to the Board</w:t>
      </w:r>
      <w:r>
        <w:rPr>
          <w:rFonts w:ascii="Times New Roman" w:cs="Times New Roman" w:eastAsia="Times New Roman" w:hAnsi="Times New Roman"/>
          <w:sz w:val="18"/>
          <w:szCs w:val="18"/>
          <w:color w:val="auto"/>
        </w:rPr>
        <w:t xml:space="preserve">. Promptly following the Effective Time, the Company shall appoint to the Board a natural person designated in writing by the Stockholder prior to the Effective Time after consultation with the Company, provided that such natural person is a Qualifying Nominee (such person, and any other person designated for nomination by the Stockholder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In determining its initial Stockholder Nominee, the Stockholder shall consider the composition of the Board and the Stockholder’s internal voting policies, as well as any other factors the Stockholder determines to consider in its sole discretion. Such Stockholder Nominee shall serve an initial term that will expire no earlier than the annual meeting of the stockholders of the Company to be held in 2025.</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Stockholder Nominees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6"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until the first date on which the Stockholder, together with its Affiliates, ceases to Beneficially Own, in the aggregate, at least 5.0% of the issued and outstanding Common Stock calculated on a fully diluted basis, the Stockholder shall have the option and right (but not the obligation) to designate for nomination to the Board one Stockholder Nominee.</w:t>
      </w:r>
    </w:p>
    <w:p>
      <w:pPr>
        <w:spacing w:after="0" w:line="175"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first date on which the Stockholder, together with its Affiliates, ceases to Beneficially Own, in the aggregate, at least 5.0% of the issued and outstanding Common Stock calculated on a fully diluted basis, (i) the Stockholder shall not have the right to designate a Stockholder Nominee to the Board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(ii) the Company shall not be obligated to nominate a Stockholder Nominee to the Board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For the avoidance of doubt, following the termination of the Stockholder’s right to designate a Stockholder Nominee to the Board pursuant to the foregoing sentence, such right of designation shall not be reinstated in the event that after such occurrence the Stockholder, together with its Affiliates, Beneficially Own, in the aggregate, at least 5.0% of the issued and outstanding Common Stock calculated on a fully diluted basis.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71" w:name="page72"/>
    <w:bookmarkEnd w:id="7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Election of Stockholder Nominees to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0" w:firstLine="987"/>
        <w:spacing w:after="0" w:line="256"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Stockholder Nominee must stand for an election of the Board in connection with any annual or special meeting of stockholders of the Company at which Directors are to be elected (each annual or special meeting, an “</w:t>
      </w:r>
      <w:r>
        <w:rPr>
          <w:rFonts w:ascii="Times New Roman" w:cs="Times New Roman" w:eastAsia="Times New Roman" w:hAnsi="Times New Roman"/>
          <w:sz w:val="18"/>
          <w:szCs w:val="18"/>
          <w:u w:val="single" w:color="auto"/>
          <w:color w:val="auto"/>
        </w:rPr>
        <w:t>Election Meeting</w:t>
      </w:r>
      <w:r>
        <w:rPr>
          <w:rFonts w:ascii="Times New Roman" w:cs="Times New Roman" w:eastAsia="Times New Roman" w:hAnsi="Times New Roman"/>
          <w:sz w:val="18"/>
          <w:szCs w:val="18"/>
          <w:color w:val="auto"/>
        </w:rPr>
        <w:t xml:space="preserve">”), the Company shall give written notice, no earlier than 90 days prior to the date of such Election Meeting, to the Stockholder to request that the Stockholder nominate a Stockholder Nominee, and the Stockholder shall give written notice to the Company of the Stockholder Nominee no later than 30 days after receiving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Stockholder fails to give such notice in a timely manner, then the Stockholder shall be deemed to have nominated the incumbent Stockholder Nominee elected to the Board.</w:t>
      </w:r>
    </w:p>
    <w:p>
      <w:pPr>
        <w:spacing w:after="0" w:line="187"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Election Meeting in which a Stockholder Nominee stands for election to the Board (or in the event that the Stockholder is permitted to designate a Replacement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Stockholder shall take all necessary action to cause the Stockholder Nominee to consent to such reference and background checks and to provide such information (including information necessary to determine any disclosure obligations of the Company) as the Board or the Nominating &amp; Corporate Governance Committee of the Board (the “</w:t>
      </w: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may reasonably request in connection with the Company’s disclosure obligations or in connection with the Company’s legal, regulatory or stock exchange requirements, which requests shall be of the same type as the Company requests of all other nominees to the Board.</w:t>
      </w:r>
    </w:p>
    <w:p>
      <w:pPr>
        <w:spacing w:after="0" w:line="187" w:lineRule="exact"/>
        <w:rPr>
          <w:rFonts w:ascii="Times New Roman" w:cs="Times New Roman" w:eastAsia="Times New Roman" w:hAnsi="Times New Roman"/>
          <w:sz w:val="18"/>
          <w:szCs w:val="18"/>
          <w:color w:val="auto"/>
        </w:rPr>
      </w:pPr>
    </w:p>
    <w:p>
      <w:pPr>
        <w:ind w:left="-20" w:firstLine="987"/>
        <w:spacing w:after="0" w:line="256"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to the extent that a Stockholder Nominee must stand for an election of the Board in connection with an Election Meeting, subject to applicable requirements or qualifications under applicable Law or applicable stock exchange rules, the Company agrees to take all actions necessary to: (i) nominate and recommend that the holders of Capital Stock of the Company who are entitled to vote at such Election Meeting vote in favor of the election of the Stockholder Nominee (including ensuring that each Stockholder Nominee is included in the proxy statement prepared by the Company in connection with the Company’s solicitation of proxies for such Election Meeting) and (ii) support the Stockholder Nominee for election in a manner no less rigorous and favorable than the manner in which the Company supports its other nominees.</w:t>
      </w:r>
    </w:p>
    <w:p>
      <w:pPr>
        <w:spacing w:after="0" w:line="187"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none of the Company, the Governance Committee or the Board shall be under any obligation to nominate or recommend a proposed Stockholder Nominee if the Governance Committee determines (by majority vote) in good faith, following consultation with outside legal counsel, that such proposed Stockholder Nominee is not a Qualifying Nominee.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72" w:name="page73"/>
    <w:bookmarkEnd w:id="72"/>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Qualification and Replacement of Stockholder Nominees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300" w:firstLine="987"/>
        <w:spacing w:after="0" w:line="266" w:lineRule="auto"/>
        <w:tabs>
          <w:tab w:leader="none" w:pos="11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Governance Committee determines (by majority vote) in good faith, following consultation with outside legal counsel, that a Stockholder Nominee elected to the Board is not a Qualifying Nominee, the Stockholder shall take all necessary action to cause such Stockholder Nominee to resign promptly from the Board and any committee of the Board on which he or she then serves.</w:t>
      </w:r>
    </w:p>
    <w:p>
      <w:pPr>
        <w:spacing w:after="0" w:line="175" w:lineRule="exact"/>
        <w:rPr>
          <w:rFonts w:ascii="Times New Roman" w:cs="Times New Roman" w:eastAsia="Times New Roman" w:hAnsi="Times New Roman"/>
          <w:sz w:val="18"/>
          <w:szCs w:val="18"/>
          <w:color w:val="auto"/>
        </w:rPr>
      </w:pPr>
    </w:p>
    <w:p>
      <w:pPr>
        <w:ind w:left="-60" w:firstLine="987"/>
        <w:spacing w:after="0" w:line="254" w:lineRule="auto"/>
        <w:tabs>
          <w:tab w:leader="none" w:pos="11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Nominee shall cease for any reason to serve as a Director (including by death, disability, retirement, resignation or removal of such Stockholder Nominee), the Stockholder shall have the exclusive right to designate a replacement for such Stockholder Nominee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Unless the Governance Committee determines that such Replacement is not a Qualifying Nominee, the Company shall promptly take all action within its control necessary to satisfy the requirements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such Replacement, including by causing the appointment of such Replacement to the Board to fill any such vacancy. If any such Replacement is determined by the Governance Committee not to be a Qualifying Nominee, the Stockholder shall be entitled to continue designating a Replacement until such proposed designee is determined by the Governance Committee to qualify as a Qualifying Nominee. The Company shall not fill the vacancy on the Board during any period in which the appointment of a Stockholder Nominee is pending without the prior written consent of the Stockholder.</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Resignation; Removal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987"/>
        <w:spacing w:after="0" w:line="282" w:lineRule="auto"/>
        <w:tabs>
          <w:tab w:leader="none" w:pos="11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shall have right at any time and from time to time to cause the Stockholder Nominee elected to the Board to promptly tender his or her resignation from the Board and any committee of the Board on which he or she then serves.</w:t>
      </w:r>
    </w:p>
    <w:p>
      <w:pPr>
        <w:spacing w:after="0" w:line="161" w:lineRule="exact"/>
        <w:rPr>
          <w:rFonts w:ascii="Times New Roman" w:cs="Times New Roman" w:eastAsia="Times New Roman" w:hAnsi="Times New Roman"/>
          <w:sz w:val="18"/>
          <w:szCs w:val="18"/>
          <w:color w:val="auto"/>
        </w:rPr>
      </w:pPr>
    </w:p>
    <w:p>
      <w:pPr>
        <w:jc w:val="both"/>
        <w:ind w:left="-60" w:right="120" w:firstLine="987"/>
        <w:spacing w:after="0" w:line="261" w:lineRule="auto"/>
        <w:tabs>
          <w:tab w:leader="none" w:pos="11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 no longer has the right to designate a Stockholder Nominee then serving on the Board pursuant to the terms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then, unless the Governance Committee and the Stockholder agree in writing that such Stockholder Nominee should remain on the Board, Stockholder shall cause the Stockholder Nominee to promptly tender their resignation from the Board and any committee of the Board on which he or she then serves and, if the Board accepts such resignation, the resulting vacancy shall be filled by the Board.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Rights of the Stockholder Nominee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40" w:firstLine="987"/>
        <w:spacing w:after="0" w:line="258" w:lineRule="auto"/>
        <w:tabs>
          <w:tab w:leader="none" w:pos="11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each Stockholder Nominee, at the same time and in the same manner as such notification is delivered to the other members of the Board, of all regular meetings and special meetings of the Board and of all regular and special meetings of any committee of the Board of which such Stockholder Nominee is a member. The Company and the Board shall provide such Stockholder Nominee with copies of all notices, minutes, consents and other material that it provides to all other members of the Board and each committee of the Board concurrently as such materials are provided to the other members of the Board or such committee.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70" w:right="519" w:bottom="1440" w:gutter="0" w:footer="0" w:header="0"/>
        </w:sectPr>
      </w:pPr>
    </w:p>
    <w:bookmarkStart w:id="73" w:name="page74"/>
    <w:bookmarkEnd w:id="73"/>
    <w:p>
      <w:pPr>
        <w:ind w:right="120" w:firstLine="987"/>
        <w:spacing w:after="0" w:line="258"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Stockholder Nominee shall be entitled to the same directors’ and officers’ insurance coverage as the other non-employee Directors and the same indemnification from the Company as such other Directors, in each case, effective no later than the date on which such Stockholder Nominee joins the Board. If the Company enters into indemnification agreements with its Directors generally, the Company will enter into an indemnification agreement with such Stockholder Nominee in substantially the same form as the other Directors and with such changes as may be reasonably requested by the Stockholder.</w:t>
      </w:r>
    </w:p>
    <w:p>
      <w:pPr>
        <w:spacing w:after="0" w:line="183" w:lineRule="exact"/>
        <w:rPr>
          <w:rFonts w:ascii="Times New Roman" w:cs="Times New Roman" w:eastAsia="Times New Roman" w:hAnsi="Times New Roman"/>
          <w:sz w:val="18"/>
          <w:szCs w:val="18"/>
          <w:color w:val="auto"/>
        </w:rPr>
      </w:pPr>
    </w:p>
    <w:p>
      <w:pPr>
        <w:ind w:right="120" w:firstLine="987"/>
        <w:spacing w:after="0" w:line="258"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a Holder may otherwise notify the Company, each Stockholder Nominee shall be entitled to compensation (including equity awards) that is consistent with the compensation received by other non-employee Directors; provided, that at the election of a Stockholder Nominee, any Director compensation shall be paid to such Holder or any Affiliate thereof specified by such Stockholder Nominee rather than to such Stockholder Nominee. In addition, while serving as a Director, the Stockholder Nominee shall be entitled to reimbursement for reasonable expenses for his or her service as a Director, consistent with the Company’s policies applicable to other non-employee Directors.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COVENANTS OF THE COMPANY</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Committee Access</w:t>
      </w:r>
      <w:r>
        <w:rPr>
          <w:rFonts w:ascii="Times New Roman" w:cs="Times New Roman" w:eastAsia="Times New Roman" w:hAnsi="Times New Roman"/>
          <w:sz w:val="18"/>
          <w:szCs w:val="18"/>
          <w:color w:val="auto"/>
        </w:rPr>
        <w:t xml:space="preserve">. For so long as the Stockholder is entitled to nominate a Stockholder Nominee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with respect to each committee of the Board on which the Stockholder Nominee does not serve as a member, such committee of the Board shall allow the Stockholder Nominee to participate as a non-voting observer of such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Stockholder Nominee is not an independent Director under applicable stock exchange rules and the inclusion of the Stockholder Nominee as a non-voting observer would reasonably be expected to have an adverse effect on the Company, the parties hereto will discuss in good faith the implementation of an alternative arrangement to provide the Stockholder Nominee with an opportunity to review materials furnished to such committees.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Contemporaneously with the execution of this Agreement, the Board has duly approved resolutions (the “</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(a) renouncing any interest or expectancy of the Company in, or in being offered an opportunity to participate in, any business opportunities that are presented to the Stockholder, any of its Affiliates or any Stockholder Nominee (the “</w:t>
      </w:r>
      <w:r>
        <w:rPr>
          <w:rFonts w:ascii="Times New Roman" w:cs="Times New Roman" w:eastAsia="Times New Roman" w:hAnsi="Times New Roman"/>
          <w:sz w:val="18"/>
          <w:szCs w:val="18"/>
          <w:u w:val="single" w:color="auto"/>
          <w:color w:val="auto"/>
        </w:rPr>
        <w:t>Stockholder Entities</w:t>
      </w:r>
      <w:r>
        <w:rPr>
          <w:rFonts w:ascii="Times New Roman" w:cs="Times New Roman" w:eastAsia="Times New Roman" w:hAnsi="Times New Roman"/>
          <w:sz w:val="18"/>
          <w:szCs w:val="18"/>
          <w:color w:val="auto"/>
        </w:rPr>
        <w:t>”), other than any opportunity of which a Stockholder Nominee first becomes aware in his or her capacity as a Director and which has not been otherwise presented to the Stockholder or any of its Affiliates and (b) waiving any obligation on the part of any Stockholder Nominee to present any such business opportunity to the Company, in each case pursuant to Section 122(17) of the Delaware General Corporation Law. For the avoidance of doubt, the Stockholder and its Affiliates shall be entitled to and may have business interests and engage in business activities in addition to those relating to the Company and its subsidiaries, including business interests and activities that may be in direct competition with the Company and its subsidiaries. Neither the Company nor any of its subsidiaries shall have any rights by virtue of this Agreement in any business ventures of any Stockholder Entity or any Stockholder Nominee. For so long as this Agreement is in effect, the Company shall not, and shall not permit the Board to, rescind or retract the Board Resolution, or take any other action that would reduce or eliminate the renunciation or waivers included in the Board Resolution with respect to the Stockholder Entities or any Stockholder Nominee.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74" w:name="page75"/>
    <w:bookmarkEnd w:id="7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5.3 </w:t>
      </w:r>
      <w:r>
        <w:rPr>
          <w:rFonts w:ascii="Times New Roman" w:cs="Times New Roman" w:eastAsia="Times New Roman" w:hAnsi="Times New Roman"/>
          <w:sz w:val="18"/>
          <w:szCs w:val="18"/>
          <w:u w:val="single" w:color="auto"/>
          <w:color w:val="auto"/>
        </w:rPr>
        <w:t>No Amendment of Organizational Documents</w:t>
      </w:r>
      <w:r>
        <w:rPr>
          <w:rFonts w:ascii="Times New Roman" w:cs="Times New Roman" w:eastAsia="Times New Roman" w:hAnsi="Times New Roman"/>
          <w:sz w:val="18"/>
          <w:szCs w:val="18"/>
          <w:color w:val="auto"/>
        </w:rPr>
        <w:t>. Prior to the Termination Date, without the prior written approval of the Stockholder, the Company shall not, and shall cause each of its subsidiaries not to, amend or modify any organizational documents of the Company or any of its subsidiaries in a way that materially, adversely and disproportionately affects the rights or privileges of the Stockholder or any of its Affiliates that owns Common Stock or other equity interests in the Company in their capacity as owners of Common Stock or other equity interests in the Company or any of its subsidiaries in relation to any other owner of equity interests of the Company or any of its subsidiaries.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(but only if confirmation of receipt of such e-mail is requested and received; provided, that, each notice party shall use reasonable best efforts to confirm receipt of any such e-mail correspondence promptly upon receipt of such request); or (c) if transmitted by national overnight courier, in each case as addressed as follows: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Michael L. Preston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michael.preston@crc.com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1888 Century Park East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Los Angeles, California 90067-1725</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Alison S. Ressler; Bradley S. King</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resslera@sullcrom.com; kingbrad@sullcrom.com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Stockholder,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Canada Pension Plan Investment Board</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One Queen Street East, Suite 2500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Toronto, ON M5C 2W5, Canada</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Senior Managing Director and General Counsel</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legalnotice@cppib.com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 (which copy shall not constitute notice):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David S. Allinson; Thomas G. Brandt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david.allinson@lw.com; thomas.brandt@lw.com</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or, if to a transferee of a Holder, to the transferee at the address specified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above. All notices and communications shall be deemed to have been duly given: (i) at the time delivered by hand, if personally delivered; (ii) when notice is sent to the sender that the recipient has read the message, if sent by e-mail; (iii) upon actual receipt if sent by registered or certified mail, return receipt requested, or regular mail, if mailed; and (iv) upon actual receipt when delivered to an air courier guaranteeing overnight delivery.</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Successors and 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ns</w:t>
      </w:r>
      <w:r>
        <w:rPr>
          <w:rFonts w:ascii="Times New Roman" w:cs="Times New Roman" w:eastAsia="Times New Roman" w:hAnsi="Times New Roman"/>
          <w:sz w:val="18"/>
          <w:szCs w:val="18"/>
          <w:color w:val="auto"/>
        </w:rPr>
        <w:t>. This Agreement shall inure to the benefit of and be binding upon the permitted successors and assigns of each of the parties hereto, including subsequent Holders to the extent permitted herein.</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nment of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xml:space="preserve">. Unless otherwise specified in this Agreement, neither this Agreement nor any of the rights, interests or obligations under this Agreement shall be assigned, in whole or in part, by the Stockholder or any of its Affiliates without the prior written consent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of the rights, interests or obligations of the Stockholder may be assigned to any of its Affiliates without the requirement of any such consent. Any purported assignment in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9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including via facsimile or email in “portable document format” (“.pdf”) form transmission,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Los Angeles time. The word “or” is not exclusive. The word “extent” in the phrase “to the extent” shall mean the degree to which a subject or other thing extends and such phrase shall not mean simply “if.” The term “dollars” and the symbol “$” mean United States Dollars. The headings herein are for convenience of reference only, do not constitute part of this Agreement and shall not be deemed to limit or otherwise affect any of the provisions hereof.</w:t>
      </w:r>
    </w:p>
    <w:p>
      <w:pPr>
        <w:spacing w:after="0" w:line="194" w:lineRule="exact"/>
        <w:rPr>
          <w:rFonts w:ascii="Times New Roman" w:cs="Times New Roman" w:eastAsia="Times New Roman" w:hAnsi="Times New Roman"/>
          <w:sz w:val="18"/>
          <w:szCs w:val="18"/>
          <w:color w:val="auto"/>
        </w:rPr>
      </w:pPr>
    </w:p>
    <w:p>
      <w:pPr>
        <w:ind w:right="80" w:firstLine="987"/>
        <w:spacing w:after="0" w:line="271"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Authority includes any successor to that Authority;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6.7 </w:t>
      </w:r>
      <w:r>
        <w:rPr>
          <w:rFonts w:ascii="Times New Roman" w:cs="Times New Roman" w:eastAsia="Times New Roman" w:hAnsi="Times New Roman"/>
          <w:sz w:val="18"/>
          <w:szCs w:val="18"/>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61"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IRREVOCABLY SUBMIT TO THE JURISDICTION OF THE COURT OF CHANCERY OF THE STATE OF DELAWARE OR, IF THE COURT OF CHANCERY OF THE STATE OF DELAWARE OR THE DELAWARE SUPREME COURT DETERMINES THAT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194"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78" w:name="page79"/>
    <w:bookmarkEnd w:id="78"/>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6.8 </w:t>
      </w:r>
      <w:r>
        <w:rPr>
          <w:rFonts w:ascii="Times New Roman" w:cs="Times New Roman" w:eastAsia="Times New Roman" w:hAnsi="Times New Roman"/>
          <w:sz w:val="18"/>
          <w:szCs w:val="18"/>
          <w:u w:val="single" w:color="auto"/>
          <w:color w:val="auto"/>
        </w:rPr>
        <w:t>Adjustments Upon Changes in Capitalization</w:t>
      </w:r>
      <w:r>
        <w:rPr>
          <w:rFonts w:ascii="Times New Roman" w:cs="Times New Roman" w:eastAsia="Times New Roman" w:hAnsi="Times New Roman"/>
          <w:sz w:val="18"/>
          <w:szCs w:val="18"/>
          <w:color w:val="auto"/>
        </w:rPr>
        <w:t>. In the event of any change in the Common Stock or in the number of outstanding shares of the Common Stock by reason of a stock dividend, subdivision, reclassification, recapitalization, split, combination, exchange of shares or other similar event or transaction or any other change in the corporate or capital structure of the Company as a result of which the number of issued and outstanding shares of Common Stock change or is otherwise adjusted or the Common Stock is converted into other securities of the Company, this Agreement and the obligations hereunder shall attach to any additional shares of Common Stock (or other securities) issued to or acquired by the Stockholders and any provision of this Agreement that requires a particular minimum ownership percentage of Common Stock shall be deemed to be automatically amended to account for such event, transaction or change and shall be construed accordingly.</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Merger Agreement and this Agreement may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 No Third-Party Beneficiaries</w:t>
      </w:r>
      <w:r>
        <w:rPr>
          <w:rFonts w:ascii="Times New Roman" w:cs="Times New Roman" w:eastAsia="Times New Roman" w:hAnsi="Times New Roman"/>
          <w:sz w:val="18"/>
          <w:szCs w:val="18"/>
          <w:color w:val="auto"/>
        </w:rPr>
        <w:t>. This Agreement (together with the Merger Agreement and any other documents and instruments executed pursuant hereto) constitutes the entire agreement and supersedes all prior agreements and understandings, both written and oral, among the parties hereto with respect to the subject matter hereof. Nothing in this Agreement, express or implied, is intended to or shall confer upon any Person other than the parties hereto any right, benefit or remedy of any nature whatsoever under or by reason of this Agreement.</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Unless otherwise specified in this Agreement, this Agreement may be amended only by means of a written amendment signed by each of the parties hereto or thereto affected by such amendment.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79" w:name="page80"/>
    <w:bookmarkEnd w:id="79"/>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Times New Roman" w:cs="Times New Roman" w:eastAsia="Times New Roman" w:hAnsi="Times New Roman"/>
          <w:sz w:val="18"/>
          <w:szCs w:val="18"/>
          <w:u w:val="single" w:color="auto"/>
          <w:color w:val="auto"/>
        </w:rPr>
        <w:t>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 Limited to Parties to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Each of the parties hereto covenants, agrees and acknowledges that no Person other than the Stockholder (and its transferees or assignees) and the Company shall have any obligation hereunder and that no recourse under this Agreement shall be had against any former, current or future director, officer, employee, agent, general or limited partner, manager, member, stockholder or Affiliate of the Stockholder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Stockholder or any former, current or future director, officer, employee, agent, general or limited partner, manager, member, stockholder or Affiliate of any of the foregoing, as such, for any obligations of the Stockholder under this Agreement or for any claim based on, in respect of or by reason of such obligation or its creation.</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Confidentiality of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53" w:lineRule="auto"/>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each of the parties hereto shall, and shall cause its Affiliates to, keep confidential, disclose only to its Affiliates or Permitted Parties (in the case of the Holder) or representatives (in the case of the Company) with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need to know, and use only in connection with the transactions contemplated by this Agreement all information and data obtained by them from the other party hereto or its Affiliates or its representatives relating to such other party or the transactions contemplated hereby (other than information or data that (i) is or becomes available to the public other than as a result of a breach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(ii) was available on a non-confidential basis prior to its disclosure to or by one party to another, or (iii) becomes available to one party hereto on a non-confidential basis from a source other than the other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 regulation or stock exchange listing standard or is requested by an Authority with competent jurisdiction over the disclosing party.</w:t>
      </w:r>
    </w:p>
    <w:p>
      <w:pPr>
        <w:spacing w:after="0" w:line="192" w:lineRule="exact"/>
        <w:rPr>
          <w:rFonts w:ascii="Times New Roman" w:cs="Times New Roman" w:eastAsia="Times New Roman" w:hAnsi="Times New Roman"/>
          <w:sz w:val="18"/>
          <w:szCs w:val="18"/>
          <w:color w:val="auto"/>
        </w:rPr>
      </w:pPr>
    </w:p>
    <w:p>
      <w:pPr>
        <w:jc w:val="both"/>
        <w:ind w:left="4" w:right="100" w:firstLine="987"/>
        <w:spacing w:after="0" w:line="256"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but subject to compliance with the Company’s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internal policies, and excluding any trade or business secrets, a Stockholder Nominee may disclose to the Holder and the Restricted Party, the Permitted Parties and its and their relevant directors, officers and employees, in each case with a </w:t>
      </w:r>
      <w:r>
        <w:rPr>
          <w:rFonts w:ascii="Times New Roman" w:cs="Times New Roman" w:eastAsia="Times New Roman" w:hAnsi="Times New Roman"/>
          <w:sz w:val="18"/>
          <w:szCs w:val="18"/>
          <w:i w:val="1"/>
          <w:iCs w:val="1"/>
          <w:color w:val="auto"/>
        </w:rPr>
        <w:t>bona fid</w:t>
      </w:r>
      <w:r>
        <w:rPr>
          <w:rFonts w:ascii="Times New Roman" w:cs="Times New Roman" w:eastAsia="Times New Roman" w:hAnsi="Times New Roman"/>
          <w:sz w:val="18"/>
          <w:szCs w:val="18"/>
          <w:color w:val="auto"/>
        </w:rPr>
        <w:t xml:space="preserve">e need to know, any and all information received or observed by him or her in his or her capacity as a Stockholder Nominee;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information shall not be (i) used for any purpose other than, to the extent consistent with applicable law,</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monitor, oversee and make decisions with respect to the Holder’s investment in the Company; (B) to comply with the Holder’s obligations under this Agreement; (C) to exercise any of the Holder’s rights under this Agreement; (D) to collaborate with the Company and (E) in order to perform the proper functions of a Person’s employment or duties (clauses (A) through (D), the “</w:t>
      </w:r>
      <w:r>
        <w:rPr>
          <w:rFonts w:ascii="Times New Roman" w:cs="Times New Roman" w:eastAsia="Times New Roman" w:hAnsi="Times New Roman"/>
          <w:sz w:val="18"/>
          <w:szCs w:val="18"/>
          <w:u w:val="single" w:color="auto"/>
          <w:color w:val="auto"/>
        </w:rPr>
        <w:t>Permitted Purposes</w:t>
      </w:r>
      <w:r>
        <w:rPr>
          <w:rFonts w:ascii="Times New Roman" w:cs="Times New Roman" w:eastAsia="Times New Roman" w:hAnsi="Times New Roman"/>
          <w:sz w:val="18"/>
          <w:szCs w:val="18"/>
          <w:color w:val="auto"/>
        </w:rPr>
        <w:t xml:space="preserve">”) or (ii) disclosed to any Affiliate of CPPIB other than the Restricted Parties and the Permitted Parties. Notwithstanding anything in this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to the contrary but subject to the foregoing proviso, any competitively sensitive information (as determined in good faith by the Board and identified as such in writing to CPPIB) or local pricing data may only be disclosed to (a) Internal Permitted Parties and (b) External Permitted Parties to whom such disclosure is made for a Permitted Purpose;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 respect to any such disclosure: (i) the Stockholder Nominee shall be subject to his or her fiduciary duties as a Director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sharing such information, which duties shall include, without limitation, a restriction on sharing information regarding (A) any prospective business opportunities presented to the Board and (B) information subject to confidentiality by the Company with third parties if the Company has identified to the Stockholder Nominee in writing that such information is confidential and the disclosure thereof by the Stockholder Nominee would cause a breach of such confidentiality obligation, (ii) such disclosure to External Permitted Parties is limited to the extent such disclosure is reasonably necessary for a Permitted Purpose and consistent with the internal policies and practices of CPPIB and its Affiliates, and (iii) no such disclosure shall be permitted to the extent it adversely affects the attorney-client privilege of the Company.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80" w:name="page81"/>
    <w:bookmarkEnd w:id="80"/>
    <w:p>
      <w:pPr>
        <w:ind w:firstLine="987"/>
        <w:spacing w:after="0" w:line="282"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to the contrary, the provisions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terminate with respect to Holder and its Affiliates and representatives on the date that is 12 months following the Termination Date.</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and the Stockholder shall cooperate with each other and shall take such further action and shall execute and deliver such further documents as may be reasonably requested by any other party in order to carry out the provisions and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Action in Stockholder Capacity Only</w:t>
      </w:r>
      <w:r>
        <w:rPr>
          <w:rFonts w:ascii="Times New Roman" w:cs="Times New Roman" w:eastAsia="Times New Roman" w:hAnsi="Times New Roman"/>
          <w:sz w:val="18"/>
          <w:szCs w:val="18"/>
          <w:color w:val="auto"/>
        </w:rPr>
        <w:t>. The Stockholder has executed this Agreement solely in its capacity as the record holder or Beneficial Owner of Securities and nothing herein shall limit or affect any actions or omissions taken by, or fiduciary duties of, any Stockholder Nominee in his or her capacity as a Director to the extent permitted by applicable law.</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Unless otherwise specified herein, this Agreement shall terminate upon the earlier of (a) the first date on which the Stockholder, together with its Affiliates, is no longer entitled to designate a Stockholder Nominee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and (b) the date on which the Stockholder provides written notice to the Company terminating this Agreement (such earlier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with respect to such 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survive such termination in accordance with their respective terms.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70" w:right="5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Michael L. Preston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Executive Vice President, Chief Strategy Officer</w:t>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and General Counsel</w:t>
      </w:r>
    </w:p>
    <w:p>
      <w:pPr>
        <w:spacing w:after="0" w:line="15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[Signature Page to Stockholder Agreement]</w:t>
      </w:r>
    </w:p>
    <w:p>
      <w:pPr>
        <w:sectPr>
          <w:pgSz w:w="11900" w:h="16838" w:orient="portrait"/>
          <w:cols w:equalWidth="0" w:num="1">
            <w:col w:w="10560"/>
          </w:cols>
          <w:pgMar w:left="880" w:top="270" w:right="459" w:bottom="1440" w:gutter="0" w:footer="0" w:header="0"/>
        </w:sectPr>
      </w:pPr>
    </w:p>
    <w:bookmarkStart w:id="82" w:name="page83"/>
    <w:bookmarkEnd w:id="8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CPP INVESTMENT BOARD PRIVATE</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(6), INC.</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Jackson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Chambers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[Signature Page to Stockholder Agreement]</w:t>
      </w:r>
    </w:p>
    <w:p>
      <w:pPr>
        <w:sectPr>
          <w:pgSz w:w="11900" w:h="16838" w:orient="portrait"/>
          <w:cols w:equalWidth="0" w:num="1">
            <w:col w:w="9019"/>
          </w:cols>
          <w:pgMar w:left="1440" w:top="266"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FOURTH AMENDMENT TO AMENDED AND RESTATED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FOURTH AMENDMENT TO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effective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2024 (the “</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among CALIFORNIA RESOURCES CORPORATION,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Credit Party party hereto, the Lenders party hereto (including the New Lenders (as defined below)) and CITIBANK, N.A.,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225"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and as amended by this Amendment,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unless otherwise defined herein, all capitalized terms used herein that are defined in the Credit Agreement shall have the meanings given such terms in the Credit Agreement);</w:t>
      </w:r>
    </w:p>
    <w:p>
      <w:pPr>
        <w:spacing w:after="0" w:line="164"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the New Lenders have agreed to make Revolving Loans and to become Lenders under the Credit Agreement, as more specifically described herein;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to this Amendment desire to enter into this Amendment to amend the Existing Credit Agreement as provided herein.</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Amendments to Credit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satisfaction or waiver in writing of each of the conditions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 and in reliance upon the representations, warranties, covenants and agreements contained in this Amendment, the parties hereto hereby agree that:</w:t>
      </w:r>
    </w:p>
    <w:p>
      <w:pPr>
        <w:spacing w:after="0" w:line="54" w:lineRule="exact"/>
        <w:rPr>
          <w:sz w:val="20"/>
          <w:szCs w:val="20"/>
          <w:color w:val="auto"/>
        </w:rPr>
      </w:pPr>
    </w:p>
    <w:p>
      <w:pPr>
        <w:ind w:left="1100" w:hanging="241"/>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amending and restating the following definitions in their entirety as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Elected Revolving Commitment Amount</w:t>
      </w:r>
      <w:r>
        <w:rPr>
          <w:rFonts w:ascii="Times New Roman" w:cs="Times New Roman" w:eastAsia="Times New Roman" w:hAnsi="Times New Roman"/>
          <w:sz w:val="18"/>
          <w:szCs w:val="18"/>
          <w:color w:val="auto"/>
        </w:rPr>
        <w:t xml:space="preserve">” shall mean, at any time, an amount equal to the sum of the aggregate Elected Revolving Commitments, as the same may be increased, reduced or terminated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Aggregate Elected Revolving Commitment Amount as of the Fourth Amendment Effective Date is $1,100,000,000.00.</w:t>
      </w:r>
    </w:p>
    <w:p>
      <w:pPr>
        <w:spacing w:after="0" w:line="17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Maximum Credit Amounts</w:t>
      </w:r>
      <w:r>
        <w:rPr>
          <w:rFonts w:ascii="Times New Roman" w:cs="Times New Roman" w:eastAsia="Times New Roman" w:hAnsi="Times New Roman"/>
          <w:sz w:val="17"/>
          <w:szCs w:val="17"/>
          <w:color w:val="auto"/>
        </w:rPr>
        <w:t xml:space="preserve">” at any time shall equal the sum of the Maximum Credit Amounts, as the same may be reduced or terminated pursuant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The Aggregate Maximum Credit Amounts of the Lenders as of the Fourth Amendment Effective Date is $2,000,000,000.</w:t>
      </w:r>
    </w:p>
    <w:p>
      <w:pPr>
        <w:spacing w:after="0" w:line="14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shall mean Citi, Mizuho Bank, Ltd., Keybanc Capital Markets Inc., Deutsche Bank Securities Inc., Wells Fargo Securities, LLC, Truist Securities, Inc., MUFG Bank, Ltd. and TD Securities (USA) LLC, each in its capacity as a joint lead arranger and joint bookrunner in respect of the Facility.</w:t>
      </w:r>
    </w:p>
    <w:p>
      <w:pPr>
        <w:sectPr>
          <w:pgSz w:w="11900" w:h="16838" w:orient="portrait"/>
          <w:cols w:equalWidth="0" w:num="1">
            <w:col w:w="11020"/>
          </w:cols>
          <w:pgMar w:left="440" w:top="117" w:right="439" w:bottom="1440" w:gutter="0" w:footer="0" w:header="0"/>
        </w:sectPr>
      </w:pPr>
    </w:p>
    <w:bookmarkStart w:id="84" w:name="page85"/>
    <w:bookmarkEnd w:id="84"/>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shall mean, at any time, an amount determined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may be adjusted from time to time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As of the Fourth Amendment Effective Date, the Borrowing Base will be $1,500,000,000. Notwithstanding anything herein to the contrary, not more than fifteen percent (15%) of the Borrowing Base may be comprised of the PV-9 of Proved Reserves associated with Production Sharing Contracts.</w:t>
      </w:r>
    </w:p>
    <w:p>
      <w:pPr>
        <w:spacing w:after="0" w:line="72" w:lineRule="exact"/>
        <w:rPr>
          <w:sz w:val="20"/>
          <w:szCs w:val="20"/>
          <w:color w:val="auto"/>
        </w:rPr>
      </w:pPr>
    </w:p>
    <w:p>
      <w:pPr>
        <w:ind w:left="1120" w:hanging="261"/>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Existing Credit Agreement is hereby amended by inserting the following defined term in the appropriate alphabetical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shall mean July 1, 2024.</w:t>
      </w:r>
    </w:p>
    <w:p>
      <w:pPr>
        <w:spacing w:after="0" w:line="117" w:lineRule="exact"/>
        <w:rPr>
          <w:sz w:val="20"/>
          <w:szCs w:val="20"/>
          <w:color w:val="auto"/>
        </w:rPr>
      </w:pPr>
    </w:p>
    <w:p>
      <w:pPr>
        <w:ind w:left="980" w:right="2200" w:hanging="121"/>
        <w:spacing w:after="0" w:line="375" w:lineRule="auto"/>
        <w:tabs>
          <w:tab w:leader="none" w:pos="10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10.5(q) of the Existing Credit Agreement is hereby amended and restated in its entirety as follows: “(q) to the extent constituting Investments, Industry Investments;”</w:t>
      </w:r>
    </w:p>
    <w:p>
      <w:pPr>
        <w:spacing w:after="0" w:line="1" w:lineRule="exact"/>
        <w:rPr>
          <w:rFonts w:ascii="Times New Roman" w:cs="Times New Roman" w:eastAsia="Times New Roman" w:hAnsi="Times New Roman"/>
          <w:sz w:val="18"/>
          <w:szCs w:val="18"/>
          <w:color w:val="auto"/>
        </w:rPr>
      </w:pPr>
    </w:p>
    <w:p>
      <w:pPr>
        <w:ind w:left="440" w:right="360" w:firstLine="419"/>
        <w:spacing w:after="0" w:line="276" w:lineRule="auto"/>
        <w:tabs>
          <w:tab w:leader="none" w:pos="1118"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Schedule 1.1(a) to the Existing Credit Agreement is hereby deleted in its entirety and replaced with </w:t>
      </w:r>
      <w:r>
        <w:rPr>
          <w:rFonts w:ascii="Times New Roman" w:cs="Times New Roman" w:eastAsia="Times New Roman" w:hAnsi="Times New Roman"/>
          <w:sz w:val="17"/>
          <w:szCs w:val="17"/>
          <w:u w:val="single" w:color="auto"/>
          <w:color w:val="auto"/>
        </w:rPr>
        <w:t>Schedule 1.1(a)</w:t>
      </w:r>
      <w:r>
        <w:rPr>
          <w:rFonts w:ascii="Times New Roman" w:cs="Times New Roman" w:eastAsia="Times New Roman" w:hAnsi="Times New Roman"/>
          <w:sz w:val="17"/>
          <w:szCs w:val="17"/>
          <w:color w:val="auto"/>
        </w:rPr>
        <w:t xml:space="preserve"> attached hereto; provided that immediately after giving effect to this Amendment and any Revolving Loans made on the Fourth Amendment Effective Date,</w:t>
      </w:r>
    </w:p>
    <w:p>
      <w:pPr>
        <w:ind w:left="440" w:hanging="4"/>
        <w:spacing w:after="0" w:line="251"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(including each Lender party hereto that was not a Lender immediately prior to the Fourth Amendment Effective Date (each such Lender,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who holds Revolving Loans in an aggregate amount less than its Revolving Commitment Percentage (after giving effect to this Amendment) shall advance new Revolving Loans which shall be disbursed to the Administrative Agent and used to repay Revolving Loans outstanding to each Lender who holds Revolving Loans in an aggregate amount greater than its Revolving Commitment Percentage (after giving effect to this Amendment), (b) each Lender’s (including each New Lender’s) participation in each Letter of Credit, if any, shall be automatically adjusted to equal its Revolving Commitment Percentage, (c) such other adjustments shall be made as the Administrative Agent shall specify so that the Revolving Credit Exposure applicable to each Lender (including each New Lender) equals its Revolving Commitment Percentage and (d) each Lender party hereto hereby waives any break funding payments owing to any such Lender that are required under Section 2.11 of the Credit Agreement as a result of the reallocation of the Revolving Loans and the other adjustments contemplated by this Amendment.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 The effectiveness of this Amendment is subject to satisfaction of each of the following conditions precedent:</w:t>
      </w:r>
    </w:p>
    <w:p>
      <w:pPr>
        <w:spacing w:after="0" w:line="117"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Executed Amendment</w:t>
      </w:r>
      <w:r>
        <w:rPr>
          <w:rFonts w:ascii="Times New Roman" w:cs="Times New Roman" w:eastAsia="Times New Roman" w:hAnsi="Times New Roman"/>
          <w:sz w:val="18"/>
          <w:szCs w:val="18"/>
          <w:color w:val="auto"/>
        </w:rPr>
        <w:t>. The Administrative Agent shall have received counterparts of this Amendment duly executed by the Borrower, the other Credit Parties and each of the Lenders.</w:t>
      </w:r>
    </w:p>
    <w:p>
      <w:pPr>
        <w:spacing w:after="0" w:line="15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Petra Acquisition</w:t>
      </w:r>
      <w:r>
        <w:rPr>
          <w:rFonts w:ascii="Times New Roman" w:cs="Times New Roman" w:eastAsia="Times New Roman" w:hAnsi="Times New Roman"/>
          <w:sz w:val="18"/>
          <w:szCs w:val="18"/>
          <w:color w:val="auto"/>
        </w:rPr>
        <w:t>. The Petra Acquisition shall have been consummated, or shall be consummated substantially concurrently with the Fourth Amendment Effective Date, in all material respects in accordance with the terms of the Petra Acquisition Agreement, after giving effect to any modifications, amendments, consents or waivers thereto. The Administrative Agent shall have received a certificate executed by an Authorized Officer of the Borrower certifying that attached thereto are true and complete copies of the Petra Acquisition Agreement, together with any written modifications, amendments or waivers thereto, and that the Petra Acquisition shall have been consummated, or shall be consummated substantially concurrently with the Fourth Amendment Effective Date.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5" w:name="page86"/>
    <w:bookmarkEnd w:id="8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b w:val="1"/>
          <w:bCs w:val="1"/>
          <w:u w:val="single" w:color="auto"/>
          <w:color w:val="auto"/>
        </w:rPr>
        <w:t>Closing Certificate</w:t>
      </w:r>
      <w:r>
        <w:rPr>
          <w:rFonts w:ascii="Times New Roman" w:cs="Times New Roman" w:eastAsia="Times New Roman" w:hAnsi="Times New Roman"/>
          <w:sz w:val="18"/>
          <w:szCs w:val="18"/>
          <w:color w:val="auto"/>
        </w:rPr>
        <w:t xml:space="preserve">. The Administrative Agent shall have received a certificate executed by an Authorized Officer of the Borrower certifying that (i) no Default or Event of Default has occurred that is continuing immediately prior to and after giving effect to this Amendment, (ii) each representation and warranty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 (iii) since December 31, 2023, there shall not have occurred a Material Adverse Effect and (iv) on the Fourth Amendment Effective Date, immediately after giving effect to the consummation of the Petra Acquisition, the Available Revolving Commitment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cash and cash equivalents of the Borrower and its Restricted Subsidiaries shall be not less than 25% of the Aggregate Elected Revolving Commitment Amount.</w:t>
      </w:r>
    </w:p>
    <w:p>
      <w:pPr>
        <w:spacing w:after="0" w:line="18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Solvency Certificate</w:t>
      </w:r>
      <w:r>
        <w:rPr>
          <w:rFonts w:ascii="Times New Roman" w:cs="Times New Roman" w:eastAsia="Times New Roman" w:hAnsi="Times New Roman"/>
          <w:sz w:val="18"/>
          <w:szCs w:val="18"/>
          <w:color w:val="auto"/>
        </w:rPr>
        <w:t>. On the Fourth Amendment Effective Date, the Administrative Agent (or its counsel) shall have received a solvency certificate substantially in the form of Exhibit H attached to the Credit Agreement and signed by a Financial Officer of the Borrower.</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Legal Opinions</w:t>
      </w:r>
      <w:r>
        <w:rPr>
          <w:rFonts w:ascii="Times New Roman" w:cs="Times New Roman" w:eastAsia="Times New Roman" w:hAnsi="Times New Roman"/>
          <w:sz w:val="18"/>
          <w:szCs w:val="18"/>
          <w:color w:val="auto"/>
        </w:rPr>
        <w:t>. The Administrative Agent (or its counsel) shall have received, on behalf of itself, the Collateral Agent and the Lenders, written opinions of (i) Sullivan &amp; Cromwell LLP, counsel to the Credit Parties and (ii) local counsel in each jurisdiction where Mortgaged Properties are located, in each case (A) dated the Fourth Amendment Effective Date, (B) addressed to the Administrative Agent, the Collateral Agent, the Lenders and each Issuing Bank and (C) in form and substance reasonably satisfactory to the Administrative Agent and customary for transactions of this type.</w:t>
      </w:r>
    </w:p>
    <w:p>
      <w:pPr>
        <w:spacing w:after="0" w:line="176"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b w:val="1"/>
          <w:bCs w:val="1"/>
          <w:u w:val="single" w:color="auto"/>
          <w:color w:val="auto"/>
        </w:rPr>
        <w:t>Joinders</w:t>
      </w:r>
      <w:r>
        <w:rPr>
          <w:rFonts w:ascii="Times New Roman" w:cs="Times New Roman" w:eastAsia="Times New Roman" w:hAnsi="Times New Roman"/>
          <w:sz w:val="17"/>
          <w:szCs w:val="17"/>
          <w:color w:val="auto"/>
        </w:rPr>
        <w:t>. Upon consummation of the Petra Acquisition, with respect to each direct or indirect Restricted Subsidiary of the Borrower on the Fourth Amendment Effective Date (after giving effect to the consummation of the Petra Acquisition) (other than (1) any Excluded Subsidiary, (2) any Production Sharing Entity and (3) any Restricted Subsidiary that is a Guarantor immediately prior to this Amendment), the Administrative Agent (or its counsel) shall have received copies of (a) a supplement to the Guarantee, substantially in the form of Annex A to the Guarantee, in order for each such Restricted Subsidiary to become a Guarantor, (b) a supplement to the Collateral Agreement, substantially in the form of Exhibit A to the Collateral Agreement, in order for each such Restricted Subsidiary to become a grantor and a pledgor thereunder, (c) a counterpart to the Intercompany Note from each such Restricted Subsidiary and (d) Mortgages from each applicable Restricted Subsidiary that grants to the Collateral Agent as security for the Obligations an Acceptable Security Interest on Oil and Gas Properties not already subject to a Lien of the Security Documents such that, after giving effect thereto, the PV-9 of the Mortgaged Properties (calculated as of the Fourth Amendment Effective Date) meets the Collateral Coverage Minimum (with the Collateral Coverage Minimum being calculated based on the Fourth Amendment Effective Date Reserve Reports (as defined below)), in each case duly executed by each Credit Party party thereto, together with evidence that all other actions, recordings and filings required by the Security Documents as of the Fourth Amendment Effective Date to (A) create the Liens intended to be created by any Security Document and perfect such Liens to the extent required by, and with the priority required by, such Security Document and (B) comply with Section 9.10 of the Credit Agreement, in each case shall have been delivered, taken, completed or otherwise provided for in a manner reasonably satisfactory to the Administrative Agent. All Equity Interests directly owned by the Borrower or any Subsidiary Grantor, in each case as of the Fourth Amendment Effective Date after giving effect to the transactions contemplated hereunder, shall have been pledged pursuant to the Collateral Agreement (except that such Credit Parties shall not be required to pledge any Excluded Equity Interests). Notwithstanding any provision in this Amendment or any other Credit Document to the contrary, (i) in no event is any Building (as defined in the applicable Flood Insurance Regulation) or Manufactured (Mobile) Home (as defined in the applicable Flood Insurance Regulation) included in the definition of “Mortgaged Property” in the Credit Agreement and no Building or Manufactured (Mobile) Home is hereby encumbered by this Amendment, the Credit Agreement or any other Credit Document, (ii) control agreements required by the Credit Documents shall be required to be entered into or delivered, and Mortgages required by the Credit Documents shall be required to be recorded, on or before the date that is thirty (30) days after the Fourth Amendment Effective Date (or such later date as the Administrative Agent may agree), (iii) certificated Equity Interests or any other possessory collateral shall be required to be delivered on or before the date that is fifteen (15) days after the Fourth Amendment Effective Date (or such later date as the Administrative Agent may agree) and (iv) updated copies of insurance certificates evidencing the insurance required to be maintained by the Borrower and the Subsidiaries pursuant to Section 9.3 of the Credit Agreement shall be required to be delivered on or before the date that is thirty (30) days after the Fourth Amendment Effective Date (or such later date as the Administrative Agent may agree).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6" w:name="page87"/>
    <w:bookmarkEnd w:id="86"/>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b w:val="1"/>
          <w:bCs w:val="1"/>
          <w:u w:val="single" w:color="auto"/>
          <w:color w:val="auto"/>
        </w:rPr>
        <w:t>Lien Searches</w:t>
      </w:r>
      <w:r>
        <w:rPr>
          <w:rFonts w:ascii="Times New Roman" w:cs="Times New Roman" w:eastAsia="Times New Roman" w:hAnsi="Times New Roman"/>
          <w:sz w:val="18"/>
          <w:szCs w:val="18"/>
          <w:color w:val="auto"/>
        </w:rPr>
        <w:t>. 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Fourth Amendment Effective Date or which are otherwise permitted under the Credit Documents.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Secretary’s Certificates.</w:t>
      </w:r>
      <w:r>
        <w:rPr>
          <w:rFonts w:ascii="Times New Roman" w:cs="Times New Roman" w:eastAsia="Times New Roman" w:hAnsi="Times New Roman"/>
          <w:sz w:val="18"/>
          <w:szCs w:val="18"/>
          <w:color w:val="auto"/>
        </w:rPr>
        <w:t xml:space="preserve"> The Administrative Agent shall have received, in the case of each Credit Party, a certificate of the Secretary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 or similar officer of each Credit Party dated the Fourth Amendment Effective Date and certifying:</w:t>
      </w:r>
    </w:p>
    <w:p>
      <w:pPr>
        <w:spacing w:after="0" w:line="99" w:lineRule="exact"/>
        <w:rPr>
          <w:sz w:val="20"/>
          <w:szCs w:val="20"/>
          <w:color w:val="auto"/>
        </w:rPr>
      </w:pPr>
    </w:p>
    <w:p>
      <w:pPr>
        <w:ind w:left="440" w:right="320" w:firstLine="419"/>
        <w:spacing w:after="0" w:line="282" w:lineRule="auto"/>
        <w:tabs>
          <w:tab w:leader="none" w:pos="10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the bylaws (or limited liability company agreement or other equivalent governing documents) of such Credit Party as in effect on the Fourth Amendment Effective Date,</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Fourth Amendment Effective Date,</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(B) a certificate as to the good standing (to the extent such concept or a similar concept exists under the laws of such jurisdiction) of each such Credit Party (other than Tidelands Oil Production Company, LLC) in the jurisdiction in which it is formed or organized as of a recent date from such Secretary of State (or other similar official), which has not been amended and, (C) a certificate as to the good standing (to the extent such concept or a similar concept exists under the laws of such jurisdiction) of each Credit Party in each jurisdiction where such Credit Party owns material Borrowing Base Properties (other than in the jurisdiction where such Credit Party is formed or organized), as of a recent date from the Secretary of State (or other similar official) of such jurisdiction, which has not been amended, and</w:t>
      </w:r>
    </w:p>
    <w:p>
      <w:pPr>
        <w:spacing w:after="0" w:line="83"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incumbency and specimen signature of each officer executing any Credit Document or any other document delivered in connection herewith on behalf of such Credit Party.</w:t>
      </w:r>
    </w:p>
    <w:p>
      <w:pPr>
        <w:spacing w:after="0" w:line="158" w:lineRule="exact"/>
        <w:rPr>
          <w:sz w:val="20"/>
          <w:szCs w:val="20"/>
          <w:color w:val="auto"/>
        </w:rPr>
      </w:pPr>
    </w:p>
    <w:p>
      <w:pPr>
        <w:ind w:right="100" w:firstLine="440"/>
        <w:spacing w:after="0" w:line="317" w:lineRule="auto"/>
        <w:rPr>
          <w:sz w:val="20"/>
          <w:szCs w:val="20"/>
          <w:color w:val="auto"/>
        </w:rPr>
      </w:pPr>
      <w:r>
        <w:rPr>
          <w:rFonts w:ascii="Times New Roman" w:cs="Times New Roman" w:eastAsia="Times New Roman" w:hAnsi="Times New Roman"/>
          <w:sz w:val="17"/>
          <w:szCs w:val="17"/>
          <w:color w:val="auto"/>
        </w:rPr>
        <w:t xml:space="preserve">2.9 </w:t>
      </w:r>
      <w:r>
        <w:rPr>
          <w:rFonts w:ascii="Times New Roman" w:cs="Times New Roman" w:eastAsia="Times New Roman" w:hAnsi="Times New Roman"/>
          <w:sz w:val="17"/>
          <w:szCs w:val="17"/>
          <w:b w:val="1"/>
          <w:bCs w:val="1"/>
          <w:u w:val="single" w:color="auto"/>
          <w:color w:val="auto"/>
        </w:rPr>
        <w:t>Promissory Notes</w:t>
      </w:r>
      <w:r>
        <w:rPr>
          <w:rFonts w:ascii="Times New Roman" w:cs="Times New Roman" w:eastAsia="Times New Roman" w:hAnsi="Times New Roman"/>
          <w:sz w:val="17"/>
          <w:szCs w:val="17"/>
          <w:color w:val="auto"/>
        </w:rPr>
        <w:t>. The Administrative Agent shall have received a promissory note substantially in the form of Exhibit G attached to the Credit Agreement executed by the Borrower in favor of each Lender that has requested a promissory note, evidencing the Loans owing to such Lender.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87" w:name="page88"/>
    <w:bookmarkEnd w:id="87"/>
    <w:p>
      <w:pPr>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2.10 </w:t>
      </w:r>
      <w:r>
        <w:rPr>
          <w:rFonts w:ascii="Times New Roman" w:cs="Times New Roman" w:eastAsia="Times New Roman" w:hAnsi="Times New Roman"/>
          <w:sz w:val="17"/>
          <w:szCs w:val="17"/>
          <w:b w:val="1"/>
          <w:bCs w:val="1"/>
          <w:u w:val="single" w:color="auto"/>
          <w:color w:val="auto"/>
        </w:rPr>
        <w:t>Reserve Reports</w:t>
      </w:r>
      <w:r>
        <w:rPr>
          <w:rFonts w:ascii="Times New Roman" w:cs="Times New Roman" w:eastAsia="Times New Roman" w:hAnsi="Times New Roman"/>
          <w:sz w:val="17"/>
          <w:szCs w:val="17"/>
          <w:color w:val="auto"/>
        </w:rPr>
        <w:t>. The Administrative Agent (or its counsel) shall have received (i) reserve reports evaluating (a) as of December 31, 2022, the proved reserves and proved developed reserves of the Borrower and the Guarantors (other than Petra), and (b) as of December 31, 2022, the proved reserves and proved developed reserves of Petra, in each case, prepared or audited by Netherland, Sewell &amp; Associates, Inc., Ryder Scott or another petroleum engineer approved by the Administrative Agent and (ii) reserve reports evaluating the proved reserves and proved developed reserves of</w:t>
      </w:r>
    </w:p>
    <w:p>
      <w:pPr>
        <w:jc w:val="both"/>
        <w:ind w:left="4" w:right="220" w:hanging="4"/>
        <w:spacing w:after="0" w:line="255"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the Guarantors (other than Petra) and (y) Petra, as the case may be, in each case, to the extent provided to lenders under the Existing Credit Agreement (in the case of Borrower) or the Company Credit Agreements (as defined in the Petra Acquisition Agreement) (in the case of Petra) (such reserve reports described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Fourth Amendment Effective Date Reserve Reports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color w:val="auto"/>
        </w:rPr>
        <w:t>. The Credit Parties shall have delivered title information to the Administrative Agent (or its counsel) as the Administrative Agent may reasonably require reasonably satisfactory to the Administrative Agent setting forth the status of title to at least eighty-five percent (85%) of the PV-9 value (excluding the PV-9 of any Production Sharing Contracts) of the Borrowing Base Properties (excluding any Oil and Gas Properties subject to Production Sharing Contracts) evaluated in the Fourth Amendment Effective Date Reserve Reports.</w:t>
      </w:r>
    </w:p>
    <w:p>
      <w:pPr>
        <w:spacing w:after="0" w:line="176"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Hedging</w:t>
      </w:r>
      <w:r>
        <w:rPr>
          <w:rFonts w:ascii="Times New Roman" w:cs="Times New Roman" w:eastAsia="Times New Roman" w:hAnsi="Times New Roman"/>
          <w:sz w:val="18"/>
          <w:szCs w:val="18"/>
          <w:color w:val="auto"/>
        </w:rPr>
        <w:t>. Substantially all hedge positions effective pursuant to Petra’s Hedge Agreements immediately prior to the consummation of the Petra Acquisition shall remain in effect after giving effect to the Petra Acquisition, and no termination events or equivalent events pursuant to the terms of such Hedge Agreements shall have occurred as a result of the consummation of the Petra Acquisition.</w:t>
      </w:r>
    </w:p>
    <w:p>
      <w:pPr>
        <w:spacing w:after="0" w:line="17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u w:val="single" w:color="auto"/>
          <w:color w:val="auto"/>
        </w:rPr>
        <w:t>Payoff</w:t>
      </w:r>
      <w:r>
        <w:rPr>
          <w:rFonts w:ascii="Times New Roman" w:cs="Times New Roman" w:eastAsia="Times New Roman" w:hAnsi="Times New Roman"/>
          <w:sz w:val="18"/>
          <w:szCs w:val="18"/>
          <w:color w:val="auto"/>
        </w:rPr>
        <w:t>. On the Fourth Amendment Effective Date, the Administrative Agent shall have received evidence reasonably satisfactory to it that all amounts outstanding under the Company Credit Agreements immediately prior to the consummation of the Petra Acquisition have been terminated and paid in full (together with delivery of UCC-3 termination statements, mortgage releases, control agreement terminations and other releases and terminations, as applicable, with respect thereto).</w:t>
      </w:r>
    </w:p>
    <w:p>
      <w:pPr>
        <w:spacing w:after="0" w:line="176"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u w:val="single" w:color="auto"/>
          <w:color w:val="auto"/>
        </w:rPr>
        <w:t>KYC</w:t>
      </w:r>
      <w:r>
        <w:rPr>
          <w:rFonts w:ascii="Times New Roman" w:cs="Times New Roman" w:eastAsia="Times New Roman" w:hAnsi="Times New Roman"/>
          <w:sz w:val="18"/>
          <w:szCs w:val="18"/>
          <w:color w:val="auto"/>
        </w:rPr>
        <w:t>. The Administrative Agent (or its counsel) and the Lenders shall have received at least three (3) Business Days prior to the Fourth Amendment Effective Date all documentation and other information required by regulatory authorities under applicable “know your customer” and anti-money laundering rules and regulations, including, the Patriot Act, that has been requested by the Administrative Agent in writing at least seven</w:t>
      </w:r>
    </w:p>
    <w:p>
      <w:pPr>
        <w:ind w:left="4" w:right="80" w:hanging="4"/>
        <w:spacing w:after="0" w:line="253"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Fourth Amendment Effective Date and (ii) to the extent the Borrower qualifies as a “legal entity customer” under the Beneficial Ownership Regulation, at least three (3) Business Days prior to the Fourth Amendment Effective Date, any Lender that has requested, in a written notice to the Borrower at least seven (7) Business Days prior to the Fourth Amendment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(ii) shall be deemed to be satisfied).</w:t>
      </w:r>
    </w:p>
    <w:p>
      <w:pPr>
        <w:spacing w:after="0" w:line="183" w:lineRule="exact"/>
        <w:rPr>
          <w:sz w:val="20"/>
          <w:szCs w:val="20"/>
          <w:color w:val="auto"/>
        </w:rPr>
      </w:pPr>
    </w:p>
    <w:p>
      <w:pPr>
        <w:jc w:val="both"/>
        <w:ind w:left="4" w:right="40" w:firstLine="440"/>
        <w:spacing w:after="0" w:line="278" w:lineRule="auto"/>
        <w:rPr>
          <w:sz w:val="20"/>
          <w:szCs w:val="20"/>
          <w:color w:val="auto"/>
        </w:rPr>
      </w:pPr>
      <w:r>
        <w:rPr>
          <w:rFonts w:ascii="Times New Roman" w:cs="Times New Roman" w:eastAsia="Times New Roman" w:hAnsi="Times New Roman"/>
          <w:sz w:val="17"/>
          <w:szCs w:val="17"/>
          <w:color w:val="auto"/>
        </w:rPr>
        <w:t xml:space="preserve">2.15 </w:t>
      </w:r>
      <w:r>
        <w:rPr>
          <w:rFonts w:ascii="Times New Roman" w:cs="Times New Roman" w:eastAsia="Times New Roman" w:hAnsi="Times New Roman"/>
          <w:sz w:val="17"/>
          <w:szCs w:val="17"/>
          <w:b w:val="1"/>
          <w:bCs w:val="1"/>
          <w:u w:val="single" w:color="auto"/>
          <w:color w:val="auto"/>
        </w:rPr>
        <w:t>Fees</w:t>
      </w:r>
      <w:r>
        <w:rPr>
          <w:rFonts w:ascii="Times New Roman" w:cs="Times New Roman" w:eastAsia="Times New Roman" w:hAnsi="Times New Roman"/>
          <w:sz w:val="17"/>
          <w:szCs w:val="17"/>
          <w:color w:val="auto"/>
        </w:rPr>
        <w:t>. The Borrower shall have paid or caused to be paid, the fees, costs and expenses required to be paid on the Fourth Amendment Effective Date under any fee letter entered into prior to the Fourth Amendment Effective Date by and between the Borrower and the Administrative Agent and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88" w:name="page89"/>
    <w:bookmarkEnd w:id="8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In order to induce the Administrative Agent and the Lenders to enter into this Amendment, each of the Borrower and the other Credit Parties hereby represents and warrants to the Administrative Agent and the Lenders that:</w:t>
      </w:r>
    </w:p>
    <w:p>
      <w:pPr>
        <w:spacing w:after="0" w:line="50"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Accuracy of Representations and Warranties</w:t>
      </w:r>
      <w:r>
        <w:rPr>
          <w:rFonts w:ascii="Times New Roman" w:cs="Times New Roman" w:eastAsia="Times New Roman" w:hAnsi="Times New Roman"/>
          <w:sz w:val="18"/>
          <w:szCs w:val="18"/>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Fourth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spacing w:after="0" w:line="183"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Due Authorization</w:t>
      </w:r>
      <w:r>
        <w:rPr>
          <w:rFonts w:ascii="Times New Roman" w:cs="Times New Roman" w:eastAsia="Times New Roman" w:hAnsi="Times New Roman"/>
          <w:sz w:val="18"/>
          <w:szCs w:val="18"/>
          <w:color w:val="auto"/>
        </w:rPr>
        <w:t>. Each Credit Party has the corporate or other organizational power and authority to execute, deliver and carry out the terms and provisions of this Amendment, and has taken all necessary corporate or other organizational action to authorize the execution and delivery of this Amendment and performance of this Amendment and the Credit Agreement, and has duly executed and delivered this Amendment.</w:t>
      </w:r>
    </w:p>
    <w:p>
      <w:pPr>
        <w:spacing w:after="0" w:line="171"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Validity and Binding Effect</w:t>
      </w:r>
      <w:r>
        <w:rPr>
          <w:rFonts w:ascii="Times New Roman" w:cs="Times New Roman" w:eastAsia="Times New Roman" w:hAnsi="Times New Roman"/>
          <w:sz w:val="18"/>
          <w:szCs w:val="18"/>
          <w:color w:val="auto"/>
        </w:rPr>
        <w:t>. This Amendment and the Credit Agreement constitute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71" w:lineRule="exact"/>
        <w:rPr>
          <w:sz w:val="20"/>
          <w:szCs w:val="20"/>
          <w:color w:val="auto"/>
        </w:rPr>
      </w:pPr>
    </w:p>
    <w:p>
      <w:pPr>
        <w:ind w:left="4" w:right="380"/>
        <w:spacing w:after="0" w:line="278"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b w:val="1"/>
          <w:bCs w:val="1"/>
          <w:u w:val="single" w:color="auto"/>
          <w:color w:val="auto"/>
        </w:rPr>
        <w:t>New Lenders</w:t>
      </w:r>
      <w:r>
        <w:rPr>
          <w:rFonts w:ascii="Times New Roman" w:cs="Times New Roman" w:eastAsia="Times New Roman" w:hAnsi="Times New Roman"/>
          <w:sz w:val="17"/>
          <w:szCs w:val="17"/>
          <w:color w:val="auto"/>
        </w:rPr>
        <w:t>. Each New Lender (i) represents and warrants that it has full power and authority, and has taken all action necessary, to execute and deliver this Amendment, to consummate the transactions contemplated hereby and to become a Lender under the Credit Agreement,</w:t>
      </w:r>
    </w:p>
    <w:p>
      <w:pPr>
        <w:spacing w:after="0" w:line="1" w:lineRule="exact"/>
        <w:rPr>
          <w:sz w:val="20"/>
          <w:szCs w:val="20"/>
          <w:color w:val="auto"/>
        </w:rPr>
      </w:pPr>
    </w:p>
    <w:p>
      <w:pPr>
        <w:ind w:left="4" w:hanging="4"/>
        <w:spacing w:after="0" w:line="267" w:lineRule="auto"/>
        <w:tabs>
          <w:tab w:leader="none" w:pos="26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that it has received a copy of the Credit Agreement and the other Credit Documents, together with copies of the financial statements referred to therein and such other documents and information as it has deemed appropriate to make its own credit analysis and decision to enter into this Amendment and the Credit Agreement on the basis of which it has made such analysis and decision independently and without reliance on the Administrative Agent or any other Lender or agent thereunder; (iii) agrees that it will, independently and without reliance upon the Administrative Agent or any other Lender or agent thereunder and based on such documents and information as it shall deem appropriate at the time, continue to make its own credit decisions in taking or not taking action under the Credit Agreement and the other Credit Documents; (iv) appoints and authorizes the Administrative Agent to take such action as agent on its behalf and to exercise such powers under the Credit Agreement and the other Credit Documents as are delegated to the Administrative Agent by the terms thereof, together with such powers as are reasonably incidental thereto; and (v) agrees that it will perform in accordance with their terms all of the obligations which by the terms of the Credit Agreement and the other Credit Documents are required to be performed by it as a Lender. Each Lender represents and warrants that, in participating as a Lender, it is engaged in making, acquiring or holding commercial loans in the ordinary course of its business, and not for the purpose of investing in the general performance or operations of the Borrower or any Subsidiary thereof or for the purpose of purchasing, acquiring or holding any other type of financial instrument, such as a security (and each Lender hereby agrees not to assert a claim in contravention of the foregoing, such as a claim under the federal or state securities laws).</w:t>
      </w:r>
    </w:p>
    <w:p>
      <w:pPr>
        <w:spacing w:after="0" w:line="11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89" w:name="page90"/>
    <w:bookmarkEnd w:id="8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b w:val="1"/>
          <w:bCs w:val="1"/>
          <w:u w:val="single" w:color="auto"/>
          <w:color w:val="auto"/>
        </w:rPr>
        <w:t>Aggregate Elected Revolving Commitment Amounts.</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reliance on the representations, warranties, covenants and agreements contained in this Amendment, and subject to the satisfaction of the conditions precedent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after giving effect to this Amendment, (a) each Lender hereby agrees that its Maximum Credit Amount, Elected Revolving Commitment and Revolving Commitment Percentage under the Credit Agreement effective as of the Fourth Amendment Effective Date shall be in the amount set forth opposite such Lender’s name on Schedule 1.1(a) to the Credit Agreement (as amended hereby), (b) after giving effect to any Borrowing made on the Fourth Amendment Effective Date, each Lender that has outstanding Revolving Loans (and participations in Letters of Credit) in amounts less than its Revolving Commitment Percentage of all outstanding Revolving Loans (and participations in Letters of Credit) shall purchase outstanding Revolving Loans (and participations in Letters of Credit) from Lenders that have outstanding Revolving Loans (and participations in Letters of Credit) in amounts greater than their Revolving Commitment Percentage of all outstanding Revolving Loans (and participations in Letters of Credit) such that each Lender holds Revolving Loans (and participations in Letters of Credit) in its Revolving Commitment Percentage of all outstanding Revolving Loans (and participations in Letters of Credit), including with respect to portions of any outstanding SOFR Loans which SOFR Loans shall otherwise remain outstanding through the last day of the Interest Period applicable thereto unless repaid prior thereto by the Borrower after giving effect to the adjustments described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provided, that in no event shall any such advance, disbursement or other adjustment be considered an extinguishment, novation or retirement of the Obligations under the Credit Agreement or any other Credit Document and</w:t>
      </w:r>
    </w:p>
    <w:p>
      <w:pPr>
        <w:spacing w:after="0" w:line="1" w:lineRule="exact"/>
        <w:rPr>
          <w:sz w:val="20"/>
          <w:szCs w:val="20"/>
          <w:color w:val="auto"/>
        </w:rPr>
      </w:pPr>
    </w:p>
    <w:p>
      <w:pPr>
        <w:ind w:left="244" w:hanging="244"/>
        <w:spacing w:after="0"/>
        <w:tabs>
          <w:tab w:leader="none" w:pos="2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adjustments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deemed to occur simultaneously with the Fourth Amendment Effective Date. Notwithstanding</w:t>
      </w:r>
    </w:p>
    <w:p>
      <w:pPr>
        <w:spacing w:after="0" w:line="9" w:lineRule="exact"/>
        <w:rPr>
          <w:rFonts w:ascii="Times New Roman" w:cs="Times New Roman" w:eastAsia="Times New Roman" w:hAnsi="Times New Roman"/>
          <w:sz w:val="18"/>
          <w:szCs w:val="18"/>
          <w:color w:val="auto"/>
        </w:rPr>
      </w:pPr>
    </w:p>
    <w:p>
      <w:pPr>
        <w:jc w:val="both"/>
        <w:ind w:left="4"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anything to the contrary, each Lender that would otherwise be entitled to request or require that the Borrower pay any break-funding payments pursuant to Section 2.11 of the Existing Credit Agreement expressly waives the requirement that the Borrower pay any such break-funding payments pursuant to Section 2.11 of the Existing Credit Agreement as a result of the reallocation of Revolving Loans and other adjustments set forth in this Amendment.</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u w:val="single" w:color="auto"/>
          <w:color w:val="auto"/>
        </w:rPr>
        <w:t>Borrowing Base Redetermination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Subject to the satisfaction or waiver in writing of each of the conditions set forth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hereof and in reliance upon the representations, warranties, covenants and agreements contained in this Amendment, (a) the Administrative Agent and the Lenders hereby increase the Borrowing Base, effective as of the date hereof, to be $1,500,000,000 and (b) the Administrative Agent, the Lenders, the Borrower and the other Credit Parties hereby agree and acknowledge that such increased Borrowing Base shall remain in effect until the date such Borrowing Base is otherwise adjusted pursuant to the terms of the Credit Agreement. The Borrower hereby accepts such Borrowing Base as so increased to be effective upon the Fourth Amendment Effective Date. For the avoidance of doubt, the increase to the Borrowing Base hereunder shall not constitute a Scheduled Redetermination.</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90" w:name="page91"/>
    <w:bookmarkEnd w:id="9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Confirmation and Effect</w:t>
      </w:r>
      <w:r>
        <w:rPr>
          <w:rFonts w:ascii="Times New Roman" w:cs="Times New Roman" w:eastAsia="Times New Roman" w:hAnsi="Times New Roman"/>
          <w:sz w:val="18"/>
          <w:szCs w:val="18"/>
          <w:color w:val="auto"/>
        </w:rPr>
        <w:t>. The provisions of the Credit Agreement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and each reference to the “Credit Agreement” in any other document, instrument or agreement executed and/or delivered in connection with the Credit Agreement shall mean and be a reference to the Credit Agreement. This Amendment shall not constitute a novation of the Credit Agreement or any of the Credit Documents.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Ratification and Affirmation of Credit Parties</w:t>
      </w:r>
      <w:r>
        <w:rPr>
          <w:rFonts w:ascii="Times New Roman" w:cs="Times New Roman" w:eastAsia="Times New Roman" w:hAnsi="Times New Roman"/>
          <w:sz w:val="18"/>
          <w:szCs w:val="18"/>
          <w:color w:val="auto"/>
        </w:rPr>
        <w:t>. Each of the Credit Parties hereby expressly (i) acknowledges the terms of this Amendment,</w:t>
      </w:r>
    </w:p>
    <w:p>
      <w:pPr>
        <w:spacing w:after="0" w:line="31" w:lineRule="exact"/>
        <w:rPr>
          <w:sz w:val="20"/>
          <w:szCs w:val="20"/>
          <w:color w:val="auto"/>
        </w:rPr>
      </w:pPr>
    </w:p>
    <w:p>
      <w:pPr>
        <w:ind w:left="264" w:hanging="264"/>
        <w:spacing w:after="0"/>
        <w:tabs>
          <w:tab w:leader="none" w:pos="2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ratifies and affirms its obligations under the Guarantee, the Security Documents and the other Credit Documents to which it is a party,</w:t>
      </w:r>
    </w:p>
    <w:p>
      <w:pPr>
        <w:spacing w:after="0" w:line="9" w:lineRule="exact"/>
        <w:rPr>
          <w:rFonts w:ascii="Times New Roman" w:cs="Times New Roman" w:eastAsia="Times New Roman" w:hAnsi="Times New Roman"/>
          <w:sz w:val="18"/>
          <w:szCs w:val="18"/>
          <w:color w:val="auto"/>
        </w:rPr>
      </w:pPr>
    </w:p>
    <w:p>
      <w:pPr>
        <w:jc w:val="both"/>
        <w:ind w:left="4" w:right="60" w:hanging="4"/>
        <w:spacing w:after="0" w:line="255" w:lineRule="auto"/>
        <w:tabs>
          <w:tab w:leader="none" w:pos="3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spacing w:after="0" w:line="182" w:lineRule="exact"/>
        <w:rPr>
          <w:sz w:val="20"/>
          <w:szCs w:val="20"/>
          <w:color w:val="auto"/>
        </w:rPr>
      </w:pPr>
    </w:p>
    <w:p>
      <w:pPr>
        <w:ind w:left="4" w:right="4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All of the terms and provisions of this Amendment shall bind and inure to the benefit of the parties hereto and their respective successors and assigns.</w:t>
      </w:r>
    </w:p>
    <w:p>
      <w:pPr>
        <w:spacing w:after="0" w:line="15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Counterparts; Facsimile</w:t>
      </w:r>
      <w:r>
        <w:rPr>
          <w:rFonts w:ascii="Times New Roman" w:cs="Times New Roman" w:eastAsia="Times New Roman" w:hAnsi="Times New Roman"/>
          <w:sz w:val="18"/>
          <w:szCs w:val="18"/>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82"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1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4"/>
          </w:cols>
          <w:pgMar w:left="436" w:top="266" w:right="519" w:bottom="1440" w:gutter="0" w:footer="0" w:header="0"/>
        </w:sectPr>
      </w:pPr>
    </w:p>
    <w:bookmarkStart w:id="91" w:name="page92"/>
    <w:bookmarkEnd w:id="91"/>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7.7 </w:t>
      </w:r>
      <w:r>
        <w:rPr>
          <w:rFonts w:ascii="Times New Roman" w:cs="Times New Roman" w:eastAsia="Times New Roman" w:hAnsi="Times New Roman"/>
          <w:sz w:val="18"/>
          <w:szCs w:val="18"/>
          <w:b w:val="1"/>
          <w:bCs w:val="1"/>
          <w:u w:val="single" w:color="auto"/>
          <w:color w:val="auto"/>
        </w:rPr>
        <w:t>Titles of Sections</w:t>
      </w:r>
      <w:r>
        <w:rPr>
          <w:rFonts w:ascii="Times New Roman" w:cs="Times New Roman" w:eastAsia="Times New Roman" w:hAnsi="Times New Roman"/>
          <w:sz w:val="18"/>
          <w:szCs w:val="18"/>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71"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71"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u w:val="single" w:color="auto"/>
          <w:color w:val="auto"/>
        </w:rPr>
        <w:t>Payment of Expenses</w:t>
      </w:r>
      <w:r>
        <w:rPr>
          <w:rFonts w:ascii="Times New Roman" w:cs="Times New Roman" w:eastAsia="Times New Roman" w:hAnsi="Times New Roman"/>
          <w:sz w:val="18"/>
          <w:szCs w:val="18"/>
          <w:color w:val="auto"/>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b w:val="1"/>
          <w:bCs w:val="1"/>
          <w:u w:val="single" w:color="auto"/>
          <w:color w:val="auto"/>
        </w:rPr>
        <w:t>Credit Documents</w:t>
      </w:r>
      <w:r>
        <w:rPr>
          <w:rFonts w:ascii="Times New Roman" w:cs="Times New Roman" w:eastAsia="Times New Roman" w:hAnsi="Times New Roman"/>
          <w:sz w:val="18"/>
          <w:szCs w:val="18"/>
          <w:color w:val="auto"/>
        </w:rPr>
        <w:t>. The Borrower acknowledges and agrees that this Amendment is a Credit Document.</w:t>
      </w:r>
    </w:p>
    <w:p>
      <w:pPr>
        <w:spacing w:after="0" w:line="225" w:lineRule="exact"/>
        <w:rPr>
          <w:sz w:val="20"/>
          <w:szCs w:val="20"/>
          <w:color w:val="auto"/>
        </w:rPr>
      </w:pPr>
    </w:p>
    <w:p>
      <w:pPr>
        <w:ind w:right="600" w:firstLine="440"/>
        <w:spacing w:after="0" w:line="317" w:lineRule="auto"/>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AMENDMENT AND THE RIGHTS AND OBLIGATIONS OF THE PARTIES HEREUNDER SHALL BE GOVERNED BY, AND CONSTRUED AND INTERPRETED IN ACCORDANCE WITH, THE LAW OF THE STATE OF NEW YORK.</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6" w:right="519" w:bottom="1440" w:gutter="0" w:footer="0" w:header="0"/>
        </w:sectPr>
      </w:pPr>
    </w:p>
    <w:bookmarkStart w:id="92" w:name="page93"/>
    <w:bookmarkEnd w:id="92"/>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on the date and year 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CALIFORNIA RESOURCES CORPORATION</w:t>
            </w:r>
          </w:p>
        </w:tc>
      </w:tr>
      <w:tr>
        <w:trPr>
          <w:trHeight w:val="432"/>
        </w:trPr>
        <w:tc>
          <w:tcPr>
            <w:tcW w:w="3300" w:type="dxa"/>
            <w:vAlign w:val="bottom"/>
          </w:tcPr>
          <w:p>
            <w:pPr>
              <w:spacing w:after="0"/>
              <w:rPr>
                <w:sz w:val="24"/>
                <w:szCs w:val="24"/>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Manuela Molina</w:t>
            </w:r>
          </w:p>
        </w:tc>
      </w:tr>
      <w:tr>
        <w:trPr>
          <w:trHeight w:val="191"/>
        </w:trPr>
        <w:tc>
          <w:tcPr>
            <w:tcW w:w="3300" w:type="dxa"/>
            <w:vAlign w:val="bottom"/>
          </w:tcPr>
          <w:p>
            <w:pPr>
              <w:spacing w:after="0"/>
              <w:rPr>
                <w:sz w:val="16"/>
                <w:szCs w:val="16"/>
                <w:color w:val="auto"/>
              </w:rPr>
            </w:pPr>
          </w:p>
        </w:tc>
        <w:tc>
          <w:tcPr>
            <w:tcW w:w="276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Manuela Molina</w:t>
            </w:r>
          </w:p>
        </w:tc>
      </w:tr>
      <w:tr>
        <w:trPr>
          <w:trHeight w:val="234"/>
        </w:trPr>
        <w:tc>
          <w:tcPr>
            <w:tcW w:w="3300" w:type="dxa"/>
            <w:vAlign w:val="bottom"/>
          </w:tcPr>
          <w:p>
            <w:pPr>
              <w:spacing w:after="0"/>
              <w:rPr>
                <w:sz w:val="20"/>
                <w:szCs w:val="20"/>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1020"/>
          </w:cols>
          <w:pgMar w:left="440" w:top="270" w:right="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SUBSIDIARY GRANTORS:</w:t>
            </w: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COLES LEVEE,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ELK HILLS,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LONG BEACH,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PETROLEUM</w:t>
            </w:r>
          </w:p>
        </w:tc>
      </w:tr>
      <w:tr>
        <w:trPr>
          <w:trHeight w:val="216"/>
        </w:trPr>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PRODUCTION</w:t>
            </w:r>
          </w:p>
        </w:tc>
      </w:tr>
      <w:tr>
        <w:trPr>
          <w:trHeight w:val="216"/>
        </w:trPr>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REAL ESTATE</w:t>
            </w:r>
          </w:p>
        </w:tc>
      </w:tr>
      <w:tr>
        <w:trPr>
          <w:trHeight w:val="216"/>
        </w:trPr>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VENTURES,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ROYALTY HOLDINGS,</w:t>
            </w:r>
          </w:p>
        </w:tc>
      </w:tr>
      <w:tr>
        <w:trPr>
          <w:trHeight w:val="216"/>
        </w:trPr>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TIDELANDS,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WILMINGTON,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CRC CONSTRUCTION SERVICES,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CRC MARKETING,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CRC SERVICES,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SOCAL HOLDING,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SOUTHERN SAN JOAQUIN PRODUCTION,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THUMS LONG BEACH COMPANY</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TIDELANDS OIL PRODUCTION COMPANY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HEAVY OIL, INC.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ELK HILLS POWER, LLC</w:t>
            </w:r>
          </w:p>
        </w:tc>
      </w:tr>
      <w:tr>
        <w:trPr>
          <w:trHeight w:val="216"/>
        </w:trPr>
        <w:tc>
          <w:tcPr>
            <w:tcW w:w="3820" w:type="dxa"/>
            <w:vAlign w:val="bottom"/>
          </w:tcPr>
          <w:p>
            <w:pPr>
              <w:spacing w:after="0"/>
              <w:rPr>
                <w:sz w:val="18"/>
                <w:szCs w:val="18"/>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EHP TOPCO HOLDING COMPANY, LLC</w:t>
            </w:r>
          </w:p>
        </w:tc>
      </w:tr>
      <w:tr>
        <w:trPr>
          <w:trHeight w:val="234"/>
        </w:trPr>
        <w:tc>
          <w:tcPr>
            <w:tcW w:w="3820" w:type="dxa"/>
            <w:vAlign w:val="bottom"/>
          </w:tcPr>
          <w:p>
            <w:pPr>
              <w:spacing w:after="0"/>
              <w:rPr>
                <w:sz w:val="20"/>
                <w:szCs w:val="20"/>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EHP MIDCO HOLDING COMPANY, LLC</w:t>
            </w:r>
          </w:p>
        </w:tc>
      </w:tr>
      <w:tr>
        <w:trPr>
          <w:trHeight w:val="445"/>
        </w:trPr>
        <w:tc>
          <w:tcPr>
            <w:tcW w:w="3820" w:type="dxa"/>
            <w:vAlign w:val="bottom"/>
          </w:tcPr>
          <w:p>
            <w:pPr>
              <w:spacing w:after="0"/>
              <w:rPr>
                <w:sz w:val="24"/>
                <w:szCs w:val="24"/>
                <w:color w:val="auto"/>
              </w:rPr>
            </w:pPr>
          </w:p>
        </w:tc>
        <w:tc>
          <w:tcPr>
            <w:tcW w:w="22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Manuela Molina</w:t>
            </w:r>
          </w:p>
        </w:tc>
      </w:tr>
      <w:tr>
        <w:trPr>
          <w:trHeight w:val="191"/>
        </w:trPr>
        <w:tc>
          <w:tcPr>
            <w:tcW w:w="3820" w:type="dxa"/>
            <w:vAlign w:val="bottom"/>
          </w:tcPr>
          <w:p>
            <w:pPr>
              <w:spacing w:after="0"/>
              <w:rPr>
                <w:sz w:val="16"/>
                <w:szCs w:val="16"/>
                <w:color w:val="auto"/>
              </w:rPr>
            </w:pPr>
          </w:p>
        </w:tc>
        <w:tc>
          <w:tcPr>
            <w:tcW w:w="2240" w:type="dxa"/>
            <w:vAlign w:val="bottom"/>
          </w:tcPr>
          <w:p>
            <w:pPr>
              <w:ind w:left="1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Manuela Molina</w:t>
            </w:r>
          </w:p>
        </w:tc>
      </w:tr>
      <w:tr>
        <w:trPr>
          <w:trHeight w:val="216"/>
        </w:trPr>
        <w:tc>
          <w:tcPr>
            <w:tcW w:w="3820" w:type="dxa"/>
            <w:vAlign w:val="bottom"/>
          </w:tcPr>
          <w:p>
            <w:pPr>
              <w:spacing w:after="0"/>
              <w:rPr>
                <w:sz w:val="18"/>
                <w:szCs w:val="18"/>
                <w:color w:val="auto"/>
              </w:rPr>
            </w:pPr>
          </w:p>
        </w:tc>
        <w:tc>
          <w:tcPr>
            <w:tcW w:w="22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w:t>
            </w:r>
          </w:p>
        </w:tc>
      </w:tr>
      <w:tr>
        <w:trPr>
          <w:trHeight w:val="445"/>
        </w:trPr>
        <w:tc>
          <w:tcPr>
            <w:tcW w:w="3820" w:type="dxa"/>
            <w:vAlign w:val="bottom"/>
          </w:tcPr>
          <w:p>
            <w:pPr>
              <w:spacing w:after="0"/>
              <w:rPr>
                <w:sz w:val="24"/>
                <w:szCs w:val="24"/>
                <w:color w:val="auto"/>
              </w:rPr>
            </w:pPr>
          </w:p>
        </w:tc>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CALIFORNIA RESOURCES COLES LEVEE, L.P.</w:t>
            </w:r>
          </w:p>
        </w:tc>
      </w:tr>
      <w:tr>
        <w:trPr>
          <w:trHeight w:val="432"/>
        </w:trPr>
        <w:tc>
          <w:tcPr>
            <w:tcW w:w="3820" w:type="dxa"/>
            <w:vAlign w:val="bottom"/>
          </w:tcPr>
          <w:p>
            <w:pPr>
              <w:spacing w:after="0"/>
              <w:rPr>
                <w:sz w:val="24"/>
                <w:szCs w:val="24"/>
                <w:color w:val="auto"/>
              </w:rPr>
            </w:pPr>
          </w:p>
        </w:tc>
        <w:tc>
          <w:tcPr>
            <w:tcW w:w="22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Manuela Molina</w:t>
            </w:r>
          </w:p>
        </w:tc>
      </w:tr>
      <w:tr>
        <w:trPr>
          <w:trHeight w:val="191"/>
        </w:trPr>
        <w:tc>
          <w:tcPr>
            <w:tcW w:w="3820" w:type="dxa"/>
            <w:vAlign w:val="bottom"/>
          </w:tcPr>
          <w:p>
            <w:pPr>
              <w:spacing w:after="0"/>
              <w:rPr>
                <w:sz w:val="16"/>
                <w:szCs w:val="16"/>
                <w:color w:val="auto"/>
              </w:rPr>
            </w:pPr>
          </w:p>
        </w:tc>
        <w:tc>
          <w:tcPr>
            <w:tcW w:w="2240" w:type="dxa"/>
            <w:vAlign w:val="bottom"/>
          </w:tcPr>
          <w:p>
            <w:pPr>
              <w:ind w:left="1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Manuela Molina</w:t>
            </w:r>
          </w:p>
        </w:tc>
      </w:tr>
      <w:tr>
        <w:trPr>
          <w:trHeight w:val="216"/>
        </w:trPr>
        <w:tc>
          <w:tcPr>
            <w:tcW w:w="3820" w:type="dxa"/>
            <w:vAlign w:val="bottom"/>
          </w:tcPr>
          <w:p>
            <w:pPr>
              <w:spacing w:after="0"/>
              <w:rPr>
                <w:sz w:val="18"/>
                <w:szCs w:val="18"/>
                <w:color w:val="auto"/>
              </w:rPr>
            </w:pPr>
          </w:p>
        </w:tc>
        <w:tc>
          <w:tcPr>
            <w:tcW w:w="22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California</w:t>
            </w:r>
          </w:p>
        </w:tc>
      </w:tr>
      <w:tr>
        <w:trPr>
          <w:trHeight w:val="216"/>
        </w:trPr>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Resources Coles Levee,</w:t>
            </w:r>
          </w:p>
        </w:tc>
      </w:tr>
      <w:tr>
        <w:trPr>
          <w:trHeight w:val="234"/>
        </w:trPr>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LLC, its General Partner</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1020"/>
          </w:cols>
          <w:pgMar w:left="440" w:top="270" w:right="439" w:bottom="1440" w:gutter="0" w:footer="0" w:header="0"/>
        </w:sectPr>
      </w:pPr>
    </w:p>
    <w:bookmarkStart w:id="94" w:name="page95"/>
    <w:bookmarkEnd w:id="9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 and as Collateral Agent</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Jeff Ard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Jeff Ard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Jeff Ard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Jeff Ard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95" w:name="page96"/>
    <w:bookmarkEnd w:id="9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George McKean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George McKean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96" w:name="page97"/>
    <w:bookmarkEnd w:id="9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Sparks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Sparks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Edward Sacks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Edward Sacks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98" w:name="page99"/>
    <w:bookmarkEnd w:id="9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Don J. McKinnerney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Don J. McKinnerney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Evans Swann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Evans Swann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Gaurav Mathur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Gaurav Mathur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Chandan Kumar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Chandan Kumar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 COUNTIES BANK,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Jennifer Meadors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Jennifer Meadors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VP - Senior Portfolio Manager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Priyankush Goswami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Priyankush Goswami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3" w:name="page104"/>
    <w:bookmarkEnd w:id="10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JEFFERIES FINANCE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Koehler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Koehler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4" w:name="page105"/>
    <w:bookmarkEnd w:id="10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Aaron McLean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Aaron McLean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5" w:name="page106"/>
    <w:bookmarkEnd w:id="10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MACQUARIE BANK LIMITED,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Trevena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Robert Trevena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Nathan Booker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Nathan Booker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6" w:name="page107"/>
    <w:bookmarkEnd w:id="10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BP ENERGY 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 Shappley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Will Shappley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7" w:name="page108"/>
    <w:bookmarkEnd w:id="10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Jonathan Herrick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Jonathan Herrick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8" w:name="page109"/>
    <w:bookmarkEnd w:id="10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Kovarik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Kovarik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ectPr>
          <w:pgSz w:w="11900" w:h="16838" w:orient="portrait"/>
          <w:cols w:equalWidth="0" w:num="1">
            <w:col w:w="10020"/>
          </w:cols>
          <w:pgMar w:left="1440" w:top="266" w:right="4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INDENTURE</w:t>
      </w:r>
    </w:p>
    <w:p>
      <w:pPr>
        <w:spacing w:after="0" w:line="22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(collectively,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each a subsidiary of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other Guarantors (as defined in the Indenture referred to herein), the Issuer and Wilmington Trust, National Association,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January 20, 2021 providing for the issuance of 7.125% Senior Notes due 2026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each Guaranteeing Subsidiary, the other Guarantors, the Issuer and the Trustee mutually covenant and agree for the equal and ratable benefit of the Holders of the Notes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2.  Guarantee. Each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62"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3.  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80" w:lineRule="exact"/>
        <w:rPr>
          <w:sz w:val="20"/>
          <w:szCs w:val="20"/>
          <w:color w:val="auto"/>
        </w:rPr>
      </w:pPr>
    </w:p>
    <w:p>
      <w:pPr>
        <w:ind w:right="760" w:firstLine="440"/>
        <w:spacing w:after="0" w:line="266" w:lineRule="auto"/>
        <w:rPr>
          <w:sz w:val="20"/>
          <w:szCs w:val="20"/>
          <w:color w:val="auto"/>
        </w:rPr>
      </w:pPr>
      <w:r>
        <w:rPr>
          <w:rFonts w:ascii="Times New Roman" w:cs="Times New Roman" w:eastAsia="Times New Roman" w:hAnsi="Times New Roman"/>
          <w:sz w:val="18"/>
          <w:szCs w:val="18"/>
          <w:color w:val="auto"/>
        </w:rPr>
        <w:t>4.  NEW YORK LAW TO GOVERN. THIS SUPPLEMENTAL INDENTURE, AND ANY CLAIM, CONTROVERSY OR DISPUTE ARISING UNDER OR RELATED TO THIS SUPPLEMENTAL INDENTURE, SHALL BE GOVERNED BY AND CONSTRUED IN ACCORDANCE WITH THE LAWS OF THE STATE OF NEW YORK.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10" w:name="page111"/>
    <w:bookmarkEnd w:id="110"/>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Counterparts.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 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the other Guarantors and the Issuer.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11" w:name="page112"/>
    <w:bookmarkEnd w:id="111"/>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Issuer</w:t>
      </w:r>
    </w:p>
    <w:p>
      <w:pPr>
        <w:spacing w:after="0" w:line="220"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17145</wp:posOffset>
            </wp:positionV>
            <wp:extent cx="2434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Trustee</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Barry D. Somrock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Barry D. Somrock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(2026 Notes)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GUARANTEEING SUBSIDIARIES:</w:t>
      </w: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AERA ENERGY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AERA ENERGY SERVICES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AERA FEDERAL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BELRIDGE FARMS &amp; PACKING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SAN ARDO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TERRAIN TECHNOLOGY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INTERMEDIATE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HOLDINGS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PARENT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PETRA MERGER SUB 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each as a Guaranteeing Subsidiary</w:t>
      </w:r>
    </w:p>
    <w:p>
      <w:pPr>
        <w:spacing w:after="0" w:line="220"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17145</wp:posOffset>
            </wp:positionV>
            <wp:extent cx="24345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(2026 Notes)</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HEAVY OIL,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COLES LEVEE,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ELK HILLS,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PETROLEUM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PRODUCTION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REAL ESTATE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VENTURES,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CALIFORNIA RESOURCES ROYALTY HOLDINGS,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TIDELANDS,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WILMINGTON,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CONSTRUCTION SERVICES,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MARKETING,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SERVICES,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ELK HILLS POWER,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MIDCO HOLDING COMPANY,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TOPCO HOLDING COMPANY,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SOCAL HOLDING,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SOUTHERN SAN JOAQUIN PRODUCTION,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COLES LEVEE, L.P.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Officer of California Resources Coles Levee, LLC,</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(2026 Notes)</w:t>
      </w:r>
      <w:r>
        <w:rPr>
          <w:rFonts w:ascii="Times New Roman" w:cs="Times New Roman" w:eastAsia="Times New Roman" w:hAnsi="Times New Roman"/>
          <w:sz w:val="18"/>
          <w:szCs w:val="18"/>
          <w:color w:val="auto"/>
        </w:rPr>
        <w:t>]</w:t>
      </w:r>
    </w:p>
    <w:p>
      <w:pPr>
        <w:sectPr>
          <w:pgSz w:w="11900" w:h="16838" w:orient="portrait"/>
          <w:cols w:equalWidth="0" w:num="1">
            <w:col w:w="9880"/>
          </w:cols>
          <w:pgMar w:left="1440" w:top="270" w:right="5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INDENTURE</w:t>
      </w:r>
    </w:p>
    <w:p>
      <w:pPr>
        <w:spacing w:after="0" w:line="22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July 1, 2024, by and among Aera Energy LLC, a California limited liability company, Aera Energy Services Company, a Delaware corporation, Aera Federal LLC, a Delaware limited liability company, Belridge Farms &amp; Packing LLC, a California limited liability company, Green Gate San Ardo LLC, a Delaware limited liability company, Terrain Technology Inc., a California corporation, Green Gate Intermediate LLC, a Delaware limited liability company, Green Gate Resources E LLC, a Delaware limited liability company, Green Gate Resources S LLC, a Delaware limited liability company, Green Gate Resources Holdings LLC, a Delaware limited liability company, Green Gate Resources Parent LLC, a Delaware limited liability company, Petra Merger Sub S, LLC, a Delaware limited liability company (collectively,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each a subsidiary of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other Guarantors (as defined in the Indenture referred to herein), the Issuer and Wilmington Trust, National Association,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June 5, 2024 providing for the issuance of 8.250% Senior Notes due 2029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each Guaranteeing Subsidiary, the other Guarantors, the Issuer and the Trustee mutually covenant and agree for the equal and ratable benefit of the Holders of the Notes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2.  GUARANTEE. Each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3.  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80" w:lineRule="exact"/>
        <w:rPr>
          <w:sz w:val="20"/>
          <w:szCs w:val="20"/>
          <w:color w:val="auto"/>
        </w:rPr>
      </w:pPr>
    </w:p>
    <w:p>
      <w:pPr>
        <w:ind w:right="760" w:firstLine="440"/>
        <w:spacing w:after="0" w:line="266" w:lineRule="auto"/>
        <w:rPr>
          <w:sz w:val="20"/>
          <w:szCs w:val="20"/>
          <w:color w:val="auto"/>
        </w:rPr>
      </w:pPr>
      <w:r>
        <w:rPr>
          <w:rFonts w:ascii="Times New Roman" w:cs="Times New Roman" w:eastAsia="Times New Roman" w:hAnsi="Times New Roman"/>
          <w:sz w:val="18"/>
          <w:szCs w:val="18"/>
          <w:color w:val="auto"/>
        </w:rPr>
        <w:t>4.  NEW YORK LAW TO GOVERN. THIS SUPPLEMENTAL INDENTURE, AND ANY CLAIM, CONTROVERSY OR DISPUTE ARISING UNDER OR RELATED TO THIS SUPPLEMENTAL INDENTURE, SHALL BE GOVERNED BY AND CONSTRUED IN ACCORDANCE WITH THE LAWS OF THE STATE OF NEW YORK.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15" w:name="page116"/>
    <w:bookmarkEnd w:id="11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COUNTERPARTS.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 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the other Guarantors and the Issuer.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16" w:name="page117"/>
    <w:bookmarkEnd w:id="116"/>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Issuer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Trustee</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Barry D. Somrock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Barry D. Somrock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(2029 Notes)</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GUARANTEEING SUBSIDIARIES:</w:t>
      </w: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AERA ENERGY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AERA ENERGY SERVICES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AERA FEDERAL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BELRIDGE FARMS &amp; PACKING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SAN ARDO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TERRAIN TECHNOLOGY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INTERMEDIATE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HOLDINGS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GREEN GATE RESOURCES PARENT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PETRA MERGER SUB 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each as a Guaranteeing Subsidiary</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(2029 Notes)</w:t>
      </w:r>
      <w:r>
        <w:rPr>
          <w:rFonts w:ascii="Times New Roman" w:cs="Times New Roman" w:eastAsia="Times New Roman" w:hAnsi="Times New Roman"/>
          <w:sz w:val="18"/>
          <w:szCs w:val="18"/>
          <w:color w:val="auto"/>
        </w:rPr>
        <w:t>]</w:t>
      </w:r>
    </w:p>
    <w:p>
      <w:pPr>
        <w:sectPr>
          <w:pgSz w:w="11900" w:h="16838" w:orient="portrait"/>
          <w:cols w:equalWidth="0" w:num="1">
            <w:col w:w="9460"/>
          </w:cols>
          <w:pgMar w:left="1440" w:top="270" w:right="99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HEAVY OIL,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COLES LEVEE,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ELK HILLS,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PETROLEUM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PRODUCTION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REAL ESTATE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VENTURES,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CALIFORNIA RESOURCES ROYALTY HOLDINGS,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TIDELANDS,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WILMINGTON,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CONSTRUCTION SERVICES,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MARKETING,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SERVICES,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ELK HILLS POWER,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MIDCO HOLDING COMPANY,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TOPCO HOLDING COMPANY,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SOCAL HOLDING,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SOUTHERN SAN JOAQUIN PRODUCTION,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CALIFORNIA RESOURCES COLES LEVEE,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Officer of California Resources Coles Levee, LLC,</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(2029 Notes)</w:t>
      </w:r>
      <w:r>
        <w:rPr>
          <w:rFonts w:ascii="Times New Roman" w:cs="Times New Roman" w:eastAsia="Times New Roman" w:hAnsi="Times New Roman"/>
          <w:sz w:val="18"/>
          <w:szCs w:val="18"/>
          <w:color w:val="auto"/>
        </w:rPr>
        <w:t>]</w:t>
      </w:r>
    </w:p>
    <w:p>
      <w:pPr>
        <w:sectPr>
          <w:pgSz w:w="11900" w:h="16838" w:orient="portrait"/>
          <w:cols w:equalWidth="0" w:num="1">
            <w:col w:w="9880"/>
          </w:cols>
          <w:pgMar w:left="1440" w:top="270" w:right="57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173990</wp:posOffset>
            </wp:positionV>
            <wp:extent cx="1671955" cy="4883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16719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Completes Combination with Aera Energy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Creates the Leading Energy Producer and Carbon Management Solutions Provider in California</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LONG BEACH, California, July 1, 2024 - California Resources Corporation (NYSE: CRC) announced today the completion of the all-stock combination with Aera Energy, LLC (Aera). The issuance of shares was approved by CRC shareholders at a special meeting held on June 26, 2024, where CRC shareholders voted in favor of the stock issuance necessary for the closing of the combination of CRC and Aera.</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are very pleased to welcome Aera’s team with decades of experience and a track record of successful, safe and environmentally sound operations into CRC,” said Francisco Leon, CRC’s President and Chief Executive Officer. “I want to thank the CRC and Aera employees for their work to complete a combination of this size. We believe this transformational deal creates significant scale and asset durability to meet California’s growing energy needs and expands our leading carbon management platform to help the Golden State meet its ambitious climate goals. We remain confident in our ability to deliver $150 million in annual synergies from the combined businesses within 15 months post close and create meaningful long-term value for our shareholders. We look forward to updating the market on our continued progress in the months ahead.”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2024 Production and Second Half 2024 Preliminary Outlook Update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pro forma combined net daily production of CRC and Aera averaged 146 thousand barrels of oil equivalent per day (Mboe/d) (79% oil) during the two months of April and May 2024.</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average daily net production and capital guidance for the combined business during the second half 2024. The guidance below remains subject to integration of accounting and reporting processes, including but not limited to conforming Aera’s accounting policies to CRC. CRC expects to provide updated full-year 2024 guidance with its second quarter 2024 earnings release.</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2H24E</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Production (MBoe/d)</w:t>
            </w:r>
          </w:p>
        </w:tc>
        <w:tc>
          <w:tcPr>
            <w:tcW w:w="2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 146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Oil</w:t>
            </w:r>
          </w:p>
        </w:tc>
        <w:tc>
          <w:tcPr>
            <w:tcW w:w="3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 millions)</w:t>
            </w:r>
          </w:p>
        </w:tc>
        <w:tc>
          <w:tcPr>
            <w:tcW w:w="3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$170 - $210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Leadership and Headquarters</w:t>
      </w:r>
    </w:p>
    <w:p>
      <w:pPr>
        <w:spacing w:after="0" w:line="121"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Effective July 1, 2024, Bobby Saadati, CEO of IKAV Energy Inc., and James Jackson, Managing Director, Sustainable Energies at Canada Pension Plan Investment Board, were appointed to serve on CRC’s Board of Directors. The combined company will be run by the current CRC executive team and will continue to be headquartered in Long Beach, California.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 and Capital Structure Update</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closing the transaction, CRC increased its borrowing base from $1.2 billion to $1.5 billion and increased the aggregate commitment amount from $630 million to $1.1 billion under its Revolving Credit Facility.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definitive transaction agreement, Aera’s former equity owners (IKAV, Canada Pension Plan Investment Board and Oaktree Capital Management, L.P.) received 21.3 million shares of common stock of CRC, with an aggregate value of $1,134 million based on the price per share as of market close on June 28,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California Resources Corporation</w:t>
      </w:r>
    </w:p>
    <w:p>
      <w:pPr>
        <w:spacing w:after="0" w:line="121"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www.crc.com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18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85" w:lineRule="exact"/>
        <w:rPr>
          <w:sz w:val="20"/>
          <w:szCs w:val="20"/>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commodity prices, including supply and demand considerations for CRC’s products and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production levels and/or pricing by OPEC or U.S. producers in future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policy, war and political conditions and events, including the military conflicts in Israel, Ukraine and Yemen and the Red Sea;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Aera’s business;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0"/>
          </w:cols>
          <w:pgMar w:left="440" w:top="266" w:right="459" w:bottom="1440" w:gutter="0" w:footer="0" w:header="0"/>
        </w:sectPr>
      </w:pPr>
    </w:p>
    <w:bookmarkStart w:id="121" w:name="page122"/>
    <w:bookmarkEnd w:id="121"/>
    <w:p>
      <w:pPr>
        <w:ind w:left="424" w:right="120" w:hanging="424"/>
        <w:spacing w:after="0" w:line="261"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actions and changes that affect the oil and gas industry generally and CRC in particular, including (1) the availability or timing of, or conditions imposed on, permits and approvals necessary for drilling or development activities or its carbon management business;</w:t>
      </w:r>
    </w:p>
    <w:p>
      <w:pPr>
        <w:ind w:left="424" w:right="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management of energy, water, land, greenhouse gases (GHGs) or other emissions, (3) the protection of health, safety and the environment, or (4) the transportation, marketing and sale of CRC’s products;</w:t>
      </w:r>
    </w:p>
    <w:p>
      <w:pPr>
        <w:spacing w:after="0" w:line="8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future expenses and changes generally in the prices of goods and services;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strategy and CRC’s capital plan;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lower-than-expected production or higher-than-expected production decline rates;</w:t>
      </w:r>
    </w:p>
    <w:p>
      <w:pPr>
        <w:spacing w:after="0" w:line="130"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CRC’s estimates of reserves and related future cash flows, including changes arising from its inability to develop such reserves in a timely manner, and any inability to replace such reserves;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of resources and unexpected geologic conditions;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 including conditions in the worldwide financial, trade and credit markets;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production-sharing contracts’ effects on production and operating costs;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available equipment, service or labor price inflation;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transportation or storage capacity and the need to shut-in wells;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risk management;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operations and competition in the industries in which CRC operates;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CRC’s ability to realize the anticipated benefits from prior or future efforts to reduce costs;</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risks and liability under federal, regional, state, provincial, tribal, local and international environmental laws and regulations (including remedial actions);</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and performance of CRC’s counterparties, including financial institutions, operating partners, CCS project participants and other parties;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 restructuring of CRC’s operations;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CRC’s ability to claim and utilize tax credits or other incentives in connection with its CCS projects;</w:t>
      </w:r>
    </w:p>
    <w:p>
      <w:pPr>
        <w:spacing w:after="0" w:line="130"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CRC’s ability to realize the benefits contemplated by its energy transition strategies and initiatives, including CCS projects and other renewable energy efforts;</w:t>
      </w:r>
    </w:p>
    <w:p>
      <w:pPr>
        <w:spacing w:after="0" w:line="67"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CRC’s ability to successfully identify, develop and finance carbon capture and storage projects and other renewable energy efforts, including those in connection with the Carbon TerraVault JV, and its ability to convert its CDMAs to definitive agreements and enter into other offtake agreements;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CRC’s ability to maximize the value of its carbon management business and operate it on a stand alone basis;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CRC’s ability to successfully develop infrastructure projects and enter into third party contracts on contemplated terms;</w:t>
      </w:r>
    </w:p>
    <w:p>
      <w:pPr>
        <w:spacing w:after="0" w:line="130"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the accounting of emissions and its ability to successfully gather and verify emissions data and other environmental impacts;</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CRC’s dividend policy and share repurchase program, and its ability to declare future dividends or repurchase shares under its debt agreements;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CRC’s financial flexibility due to existing and future debt;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cash flow to fund CRC’s capital plan and other planned investments and return capital to shareholders;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5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464"/>
          </w:cols>
          <w:pgMar w:left="976" w:top="270" w:right="459" w:bottom="1440" w:gutter="0" w:footer="0" w:header="0"/>
        </w:sectPr>
      </w:pPr>
    </w:p>
    <w:bookmarkStart w:id="122" w:name="page123"/>
    <w:bookmarkEnd w:id="122"/>
    <w:p>
      <w:pPr>
        <w:ind w:left="960" w:right="360" w:hanging="424"/>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CRC’s access to and the terms of credit in commercial banking and capital markets, including its ability to refinance its debt or obtain separate financing for its carbon management business;</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federal or international tax rates, including CRC’s ability to utilize its net operating loss carryforwards to reduce its income tax obligations;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hedging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CRC’s stock price on costs associated with incentive compensation;</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enter into desirable transactions, including joint ventures, divestitures of oil and natural gas properties and real estate, and acquisitions, and CRC’s ability to achieve any expected synergies;</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outbreaks, or other public health events, such as the COVID-19 pandemic; and</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Part I, Item 1A – Risk Factors in CRC’s Annual Report on Form 10-K and its other SEC filings available at www.crc.com.</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CRC cautions you not to place undue reliance on forward-looking statements contained in this document, which speak only as of the filing date, and the company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Contacts:</w:t>
            </w:r>
          </w:p>
        </w:tc>
        <w:tc>
          <w:tcPr>
            <w:tcW w:w="25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4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Joanna Park (Investor Relations)</w:t>
            </w:r>
          </w:p>
        </w:tc>
        <w:tc>
          <w:tcPr>
            <w:tcW w:w="2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Richard Venn (Media)</w:t>
            </w: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818-661-3731</w:t>
            </w:r>
          </w:p>
        </w:tc>
        <w:tc>
          <w:tcPr>
            <w:tcW w:w="1660" w:type="dxa"/>
            <w:vAlign w:val="bottom"/>
          </w:tcPr>
          <w:p>
            <w:pPr>
              <w:spacing w:after="0"/>
              <w:rPr>
                <w:sz w:val="18"/>
                <w:szCs w:val="18"/>
                <w:color w:val="auto"/>
              </w:rPr>
            </w:pPr>
          </w:p>
        </w:tc>
        <w:tc>
          <w:tcPr>
            <w:tcW w:w="2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818-661-6014</w:t>
            </w:r>
          </w:p>
        </w:tc>
      </w:tr>
      <w:tr>
        <w:trPr>
          <w:trHeight w:val="194"/>
        </w:trPr>
        <w:tc>
          <w:tcPr>
            <w:tcW w:w="32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Joanna.Park@crc.com</w:t>
            </w:r>
          </w:p>
        </w:tc>
        <w:tc>
          <w:tcPr>
            <w:tcW w:w="2640" w:type="dxa"/>
            <w:vAlign w:val="bottom"/>
            <w:gridSpan w:val="2"/>
          </w:tcPr>
          <w:p>
            <w:pPr>
              <w:ind w:left="920"/>
              <w:spacing w:after="0" w:line="194" w:lineRule="exact"/>
              <w:rPr>
                <w:sz w:val="20"/>
                <w:szCs w:val="20"/>
                <w:color w:val="auto"/>
              </w:rPr>
            </w:pPr>
            <w:r>
              <w:rPr>
                <w:rFonts w:ascii="Times New Roman" w:cs="Times New Roman" w:eastAsia="Times New Roman" w:hAnsi="Times New Roman"/>
                <w:sz w:val="18"/>
                <w:szCs w:val="18"/>
                <w:color w:val="auto"/>
                <w:w w:val="97"/>
              </w:rPr>
              <w:t>Richard.Venn@crc.com</w:t>
            </w:r>
          </w:p>
        </w:tc>
      </w:tr>
      <w:tr>
        <w:trPr>
          <w:trHeight w:val="398"/>
        </w:trPr>
        <w:tc>
          <w:tcPr>
            <w:tcW w:w="7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 4</w:t>
            </w:r>
          </w:p>
        </w:tc>
      </w:tr>
    </w:tbl>
    <w:p>
      <w:pPr>
        <w:spacing w:after="0" w:line="1" w:lineRule="exact"/>
        <w:rPr>
          <w:sz w:val="20"/>
          <w:szCs w:val="20"/>
          <w:color w:val="auto"/>
        </w:rPr>
      </w:pP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lowerLetter"/>
      <w:start w:val="26"/>
    </w:lvl>
  </w:abstractNum>
  <w:abstractNum w:abstractNumId="2">
    <w:nsid w:val="2D517796"/>
    <w:multiLevelType w:val="hybridMultilevel"/>
    <w:lvl w:ilvl="0">
      <w:lvlJc w:val="left"/>
      <w:lvlText w:val="(%1)"/>
      <w:numFmt w:val="lowerLetter"/>
      <w:start w:val="61"/>
    </w:lvl>
    <w:lvl w:ilvl="1">
      <w:lvlJc w:val="left"/>
      <w:lvlText w:val="(%2)"/>
      <w:numFmt w:val="lowerLetter"/>
      <w:start w:val="2"/>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lowerRoman"/>
      <w:start w:val="2"/>
    </w:lvl>
  </w:abstractNum>
  <w:abstractNum w:abstractNumId="6">
    <w:nsid w:val="70A64E2A"/>
    <w:multiLevelType w:val="hybridMultilevel"/>
    <w:lvl w:ilvl="0">
      <w:lvlJc w:val="left"/>
      <w:lvlText w:val="(%1)"/>
      <w:numFmt w:val="lowerLetter"/>
      <w:start w:val="1"/>
    </w:lvl>
  </w:abstractNum>
  <w:abstractNum w:abstractNumId="7">
    <w:nsid w:val="6A2342EC"/>
    <w:multiLevelType w:val="hybridMultilevel"/>
    <w:lvl w:ilvl="0">
      <w:lvlJc w:val="left"/>
      <w:lvlText w:val="(%1)"/>
      <w:numFmt w:val="lowerLetter"/>
      <w:start w:val="3"/>
    </w:lvl>
  </w:abstractNum>
  <w:abstractNum w:abstractNumId="8">
    <w:nsid w:val="2A487CB0"/>
    <w:multiLevelType w:val="hybridMultilevel"/>
    <w:lvl w:ilvl="0">
      <w:lvlJc w:val="left"/>
      <w:lvlText w:val="%1"/>
      <w:numFmt w:val="lowerLetter"/>
      <w:start w:val="1"/>
    </w:lvl>
    <w:lvl w:ilvl="1">
      <w:lvlJc w:val="left"/>
      <w:lvlText w:val="(%2)"/>
      <w:numFmt w:val="lowerLetter"/>
      <w:start w:val="6"/>
    </w:lvl>
  </w:abstractNum>
  <w:abstractNum w:abstractNumId="9">
    <w:nsid w:val="1D4ED43B"/>
    <w:multiLevelType w:val="hybridMultilevel"/>
    <w:lvl w:ilvl="0">
      <w:lvlJc w:val="left"/>
      <w:lvlText w:val="(%1)"/>
      <w:numFmt w:val="lowerLetter"/>
      <w:start w:val="9"/>
    </w:lvl>
    <w:lvl w:ilvl="1">
      <w:lvlJc w:val="left"/>
      <w:lvlText w:val="(%2)"/>
      <w:numFmt w:val="lowerLetter"/>
      <w:start w:val="7"/>
    </w:lvl>
  </w:abstractNum>
  <w:abstractNum w:abstractNumId="10">
    <w:nsid w:val="725A06FB"/>
    <w:multiLevelType w:val="hybridMultilevel"/>
    <w:lvl w:ilvl="0">
      <w:lvlJc w:val="left"/>
      <w:lvlText w:val="%1"/>
      <w:numFmt w:val="lowerLetter"/>
      <w:start w:val="1"/>
    </w:lvl>
    <w:lvl w:ilvl="1">
      <w:lvlJc w:val="left"/>
      <w:lvlText w:val="(%2)"/>
      <w:numFmt w:val="lowerLetter"/>
      <w:start w:val="1"/>
    </w:lvl>
  </w:abstractNum>
  <w:abstractNum w:abstractNumId="11">
    <w:nsid w:val="2CD89A32"/>
    <w:multiLevelType w:val="hybridMultilevel"/>
    <w:lvl w:ilvl="0">
      <w:lvlJc w:val="left"/>
      <w:lvlText w:val="(%1)"/>
      <w:numFmt w:val="lowerLetter"/>
      <w:start w:val="25"/>
    </w:lvl>
    <w:lvl w:ilvl="1">
      <w:lvlJc w:val="left"/>
      <w:lvlText w:val="%2"/>
      <w:numFmt w:val="lowerLetter"/>
      <w:start w:val="1"/>
    </w:lvl>
  </w:abstractNum>
  <w:abstractNum w:abstractNumId="12">
    <w:nsid w:val="57E4CCAF"/>
    <w:multiLevelType w:val="hybridMultilevel"/>
    <w:lvl w:ilvl="0">
      <w:lvlJc w:val="left"/>
      <w:lvlText w:val="(%1)"/>
      <w:numFmt w:val="lowerLetter"/>
      <w:start w:val="2"/>
    </w:lvl>
  </w:abstractNum>
  <w:abstractNum w:abstractNumId="13">
    <w:nsid w:val="7A6D8D3C"/>
    <w:multiLevelType w:val="hybridMultilevel"/>
    <w:lvl w:ilvl="0">
      <w:lvlJc w:val="left"/>
      <w:lvlText w:val="(%1)"/>
      <w:numFmt w:val="lowerLetter"/>
      <w:start w:val="3"/>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lowerLetter"/>
      <w:start w:val="2"/>
    </w:lvl>
  </w:abstractNum>
  <w:abstractNum w:abstractNumId="16">
    <w:nsid w:val="6DE91B18"/>
    <w:multiLevelType w:val="hybridMultilevel"/>
    <w:lvl w:ilvl="0">
      <w:lvlJc w:val="left"/>
      <w:lvlText w:val="%1"/>
      <w:numFmt w:val="lowerLetter"/>
      <w:start w:val="1"/>
    </w:lvl>
    <w:lvl w:ilvl="1">
      <w:lvlJc w:val="left"/>
      <w:lvlText w:val="(%2)"/>
      <w:numFmt w:val="lowerLetter"/>
      <w:start w:val="6"/>
    </w:lvl>
  </w:abstractNum>
  <w:abstractNum w:abstractNumId="17">
    <w:nsid w:val="38437FDB"/>
    <w:multiLevelType w:val="hybridMultilevel"/>
    <w:lvl w:ilvl="0">
      <w:lvlJc w:val="left"/>
      <w:lvlText w:val="(%1)"/>
      <w:numFmt w:val="lowerLetter"/>
      <w:start w:val="35"/>
    </w:lvl>
    <w:lvl w:ilvl="1">
      <w:lvlJc w:val="left"/>
      <w:lvlText w:val="%2"/>
      <w:numFmt w:val="lowerLetter"/>
      <w:start w:val="1"/>
    </w:lvl>
  </w:abstractNum>
  <w:abstractNum w:abstractNumId="18">
    <w:nsid w:val="7644A45C"/>
    <w:multiLevelType w:val="hybridMultilevel"/>
    <w:lvl w:ilvl="0">
      <w:lvlJc w:val="left"/>
      <w:lvlText w:val="(%1)"/>
      <w:numFmt w:val="lowerLetter"/>
      <w:start w:val="9"/>
    </w:lvl>
  </w:abstractNum>
  <w:abstractNum w:abstractNumId="19">
    <w:nsid w:val="32FFF902"/>
    <w:multiLevelType w:val="hybridMultilevel"/>
    <w:lvl w:ilvl="0">
      <w:lvlJc w:val="left"/>
      <w:lvlText w:val="(%1)"/>
      <w:numFmt w:val="lowerLetter"/>
      <w:start w:val="16"/>
    </w:lvl>
  </w:abstractNum>
  <w:abstractNum w:abstractNumId="20">
    <w:nsid w:val="684A481A"/>
    <w:multiLevelType w:val="hybridMultilevel"/>
    <w:lvl w:ilvl="0">
      <w:lvlJc w:val="left"/>
      <w:lvlText w:val="(%1)"/>
      <w:numFmt w:val="lowerRoman"/>
      <w:start w:val="2"/>
    </w:lvl>
  </w:abstractNum>
  <w:abstractNum w:abstractNumId="21">
    <w:nsid w:val="579478FE"/>
    <w:multiLevelType w:val="hybridMultilevel"/>
    <w:lvl w:ilvl="0">
      <w:lvlJc w:val="left"/>
      <w:lvlText w:val="(%1)"/>
      <w:numFmt w:val="lowerLetter"/>
      <w:start w:val="1"/>
    </w:lvl>
    <w:lvl w:ilvl="1">
      <w:lvlJc w:val="left"/>
      <w:lvlText w:val="(%2)"/>
      <w:numFmt w:val="lowerRoman"/>
      <w:start w:val="1"/>
    </w:lvl>
  </w:abstractNum>
  <w:abstractNum w:abstractNumId="22">
    <w:nsid w:val="749ABB43"/>
    <w:multiLevelType w:val="hybridMultilevel"/>
    <w:lvl w:ilvl="0">
      <w:lvlJc w:val="left"/>
      <w:lvlText w:val="(%1)"/>
      <w:numFmt w:val="lowerLetter"/>
      <w:start w:val="3"/>
    </w:lvl>
    <w:lvl w:ilvl="1">
      <w:lvlJc w:val="left"/>
      <w:lvlText w:val="(%2)"/>
      <w:numFmt w:val="lowerRoman"/>
      <w:start w:val="1"/>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1)"/>
      <w:numFmt w:val="lowerLetter"/>
      <w:start w:val="2"/>
    </w:lvl>
  </w:abstractNum>
  <w:abstractNum w:abstractNumId="26">
    <w:nsid w:val="75C6C33A"/>
    <w:multiLevelType w:val="hybridMultilevel"/>
    <w:lvl w:ilvl="0">
      <w:lvlJc w:val="left"/>
      <w:lvlText w:val="(%1)"/>
      <w:numFmt w:val="lowerLetter"/>
      <w:start w:val="4"/>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4"/>
    </w:lvl>
  </w:abstractNum>
  <w:abstractNum w:abstractNumId="29">
    <w:nsid w:val="520EEDD1"/>
    <w:multiLevelType w:val="hybridMultilevel"/>
    <w:lvl w:ilvl="0">
      <w:lvlJc w:val="left"/>
      <w:lvlText w:val="(%1)"/>
      <w:numFmt w:val="lowerLetter"/>
      <w:start w:val="2"/>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lowerLetter"/>
      <w:start w:val="3"/>
    </w:lvl>
  </w:abstractNum>
  <w:abstractNum w:abstractNumId="33">
    <w:nsid w:val="649BB77C"/>
    <w:multiLevelType w:val="hybridMultilevel"/>
    <w:lvl w:ilvl="0">
      <w:lvlJc w:val="left"/>
      <w:lvlText w:val="(%1)"/>
      <w:numFmt w:val="lowerRoman"/>
      <w:start w:val="10"/>
    </w:lvl>
  </w:abstractNum>
  <w:abstractNum w:abstractNumId="34">
    <w:nsid w:val="275AC794"/>
    <w:multiLevelType w:val="hybridMultilevel"/>
    <w:lvl w:ilvl="0">
      <w:lvlJc w:val="left"/>
      <w:lvlText w:val="%1"/>
      <w:numFmt w:val="lowerLetter"/>
      <w:start w:val="1"/>
    </w:lvl>
    <w:lvl w:ilvl="1">
      <w:lvlJc w:val="left"/>
      <w:lvlText w:val="(%2)"/>
      <w:numFmt w:val="lowerLetter"/>
      <w:start w:val="1"/>
    </w:lvl>
  </w:abstractNum>
  <w:abstractNum w:abstractNumId="35">
    <w:nsid w:val="39386575"/>
    <w:multiLevelType w:val="hybridMultilevel"/>
    <w:lvl w:ilvl="0">
      <w:lvlJc w:val="left"/>
      <w:lvlText w:val="(%1)"/>
      <w:numFmt w:val="lowerLetter"/>
      <w:start w:val="35"/>
    </w:lvl>
    <w:lvl w:ilvl="1">
      <w:lvlJc w:val="left"/>
      <w:lvlText w:val="%2"/>
      <w:numFmt w:val="lowerLetter"/>
      <w:start w:val="1"/>
    </w:lvl>
  </w:abstractNum>
  <w:abstractNum w:abstractNumId="36">
    <w:nsid w:val="1CF10FD8"/>
    <w:multiLevelType w:val="hybridMultilevel"/>
    <w:lvl w:ilvl="0">
      <w:lvlJc w:val="left"/>
      <w:lvlText w:val="(%1)"/>
      <w:numFmt w:val="lowerLetter"/>
      <w:start w:val="4"/>
    </w:lvl>
  </w:abstractNum>
  <w:abstractNum w:abstractNumId="37">
    <w:nsid w:val="180115BE"/>
    <w:multiLevelType w:val="hybridMultilevel"/>
    <w:lvl w:ilvl="0">
      <w:lvlJc w:val="left"/>
      <w:lvlText w:val="(%1)"/>
      <w:numFmt w:val="lowerLetter"/>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2"/>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1)"/>
      <w:numFmt w:val="lowerLetter"/>
      <w:start w:val="1"/>
    </w:lvl>
  </w:abstractNum>
  <w:abstractNum w:abstractNumId="44">
    <w:nsid w:val="10233C99"/>
    <w:multiLevelType w:val="hybridMultilevel"/>
    <w:lvl w:ilvl="0">
      <w:lvlJc w:val="left"/>
      <w:lvlText w:val="(%1)"/>
      <w:numFmt w:val="lowerLetter"/>
      <w:start w:val="3"/>
    </w:lvl>
  </w:abstractNum>
  <w:abstractNum w:abstractNumId="45">
    <w:nsid w:val="3F6AB60F"/>
    <w:multiLevelType w:val="hybridMultilevel"/>
    <w:lvl w:ilvl="0">
      <w:lvlJc w:val="left"/>
      <w:lvlText w:val="(%1)"/>
      <w:numFmt w:val="lowerLetter"/>
      <w:start w:val="1"/>
    </w:lvl>
  </w:abstractNum>
  <w:abstractNum w:abstractNumId="46">
    <w:nsid w:val="61574095"/>
    <w:multiLevelType w:val="hybridMultilevel"/>
    <w:lvl w:ilvl="0">
      <w:lvlJc w:val="left"/>
      <w:lvlText w:val="(%1)"/>
      <w:numFmt w:val="lowerLetter"/>
      <w:start w:val="3"/>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2"/>
    </w:lvl>
  </w:abstractNum>
  <w:abstractNum w:abstractNumId="49">
    <w:nsid w:val="579BE4F1"/>
    <w:multiLevelType w:val="hybridMultilevel"/>
    <w:lvl w:ilvl="0">
      <w:lvlJc w:val="left"/>
      <w:lvlText w:val="(%1)"/>
      <w:numFmt w:val="lowerRoman"/>
      <w:start w:val="10"/>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2"/>
    </w:lvl>
  </w:abstractNum>
  <w:abstractNum w:abstractNumId="52">
    <w:nsid w:val="2F305DEF"/>
    <w:multiLevelType w:val="hybridMultilevel"/>
    <w:lvl w:ilvl="0">
      <w:lvlJc w:val="left"/>
      <w:lvlText w:val="(%1)"/>
      <w:numFmt w:val="lowerRoman"/>
      <w:start w:val="4"/>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2"/>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upperLetter"/>
      <w:start w:val="1"/>
    </w:lvl>
    <w:lvl w:ilvl="1">
      <w:lvlJc w:val="left"/>
      <w:lvlText w:val="(%2)"/>
      <w:numFmt w:val="lowerLetter"/>
      <w:start w:val="1"/>
    </w:lvl>
  </w:abstractNum>
  <w:abstractNum w:abstractNumId="62">
    <w:nsid w:val="5F5E7FD0"/>
    <w:multiLevelType w:val="hybridMultilevel"/>
    <w:lvl w:ilvl="0">
      <w:lvlJc w:val="left"/>
      <w:lvlText w:val="(%1)"/>
      <w:numFmt w:val="upperLetter"/>
      <w:start w:val="1"/>
    </w:lvl>
    <w:lvl w:ilvl="1">
      <w:lvlJc w:val="left"/>
      <w:lvlText w:val="%2"/>
      <w:numFmt w:val="lowerLetter"/>
      <w:start w:val="1"/>
    </w:lvl>
  </w:abstractNum>
  <w:abstractNum w:abstractNumId="63">
    <w:nsid w:val="98A3148"/>
    <w:multiLevelType w:val="hybridMultilevel"/>
    <w:lvl w:ilvl="0">
      <w:lvlJc w:val="left"/>
      <w:lvlText w:val="(%1)"/>
      <w:numFmt w:val="lowerLetter"/>
      <w:start w:val="3"/>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lowerLetter"/>
      <w:start w:val="2"/>
    </w:lvl>
  </w:abstractNum>
  <w:abstractNum w:abstractNumId="66">
    <w:nsid w:val="42C296BD"/>
    <w:multiLevelType w:val="hybridMultilevel"/>
    <w:lvl w:ilvl="0">
      <w:lvlJc w:val="left"/>
      <w:lvlText w:val="%1"/>
      <w:numFmt w:val="lowerLetter"/>
      <w:start w:val="1"/>
    </w:lvl>
    <w:lvl w:ilvl="1">
      <w:lvlJc w:val="left"/>
      <w:lvlText w:val="(%2)"/>
      <w:numFmt w:val="lowerLetter"/>
      <w:start w:val="3"/>
    </w:lvl>
  </w:abstractNum>
  <w:abstractNum w:abstractNumId="67">
    <w:nsid w:val="168E121F"/>
    <w:multiLevelType w:val="hybridMultilevel"/>
    <w:lvl w:ilvl="0">
      <w:lvlJc w:val="left"/>
      <w:lvlText w:val="(%1)"/>
      <w:numFmt w:val="lowerLetter"/>
      <w:start w:val="1"/>
    </w:lvl>
    <w:lvl w:ilvl="1">
      <w:lvlJc w:val="left"/>
      <w:lvlText w:val="%2"/>
      <w:numFmt w:val="lowerLetter"/>
      <w:start w:val="1"/>
    </w:lvl>
  </w:abstractNum>
  <w:abstractNum w:abstractNumId="68">
    <w:nsid w:val="1EBA5D23"/>
    <w:multiLevelType w:val="hybridMultilevel"/>
    <w:lvl w:ilvl="0">
      <w:lvlJc w:val="left"/>
      <w:lvlText w:val="(%1)"/>
      <w:numFmt w:val="lowerRoman"/>
      <w:start w:val="1"/>
    </w:lvl>
  </w:abstractNum>
  <w:abstractNum w:abstractNumId="69">
    <w:nsid w:val="661E3F1E"/>
    <w:multiLevelType w:val="hybridMultilevel"/>
    <w:lvl w:ilvl="0">
      <w:lvlJc w:val="left"/>
      <w:lvlText w:val="(%1)"/>
      <w:numFmt w:val="lowerRoman"/>
      <w:start w:val="10"/>
    </w:lvl>
  </w:abstractNum>
  <w:abstractNum w:abstractNumId="70">
    <w:nsid w:val="5DC79EA8"/>
    <w:multiLevelType w:val="hybridMultilevel"/>
    <w:lvl w:ilvl="0">
      <w:lvlJc w:val="left"/>
      <w:lvlText w:val="(%1)"/>
      <w:numFmt w:val="decimal"/>
      <w:start w:val="7"/>
    </w:lvl>
  </w:abstractNum>
  <w:abstractNum w:abstractNumId="71">
    <w:nsid w:val="540A471C"/>
    <w:multiLevelType w:val="hybridMultilevel"/>
    <w:lvl w:ilvl="0">
      <w:lvlJc w:val="left"/>
      <w:lvlText w:val="(%1)"/>
      <w:numFmt w:val="lowerRoman"/>
      <w:start w:val="2"/>
    </w:lvl>
  </w:abstractNum>
  <w:abstractNum w:abstractNumId="72">
    <w:nsid w:val="7BD3EE7B"/>
    <w:multiLevelType w:val="hybridMultilevel"/>
    <w:lvl w:ilvl="0">
      <w:lvlJc w:val="left"/>
      <w:lvlText w:val="(%1)"/>
      <w:numFmt w:val="lowerLetter"/>
      <w:start w:val="3"/>
    </w:lvl>
  </w:abstractNum>
  <w:abstractNum w:abstractNumId="73">
    <w:nsid w:val="51D9C564"/>
    <w:multiLevelType w:val="hybridMultilevel"/>
    <w:lvl w:ilvl="0">
      <w:lvlJc w:val="left"/>
      <w:lvlText w:val="(%1)"/>
      <w:numFmt w:val="lowerRoman"/>
      <w:start w:val="2"/>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jpe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23" Type="http://schemas.openxmlformats.org/officeDocument/2006/relationships/hyperlink" Target="http://www.sec.gov/Archives/edgar/data/1609253/000160925324000020/a20240207exhibit101.htm" TargetMode="External"/><Relationship Id="rId24" Type="http://schemas.openxmlformats.org/officeDocument/2006/relationships/hyperlink" Target="http://www.sec.gov/Archives/edgar/data/1609253/000160925320000141/a202010228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2024-07-01T15:54:11Z</dcterms:created>
  <dcterms:modified xsi:type="dcterms:W3CDTF">2024-07-01T15:54:11Z</dcterms:modified>
</cp:coreProperties>
</file>