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4850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8507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Repetti Noelle M.</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11/16/2021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9" w:right="640" w:hanging="9"/>
        <w:spacing w:after="0" w:line="237"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89"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29"/>
        <w:spacing w:after="0"/>
        <w:rPr>
          <w:sz w:val="20"/>
          <w:szCs w:val="20"/>
          <w:color w:val="auto"/>
        </w:rPr>
      </w:pPr>
      <w:r>
        <w:rPr>
          <w:rFonts w:ascii="Arial" w:cs="Arial" w:eastAsia="Arial" w:hAnsi="Arial"/>
          <w:sz w:val="17"/>
          <w:szCs w:val="17"/>
          <w:color w:val="0000FF"/>
        </w:rPr>
        <w:t>Senior VP and Controller</w:t>
      </w:r>
    </w:p>
    <w:p>
      <w:pPr>
        <w:spacing w:after="0" w:line="328" w:lineRule="exact"/>
        <w:rPr>
          <w:sz w:val="24"/>
          <w:szCs w:val="24"/>
          <w:color w:val="auto"/>
        </w:rPr>
      </w:pPr>
    </w:p>
    <w:p>
      <w:pPr>
        <w:sectPr>
          <w:pgSz w:w="11900" w:h="16838" w:orient="portrait"/>
          <w:cols w:equalWidth="0" w:num="3">
            <w:col w:w="3180" w:space="720"/>
            <w:col w:w="3111" w:space="720"/>
            <w:col w:w="3349"/>
          </w:cols>
          <w:pgMar w:left="460" w:top="221" w:right="359" w:bottom="1440" w:gutter="0" w:footer="0" w:header="0"/>
          <w:type w:val="continuous"/>
        </w:sectPr>
      </w:pP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700" w:type="dxa"/>
            <w:vAlign w:val="bottom"/>
            <w:gridSpan w:val="8"/>
          </w:tcPr>
          <w:p>
            <w:pPr>
              <w:jc w:val="center"/>
              <w:ind w:right="79"/>
              <w:spacing w:after="0"/>
              <w:rPr>
                <w:sz w:val="20"/>
                <w:szCs w:val="20"/>
                <w:color w:val="auto"/>
              </w:rPr>
            </w:pPr>
            <w:r>
              <w:rPr>
                <w:rFonts w:ascii="Arial" w:cs="Arial" w:eastAsia="Arial" w:hAnsi="Arial"/>
                <w:sz w:val="13"/>
                <w:szCs w:val="13"/>
                <w:color w:val="auto"/>
                <w:w w:val="99"/>
              </w:rPr>
              <w:t>4. If Amendment, Date of Original Filed (Month/Day/Year)</w:t>
            </w:r>
          </w:p>
        </w:tc>
        <w:tc>
          <w:tcPr>
            <w:tcW w:w="362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ind w:left="20"/>
              <w:spacing w:after="0"/>
              <w:rPr>
                <w:sz w:val="20"/>
                <w:szCs w:val="20"/>
                <w:color w:val="auto"/>
              </w:rPr>
            </w:pPr>
            <w:r>
              <w:rPr>
                <w:rFonts w:ascii="Arial" w:cs="Arial" w:eastAsia="Arial" w:hAnsi="Arial"/>
                <w:sz w:val="17"/>
                <w:szCs w:val="17"/>
                <w:color w:val="0000FF"/>
              </w:rPr>
              <w:t>SANTA</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280"/>
              <w:spacing w:after="0"/>
              <w:rPr>
                <w:sz w:val="20"/>
                <w:szCs w:val="20"/>
                <w:color w:val="auto"/>
              </w:rPr>
            </w:pPr>
            <w:r>
              <w:rPr>
                <w:rFonts w:ascii="Arial" w:cs="Arial" w:eastAsia="Arial" w:hAnsi="Arial"/>
                <w:sz w:val="13"/>
                <w:szCs w:val="13"/>
                <w:color w:val="auto"/>
                <w:w w:val="89"/>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restart"/>
          </w:tcPr>
          <w:p>
            <w:pPr>
              <w:ind w:left="480"/>
              <w:spacing w:after="0"/>
              <w:rPr>
                <w:sz w:val="20"/>
                <w:szCs w:val="20"/>
                <w:color w:val="auto"/>
              </w:rPr>
            </w:pPr>
            <w:r>
              <w:rPr>
                <w:rFonts w:ascii="Arial" w:cs="Arial" w:eastAsia="Arial" w:hAnsi="Arial"/>
                <w:sz w:val="17"/>
                <w:szCs w:val="17"/>
                <w:color w:val="0000FF"/>
              </w:rPr>
              <w:t>CA</w:t>
            </w:r>
          </w:p>
        </w:tc>
        <w:tc>
          <w:tcPr>
            <w:tcW w:w="860" w:type="dxa"/>
            <w:vAlign w:val="bottom"/>
          </w:tcPr>
          <w:p>
            <w:pPr>
              <w:spacing w:after="0"/>
              <w:rPr>
                <w:sz w:val="9"/>
                <w:szCs w:val="9"/>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91355</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2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7"/>
                <w:szCs w:val="17"/>
                <w:color w:val="0000FF"/>
              </w:rPr>
              <w:t>CLARITA</w:t>
            </w:r>
          </w:p>
        </w:tc>
        <w:tc>
          <w:tcPr>
            <w:tcW w:w="7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ind w:left="84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0"/>
                <w:szCs w:val="10"/>
                <w:color w:val="auto"/>
              </w:rPr>
            </w:pPr>
          </w:p>
        </w:tc>
        <w:tc>
          <w:tcPr>
            <w:tcW w:w="2600" w:type="dxa"/>
            <w:vAlign w:val="bottom"/>
            <w:gridSpan w:val="5"/>
          </w:tcPr>
          <w:p>
            <w:pPr>
              <w:ind w:left="80"/>
              <w:spacing w:after="0" w:line="126"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8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11/16/2021</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6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9"/>
              </w:rPr>
              <w:t>1,469</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19,416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center"/>
              <w:ind w:right="8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40" w:type="dxa"/>
            <w:vAlign w:val="bottom"/>
            <w:gridSpan w:val="11"/>
          </w:tcPr>
          <w:p>
            <w:pPr>
              <w:jc w:val="center"/>
              <w:ind w:left="51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0000FF"/>
              </w:rPr>
              <w:t>Performance</w:t>
            </w: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ind w:left="220"/>
              <w:spacing w:after="0"/>
              <w:rPr>
                <w:sz w:val="20"/>
                <w:szCs w:val="20"/>
                <w:color w:val="auto"/>
              </w:rPr>
            </w:pPr>
            <w:r>
              <w:rPr>
                <w:rFonts w:ascii="Arial" w:cs="Arial" w:eastAsia="Arial" w:hAnsi="Arial"/>
                <w:sz w:val="13"/>
                <w:szCs w:val="13"/>
                <w:color w:val="0000FF"/>
                <w:w w:val="95"/>
              </w:rPr>
              <w:t>11/16/2021</w:t>
            </w:r>
          </w:p>
        </w:tc>
        <w:tc>
          <w:tcPr>
            <w:tcW w:w="1280" w:type="dxa"/>
            <w:vAlign w:val="bottom"/>
          </w:tcPr>
          <w:p>
            <w:pPr>
              <w:spacing w:after="0"/>
              <w:rPr>
                <w:sz w:val="16"/>
                <w:szCs w:val="1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1,469</w:t>
            </w: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20"/>
              <w:spacing w:after="0"/>
              <w:rPr>
                <w:sz w:val="20"/>
                <w:szCs w:val="20"/>
                <w:color w:val="auto"/>
              </w:rPr>
            </w:pPr>
            <w:r>
              <w:rPr>
                <w:rFonts w:ascii="Arial" w:cs="Arial" w:eastAsia="Arial" w:hAnsi="Arial"/>
                <w:sz w:val="11"/>
                <w:szCs w:val="11"/>
                <w:color w:val="008000"/>
              </w:rPr>
              <w:t>(2)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1,469</w:t>
            </w:r>
          </w:p>
        </w:tc>
        <w:tc>
          <w:tcPr>
            <w:tcW w:w="40" w:type="dxa"/>
            <w:vAlign w:val="bottom"/>
          </w:tcPr>
          <w:p>
            <w:pPr>
              <w:spacing w:after="0"/>
              <w:rPr>
                <w:sz w:val="16"/>
                <w:szCs w:val="1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60"/>
              <w:spacing w:after="0"/>
              <w:rPr>
                <w:sz w:val="20"/>
                <w:szCs w:val="20"/>
                <w:color w:val="auto"/>
              </w:rPr>
            </w:pPr>
            <w:r>
              <w:rPr>
                <w:rFonts w:ascii="Arial" w:cs="Arial" w:eastAsia="Arial" w:hAnsi="Arial"/>
                <w:sz w:val="13"/>
                <w:szCs w:val="13"/>
                <w:color w:val="0000FF"/>
                <w:w w:val="85"/>
              </w:rPr>
              <w:t>1,469</w:t>
            </w:r>
          </w:p>
        </w:tc>
        <w:tc>
          <w:tcPr>
            <w:tcW w:w="300" w:type="dxa"/>
            <w:vAlign w:val="bottom"/>
          </w:tcPr>
          <w:p>
            <w:pPr>
              <w:spacing w:after="0"/>
              <w:rPr>
                <w:sz w:val="16"/>
                <w:szCs w:val="16"/>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jc w:val="right"/>
              <w:ind w:right="159"/>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-1999615</wp:posOffset>
            </wp:positionV>
            <wp:extent cx="29210" cy="2004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046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0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within 45 days following the third vesting date.</w:t>
      </w:r>
    </w:p>
    <w:p>
      <w:pPr>
        <w:spacing w:after="0" w:line="25"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target number of performance stock units ("PSUs"). Each PSU represents a contingent right to receive one share of Common Stock. The actual number of PSUs that vest and become earned is based on the volume-weighted average price of a share of Common Stock as determined over any 60 consecutive trading days during the performance period ending January 24, 2024, and, subject to certain exceptions, will be settled in shares of Common Stock within 45 days following the end of the performance period.</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Ulrik Damborg, Attorney-in- </w:t>
      </w:r>
      <w:r>
        <w:rPr>
          <w:rFonts w:ascii="Arial" w:cs="Arial" w:eastAsia="Arial" w:hAnsi="Arial"/>
          <w:sz w:val="33"/>
          <w:szCs w:val="33"/>
          <w:color w:val="0000FF"/>
          <w:vertAlign w:val="subscript"/>
        </w:rPr>
        <w:t>11/18/2021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Noelle M. Repetti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-20320</wp:posOffset>
            </wp:positionV>
            <wp:extent cx="1125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52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505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2021-11-18T15:18:57Z</dcterms:created>
  <dcterms:modified xsi:type="dcterms:W3CDTF">2021-11-18T15:18:57Z</dcterms:modified>
</cp:coreProperties>
</file>