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13D</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9)*</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Shares, $0.01 par value per share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13057Q305*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(CUSIP)</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George Travers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GoldenTree Asset Management LP</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300 Park Avenue, 21</w:t>
      </w:r>
      <w:r>
        <w:rPr>
          <w:rFonts w:ascii="Arial" w:cs="Arial" w:eastAsia="Arial" w:hAnsi="Arial"/>
          <w:sz w:val="14"/>
          <w:szCs w:val="14"/>
          <w:b w:val="1"/>
          <w:bCs w:val="1"/>
          <w:color w:val="auto"/>
        </w:rPr>
        <w:t>st</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847-3500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January 3, 2022</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319"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1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340" w:right="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74"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2 of 10</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Asset Management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9,385,089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9,385,089</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9,385,089</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11.6%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IA, 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60" w:right="80" w:hanging="552"/>
        <w:spacing w:after="0" w:line="255" w:lineRule="auto"/>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(i) 9,196,152 common shares, $0.01 par value per share (“</w:t>
      </w:r>
      <w:r>
        <w:rPr>
          <w:rFonts w:ascii="Arial" w:cs="Arial" w:eastAsia="Arial" w:hAnsi="Arial"/>
          <w:sz w:val="18"/>
          <w:szCs w:val="18"/>
          <w:u w:val="single" w:color="auto"/>
          <w:color w:val="auto"/>
        </w:rPr>
        <w:t>Common Shares</w:t>
      </w:r>
      <w:r>
        <w:rPr>
          <w:rFonts w:ascii="Arial" w:cs="Arial" w:eastAsia="Arial" w:hAnsi="Arial"/>
          <w:sz w:val="18"/>
          <w:szCs w:val="18"/>
          <w:color w:val="auto"/>
        </w:rPr>
        <w:t>”) of the Issuer, and (ii) 188,937 Common Shares that would result from the exercise of 188,937 warrants of the Issuer entitling the holder thereof to purchase one Common Share at an exercise price of $36.00 per share (the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560" w:right="240" w:hanging="552"/>
        <w:spacing w:after="0" w:line="253" w:lineRule="auto"/>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using a denominator of 80,581,834, the sum of (i) 80,392,897 Common Shares outstanding as of October 31, 2021, as reported on the Issuer’s Form 10-Q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November 12, 2021 (the “</w:t>
      </w:r>
      <w:r>
        <w:rPr>
          <w:rFonts w:ascii="Arial" w:cs="Arial" w:eastAsia="Arial" w:hAnsi="Arial"/>
          <w:sz w:val="18"/>
          <w:szCs w:val="18"/>
          <w:u w:val="single" w:color="auto"/>
          <w:color w:val="auto"/>
        </w:rPr>
        <w:t>Form 10-Q</w:t>
      </w:r>
      <w:r>
        <w:rPr>
          <w:rFonts w:ascii="Arial" w:cs="Arial" w:eastAsia="Arial" w:hAnsi="Arial"/>
          <w:sz w:val="18"/>
          <w:szCs w:val="18"/>
          <w:color w:val="auto"/>
        </w:rPr>
        <w:t>”) and (ii) 188,937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3 of 10</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Asset Management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9,385,089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9,385,089</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9,385,089</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11.6%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 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(i) 9,196,152 Common Shares of the Issuer, and (ii) 188,937 Common Shares that would result from the exercise of 188,937 Warrants.</w:t>
      </w:r>
    </w:p>
    <w:p>
      <w:pPr>
        <w:spacing w:after="0" w:line="46" w:lineRule="exact"/>
        <w:rPr>
          <w:rFonts w:ascii="Arial" w:cs="Arial" w:eastAsia="Arial" w:hAnsi="Arial"/>
          <w:sz w:val="16"/>
          <w:szCs w:val="16"/>
          <w:color w:val="auto"/>
        </w:rPr>
      </w:pPr>
    </w:p>
    <w:p>
      <w:pPr>
        <w:jc w:val="both"/>
        <w:ind w:left="580" w:right="400" w:hanging="572"/>
        <w:spacing w:after="0" w:line="255"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Calculated using a denominator of 80,581,834, the sum of (i) 80,392,897 Common Shares outstanding, as reported on the Form 10-Q and (ii) 188,937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4 of 10</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Steven A. Tananbaum</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9,385,089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9,385,089</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9,385,089</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11.6%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 IN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(i) 9,196,152 Common Shares of the Issuer, and (ii) 188,937 Common Shares that would result from the exercise of 188,937 Warrants.</w:t>
      </w:r>
    </w:p>
    <w:p>
      <w:pPr>
        <w:spacing w:after="0" w:line="46" w:lineRule="exact"/>
        <w:rPr>
          <w:rFonts w:ascii="Arial" w:cs="Arial" w:eastAsia="Arial" w:hAnsi="Arial"/>
          <w:sz w:val="16"/>
          <w:szCs w:val="16"/>
          <w:color w:val="auto"/>
        </w:rPr>
      </w:pPr>
    </w:p>
    <w:p>
      <w:pPr>
        <w:ind w:left="580" w:right="400" w:hanging="572"/>
        <w:spacing w:after="0" w:line="255"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using a denominator of 80,581,834, the sum of (i) 80,392,897 Common Shares outstanding, as reported on the Form 10-Q and (ii) 188,937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5 of 10</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Distressed Master Fund III LTD</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3,698,461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3,698,461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3,698,461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4.6%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(i) 3,630,116 Common Shares of the Issuer, and (ii) 68,345 Common Shares that would result from the exercise of 68,345 Warrants.</w:t>
      </w:r>
    </w:p>
    <w:p>
      <w:pPr>
        <w:spacing w:after="0" w:line="46" w:lineRule="exact"/>
        <w:rPr>
          <w:rFonts w:ascii="Arial" w:cs="Arial" w:eastAsia="Arial" w:hAnsi="Arial"/>
          <w:sz w:val="16"/>
          <w:szCs w:val="16"/>
          <w:color w:val="auto"/>
        </w:rPr>
      </w:pPr>
    </w:p>
    <w:p>
      <w:pPr>
        <w:ind w:left="580" w:right="400" w:hanging="572"/>
        <w:spacing w:after="0" w:line="255"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Calculated using a denominator of 80,581,834, the sum of (i) 80,392,897 Common Shares outstanding, as reported on the Form 10-Q and (ii) 188,937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5" w:name="page6"/>
    <w:bookmarkEnd w:id="5"/>
    <w:p>
      <w:pPr>
        <w:ind w:left="40"/>
        <w:spacing w:after="0"/>
        <w:tabs>
          <w:tab w:leader="none" w:pos="4940" w:val="left"/>
          <w:tab w:leader="none" w:pos="10280" w:val="left"/>
        </w:tabs>
        <w:rPr>
          <w:sz w:val="20"/>
          <w:szCs w:val="20"/>
          <w:color w:val="auto"/>
        </w:rPr>
      </w:pPr>
      <w:r>
        <w:rPr>
          <w:rFonts w:ascii="Arial" w:cs="Arial" w:eastAsia="Arial" w:hAnsi="Arial"/>
          <w:sz w:val="18"/>
          <w:szCs w:val="18"/>
          <w:b w:val="1"/>
          <w:bCs w:val="1"/>
          <w:color w:val="auto"/>
        </w:rPr>
        <w:t>CUSIP No. 13057Q305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No. 9 to Schedule 13D (as so amended, the “</w:t>
      </w:r>
      <w:r>
        <w:rPr>
          <w:rFonts w:ascii="Arial" w:cs="Arial" w:eastAsia="Arial" w:hAnsi="Arial"/>
          <w:sz w:val="16"/>
          <w:szCs w:val="16"/>
          <w:u w:val="single" w:color="auto"/>
          <w:color w:val="auto"/>
        </w:rPr>
        <w:t>Schedule 13D</w:t>
      </w:r>
      <w:r>
        <w:rPr>
          <w:rFonts w:ascii="Arial" w:cs="Arial" w:eastAsia="Arial" w:hAnsi="Arial"/>
          <w:sz w:val="16"/>
          <w:szCs w:val="16"/>
          <w:color w:val="auto"/>
        </w:rPr>
        <w:t>”) is being filed to amend the Schedule 13D originally filed with the SEC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November 6, 2020, as amended by Amendment No. 1 dated November 10, 2020, Amendment No. 2 dated May 20, 2021, Amendment No. 3 dated May 27,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2021, Amendment No. 4 dated June 11, 2021, Amendment No. 5 dated June 28, 2021, Amendment No. 6 dated August 26, 2021, Amendment No. 7 dated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8, 2021, and Amendment No. 8, dated September 20, 2021, and relates to the common shares, $0.01 par value per share (the “</w:t>
      </w:r>
      <w:r>
        <w:rPr>
          <w:rFonts w:ascii="Arial" w:cs="Arial" w:eastAsia="Arial" w:hAnsi="Arial"/>
          <w:sz w:val="17"/>
          <w:szCs w:val="17"/>
          <w:u w:val="single" w:color="auto"/>
          <w:color w:val="auto"/>
        </w:rPr>
        <w:t>Common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 of California Resources Corporation (the “</w:t>
      </w:r>
      <w:r>
        <w:rPr>
          <w:rFonts w:ascii="Arial" w:cs="Arial" w:eastAsia="Arial" w:hAnsi="Arial"/>
          <w:sz w:val="16"/>
          <w:szCs w:val="16"/>
          <w:u w:val="single" w:color="auto"/>
          <w:color w:val="auto"/>
        </w:rPr>
        <w:t>Issuer</w:t>
      </w:r>
      <w:r>
        <w:rPr>
          <w:rFonts w:ascii="Arial" w:cs="Arial" w:eastAsia="Arial" w:hAnsi="Arial"/>
          <w:sz w:val="16"/>
          <w:szCs w:val="16"/>
          <w:color w:val="auto"/>
        </w:rPr>
        <w:t>”). The address of the principal executive offices of the Issuer is 27200 Tourney Road,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Santa Clarita, California.</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13057Q305</w:t>
            </w: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7 of 10</w:t>
            </w: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is amended and restated as follows:</w:t>
      </w:r>
    </w:p>
    <w:p>
      <w:pPr>
        <w:spacing w:after="0" w:line="225" w:lineRule="exact"/>
        <w:rPr>
          <w:sz w:val="20"/>
          <w:szCs w:val="20"/>
          <w:color w:val="auto"/>
        </w:rPr>
      </w:pPr>
    </w:p>
    <w:p>
      <w:pPr>
        <w:ind w:right="80" w:firstLine="8"/>
        <w:spacing w:after="0" w:line="259"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(b) Items 7 through 11 and 13 of each of the cover pages of this Schedule 13D and Item 3 are incorporated herein by reference. Such information is calculated using a denominator of 80,581,834 the sum of (i) 80,392,897 Common Shares outstanding, as reported on the Form 10-Q and (ii) 188,937 Common Shares that would result in the event all of the Warrants beneficially owned by the Reporting Persons were exercised and no other outstanding Warrants were exercised.</w:t>
      </w:r>
    </w:p>
    <w:p>
      <w:pPr>
        <w:spacing w:after="0" w:line="187" w:lineRule="exact"/>
        <w:rPr>
          <w:sz w:val="20"/>
          <w:szCs w:val="20"/>
          <w:color w:val="auto"/>
        </w:rPr>
      </w:pPr>
    </w:p>
    <w:p>
      <w:pPr>
        <w:ind w:right="40" w:firstLine="8"/>
        <w:spacing w:after="0" w:line="277"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in Item 3 and Item 4 is incorporated herein by reference. The table below specifies that date, amount and price per Common Share sold by certain Funds and Managed Accounts during the 60-day period prior to January 5,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ind w:left="1380"/>
              <w:spacing w:after="0"/>
              <w:rPr>
                <w:sz w:val="20"/>
                <w:szCs w:val="20"/>
                <w:color w:val="auto"/>
              </w:rPr>
            </w:pPr>
            <w:r>
              <w:rPr>
                <w:rFonts w:ascii="Arial" w:cs="Arial" w:eastAsia="Arial" w:hAnsi="Arial"/>
                <w:sz w:val="18"/>
                <w:szCs w:val="18"/>
                <w:b w:val="1"/>
                <w:bCs w:val="1"/>
                <w:color w:val="auto"/>
              </w:rPr>
              <w:t>Trade Date</w:t>
            </w:r>
          </w:p>
        </w:tc>
        <w:tc>
          <w:tcPr>
            <w:tcW w:w="3820" w:type="dxa"/>
            <w:vAlign w:val="bottom"/>
            <w:gridSpan w:val="2"/>
          </w:tcPr>
          <w:p>
            <w:pPr>
              <w:ind w:left="740"/>
              <w:spacing w:after="0"/>
              <w:rPr>
                <w:sz w:val="20"/>
                <w:szCs w:val="20"/>
                <w:color w:val="auto"/>
              </w:rPr>
            </w:pPr>
            <w:r>
              <w:rPr>
                <w:rFonts w:ascii="Arial" w:cs="Arial" w:eastAsia="Arial" w:hAnsi="Arial"/>
                <w:sz w:val="18"/>
                <w:szCs w:val="18"/>
                <w:b w:val="1"/>
                <w:bCs w:val="1"/>
                <w:color w:val="auto"/>
              </w:rPr>
              <w:t>Amount of Common Shares</w:t>
            </w:r>
          </w:p>
        </w:tc>
        <w:tc>
          <w:tcPr>
            <w:tcW w:w="3580" w:type="dxa"/>
            <w:vAlign w:val="bottom"/>
          </w:tcPr>
          <w:p>
            <w:pPr>
              <w:jc w:val="right"/>
              <w:ind w:right="730"/>
              <w:spacing w:after="0"/>
              <w:rPr>
                <w:sz w:val="20"/>
                <w:szCs w:val="20"/>
                <w:color w:val="auto"/>
              </w:rPr>
            </w:pPr>
            <w:r>
              <w:rPr>
                <w:rFonts w:ascii="Arial" w:cs="Arial" w:eastAsia="Arial" w:hAnsi="Arial"/>
                <w:sz w:val="18"/>
                <w:szCs w:val="18"/>
                <w:b w:val="1"/>
                <w:bCs w:val="1"/>
                <w:color w:val="auto"/>
              </w:rPr>
              <w:t>Price per Common Share</w:t>
            </w:r>
          </w:p>
        </w:tc>
      </w:tr>
      <w:tr>
        <w:trPr>
          <w:trHeight w:val="216"/>
        </w:trPr>
        <w:tc>
          <w:tcPr>
            <w:tcW w:w="3620" w:type="dxa"/>
            <w:vAlign w:val="bottom"/>
            <w:tcBorders>
              <w:top w:val="single" w:sz="8" w:color="auto"/>
            </w:tcBorders>
            <w:shd w:val="clear" w:color="auto" w:fill="C6F4F9"/>
          </w:tcPr>
          <w:p>
            <w:pPr>
              <w:jc w:val="right"/>
              <w:ind w:right="1270"/>
              <w:spacing w:after="0"/>
              <w:rPr>
                <w:sz w:val="20"/>
                <w:szCs w:val="20"/>
                <w:color w:val="auto"/>
              </w:rPr>
            </w:pPr>
            <w:r>
              <w:rPr>
                <w:rFonts w:ascii="Arial" w:cs="Arial" w:eastAsia="Arial" w:hAnsi="Arial"/>
                <w:sz w:val="18"/>
                <w:szCs w:val="18"/>
                <w:color w:val="auto"/>
              </w:rPr>
              <w:t>12/10/2021</w:t>
            </w:r>
          </w:p>
        </w:tc>
        <w:tc>
          <w:tcPr>
            <w:tcW w:w="220" w:type="dxa"/>
            <w:vAlign w:val="bottom"/>
            <w:tcBorders>
              <w:top w:val="single" w:sz="8" w:color="C6F4F9"/>
            </w:tcBorders>
            <w:shd w:val="clear" w:color="auto" w:fill="C6F4F9"/>
          </w:tcPr>
          <w:p>
            <w:pPr>
              <w:spacing w:after="0"/>
              <w:rPr>
                <w:sz w:val="18"/>
                <w:szCs w:val="18"/>
                <w:color w:val="auto"/>
              </w:rPr>
            </w:pPr>
          </w:p>
        </w:tc>
        <w:tc>
          <w:tcPr>
            <w:tcW w:w="3600" w:type="dxa"/>
            <w:vAlign w:val="bottom"/>
            <w:tcBorders>
              <w:top w:val="single" w:sz="8" w:color="auto"/>
            </w:tcBorders>
            <w:shd w:val="clear" w:color="auto" w:fill="C6F4F9"/>
          </w:tcPr>
          <w:p>
            <w:pPr>
              <w:jc w:val="right"/>
              <w:ind w:right="1250"/>
              <w:spacing w:after="0"/>
              <w:rPr>
                <w:sz w:val="20"/>
                <w:szCs w:val="20"/>
                <w:color w:val="auto"/>
              </w:rPr>
            </w:pPr>
            <w:r>
              <w:rPr>
                <w:rFonts w:ascii="Arial" w:cs="Arial" w:eastAsia="Arial" w:hAnsi="Arial"/>
                <w:sz w:val="18"/>
                <w:szCs w:val="18"/>
                <w:color w:val="auto"/>
              </w:rPr>
              <w:t>26,685</w:t>
            </w:r>
          </w:p>
        </w:tc>
        <w:tc>
          <w:tcPr>
            <w:tcW w:w="220" w:type="dxa"/>
            <w:vAlign w:val="bottom"/>
            <w:tcBorders>
              <w:top w:val="single" w:sz="8" w:color="C6F4F9"/>
            </w:tcBorders>
            <w:shd w:val="clear" w:color="auto" w:fill="C6F4F9"/>
          </w:tcPr>
          <w:p>
            <w:pPr>
              <w:spacing w:after="0"/>
              <w:rPr>
                <w:sz w:val="18"/>
                <w:szCs w:val="18"/>
                <w:color w:val="auto"/>
              </w:rPr>
            </w:pPr>
          </w:p>
        </w:tc>
        <w:tc>
          <w:tcPr>
            <w:tcW w:w="3580" w:type="dxa"/>
            <w:vAlign w:val="bottom"/>
            <w:tcBorders>
              <w:top w:val="single" w:sz="8" w:color="auto"/>
            </w:tcBorders>
            <w:shd w:val="clear" w:color="auto" w:fill="C6F4F9"/>
          </w:tcPr>
          <w:p>
            <w:pPr>
              <w:jc w:val="right"/>
              <w:ind w:right="1250"/>
              <w:spacing w:after="0"/>
              <w:rPr>
                <w:sz w:val="20"/>
                <w:szCs w:val="20"/>
                <w:color w:val="auto"/>
              </w:rPr>
            </w:pPr>
            <w:r>
              <w:rPr>
                <w:rFonts w:ascii="Arial" w:cs="Arial" w:eastAsia="Arial" w:hAnsi="Arial"/>
                <w:sz w:val="18"/>
                <w:szCs w:val="18"/>
                <w:color w:val="auto"/>
              </w:rPr>
              <w:t>$44.85</w:t>
            </w:r>
          </w:p>
        </w:tc>
      </w:tr>
      <w:tr>
        <w:trPr>
          <w:trHeight w:val="216"/>
        </w:trPr>
        <w:tc>
          <w:tcPr>
            <w:tcW w:w="3620" w:type="dxa"/>
            <w:vAlign w:val="bottom"/>
          </w:tcPr>
          <w:p>
            <w:pPr>
              <w:jc w:val="right"/>
              <w:ind w:right="1270"/>
              <w:spacing w:after="0"/>
              <w:rPr>
                <w:sz w:val="20"/>
                <w:szCs w:val="20"/>
                <w:color w:val="auto"/>
              </w:rPr>
            </w:pPr>
            <w:r>
              <w:rPr>
                <w:rFonts w:ascii="Arial" w:cs="Arial" w:eastAsia="Arial" w:hAnsi="Arial"/>
                <w:sz w:val="18"/>
                <w:szCs w:val="18"/>
                <w:color w:val="auto"/>
              </w:rPr>
              <w:t>12/10/2021</w:t>
            </w:r>
          </w:p>
        </w:tc>
        <w:tc>
          <w:tcPr>
            <w:tcW w:w="220" w:type="dxa"/>
            <w:vAlign w:val="bottom"/>
          </w:tcPr>
          <w:p>
            <w:pPr>
              <w:spacing w:after="0"/>
              <w:rPr>
                <w:sz w:val="18"/>
                <w:szCs w:val="18"/>
                <w:color w:val="auto"/>
              </w:rPr>
            </w:pPr>
          </w:p>
        </w:tc>
        <w:tc>
          <w:tcPr>
            <w:tcW w:w="3600" w:type="dxa"/>
            <w:vAlign w:val="bottom"/>
          </w:tcPr>
          <w:p>
            <w:pPr>
              <w:jc w:val="right"/>
              <w:ind w:right="1250"/>
              <w:spacing w:after="0"/>
              <w:rPr>
                <w:sz w:val="20"/>
                <w:szCs w:val="20"/>
                <w:color w:val="auto"/>
              </w:rPr>
            </w:pPr>
            <w:r>
              <w:rPr>
                <w:rFonts w:ascii="Arial" w:cs="Arial" w:eastAsia="Arial" w:hAnsi="Arial"/>
                <w:sz w:val="18"/>
                <w:szCs w:val="18"/>
                <w:color w:val="auto"/>
              </w:rPr>
              <w:t>56,123</w:t>
            </w:r>
          </w:p>
        </w:tc>
        <w:tc>
          <w:tcPr>
            <w:tcW w:w="220" w:type="dxa"/>
            <w:vAlign w:val="bottom"/>
          </w:tcPr>
          <w:p>
            <w:pPr>
              <w:spacing w:after="0"/>
              <w:rPr>
                <w:sz w:val="18"/>
                <w:szCs w:val="18"/>
                <w:color w:val="auto"/>
              </w:rPr>
            </w:pPr>
          </w:p>
        </w:tc>
        <w:tc>
          <w:tcPr>
            <w:tcW w:w="3580" w:type="dxa"/>
            <w:vAlign w:val="bottom"/>
          </w:tcPr>
          <w:p>
            <w:pPr>
              <w:jc w:val="right"/>
              <w:ind w:right="1250"/>
              <w:spacing w:after="0"/>
              <w:rPr>
                <w:sz w:val="20"/>
                <w:szCs w:val="20"/>
                <w:color w:val="auto"/>
              </w:rPr>
            </w:pPr>
            <w:r>
              <w:rPr>
                <w:rFonts w:ascii="Arial" w:cs="Arial" w:eastAsia="Arial" w:hAnsi="Arial"/>
                <w:sz w:val="18"/>
                <w:szCs w:val="18"/>
                <w:color w:val="auto"/>
              </w:rPr>
              <w:t>$44.89</w:t>
            </w:r>
          </w:p>
        </w:tc>
      </w:tr>
      <w:tr>
        <w:trPr>
          <w:trHeight w:val="216"/>
        </w:trPr>
        <w:tc>
          <w:tcPr>
            <w:tcW w:w="3620" w:type="dxa"/>
            <w:vAlign w:val="bottom"/>
            <w:shd w:val="clear" w:color="auto" w:fill="C6F4F9"/>
          </w:tcPr>
          <w:p>
            <w:pPr>
              <w:jc w:val="right"/>
              <w:ind w:right="1270"/>
              <w:spacing w:after="0"/>
              <w:rPr>
                <w:sz w:val="20"/>
                <w:szCs w:val="20"/>
                <w:color w:val="auto"/>
              </w:rPr>
            </w:pPr>
            <w:r>
              <w:rPr>
                <w:rFonts w:ascii="Arial" w:cs="Arial" w:eastAsia="Arial" w:hAnsi="Arial"/>
                <w:sz w:val="18"/>
                <w:szCs w:val="18"/>
                <w:color w:val="auto"/>
              </w:rPr>
              <w:t>12/10/2021</w:t>
            </w:r>
          </w:p>
        </w:tc>
        <w:tc>
          <w:tcPr>
            <w:tcW w:w="22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250"/>
              <w:spacing w:after="0"/>
              <w:rPr>
                <w:sz w:val="20"/>
                <w:szCs w:val="20"/>
                <w:color w:val="auto"/>
              </w:rPr>
            </w:pPr>
            <w:r>
              <w:rPr>
                <w:rFonts w:ascii="Arial" w:cs="Arial" w:eastAsia="Arial" w:hAnsi="Arial"/>
                <w:sz w:val="18"/>
                <w:szCs w:val="18"/>
                <w:color w:val="auto"/>
              </w:rPr>
              <w:t>2,600</w:t>
            </w:r>
          </w:p>
        </w:tc>
        <w:tc>
          <w:tcPr>
            <w:tcW w:w="220" w:type="dxa"/>
            <w:vAlign w:val="bottom"/>
            <w:shd w:val="clear" w:color="auto" w:fill="C6F4F9"/>
          </w:tcPr>
          <w:p>
            <w:pPr>
              <w:spacing w:after="0"/>
              <w:rPr>
                <w:sz w:val="18"/>
                <w:szCs w:val="18"/>
                <w:color w:val="auto"/>
              </w:rPr>
            </w:pPr>
          </w:p>
        </w:tc>
        <w:tc>
          <w:tcPr>
            <w:tcW w:w="3580" w:type="dxa"/>
            <w:vAlign w:val="bottom"/>
            <w:shd w:val="clear" w:color="auto" w:fill="C6F4F9"/>
          </w:tcPr>
          <w:p>
            <w:pPr>
              <w:jc w:val="right"/>
              <w:ind w:right="1250"/>
              <w:spacing w:after="0"/>
              <w:rPr>
                <w:sz w:val="20"/>
                <w:szCs w:val="20"/>
                <w:color w:val="auto"/>
              </w:rPr>
            </w:pPr>
            <w:r>
              <w:rPr>
                <w:rFonts w:ascii="Arial" w:cs="Arial" w:eastAsia="Arial" w:hAnsi="Arial"/>
                <w:sz w:val="18"/>
                <w:szCs w:val="18"/>
                <w:color w:val="auto"/>
              </w:rPr>
              <w:t>$44.94</w:t>
            </w:r>
          </w:p>
        </w:tc>
      </w:tr>
      <w:tr>
        <w:trPr>
          <w:trHeight w:val="216"/>
        </w:trPr>
        <w:tc>
          <w:tcPr>
            <w:tcW w:w="3620" w:type="dxa"/>
            <w:vAlign w:val="bottom"/>
          </w:tcPr>
          <w:p>
            <w:pPr>
              <w:jc w:val="right"/>
              <w:ind w:right="1270"/>
              <w:spacing w:after="0"/>
              <w:rPr>
                <w:sz w:val="20"/>
                <w:szCs w:val="20"/>
                <w:color w:val="auto"/>
              </w:rPr>
            </w:pPr>
            <w:r>
              <w:rPr>
                <w:rFonts w:ascii="Arial" w:cs="Arial" w:eastAsia="Arial" w:hAnsi="Arial"/>
                <w:sz w:val="18"/>
                <w:szCs w:val="18"/>
                <w:color w:val="auto"/>
              </w:rPr>
              <w:t>12/13/2021</w:t>
            </w:r>
          </w:p>
        </w:tc>
        <w:tc>
          <w:tcPr>
            <w:tcW w:w="220" w:type="dxa"/>
            <w:vAlign w:val="bottom"/>
          </w:tcPr>
          <w:p>
            <w:pPr>
              <w:spacing w:after="0"/>
              <w:rPr>
                <w:sz w:val="18"/>
                <w:szCs w:val="18"/>
                <w:color w:val="auto"/>
              </w:rPr>
            </w:pPr>
          </w:p>
        </w:tc>
        <w:tc>
          <w:tcPr>
            <w:tcW w:w="3600" w:type="dxa"/>
            <w:vAlign w:val="bottom"/>
          </w:tcPr>
          <w:p>
            <w:pPr>
              <w:jc w:val="right"/>
              <w:ind w:right="1250"/>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18"/>
                <w:szCs w:val="18"/>
                <w:color w:val="auto"/>
              </w:rPr>
            </w:pPr>
          </w:p>
        </w:tc>
        <w:tc>
          <w:tcPr>
            <w:tcW w:w="3580" w:type="dxa"/>
            <w:vAlign w:val="bottom"/>
          </w:tcPr>
          <w:p>
            <w:pPr>
              <w:jc w:val="right"/>
              <w:ind w:right="1250"/>
              <w:spacing w:after="0"/>
              <w:rPr>
                <w:sz w:val="20"/>
                <w:szCs w:val="20"/>
                <w:color w:val="auto"/>
              </w:rPr>
            </w:pPr>
            <w:r>
              <w:rPr>
                <w:rFonts w:ascii="Arial" w:cs="Arial" w:eastAsia="Arial" w:hAnsi="Arial"/>
                <w:sz w:val="18"/>
                <w:szCs w:val="18"/>
                <w:color w:val="auto"/>
              </w:rPr>
              <w:t>$44.04</w:t>
            </w:r>
          </w:p>
        </w:tc>
      </w:tr>
      <w:tr>
        <w:trPr>
          <w:trHeight w:val="216"/>
        </w:trPr>
        <w:tc>
          <w:tcPr>
            <w:tcW w:w="3620" w:type="dxa"/>
            <w:vAlign w:val="bottom"/>
            <w:shd w:val="clear" w:color="auto" w:fill="C6F4F9"/>
          </w:tcPr>
          <w:p>
            <w:pPr>
              <w:jc w:val="right"/>
              <w:ind w:right="1270"/>
              <w:spacing w:after="0"/>
              <w:rPr>
                <w:sz w:val="20"/>
                <w:szCs w:val="20"/>
                <w:color w:val="auto"/>
              </w:rPr>
            </w:pPr>
            <w:r>
              <w:rPr>
                <w:rFonts w:ascii="Arial" w:cs="Arial" w:eastAsia="Arial" w:hAnsi="Arial"/>
                <w:sz w:val="18"/>
                <w:szCs w:val="18"/>
                <w:color w:val="auto"/>
              </w:rPr>
              <w:t>12/13/2021</w:t>
            </w:r>
          </w:p>
        </w:tc>
        <w:tc>
          <w:tcPr>
            <w:tcW w:w="22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250"/>
              <w:spacing w:after="0"/>
              <w:rPr>
                <w:sz w:val="20"/>
                <w:szCs w:val="20"/>
                <w:color w:val="auto"/>
              </w:rPr>
            </w:pPr>
            <w:r>
              <w:rPr>
                <w:rFonts w:ascii="Arial" w:cs="Arial" w:eastAsia="Arial" w:hAnsi="Arial"/>
                <w:sz w:val="18"/>
                <w:szCs w:val="18"/>
                <w:color w:val="auto"/>
              </w:rPr>
              <w:t>1,659</w:t>
            </w:r>
          </w:p>
        </w:tc>
        <w:tc>
          <w:tcPr>
            <w:tcW w:w="220" w:type="dxa"/>
            <w:vAlign w:val="bottom"/>
            <w:shd w:val="clear" w:color="auto" w:fill="C6F4F9"/>
          </w:tcPr>
          <w:p>
            <w:pPr>
              <w:spacing w:after="0"/>
              <w:rPr>
                <w:sz w:val="18"/>
                <w:szCs w:val="18"/>
                <w:color w:val="auto"/>
              </w:rPr>
            </w:pPr>
          </w:p>
        </w:tc>
        <w:tc>
          <w:tcPr>
            <w:tcW w:w="3580" w:type="dxa"/>
            <w:vAlign w:val="bottom"/>
            <w:shd w:val="clear" w:color="auto" w:fill="C6F4F9"/>
          </w:tcPr>
          <w:p>
            <w:pPr>
              <w:jc w:val="right"/>
              <w:ind w:right="1250"/>
              <w:spacing w:after="0"/>
              <w:rPr>
                <w:sz w:val="20"/>
                <w:szCs w:val="20"/>
                <w:color w:val="auto"/>
              </w:rPr>
            </w:pPr>
            <w:r>
              <w:rPr>
                <w:rFonts w:ascii="Arial" w:cs="Arial" w:eastAsia="Arial" w:hAnsi="Arial"/>
                <w:sz w:val="18"/>
                <w:szCs w:val="18"/>
                <w:color w:val="auto"/>
              </w:rPr>
              <w:t>$44.52</w:t>
            </w:r>
          </w:p>
        </w:tc>
      </w:tr>
      <w:tr>
        <w:trPr>
          <w:trHeight w:val="216"/>
        </w:trPr>
        <w:tc>
          <w:tcPr>
            <w:tcW w:w="3620" w:type="dxa"/>
            <w:vAlign w:val="bottom"/>
          </w:tcPr>
          <w:p>
            <w:pPr>
              <w:jc w:val="right"/>
              <w:ind w:right="1270"/>
              <w:spacing w:after="0"/>
              <w:rPr>
                <w:sz w:val="20"/>
                <w:szCs w:val="20"/>
                <w:color w:val="auto"/>
              </w:rPr>
            </w:pPr>
            <w:r>
              <w:rPr>
                <w:rFonts w:ascii="Arial" w:cs="Arial" w:eastAsia="Arial" w:hAnsi="Arial"/>
                <w:sz w:val="18"/>
                <w:szCs w:val="18"/>
                <w:color w:val="auto"/>
              </w:rPr>
              <w:t>12/27/2021</w:t>
            </w:r>
          </w:p>
        </w:tc>
        <w:tc>
          <w:tcPr>
            <w:tcW w:w="220" w:type="dxa"/>
            <w:vAlign w:val="bottom"/>
          </w:tcPr>
          <w:p>
            <w:pPr>
              <w:spacing w:after="0"/>
              <w:rPr>
                <w:sz w:val="18"/>
                <w:szCs w:val="18"/>
                <w:color w:val="auto"/>
              </w:rPr>
            </w:pPr>
          </w:p>
        </w:tc>
        <w:tc>
          <w:tcPr>
            <w:tcW w:w="3600" w:type="dxa"/>
            <w:vAlign w:val="bottom"/>
          </w:tcPr>
          <w:p>
            <w:pPr>
              <w:jc w:val="right"/>
              <w:ind w:right="1250"/>
              <w:spacing w:after="0"/>
              <w:rPr>
                <w:sz w:val="20"/>
                <w:szCs w:val="20"/>
                <w:color w:val="auto"/>
              </w:rPr>
            </w:pPr>
            <w:r>
              <w:rPr>
                <w:rFonts w:ascii="Arial" w:cs="Arial" w:eastAsia="Arial" w:hAnsi="Arial"/>
                <w:sz w:val="18"/>
                <w:szCs w:val="18"/>
                <w:color w:val="auto"/>
              </w:rPr>
              <w:t>9,602</w:t>
            </w:r>
          </w:p>
        </w:tc>
        <w:tc>
          <w:tcPr>
            <w:tcW w:w="220" w:type="dxa"/>
            <w:vAlign w:val="bottom"/>
          </w:tcPr>
          <w:p>
            <w:pPr>
              <w:spacing w:after="0"/>
              <w:rPr>
                <w:sz w:val="18"/>
                <w:szCs w:val="18"/>
                <w:color w:val="auto"/>
              </w:rPr>
            </w:pPr>
          </w:p>
        </w:tc>
        <w:tc>
          <w:tcPr>
            <w:tcW w:w="3580" w:type="dxa"/>
            <w:vAlign w:val="bottom"/>
          </w:tcPr>
          <w:p>
            <w:pPr>
              <w:jc w:val="right"/>
              <w:ind w:right="1250"/>
              <w:spacing w:after="0"/>
              <w:rPr>
                <w:sz w:val="20"/>
                <w:szCs w:val="20"/>
                <w:color w:val="auto"/>
              </w:rPr>
            </w:pPr>
            <w:r>
              <w:rPr>
                <w:rFonts w:ascii="Arial" w:cs="Arial" w:eastAsia="Arial" w:hAnsi="Arial"/>
                <w:sz w:val="18"/>
                <w:szCs w:val="18"/>
                <w:color w:val="auto"/>
              </w:rPr>
              <w:t>$43.52</w:t>
            </w:r>
          </w:p>
        </w:tc>
      </w:tr>
      <w:tr>
        <w:trPr>
          <w:trHeight w:val="216"/>
        </w:trPr>
        <w:tc>
          <w:tcPr>
            <w:tcW w:w="3620" w:type="dxa"/>
            <w:vAlign w:val="bottom"/>
            <w:shd w:val="clear" w:color="auto" w:fill="C6F4F9"/>
          </w:tcPr>
          <w:p>
            <w:pPr>
              <w:jc w:val="right"/>
              <w:ind w:right="1270"/>
              <w:spacing w:after="0"/>
              <w:rPr>
                <w:sz w:val="20"/>
                <w:szCs w:val="20"/>
                <w:color w:val="auto"/>
              </w:rPr>
            </w:pPr>
            <w:r>
              <w:rPr>
                <w:rFonts w:ascii="Arial" w:cs="Arial" w:eastAsia="Arial" w:hAnsi="Arial"/>
                <w:sz w:val="18"/>
                <w:szCs w:val="18"/>
                <w:color w:val="auto"/>
              </w:rPr>
              <w:t>12/28/2021</w:t>
            </w:r>
          </w:p>
        </w:tc>
        <w:tc>
          <w:tcPr>
            <w:tcW w:w="22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250"/>
              <w:spacing w:after="0"/>
              <w:rPr>
                <w:sz w:val="20"/>
                <w:szCs w:val="20"/>
                <w:color w:val="auto"/>
              </w:rPr>
            </w:pPr>
            <w:r>
              <w:rPr>
                <w:rFonts w:ascii="Arial" w:cs="Arial" w:eastAsia="Arial" w:hAnsi="Arial"/>
                <w:sz w:val="18"/>
                <w:szCs w:val="18"/>
                <w:color w:val="auto"/>
              </w:rPr>
              <w:t>6,316</w:t>
            </w:r>
          </w:p>
        </w:tc>
        <w:tc>
          <w:tcPr>
            <w:tcW w:w="220" w:type="dxa"/>
            <w:vAlign w:val="bottom"/>
            <w:shd w:val="clear" w:color="auto" w:fill="C6F4F9"/>
          </w:tcPr>
          <w:p>
            <w:pPr>
              <w:spacing w:after="0"/>
              <w:rPr>
                <w:sz w:val="18"/>
                <w:szCs w:val="18"/>
                <w:color w:val="auto"/>
              </w:rPr>
            </w:pPr>
          </w:p>
        </w:tc>
        <w:tc>
          <w:tcPr>
            <w:tcW w:w="3580" w:type="dxa"/>
            <w:vAlign w:val="bottom"/>
            <w:shd w:val="clear" w:color="auto" w:fill="C6F4F9"/>
          </w:tcPr>
          <w:p>
            <w:pPr>
              <w:jc w:val="right"/>
              <w:ind w:right="1250"/>
              <w:spacing w:after="0"/>
              <w:rPr>
                <w:sz w:val="20"/>
                <w:szCs w:val="20"/>
                <w:color w:val="auto"/>
              </w:rPr>
            </w:pPr>
            <w:r>
              <w:rPr>
                <w:rFonts w:ascii="Arial" w:cs="Arial" w:eastAsia="Arial" w:hAnsi="Arial"/>
                <w:sz w:val="18"/>
                <w:szCs w:val="18"/>
                <w:color w:val="auto"/>
              </w:rPr>
              <w:t>$43.61</w:t>
            </w:r>
          </w:p>
        </w:tc>
      </w:tr>
      <w:tr>
        <w:trPr>
          <w:trHeight w:val="216"/>
        </w:trPr>
        <w:tc>
          <w:tcPr>
            <w:tcW w:w="3620" w:type="dxa"/>
            <w:vAlign w:val="bottom"/>
          </w:tcPr>
          <w:p>
            <w:pPr>
              <w:jc w:val="right"/>
              <w:ind w:right="1270"/>
              <w:spacing w:after="0"/>
              <w:rPr>
                <w:sz w:val="20"/>
                <w:szCs w:val="20"/>
                <w:color w:val="auto"/>
              </w:rPr>
            </w:pPr>
            <w:r>
              <w:rPr>
                <w:rFonts w:ascii="Arial" w:cs="Arial" w:eastAsia="Arial" w:hAnsi="Arial"/>
                <w:sz w:val="18"/>
                <w:szCs w:val="18"/>
                <w:color w:val="auto"/>
              </w:rPr>
              <w:t>12/30/2021</w:t>
            </w:r>
          </w:p>
        </w:tc>
        <w:tc>
          <w:tcPr>
            <w:tcW w:w="220" w:type="dxa"/>
            <w:vAlign w:val="bottom"/>
          </w:tcPr>
          <w:p>
            <w:pPr>
              <w:spacing w:after="0"/>
              <w:rPr>
                <w:sz w:val="18"/>
                <w:szCs w:val="18"/>
                <w:color w:val="auto"/>
              </w:rPr>
            </w:pPr>
          </w:p>
        </w:tc>
        <w:tc>
          <w:tcPr>
            <w:tcW w:w="3600" w:type="dxa"/>
            <w:vAlign w:val="bottom"/>
          </w:tcPr>
          <w:p>
            <w:pPr>
              <w:jc w:val="right"/>
              <w:ind w:right="1250"/>
              <w:spacing w:after="0"/>
              <w:rPr>
                <w:sz w:val="20"/>
                <w:szCs w:val="20"/>
                <w:color w:val="auto"/>
              </w:rPr>
            </w:pPr>
            <w:r>
              <w:rPr>
                <w:rFonts w:ascii="Arial" w:cs="Arial" w:eastAsia="Arial" w:hAnsi="Arial"/>
                <w:sz w:val="18"/>
                <w:szCs w:val="18"/>
                <w:color w:val="auto"/>
              </w:rPr>
              <w:t>3,746</w:t>
            </w:r>
          </w:p>
        </w:tc>
        <w:tc>
          <w:tcPr>
            <w:tcW w:w="220" w:type="dxa"/>
            <w:vAlign w:val="bottom"/>
          </w:tcPr>
          <w:p>
            <w:pPr>
              <w:spacing w:after="0"/>
              <w:rPr>
                <w:sz w:val="18"/>
                <w:szCs w:val="18"/>
                <w:color w:val="auto"/>
              </w:rPr>
            </w:pPr>
          </w:p>
        </w:tc>
        <w:tc>
          <w:tcPr>
            <w:tcW w:w="3580" w:type="dxa"/>
            <w:vAlign w:val="bottom"/>
          </w:tcPr>
          <w:p>
            <w:pPr>
              <w:jc w:val="right"/>
              <w:ind w:right="1250"/>
              <w:spacing w:after="0"/>
              <w:rPr>
                <w:sz w:val="20"/>
                <w:szCs w:val="20"/>
                <w:color w:val="auto"/>
              </w:rPr>
            </w:pPr>
            <w:r>
              <w:rPr>
                <w:rFonts w:ascii="Arial" w:cs="Arial" w:eastAsia="Arial" w:hAnsi="Arial"/>
                <w:sz w:val="18"/>
                <w:szCs w:val="18"/>
                <w:color w:val="auto"/>
              </w:rPr>
              <w:t>$43.57</w:t>
            </w:r>
          </w:p>
        </w:tc>
      </w:tr>
      <w:tr>
        <w:trPr>
          <w:trHeight w:val="216"/>
        </w:trPr>
        <w:tc>
          <w:tcPr>
            <w:tcW w:w="3620" w:type="dxa"/>
            <w:vAlign w:val="bottom"/>
            <w:shd w:val="clear" w:color="auto" w:fill="C6F4F9"/>
          </w:tcPr>
          <w:p>
            <w:pPr>
              <w:jc w:val="right"/>
              <w:ind w:right="1270"/>
              <w:spacing w:after="0"/>
              <w:rPr>
                <w:sz w:val="20"/>
                <w:szCs w:val="20"/>
                <w:color w:val="auto"/>
              </w:rPr>
            </w:pPr>
            <w:r>
              <w:rPr>
                <w:rFonts w:ascii="Arial" w:cs="Arial" w:eastAsia="Arial" w:hAnsi="Arial"/>
                <w:sz w:val="18"/>
                <w:szCs w:val="18"/>
                <w:color w:val="auto"/>
              </w:rPr>
              <w:t>1/3/2022</w:t>
            </w:r>
          </w:p>
        </w:tc>
        <w:tc>
          <w:tcPr>
            <w:tcW w:w="22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250"/>
              <w:spacing w:after="0"/>
              <w:rPr>
                <w:sz w:val="20"/>
                <w:szCs w:val="20"/>
                <w:color w:val="auto"/>
              </w:rPr>
            </w:pPr>
            <w:r>
              <w:rPr>
                <w:rFonts w:ascii="Arial" w:cs="Arial" w:eastAsia="Arial" w:hAnsi="Arial"/>
                <w:sz w:val="18"/>
                <w:szCs w:val="18"/>
                <w:color w:val="auto"/>
              </w:rPr>
              <w:t>180,354</w:t>
            </w:r>
          </w:p>
        </w:tc>
        <w:tc>
          <w:tcPr>
            <w:tcW w:w="220" w:type="dxa"/>
            <w:vAlign w:val="bottom"/>
            <w:shd w:val="clear" w:color="auto" w:fill="C6F4F9"/>
          </w:tcPr>
          <w:p>
            <w:pPr>
              <w:spacing w:after="0"/>
              <w:rPr>
                <w:sz w:val="18"/>
                <w:szCs w:val="18"/>
                <w:color w:val="auto"/>
              </w:rPr>
            </w:pPr>
          </w:p>
        </w:tc>
        <w:tc>
          <w:tcPr>
            <w:tcW w:w="3580" w:type="dxa"/>
            <w:vAlign w:val="bottom"/>
            <w:shd w:val="clear" w:color="auto" w:fill="C6F4F9"/>
          </w:tcPr>
          <w:p>
            <w:pPr>
              <w:jc w:val="right"/>
              <w:ind w:right="1250"/>
              <w:spacing w:after="0"/>
              <w:rPr>
                <w:sz w:val="20"/>
                <w:szCs w:val="20"/>
                <w:color w:val="auto"/>
              </w:rPr>
            </w:pPr>
            <w:r>
              <w:rPr>
                <w:rFonts w:ascii="Arial" w:cs="Arial" w:eastAsia="Arial" w:hAnsi="Arial"/>
                <w:sz w:val="18"/>
                <w:szCs w:val="18"/>
                <w:color w:val="auto"/>
              </w:rPr>
              <w:t>$43.55</w:t>
            </w:r>
          </w:p>
        </w:tc>
      </w:tr>
      <w:tr>
        <w:trPr>
          <w:trHeight w:val="216"/>
        </w:trPr>
        <w:tc>
          <w:tcPr>
            <w:tcW w:w="3620" w:type="dxa"/>
            <w:vAlign w:val="bottom"/>
          </w:tcPr>
          <w:p>
            <w:pPr>
              <w:jc w:val="right"/>
              <w:ind w:right="1270"/>
              <w:spacing w:after="0"/>
              <w:rPr>
                <w:sz w:val="20"/>
                <w:szCs w:val="20"/>
                <w:color w:val="auto"/>
              </w:rPr>
            </w:pPr>
            <w:r>
              <w:rPr>
                <w:rFonts w:ascii="Arial" w:cs="Arial" w:eastAsia="Arial" w:hAnsi="Arial"/>
                <w:sz w:val="18"/>
                <w:szCs w:val="18"/>
                <w:color w:val="auto"/>
              </w:rPr>
              <w:t>1/3/2022</w:t>
            </w:r>
          </w:p>
        </w:tc>
        <w:tc>
          <w:tcPr>
            <w:tcW w:w="220" w:type="dxa"/>
            <w:vAlign w:val="bottom"/>
          </w:tcPr>
          <w:p>
            <w:pPr>
              <w:spacing w:after="0"/>
              <w:rPr>
                <w:sz w:val="18"/>
                <w:szCs w:val="18"/>
                <w:color w:val="auto"/>
              </w:rPr>
            </w:pPr>
          </w:p>
        </w:tc>
        <w:tc>
          <w:tcPr>
            <w:tcW w:w="3600" w:type="dxa"/>
            <w:vAlign w:val="bottom"/>
          </w:tcPr>
          <w:p>
            <w:pPr>
              <w:jc w:val="right"/>
              <w:ind w:right="1250"/>
              <w:spacing w:after="0"/>
              <w:rPr>
                <w:sz w:val="20"/>
                <w:szCs w:val="20"/>
                <w:color w:val="auto"/>
              </w:rPr>
            </w:pPr>
            <w:r>
              <w:rPr>
                <w:rFonts w:ascii="Arial" w:cs="Arial" w:eastAsia="Arial" w:hAnsi="Arial"/>
                <w:sz w:val="18"/>
                <w:szCs w:val="18"/>
                <w:color w:val="auto"/>
              </w:rPr>
              <w:t>3,800</w:t>
            </w:r>
          </w:p>
        </w:tc>
        <w:tc>
          <w:tcPr>
            <w:tcW w:w="220" w:type="dxa"/>
            <w:vAlign w:val="bottom"/>
          </w:tcPr>
          <w:p>
            <w:pPr>
              <w:spacing w:after="0"/>
              <w:rPr>
                <w:sz w:val="18"/>
                <w:szCs w:val="18"/>
                <w:color w:val="auto"/>
              </w:rPr>
            </w:pPr>
          </w:p>
        </w:tc>
        <w:tc>
          <w:tcPr>
            <w:tcW w:w="3580" w:type="dxa"/>
            <w:vAlign w:val="bottom"/>
          </w:tcPr>
          <w:p>
            <w:pPr>
              <w:jc w:val="right"/>
              <w:ind w:right="1250"/>
              <w:spacing w:after="0"/>
              <w:rPr>
                <w:sz w:val="20"/>
                <w:szCs w:val="20"/>
                <w:color w:val="auto"/>
              </w:rPr>
            </w:pPr>
            <w:r>
              <w:rPr>
                <w:rFonts w:ascii="Arial" w:cs="Arial" w:eastAsia="Arial" w:hAnsi="Arial"/>
                <w:sz w:val="18"/>
                <w:szCs w:val="18"/>
                <w:color w:val="auto"/>
              </w:rPr>
              <w:t>$44.05</w:t>
            </w:r>
          </w:p>
        </w:tc>
      </w:tr>
      <w:tr>
        <w:trPr>
          <w:trHeight w:val="216"/>
        </w:trPr>
        <w:tc>
          <w:tcPr>
            <w:tcW w:w="3620" w:type="dxa"/>
            <w:vAlign w:val="bottom"/>
            <w:shd w:val="clear" w:color="auto" w:fill="C6F4F9"/>
          </w:tcPr>
          <w:p>
            <w:pPr>
              <w:jc w:val="right"/>
              <w:ind w:right="1270"/>
              <w:spacing w:after="0"/>
              <w:rPr>
                <w:sz w:val="20"/>
                <w:szCs w:val="20"/>
                <w:color w:val="auto"/>
              </w:rPr>
            </w:pPr>
            <w:r>
              <w:rPr>
                <w:rFonts w:ascii="Arial" w:cs="Arial" w:eastAsia="Arial" w:hAnsi="Arial"/>
                <w:sz w:val="18"/>
                <w:szCs w:val="18"/>
                <w:color w:val="auto"/>
              </w:rPr>
              <w:t>1/4/2022</w:t>
            </w:r>
          </w:p>
        </w:tc>
        <w:tc>
          <w:tcPr>
            <w:tcW w:w="22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250"/>
              <w:spacing w:after="0"/>
              <w:rPr>
                <w:sz w:val="20"/>
                <w:szCs w:val="20"/>
                <w:color w:val="auto"/>
              </w:rPr>
            </w:pPr>
            <w:r>
              <w:rPr>
                <w:rFonts w:ascii="Arial" w:cs="Arial" w:eastAsia="Arial" w:hAnsi="Arial"/>
                <w:sz w:val="18"/>
                <w:szCs w:val="18"/>
                <w:color w:val="auto"/>
              </w:rPr>
              <w:t>146,200</w:t>
            </w:r>
          </w:p>
        </w:tc>
        <w:tc>
          <w:tcPr>
            <w:tcW w:w="220" w:type="dxa"/>
            <w:vAlign w:val="bottom"/>
            <w:shd w:val="clear" w:color="auto" w:fill="C6F4F9"/>
          </w:tcPr>
          <w:p>
            <w:pPr>
              <w:spacing w:after="0"/>
              <w:rPr>
                <w:sz w:val="18"/>
                <w:szCs w:val="18"/>
                <w:color w:val="auto"/>
              </w:rPr>
            </w:pPr>
          </w:p>
        </w:tc>
        <w:tc>
          <w:tcPr>
            <w:tcW w:w="3580" w:type="dxa"/>
            <w:vAlign w:val="bottom"/>
            <w:shd w:val="clear" w:color="auto" w:fill="C6F4F9"/>
          </w:tcPr>
          <w:p>
            <w:pPr>
              <w:jc w:val="right"/>
              <w:ind w:right="1250"/>
              <w:spacing w:after="0"/>
              <w:rPr>
                <w:sz w:val="20"/>
                <w:szCs w:val="20"/>
                <w:color w:val="auto"/>
              </w:rPr>
            </w:pPr>
            <w:r>
              <w:rPr>
                <w:rFonts w:ascii="Arial" w:cs="Arial" w:eastAsia="Arial" w:hAnsi="Arial"/>
                <w:sz w:val="18"/>
                <w:szCs w:val="18"/>
                <w:color w:val="auto"/>
              </w:rPr>
              <w:t>$44.59</w:t>
            </w: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table below specifies that date, amount and price per Common Share acquired by certain Funds and Managed Accounts during the 60-day period prior to January 5,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ind w:left="1380"/>
              <w:spacing w:after="0"/>
              <w:rPr>
                <w:sz w:val="20"/>
                <w:szCs w:val="20"/>
                <w:color w:val="auto"/>
              </w:rPr>
            </w:pPr>
            <w:r>
              <w:rPr>
                <w:rFonts w:ascii="Arial" w:cs="Arial" w:eastAsia="Arial" w:hAnsi="Arial"/>
                <w:sz w:val="18"/>
                <w:szCs w:val="18"/>
                <w:b w:val="1"/>
                <w:bCs w:val="1"/>
                <w:color w:val="auto"/>
              </w:rPr>
              <w:t>Trade Date</w:t>
            </w:r>
          </w:p>
        </w:tc>
        <w:tc>
          <w:tcPr>
            <w:tcW w:w="3820" w:type="dxa"/>
            <w:vAlign w:val="bottom"/>
            <w:gridSpan w:val="2"/>
          </w:tcPr>
          <w:p>
            <w:pPr>
              <w:ind w:left="740"/>
              <w:spacing w:after="0"/>
              <w:rPr>
                <w:sz w:val="20"/>
                <w:szCs w:val="20"/>
                <w:color w:val="auto"/>
              </w:rPr>
            </w:pPr>
            <w:r>
              <w:rPr>
                <w:rFonts w:ascii="Arial" w:cs="Arial" w:eastAsia="Arial" w:hAnsi="Arial"/>
                <w:sz w:val="18"/>
                <w:szCs w:val="18"/>
                <w:b w:val="1"/>
                <w:bCs w:val="1"/>
                <w:color w:val="auto"/>
              </w:rPr>
              <w:t>Amount of Common Shares</w:t>
            </w:r>
          </w:p>
        </w:tc>
        <w:tc>
          <w:tcPr>
            <w:tcW w:w="3580" w:type="dxa"/>
            <w:vAlign w:val="bottom"/>
          </w:tcPr>
          <w:p>
            <w:pPr>
              <w:jc w:val="right"/>
              <w:ind w:right="730"/>
              <w:spacing w:after="0"/>
              <w:rPr>
                <w:sz w:val="20"/>
                <w:szCs w:val="20"/>
                <w:color w:val="auto"/>
              </w:rPr>
            </w:pPr>
            <w:r>
              <w:rPr>
                <w:rFonts w:ascii="Arial" w:cs="Arial" w:eastAsia="Arial" w:hAnsi="Arial"/>
                <w:sz w:val="18"/>
                <w:szCs w:val="18"/>
                <w:b w:val="1"/>
                <w:bCs w:val="1"/>
                <w:color w:val="auto"/>
              </w:rPr>
              <w:t>Price per Common Share</w:t>
            </w:r>
          </w:p>
        </w:tc>
      </w:tr>
      <w:tr>
        <w:trPr>
          <w:trHeight w:val="216"/>
        </w:trPr>
        <w:tc>
          <w:tcPr>
            <w:tcW w:w="3620" w:type="dxa"/>
            <w:vAlign w:val="bottom"/>
            <w:tcBorders>
              <w:top w:val="single" w:sz="8" w:color="auto"/>
            </w:tcBorders>
            <w:shd w:val="clear" w:color="auto" w:fill="C6F4F9"/>
          </w:tcPr>
          <w:p>
            <w:pPr>
              <w:jc w:val="right"/>
              <w:ind w:right="1270"/>
              <w:spacing w:after="0"/>
              <w:rPr>
                <w:sz w:val="20"/>
                <w:szCs w:val="20"/>
                <w:color w:val="auto"/>
              </w:rPr>
            </w:pPr>
            <w:r>
              <w:rPr>
                <w:rFonts w:ascii="Arial" w:cs="Arial" w:eastAsia="Arial" w:hAnsi="Arial"/>
                <w:sz w:val="18"/>
                <w:szCs w:val="18"/>
                <w:color w:val="auto"/>
              </w:rPr>
              <w:t>12/20/2021</w:t>
            </w:r>
          </w:p>
        </w:tc>
        <w:tc>
          <w:tcPr>
            <w:tcW w:w="220" w:type="dxa"/>
            <w:vAlign w:val="bottom"/>
            <w:tcBorders>
              <w:top w:val="single" w:sz="8" w:color="C6F4F9"/>
            </w:tcBorders>
            <w:shd w:val="clear" w:color="auto" w:fill="C6F4F9"/>
          </w:tcPr>
          <w:p>
            <w:pPr>
              <w:spacing w:after="0"/>
              <w:rPr>
                <w:sz w:val="18"/>
                <w:szCs w:val="18"/>
                <w:color w:val="auto"/>
              </w:rPr>
            </w:pPr>
          </w:p>
        </w:tc>
        <w:tc>
          <w:tcPr>
            <w:tcW w:w="3600" w:type="dxa"/>
            <w:vAlign w:val="bottom"/>
            <w:tcBorders>
              <w:top w:val="single" w:sz="8" w:color="auto"/>
            </w:tcBorders>
            <w:shd w:val="clear" w:color="auto" w:fill="C6F4F9"/>
          </w:tcPr>
          <w:p>
            <w:pPr>
              <w:jc w:val="right"/>
              <w:ind w:right="1250"/>
              <w:spacing w:after="0"/>
              <w:rPr>
                <w:sz w:val="20"/>
                <w:szCs w:val="20"/>
                <w:color w:val="auto"/>
              </w:rPr>
            </w:pPr>
            <w:r>
              <w:rPr>
                <w:rFonts w:ascii="Arial" w:cs="Arial" w:eastAsia="Arial" w:hAnsi="Arial"/>
                <w:sz w:val="18"/>
                <w:szCs w:val="18"/>
                <w:color w:val="auto"/>
              </w:rPr>
              <w:t>6,900</w:t>
            </w:r>
          </w:p>
        </w:tc>
        <w:tc>
          <w:tcPr>
            <w:tcW w:w="220" w:type="dxa"/>
            <w:vAlign w:val="bottom"/>
            <w:tcBorders>
              <w:top w:val="single" w:sz="8" w:color="C6F4F9"/>
            </w:tcBorders>
            <w:shd w:val="clear" w:color="auto" w:fill="C6F4F9"/>
          </w:tcPr>
          <w:p>
            <w:pPr>
              <w:spacing w:after="0"/>
              <w:rPr>
                <w:sz w:val="18"/>
                <w:szCs w:val="18"/>
                <w:color w:val="auto"/>
              </w:rPr>
            </w:pPr>
          </w:p>
        </w:tc>
        <w:tc>
          <w:tcPr>
            <w:tcW w:w="3580" w:type="dxa"/>
            <w:vAlign w:val="bottom"/>
            <w:tcBorders>
              <w:top w:val="single" w:sz="8" w:color="auto"/>
            </w:tcBorders>
            <w:shd w:val="clear" w:color="auto" w:fill="C6F4F9"/>
          </w:tcPr>
          <w:p>
            <w:pPr>
              <w:jc w:val="right"/>
              <w:ind w:right="1250"/>
              <w:spacing w:after="0"/>
              <w:rPr>
                <w:sz w:val="20"/>
                <w:szCs w:val="20"/>
                <w:color w:val="auto"/>
              </w:rPr>
            </w:pPr>
            <w:r>
              <w:rPr>
                <w:rFonts w:ascii="Arial" w:cs="Arial" w:eastAsia="Arial" w:hAnsi="Arial"/>
                <w:sz w:val="18"/>
                <w:szCs w:val="18"/>
                <w:color w:val="auto"/>
              </w:rPr>
              <w:t>$38.70</w:t>
            </w: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Except as set forth in this Schedule 13D, there have been no transactions in the Common Shares of the Issuer effected during the past 60 days by any person named in Item 2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 w:name="page8"/>
    <w:bookmarkEnd w:id="7"/>
    <w:p>
      <w:pPr>
        <w:ind w:left="40"/>
        <w:spacing w:after="0"/>
        <w:tabs>
          <w:tab w:leader="none" w:pos="4940" w:val="left"/>
          <w:tab w:leader="none" w:pos="10280" w:val="left"/>
        </w:tabs>
        <w:rPr>
          <w:sz w:val="20"/>
          <w:szCs w:val="20"/>
          <w:color w:val="auto"/>
        </w:rPr>
      </w:pPr>
      <w:r>
        <w:rPr>
          <w:rFonts w:ascii="Arial" w:cs="Arial" w:eastAsia="Arial" w:hAnsi="Arial"/>
          <w:sz w:val="18"/>
          <w:szCs w:val="18"/>
          <w:b w:val="1"/>
          <w:bCs w:val="1"/>
          <w:color w:val="auto"/>
        </w:rPr>
        <w:t>CUSIP No. 13057Q305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37" w:right="35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disclosure in Item 2(c) of this Schedule 13D is incorporated by reference herein.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of January 5, 2021, DMF III is no longer a beneficial owner of more than 5% of the Common Shares of the Issuer.</w:t>
      </w:r>
    </w:p>
    <w:p>
      <w:pPr>
        <w:spacing w:after="0" w:line="24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37" w:right="359" w:bottom="1440" w:gutter="0" w:footer="0" w:header="0"/>
          <w:type w:val="continuous"/>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CUSIP No. 13057Q305</w:t>
            </w:r>
          </w:p>
        </w:tc>
        <w:tc>
          <w:tcPr>
            <w:tcW w:w="1900" w:type="dxa"/>
            <w:vAlign w:val="bottom"/>
          </w:tcPr>
          <w:p>
            <w:pPr>
              <w:spacing w:after="0"/>
              <w:rPr>
                <w:sz w:val="21"/>
                <w:szCs w:val="21"/>
                <w:color w:val="auto"/>
              </w:rPr>
            </w:pPr>
          </w:p>
        </w:tc>
        <w:tc>
          <w:tcPr>
            <w:tcW w:w="4820" w:type="dxa"/>
            <w:vAlign w:val="bottom"/>
            <w:tcBorders>
              <w:right w:val="single" w:sz="8" w:color="auto"/>
            </w:tcBorders>
          </w:tcPr>
          <w:p>
            <w:pPr>
              <w:ind w:left="780"/>
              <w:spacing w:after="0"/>
              <w:rPr>
                <w:sz w:val="20"/>
                <w:szCs w:val="20"/>
                <w:color w:val="auto"/>
              </w:rPr>
            </w:pPr>
            <w:r>
              <w:rPr>
                <w:rFonts w:ascii="Arial" w:cs="Arial" w:eastAsia="Arial" w:hAnsi="Arial"/>
                <w:sz w:val="18"/>
                <w:szCs w:val="18"/>
                <w:b w:val="1"/>
                <w:bCs w:val="1"/>
                <w:color w:val="auto"/>
              </w:rPr>
              <w:t>SCHEDULE 13D</w:t>
            </w:r>
          </w:p>
        </w:tc>
        <w:tc>
          <w:tcPr>
            <w:tcW w:w="80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w w:val="88"/>
              </w:rPr>
              <w:t>Page 9 of 10</w:t>
            </w:r>
          </w:p>
        </w:tc>
      </w:tr>
      <w:tr>
        <w:trPr>
          <w:trHeight w:val="648"/>
        </w:trPr>
        <w:tc>
          <w:tcPr>
            <w:tcW w:w="8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3300" w:type="dxa"/>
            <w:vAlign w:val="bottom"/>
            <w:gridSpan w:val="4"/>
          </w:tcPr>
          <w:p>
            <w:pPr>
              <w:ind w:left="40"/>
              <w:spacing w:after="0"/>
              <w:rPr>
                <w:sz w:val="20"/>
                <w:szCs w:val="20"/>
                <w:color w:val="auto"/>
              </w:rPr>
            </w:pPr>
            <w:r>
              <w:rPr>
                <w:rFonts w:ascii="Arial" w:cs="Arial" w:eastAsia="Arial" w:hAnsi="Arial"/>
                <w:sz w:val="18"/>
                <w:szCs w:val="18"/>
                <w:b w:val="1"/>
                <w:bCs w:val="1"/>
                <w:color w:val="auto"/>
              </w:rPr>
              <w:t>Material to Be Filed as Exhibits.</w:t>
            </w:r>
          </w:p>
        </w:tc>
        <w:tc>
          <w:tcPr>
            <w:tcW w:w="4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72"/>
        </w:trPr>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3"/>
              </w:rPr>
              <w:t>Exhibit</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2"/>
          </w:tcPr>
          <w:p>
            <w:pPr>
              <w:ind w:left="1620"/>
              <w:spacing w:after="0"/>
              <w:rPr>
                <w:sz w:val="20"/>
                <w:szCs w:val="20"/>
                <w:color w:val="auto"/>
              </w:rPr>
            </w:pPr>
            <w:r>
              <w:rPr>
                <w:rFonts w:ascii="Arial" w:cs="Arial" w:eastAsia="Arial" w:hAnsi="Arial"/>
                <w:sz w:val="18"/>
                <w:szCs w:val="18"/>
                <w:b w:val="1"/>
                <w:bCs w:val="1"/>
                <w:color w:val="auto"/>
              </w:rPr>
              <w:t>Description</w:t>
            </w:r>
          </w:p>
        </w:tc>
        <w:tc>
          <w:tcPr>
            <w:tcW w:w="1440" w:type="dxa"/>
            <w:vAlign w:val="bottom"/>
            <w:tcBorders>
              <w:bottom w:val="single" w:sz="8" w:color="auto"/>
            </w:tcBorders>
          </w:tcPr>
          <w:p>
            <w:pPr>
              <w:spacing w:after="0"/>
              <w:rPr>
                <w:sz w:val="24"/>
                <w:szCs w:val="24"/>
                <w:color w:val="auto"/>
              </w:rPr>
            </w:pPr>
          </w:p>
        </w:tc>
      </w:tr>
      <w:tr>
        <w:trPr>
          <w:trHeight w:val="41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60" w:type="dxa"/>
            <w:vAlign w:val="bottom"/>
            <w:gridSpan w:val="4"/>
          </w:tcPr>
          <w:p>
            <w:pPr>
              <w:ind w:left="20"/>
              <w:spacing w:after="0"/>
              <w:rPr>
                <w:sz w:val="20"/>
                <w:szCs w:val="20"/>
                <w:color w:val="auto"/>
              </w:rPr>
            </w:pPr>
            <w:r>
              <w:rPr>
                <w:rFonts w:ascii="Arial" w:cs="Arial" w:eastAsia="Arial" w:hAnsi="Arial"/>
                <w:sz w:val="18"/>
                <w:szCs w:val="18"/>
                <w:color w:val="auto"/>
                <w:w w:val="96"/>
              </w:rPr>
              <w:t>Agreement Regarding the Joint Filing of Schedule 13D by and among the Reporting Persons (previously filed).</w:t>
            </w:r>
          </w:p>
        </w:tc>
        <w:tc>
          <w:tcPr>
            <w:tcW w:w="1440" w:type="dxa"/>
            <w:vAlign w:val="bottom"/>
          </w:tcPr>
          <w:p>
            <w:pPr>
              <w:spacing w:after="0"/>
              <w:rPr>
                <w:sz w:val="24"/>
                <w:szCs w:val="24"/>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5"/>
          </w:tcPr>
          <w:p>
            <w:pPr>
              <w:ind w:left="20"/>
              <w:spacing w:after="0"/>
              <w:rPr>
                <w:sz w:val="20"/>
                <w:szCs w:val="20"/>
                <w:color w:val="auto"/>
              </w:rPr>
            </w:pPr>
            <w:r>
              <w:rPr>
                <w:rFonts w:ascii="Arial" w:cs="Arial" w:eastAsia="Arial" w:hAnsi="Arial"/>
                <w:sz w:val="18"/>
                <w:szCs w:val="18"/>
                <w:color w:val="auto"/>
                <w:w w:val="95"/>
              </w:rPr>
              <w:t>Form of Registration Rights Agreement between the Issuer, the Reporting Persons and certain other shareholders identified therein</w:t>
            </w:r>
          </w:p>
        </w:tc>
      </w:tr>
      <w:tr>
        <w:trPr>
          <w:trHeight w:val="230"/>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60" w:type="dxa"/>
            <w:vAlign w:val="bottom"/>
            <w:gridSpan w:val="4"/>
          </w:tcPr>
          <w:p>
            <w:pPr>
              <w:ind w:left="20"/>
              <w:spacing w:after="0"/>
              <w:rPr>
                <w:sz w:val="20"/>
                <w:szCs w:val="20"/>
                <w:color w:val="auto"/>
              </w:rPr>
            </w:pPr>
            <w:r>
              <w:rPr>
                <w:rFonts w:ascii="Arial" w:cs="Arial" w:eastAsia="Arial" w:hAnsi="Arial"/>
                <w:sz w:val="18"/>
                <w:szCs w:val="18"/>
                <w:color w:val="auto"/>
              </w:rPr>
              <w:t>(incorporated by reference to Exhibit 10.1 of the Form 8-A12B)</w:t>
            </w:r>
          </w:p>
        </w:tc>
        <w:tc>
          <w:tcPr>
            <w:tcW w:w="1440" w:type="dxa"/>
            <w:vAlign w:val="bottom"/>
          </w:tcPr>
          <w:p>
            <w:pPr>
              <w:spacing w:after="0"/>
              <w:rPr>
                <w:sz w:val="20"/>
                <w:szCs w:val="20"/>
                <w:color w:val="auto"/>
              </w:rPr>
            </w:pPr>
          </w:p>
        </w:tc>
      </w:tr>
      <w:tr>
        <w:trPr>
          <w:trHeight w:val="1033"/>
        </w:trPr>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1" w:right="339" w:bottom="1440" w:gutter="0" w:footer="0" w:header="0"/>
        </w:sectPr>
      </w:pPr>
    </w:p>
    <w:bookmarkStart w:id="9" w:name="page10"/>
    <w:bookmarkEnd w:id="9"/>
    <w:p>
      <w:pPr>
        <w:ind w:left="40"/>
        <w:spacing w:after="0"/>
        <w:tabs>
          <w:tab w:leader="none" w:pos="4940" w:val="left"/>
          <w:tab w:leader="none" w:pos="10200" w:val="left"/>
        </w:tabs>
        <w:rPr>
          <w:sz w:val="20"/>
          <w:szCs w:val="20"/>
          <w:color w:val="auto"/>
        </w:rPr>
      </w:pPr>
      <w:r>
        <w:rPr>
          <w:rFonts w:ascii="Arial" w:cs="Arial" w:eastAsia="Arial" w:hAnsi="Arial"/>
          <w:sz w:val="18"/>
          <w:szCs w:val="18"/>
          <w:b w:val="1"/>
          <w:bCs w:val="1"/>
          <w:color w:val="auto"/>
        </w:rPr>
        <w:t>CUSIP No. 13057Q305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January 5,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ASSET MANAGEMENT LP</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GoldenTree Asset Management LLC, its general partner</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2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ASSET MANAGEMENT LLC</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2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STEVEN A. TANANBAUM</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Steven A. Tananbaum</w:t>
      </w:r>
    </w:p>
    <w:p>
      <w:pPr>
        <w:spacing w:after="0" w:line="3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DISTRESSED MASTER FUND III LTD</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GoldenTree Asset Management LP, its investment</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advisor</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81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2022-01-05T16:23:09Z</dcterms:created>
  <dcterms:modified xsi:type="dcterms:W3CDTF">2022-01-05T16:23:09Z</dcterms:modified>
</cp:coreProperties>
</file>