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6"/>
          </w:tcPr>
          <w:p>
            <w:pPr>
              <w:ind w:left="80"/>
              <w:spacing w:after="0"/>
              <w:rPr>
                <w:sz w:val="20"/>
                <w:szCs w:val="20"/>
                <w:color w:val="auto"/>
              </w:rPr>
            </w:pPr>
            <w:r>
              <w:rPr>
                <w:rFonts w:ascii="Arial" w:cs="Arial" w:eastAsia="Arial" w:hAnsi="Arial"/>
                <w:sz w:val="17"/>
                <w:szCs w:val="17"/>
                <w:color w:val="0000FF"/>
              </w:rPr>
              <w:t>01/11/2022</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gridSpan w:val="2"/>
          </w:tcPr>
          <w:p>
            <w:pPr>
              <w:spacing w:after="0"/>
              <w:rPr>
                <w:sz w:val="18"/>
                <w:szCs w:val="18"/>
                <w:color w:val="auto"/>
              </w:rPr>
            </w:pPr>
          </w:p>
        </w:tc>
        <w:tc>
          <w:tcPr>
            <w:tcW w:w="3260" w:type="dxa"/>
            <w:vAlign w:val="bottom"/>
            <w:tcBorders>
              <w:bottom w:val="single" w:sz="8" w:color="2C2C2C"/>
            </w:tcBorders>
            <w:gridSpan w:val="6"/>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6"/>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2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ind w:left="80"/>
              <w:spacing w:after="0"/>
              <w:rPr>
                <w:sz w:val="20"/>
                <w:szCs w:val="20"/>
                <w:color w:val="auto"/>
              </w:rPr>
            </w:pPr>
            <w:r>
              <w:rPr>
                <w:rFonts w:ascii="Arial" w:cs="Arial" w:eastAsia="Arial" w:hAnsi="Arial"/>
                <w:sz w:val="12"/>
                <w:szCs w:val="12"/>
                <w:b w:val="1"/>
                <w:bCs w:val="1"/>
                <w:color w:val="auto"/>
              </w:rPr>
              <w:t>Transaction</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4"/>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jc w:val="center"/>
              <w:ind w:right="9"/>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1"/>
                <w:szCs w:val="11"/>
                <w:color w:val="auto"/>
              </w:rPr>
            </w:pPr>
          </w:p>
        </w:tc>
        <w:tc>
          <w:tcPr>
            <w:tcW w:w="380" w:type="dxa"/>
            <w:vAlign w:val="bottom"/>
          </w:tcPr>
          <w:p>
            <w:pPr>
              <w:jc w:val="center"/>
              <w:ind w:right="69"/>
              <w:spacing w:after="0" w:line="133" w:lineRule="exact"/>
              <w:rPr>
                <w:sz w:val="20"/>
                <w:szCs w:val="20"/>
                <w:color w:val="auto"/>
              </w:rPr>
            </w:pPr>
            <w:r>
              <w:rPr>
                <w:rFonts w:ascii="Arial" w:cs="Arial" w:eastAsia="Arial" w:hAnsi="Arial"/>
                <w:sz w:val="12"/>
                <w:szCs w:val="12"/>
                <w:b w:val="1"/>
                <w:bCs w:val="1"/>
                <w:color w:val="auto"/>
                <w:w w:val="99"/>
              </w:rPr>
              <w:t>or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jc w:val="center"/>
              <w:ind w:right="9"/>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01/11/2022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4"/>
                <w:vertAlign w:val="subscript"/>
              </w:rPr>
              <w:t>150,000</w:t>
            </w:r>
            <w:r>
              <w:rPr>
                <w:rFonts w:ascii="Arial" w:cs="Arial" w:eastAsia="Arial" w:hAnsi="Arial"/>
                <w:sz w:val="11"/>
                <w:szCs w:val="11"/>
                <w:color w:val="008000"/>
                <w:w w:val="84"/>
              </w:rPr>
              <w:t>(1)(2)(3)(4)(5)(6)</w:t>
            </w:r>
          </w:p>
        </w:tc>
        <w:tc>
          <w:tcPr>
            <w:tcW w:w="3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43.6091</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9,966,968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01/12/2022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4"/>
                <w:vertAlign w:val="subscript"/>
              </w:rPr>
              <w:t>150,000</w:t>
            </w:r>
            <w:r>
              <w:rPr>
                <w:rFonts w:ascii="Arial" w:cs="Arial" w:eastAsia="Arial" w:hAnsi="Arial"/>
                <w:sz w:val="11"/>
                <w:szCs w:val="11"/>
                <w:color w:val="008000"/>
                <w:w w:val="84"/>
              </w:rPr>
              <w:t>(1)(2)(3)(4)(5)(6)</w:t>
            </w:r>
          </w:p>
        </w:tc>
        <w:tc>
          <w:tcPr>
            <w:tcW w:w="3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44.3827</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9,816,968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80" w:type="dxa"/>
            <w:vAlign w:val="bottom"/>
            <w:gridSpan w:val="18"/>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ACOF Investment Management LLC</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Ares Management Holdings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923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923607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4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Ares Management's Certificate of Incorporation, the holders of the Ares Class B Common Stock and the Ares Class C Common Stock, collectively, will generally have the majority of the</w:t>
      </w:r>
    </w:p>
    <w:p>
      <w:pPr>
        <w:sectPr>
          <w:pgSz w:w="11900" w:h="16859" w:orient="portrait"/>
          <w:cols w:equalWidth="0" w:num="1">
            <w:col w:w="10800"/>
          </w:cols>
          <w:pgMar w:left="480" w:top="131" w:right="619" w:bottom="0" w:gutter="0" w:footer="0" w:header="0"/>
        </w:sectPr>
      </w:pPr>
    </w:p>
    <w:bookmarkStart w:id="2" w:name="page3"/>
    <w:bookmarkEnd w:id="2"/>
    <w:p>
      <w:pPr>
        <w:ind w:right="120"/>
        <w:spacing w:after="0" w:line="250" w:lineRule="auto"/>
        <w:rPr>
          <w:sz w:val="20"/>
          <w:szCs w:val="20"/>
          <w:color w:val="auto"/>
        </w:rPr>
      </w:pPr>
      <w:r>
        <w:rPr>
          <w:rFonts w:ascii="Arial" w:cs="Arial" w:eastAsia="Arial" w:hAnsi="Arial"/>
          <w:sz w:val="13"/>
          <w:szCs w:val="13"/>
          <w:color w:val="008000"/>
        </w:rPr>
        <w:t>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6" w:lineRule="exact"/>
        <w:rPr>
          <w:sz w:val="20"/>
          <w:szCs w:val="20"/>
          <w:color w:val="auto"/>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9,816,968 shares of Common Stock by reason of the direct or indirect beneficial ownership of such shares as follows: (i) ACOF AIV 1A directly holds 558,503 shares of Common Stock, (ii) ACOF AIV 1B directly holds 2,043,841 shares of Common Stock, (iii) ACOF AIV 2 directly holds 2,082,070 shares of Common Stock, (iv) AEOF AIV A-B directly holds 1,894,861 shares of Common Stock, (v) AEOF AIV C directly holds 804,524 shares of Common Stock and (vi) AF Energy Feeder, L.P. directly holds 2,433,169 shares of Common Stock.</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31"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9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Sole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7"/>
          <w:szCs w:val="17"/>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9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160"/>
          </w:cols>
          <w:pgMar w:left="500" w:top="131" w:right="4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2022-01-13T15:05:20Z</dcterms:created>
  <dcterms:modified xsi:type="dcterms:W3CDTF">2022-01-13T15:05:20Z</dcterms:modified>
</cp:coreProperties>
</file>