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June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CALIFORNIA RESOURCES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001-36478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46-5670947</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 World Trade Center, Suite 1500</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Long Beach,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90831</w:t>
      </w:r>
    </w:p>
    <w:p>
      <w:pPr>
        <w:spacing w:after="0" w:line="42"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300" w:space="720"/>
            <w:col w:w="300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182880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right="2020" w:hanging="12"/>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On June 5, 2024, California Resources Corporation (the “Company”) completed its previously announced private offering of $600.0 million aggregate principal amount of its 8.250% senior notes due 2029 (the “Notes”). The terms of the Notes are governed by the Indenture (the “Indenture”), dated as of June 5, 2024, by and among the Company, the guarantors party thereto (the “Guarantors”) and Wilmington Trust, National Association, as trustee (the “Trustee”). The Notes will mature on June 15, 2029. Interest will accrue from June 5, 2024 and will be payable semi-annually on June 15 and December 15 of each year, commencing December 15, 2024.</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Notes are guaranteed on a senior unsecured basis by all of the Company’s existing subsidiaries that guarantee its obligations under its revolving credit facility and its existing 7.125% Senior Notes due 2026, and the Notes will be guaranteed by certain of the Company’s future subsidiaries. Following the consummation of the Company’s pending business combination (the “Aera Merger”) with Aera Energy LLC and Aera Energy Services Company (the “Aera Companies”), the Notes will be guaranteed by all of the entities that become guarantors under the revolving credit facility and the existing 7.125% Senior Notes due 2026 in connection of the consummation of the Aera Merger. The Notes and the guarantees thereof are unsecured, rank equally in right of payment with all senior unsecured debt of the Company and the Guarantors and rank senior to all of the existing and future subordinated debt of the Company and the Guarantors.</w:t>
      </w:r>
    </w:p>
    <w:p>
      <w:pPr>
        <w:spacing w:after="0" w:line="18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Notes are subject to a special mandatory redemption at a redemption price equal to 100% of the initial issue price of the Notes plus accrued and unpaid interest to, but excluding, the payment date of such mandatory redemption, if (x) the Aera Merger does not occur on or before May 7, 2025 (the “Outside Date”), or (y) prior thereto, the Company notifies the Trustee in writing that (i) the merger agreement related to the Aera Merger (the “Merger Agreement”) has been terminated or (ii) the Company will not pursue the consummation of the Aera Merger or has determined in its sole discretion that the Aera Merger cannot or is not reasonably likely to be consummated by the Outside Date.</w:t>
      </w:r>
    </w:p>
    <w:p>
      <w:pPr>
        <w:spacing w:after="0" w:line="18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 may, at its option, redeem some or all of the Notes at any time on or after June 15, 2026 at the redemption prices specified in the Indenture. Prior to such time, the Company may, at its option, redeem up to 35% of the aggregate principal amount of the Notes with an amount of cash not greater than the net cash proceeds from certain equity offerings at the redemption price specified in the Indenture. In addition, before June 15, 2026, the Company may redeem some or all of the Notes at a redemption price equal to 100% of the aggregate principal amount of the Notes redeemed, plus the applicable premium as specified in the Indenture and accrued and unpaid interest, if any, to, but excluding, the redemption date. If the Company experiences certain kinds of change of control trigger events, the Company will be required to offer to repurchase the Notes at 101% of the aggregate principal amount of the Notes repurchased, plus accrued and unpaid interest, if any, on the Notes repurchased to, but excluding, the date of purchase. The Indenture contains other customary terms, events of default and covenants.</w:t>
      </w:r>
    </w:p>
    <w:p>
      <w:pPr>
        <w:spacing w:after="0" w:line="19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above description of the Indenture is not complete and is qualified in its entirety by reference to the full text of the Indenture, which is filed as Exhibit 4.1 hereto and incorporated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information provided under Item 1.01 in this Current Report on Form 8-K regarding the Notes, the Indenture and the related guarantees is incorporated by reference into this Item 2.03.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respect of the transactions contemplated by the Merger Agreement relating to the Aera Merger, including the proposed issuance of the Company’s common stock pursuant to the Merger Agreement. In connection with the transaction, the Company filed a proxy statement on Schedule 14A with the U.S. Securities and Exchange Commission (“SEC”), as well as other relevant materials. Following the filing of the definitive proxy statement, the Company mailed the definitive proxy statement and a proxy card to its stockholders.</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INVESTORS AND SECURITY HOLDERS OF THE COMPANY ARE URGED TO READ THE PROXY STATEMENT AND OTHER RELEVANT DOCUMENTS FILED OR TO BE FILED WITH</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SEC CAREFULLY WHEN THEY BECOME AVAILABLE BECAUSE THEY WILL CONTAIN IMPORTANT INFORMATION ABOUT THE COMPANY, THE AERA COMPANIES, THE AERA MERGER AND RELATED MATTERS. Investors and security holders will be able to obtain copies of the proxy statement as well as other filings containing information about the Companies, the Aera Companies and the Aera Merger, without charge, at the SEC’s website, www.sec.gov. Copies of documents filed with the SEC by the Company will be available, without charge, at the Company’s website, www.crc.com. The information included on, or accessible through, the Company’s website is not incorporated by reference into this communication.</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Solicitation</w:t>
      </w:r>
    </w:p>
    <w:p>
      <w:pPr>
        <w:spacing w:after="0" w:line="121"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to be participants in the solicitation of proxies in connection with the Aera Merger. Information about the directors and executive officers of the Company is set forth in the proxy statement for the Company’s 2024 Annual Meeting of Stockholders, which was filed with the SEC on March 21, 2024. Investors may obtain additional information regarding the interest of such participants by reading the proxy statement regarding the transaction.</w:t>
      </w:r>
    </w:p>
    <w:p>
      <w:pPr>
        <w:spacing w:after="0" w:line="32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7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6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6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Indenture, dated June 5, 2024, by and among the Company, the Guarantors and the Trustee.</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464" w:right="4300" w:hanging="5464"/>
        <w:spacing w:after="0" w:line="454" w:lineRule="auto"/>
        <w:tabs>
          <w:tab w:leader="none" w:pos="8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ectPr>
          <w:pgSz w:w="11900" w:h="16838" w:orient="portrait"/>
          <w:cols w:equalWidth="0" w:num="1">
            <w:col w:w="11004"/>
          </w:cols>
          <w:pgMar w:left="436" w:top="297" w:right="45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L. Preston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Executive Vice President, Chief Strategy Officer and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5, 2024</w:t>
      </w:r>
    </w:p>
    <w:p>
      <w:pPr>
        <w:sectPr>
          <w:pgSz w:w="11900" w:h="16838" w:orient="portrait"/>
          <w:cols w:equalWidth="0" w:num="1">
            <w:col w:w="10780"/>
          </w:cols>
          <w:pgMar w:left="440" w:top="293" w:right="6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22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 EACH OF THE GUARANTORS PARTY HERETO</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8.250%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Dated as of June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9"/>
          <w:szCs w:val="19"/>
          <w:color w:val="auto"/>
        </w:rPr>
        <w:t>WILMINGTON TRUST, NATIONAL ASSOCIATION</w:t>
      </w:r>
    </w:p>
    <w:p>
      <w:pPr>
        <w:spacing w:after="0" w:line="2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76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TABLE OF CONTENTS</w:t>
            </w:r>
          </w:p>
        </w:tc>
        <w:tc>
          <w:tcPr>
            <w:tcW w:w="2220" w:type="dxa"/>
            <w:vAlign w:val="bottom"/>
          </w:tcPr>
          <w:p>
            <w:pPr>
              <w:spacing w:after="0"/>
              <w:rPr>
                <w:sz w:val="20"/>
                <w:szCs w:val="20"/>
                <w:color w:val="auto"/>
              </w:rPr>
            </w:pPr>
          </w:p>
        </w:tc>
      </w:tr>
      <w:tr>
        <w:trPr>
          <w:trHeight w:val="408"/>
        </w:trPr>
        <w:tc>
          <w:tcPr>
            <w:tcW w:w="98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289"/>
        </w:trPr>
        <w:tc>
          <w:tcPr>
            <w:tcW w:w="980" w:type="dxa"/>
            <w:vAlign w:val="bottom"/>
          </w:tcPr>
          <w:p>
            <w:pPr>
              <w:spacing w:after="0"/>
              <w:rPr>
                <w:sz w:val="24"/>
                <w:szCs w:val="24"/>
                <w:color w:val="auto"/>
              </w:rPr>
            </w:pPr>
          </w:p>
        </w:tc>
        <w:tc>
          <w:tcPr>
            <w:tcW w:w="77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ARTICLE 1</w:t>
            </w:r>
          </w:p>
        </w:tc>
        <w:tc>
          <w:tcPr>
            <w:tcW w:w="222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77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DEFINITIONS AND INCORPORATION</w:t>
            </w:r>
          </w:p>
        </w:tc>
        <w:tc>
          <w:tcPr>
            <w:tcW w:w="22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77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BY REFERENCE</w:t>
            </w:r>
          </w:p>
        </w:tc>
        <w:tc>
          <w:tcPr>
            <w:tcW w:w="2220" w:type="dxa"/>
            <w:vAlign w:val="bottom"/>
          </w:tcPr>
          <w:p>
            <w:pPr>
              <w:spacing w:after="0"/>
              <w:rPr>
                <w:sz w:val="20"/>
                <w:szCs w:val="20"/>
                <w:color w:val="auto"/>
              </w:rPr>
            </w:pP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Definitions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1.03  No Incorporation by Reference of Trust Indenture Act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Rules of Construction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980" w:type="dxa"/>
            <w:vAlign w:val="bottom"/>
          </w:tcPr>
          <w:p>
            <w:pPr>
              <w:spacing w:after="0"/>
              <w:rPr>
                <w:sz w:val="24"/>
                <w:szCs w:val="24"/>
                <w:color w:val="auto"/>
              </w:rPr>
            </w:pPr>
          </w:p>
        </w:tc>
        <w:tc>
          <w:tcPr>
            <w:tcW w:w="77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ARTICLE 2</w:t>
            </w:r>
          </w:p>
        </w:tc>
        <w:tc>
          <w:tcPr>
            <w:tcW w:w="222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77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THE NOTES</w:t>
            </w:r>
          </w:p>
        </w:tc>
        <w:tc>
          <w:tcPr>
            <w:tcW w:w="2220" w:type="dxa"/>
            <w:vAlign w:val="bottom"/>
          </w:tcPr>
          <w:p>
            <w:pPr>
              <w:spacing w:after="0"/>
              <w:rPr>
                <w:sz w:val="20"/>
                <w:szCs w:val="20"/>
                <w:color w:val="auto"/>
              </w:rPr>
            </w:pPr>
          </w:p>
        </w:tc>
      </w:tr>
      <w:tr>
        <w:trPr>
          <w:trHeight w:val="30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Form and Dating</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Execution and Authentication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Registrar and Paying Agent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Paying Agent to Hold Money in Trust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Holder Lists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2.06  Transfer and Exchange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Replacement Notes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Notes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Notes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Temporary Notes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Defaulted Interest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2.13  Issuance of Additional Notes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2.14  Computation of Interest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CUSIP Number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06"/>
        </w:trPr>
        <w:tc>
          <w:tcPr>
            <w:tcW w:w="980" w:type="dxa"/>
            <w:vAlign w:val="bottom"/>
          </w:tcPr>
          <w:p>
            <w:pPr>
              <w:spacing w:after="0"/>
              <w:rPr>
                <w:sz w:val="24"/>
                <w:szCs w:val="24"/>
                <w:color w:val="auto"/>
              </w:rPr>
            </w:pPr>
          </w:p>
        </w:tc>
        <w:tc>
          <w:tcPr>
            <w:tcW w:w="77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ARTICLE 3</w:t>
            </w:r>
          </w:p>
        </w:tc>
        <w:tc>
          <w:tcPr>
            <w:tcW w:w="222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77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REDEMPTION AND PREPAYMENT</w:t>
            </w:r>
          </w:p>
        </w:tc>
        <w:tc>
          <w:tcPr>
            <w:tcW w:w="2220" w:type="dxa"/>
            <w:vAlign w:val="bottom"/>
          </w:tcPr>
          <w:p>
            <w:pPr>
              <w:spacing w:after="0"/>
              <w:rPr>
                <w:sz w:val="20"/>
                <w:szCs w:val="20"/>
                <w:color w:val="auto"/>
              </w:rPr>
            </w:pPr>
          </w:p>
        </w:tc>
      </w:tr>
      <w:tr>
        <w:trPr>
          <w:trHeight w:val="30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Notices to Trustee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Selection of Notes to Be Redeemed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Notice of Redemption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3.04  Effect of Notice of Redemption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Deposit of Redemption Price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Notes Redeemed in Part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3.07  Special Mandatory Redemption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Optional Redemption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Mandatory Redemption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3.10  Offer to Purchase by Application of Excess Proceeds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6"/>
        </w:trPr>
        <w:tc>
          <w:tcPr>
            <w:tcW w:w="980" w:type="dxa"/>
            <w:vAlign w:val="bottom"/>
          </w:tcPr>
          <w:p>
            <w:pPr>
              <w:spacing w:after="0"/>
              <w:rPr>
                <w:sz w:val="24"/>
                <w:szCs w:val="24"/>
                <w:color w:val="auto"/>
              </w:rPr>
            </w:pPr>
          </w:p>
        </w:tc>
        <w:tc>
          <w:tcPr>
            <w:tcW w:w="77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ARTICLE 4</w:t>
            </w:r>
          </w:p>
        </w:tc>
        <w:tc>
          <w:tcPr>
            <w:tcW w:w="222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77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COVENANTS</w:t>
            </w:r>
          </w:p>
        </w:tc>
        <w:tc>
          <w:tcPr>
            <w:tcW w:w="2220" w:type="dxa"/>
            <w:vAlign w:val="bottom"/>
          </w:tcPr>
          <w:p>
            <w:pPr>
              <w:spacing w:after="0"/>
              <w:rPr>
                <w:sz w:val="20"/>
                <w:szCs w:val="20"/>
                <w:color w:val="auto"/>
              </w:rPr>
            </w:pPr>
          </w:p>
        </w:tc>
      </w:tr>
      <w:tr>
        <w:trPr>
          <w:trHeight w:val="30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Payment of Notes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Certificate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  Stay, Extension and Usury Laws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Payments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4.08  Dividend and Other Payment Restrictions Affecting Restricted Subsidiaries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4.09  Incurrence of Indebtedness and Issuance of Preferred Stock</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Sales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4.11  Transactions with Affiliates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Liens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Organizational Existence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4.15  Offer to Repurchase Upon Change of Control Triggering Event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Guarantees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4.17  Designation of Restricted and Unrestricted Subsidiaries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06"/>
        </w:trPr>
        <w:tc>
          <w:tcPr>
            <w:tcW w:w="980" w:type="dxa"/>
            <w:vAlign w:val="bottom"/>
          </w:tcPr>
          <w:p>
            <w:pPr>
              <w:spacing w:after="0"/>
              <w:rPr>
                <w:sz w:val="24"/>
                <w:szCs w:val="24"/>
                <w:color w:val="auto"/>
              </w:rPr>
            </w:pPr>
          </w:p>
        </w:tc>
        <w:tc>
          <w:tcPr>
            <w:tcW w:w="76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ARTICLE 5</w:t>
            </w:r>
          </w:p>
        </w:tc>
        <w:tc>
          <w:tcPr>
            <w:tcW w:w="238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76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SUCCESSORS</w:t>
            </w:r>
          </w:p>
        </w:tc>
        <w:tc>
          <w:tcPr>
            <w:tcW w:w="2380" w:type="dxa"/>
            <w:vAlign w:val="bottom"/>
          </w:tcPr>
          <w:p>
            <w:pPr>
              <w:spacing w:after="0"/>
              <w:rPr>
                <w:sz w:val="20"/>
                <w:szCs w:val="20"/>
                <w:color w:val="auto"/>
              </w:rPr>
            </w:pPr>
          </w:p>
        </w:tc>
      </w:tr>
      <w:tr>
        <w:trPr>
          <w:trHeight w:val="30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Merger, Consolidation or Sale of Assets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Successor Issuer Substituted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06"/>
        </w:trPr>
        <w:tc>
          <w:tcPr>
            <w:tcW w:w="980" w:type="dxa"/>
            <w:vAlign w:val="bottom"/>
          </w:tcPr>
          <w:p>
            <w:pPr>
              <w:spacing w:after="0"/>
              <w:rPr>
                <w:sz w:val="24"/>
                <w:szCs w:val="24"/>
                <w:color w:val="auto"/>
              </w:rPr>
            </w:pPr>
          </w:p>
        </w:tc>
        <w:tc>
          <w:tcPr>
            <w:tcW w:w="76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ARTICLE 6</w:t>
            </w:r>
          </w:p>
        </w:tc>
        <w:tc>
          <w:tcPr>
            <w:tcW w:w="238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76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DEFAULTS AND REMEDIES</w:t>
            </w:r>
          </w:p>
        </w:tc>
        <w:tc>
          <w:tcPr>
            <w:tcW w:w="2380" w:type="dxa"/>
            <w:vAlign w:val="bottom"/>
          </w:tcPr>
          <w:p>
            <w:pPr>
              <w:spacing w:after="0"/>
              <w:rPr>
                <w:sz w:val="20"/>
                <w:szCs w:val="20"/>
                <w:color w:val="auto"/>
              </w:rPr>
            </w:pPr>
          </w:p>
        </w:tc>
      </w:tr>
      <w:tr>
        <w:trPr>
          <w:trHeight w:val="30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Remedies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Waiver of Past Defaults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  Control by Majority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Limitation on Suits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Rights of Holders of Notes to Receive Payment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Collection Suit by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6.09  Trustee May File Proofs of Claim</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Priorities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6.11  Undertaking for Costs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06"/>
        </w:trPr>
        <w:tc>
          <w:tcPr>
            <w:tcW w:w="980" w:type="dxa"/>
            <w:vAlign w:val="bottom"/>
          </w:tcPr>
          <w:p>
            <w:pPr>
              <w:spacing w:after="0"/>
              <w:rPr>
                <w:sz w:val="24"/>
                <w:szCs w:val="24"/>
                <w:color w:val="auto"/>
              </w:rPr>
            </w:pPr>
          </w:p>
        </w:tc>
        <w:tc>
          <w:tcPr>
            <w:tcW w:w="76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ARTICLE 7</w:t>
            </w:r>
          </w:p>
        </w:tc>
        <w:tc>
          <w:tcPr>
            <w:tcW w:w="238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76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TRUSTEE</w:t>
            </w:r>
          </w:p>
        </w:tc>
        <w:tc>
          <w:tcPr>
            <w:tcW w:w="2380" w:type="dxa"/>
            <w:vAlign w:val="bottom"/>
          </w:tcPr>
          <w:p>
            <w:pPr>
              <w:spacing w:after="0"/>
              <w:rPr>
                <w:sz w:val="20"/>
                <w:szCs w:val="20"/>
                <w:color w:val="auto"/>
              </w:rPr>
            </w:pPr>
          </w:p>
        </w:tc>
      </w:tr>
      <w:tr>
        <w:trPr>
          <w:trHeight w:val="30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Duties of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  Rights of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7.03  Individual Rights of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Trustee’s Disclaimer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7.05  Notice of Defaults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7.07  Compensation and Indemnity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7.08  Replacement of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7.09  Successor Trustee by Merger, etc.</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3"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289"/>
        </w:trPr>
        <w:tc>
          <w:tcPr>
            <w:tcW w:w="108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8</w:t>
            </w:r>
          </w:p>
        </w:tc>
        <w:tc>
          <w:tcPr>
            <w:tcW w:w="15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LEGAL DEFEASANCE AND COVENANT DEFEASANCE</w:t>
            </w:r>
          </w:p>
        </w:tc>
        <w:tc>
          <w:tcPr>
            <w:tcW w:w="1500" w:type="dxa"/>
            <w:vAlign w:val="bottom"/>
          </w:tcPr>
          <w:p>
            <w:pPr>
              <w:spacing w:after="0"/>
              <w:rPr>
                <w:sz w:val="20"/>
                <w:szCs w:val="20"/>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Defeasance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Money and Government Securities to be Held in Trust; Other Miscellaneous Provisions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to Issuer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06"/>
        </w:trPr>
        <w:tc>
          <w:tcPr>
            <w:tcW w:w="108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9</w:t>
            </w:r>
          </w:p>
        </w:tc>
        <w:tc>
          <w:tcPr>
            <w:tcW w:w="15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AMENDMENT, SUPPLEMENT AND WAIVER</w:t>
            </w:r>
          </w:p>
        </w:tc>
        <w:tc>
          <w:tcPr>
            <w:tcW w:w="1500" w:type="dxa"/>
            <w:vAlign w:val="bottom"/>
          </w:tcPr>
          <w:p>
            <w:pPr>
              <w:spacing w:after="0"/>
              <w:rPr>
                <w:sz w:val="20"/>
                <w:szCs w:val="20"/>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Without Consent of Holders of Notes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Consent of Holders of Notes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to Sign Amendments, etc.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06"/>
        </w:trPr>
        <w:tc>
          <w:tcPr>
            <w:tcW w:w="108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10</w:t>
            </w:r>
          </w:p>
        </w:tc>
        <w:tc>
          <w:tcPr>
            <w:tcW w:w="15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GUARANTEES</w:t>
            </w:r>
          </w:p>
        </w:tc>
        <w:tc>
          <w:tcPr>
            <w:tcW w:w="1500" w:type="dxa"/>
            <w:vAlign w:val="bottom"/>
          </w:tcPr>
          <w:p>
            <w:pPr>
              <w:spacing w:after="0"/>
              <w:rPr>
                <w:sz w:val="20"/>
                <w:szCs w:val="20"/>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on Guarantor Liability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 Evidenced by Indenture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06"/>
        </w:trPr>
        <w:tc>
          <w:tcPr>
            <w:tcW w:w="108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11</w:t>
            </w:r>
          </w:p>
        </w:tc>
        <w:tc>
          <w:tcPr>
            <w:tcW w:w="15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SATISFACTION AND DISCHARGE</w:t>
            </w:r>
          </w:p>
        </w:tc>
        <w:tc>
          <w:tcPr>
            <w:tcW w:w="1500" w:type="dxa"/>
            <w:vAlign w:val="bottom"/>
          </w:tcPr>
          <w:p>
            <w:pPr>
              <w:spacing w:after="0"/>
              <w:rPr>
                <w:sz w:val="20"/>
                <w:szCs w:val="20"/>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06"/>
        </w:trPr>
        <w:tc>
          <w:tcPr>
            <w:tcW w:w="108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12</w:t>
            </w:r>
          </w:p>
        </w:tc>
        <w:tc>
          <w:tcPr>
            <w:tcW w:w="15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MISCELLANEOUS</w:t>
            </w:r>
          </w:p>
        </w:tc>
        <w:tc>
          <w:tcPr>
            <w:tcW w:w="1500" w:type="dxa"/>
            <w:vAlign w:val="bottom"/>
          </w:tcPr>
          <w:p>
            <w:pPr>
              <w:spacing w:after="0"/>
              <w:rPr>
                <w:sz w:val="20"/>
                <w:szCs w:val="20"/>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of Indenture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Personal Liability of Directors, Officers, Employees and Members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12.08</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12.09</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12.10</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3"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r>
      <w:tr>
        <w:trPr>
          <w:trHeight w:val="28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12.11  Severability; Entire Agreement</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12.12</w:t>
            </w: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 Originals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12.13  Table of Contents, Headings, etc.</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12.14  Payment Date Other Than a Business Day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12.15  Action by Holders</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12.16</w:t>
            </w: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Jury Trial</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12.17</w:t>
            </w: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Electronic Delivery</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12.18</w:t>
            </w: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Language of Notices, Etc.</w:t>
            </w: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3" w:right="499" w:bottom="1440" w:gutter="0" w:footer="0" w:header="0"/>
        </w:sectPr>
      </w:pPr>
    </w:p>
    <w:bookmarkStart w:id="9" w:name="page10"/>
    <w:bookmarkEnd w:id="9"/>
    <w:p>
      <w:pPr>
        <w:ind w:left="5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pacing w:after="0" w:line="2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NOTE</w:t>
      </w:r>
    </w:p>
    <w:p>
      <w:pPr>
        <w:spacing w:after="0" w:line="2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CERTIFICATE OF TRANSFER</w:t>
      </w:r>
    </w:p>
    <w:p>
      <w:pPr>
        <w:spacing w:after="0" w:line="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FORM OF CERTIFICATE OF EXCHANGE</w:t>
      </w:r>
    </w:p>
    <w:p>
      <w:pPr>
        <w:spacing w:after="0" w:line="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FORM OF SUPPLEMENTAL INDENTURE TO BE DELIVERED BY SUBSEQUENT GUARANTORS</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19"/>
          </w:cols>
          <w:pgMar w:left="440" w:top="270" w:right="1440" w:bottom="1440" w:gutter="0" w:footer="0" w:header="0"/>
        </w:sectPr>
      </w:pPr>
    </w:p>
    <w:bookmarkStart w:id="10" w:name="page11"/>
    <w:bookmarkEnd w:id="10"/>
    <w:p>
      <w:pPr>
        <w:ind w:right="50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June 5, 2024 among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Guarantors (as defined below) and Wilmington Trust, National Association,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Issuer, the Guarantors and the Trustee agree as follows for the benefit of each other and for the equal and ratable benefit of the Holders (as defined below) of the 8.250% Senior Notes due 2029 (as further defined herein,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REFERENCE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p>
      <w:pPr>
        <w:spacing w:after="0" w:line="225"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144A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initially sold in reliance on Rule 144A.</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Debt</w:t>
      </w:r>
      <w:r>
        <w:rPr>
          <w:rFonts w:ascii="Times New Roman" w:cs="Times New Roman" w:eastAsia="Times New Roman" w:hAnsi="Times New Roman"/>
          <w:sz w:val="18"/>
          <w:szCs w:val="18"/>
          <w:color w:val="auto"/>
        </w:rPr>
        <w:t>” means, with respect to any specified Person:</w:t>
      </w:r>
    </w:p>
    <w:p>
      <w:pPr>
        <w:spacing w:after="0" w:line="119" w:lineRule="exact"/>
        <w:rPr>
          <w:sz w:val="20"/>
          <w:szCs w:val="20"/>
          <w:color w:val="auto"/>
        </w:rPr>
      </w:pPr>
    </w:p>
    <w:p>
      <w:pPr>
        <w:ind w:left="440" w:right="120" w:firstLine="419"/>
        <w:spacing w:after="0" w:line="266"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a Lien encumbering any asset acquired by such specified Person.</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Assets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used or useful in the Oil and Gas Business, other than Indebtedness or Capital Stock;</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a Person that becomes a Restricted Subsidiary as a result of the acquisition of such Capital Stock by the Issuer or any of its Restricted Subsidiaries;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 constituting a minority interest in any Person that at such time is a Restricted Subsidiary;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such Restricted Subsidiary described in clause (2) or (3) above is primarily engaged in the Oil and Gas Business.</w:t>
      </w:r>
    </w:p>
    <w:p>
      <w:pPr>
        <w:spacing w:after="0" w:line="225"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means additional Notes (other than the Initial Notes) issued under this Indenture in accordance with Sections 2.02, 2.13 and 4.09, as part of the same series as the Initial Notes.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Consolidated Net Tangible Assets</w:t>
      </w:r>
      <w:r>
        <w:rPr>
          <w:rFonts w:ascii="Times New Roman" w:cs="Times New Roman" w:eastAsia="Times New Roman" w:hAnsi="Times New Roman"/>
          <w:sz w:val="18"/>
          <w:szCs w:val="18"/>
          <w:color w:val="auto"/>
        </w:rPr>
        <w:t>” means (without duplication), as of the date of determination,</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8" w:right="479" w:bottom="1440" w:gutter="0" w:footer="0" w:header="0"/>
        </w:sectPr>
      </w:pPr>
    </w:p>
    <w:bookmarkStart w:id="11" w:name="page12"/>
    <w:bookmarkEnd w:id="11"/>
    <w:p>
      <w:pPr>
        <w:ind w:left="540" w:hanging="53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sum of:</w:t>
      </w:r>
    </w:p>
    <w:p>
      <w:pPr>
        <w:spacing w:after="0" w:line="130" w:lineRule="exact"/>
        <w:rPr>
          <w:rFonts w:ascii="Times New Roman" w:cs="Times New Roman" w:eastAsia="Times New Roman" w:hAnsi="Times New Roman"/>
          <w:sz w:val="18"/>
          <w:szCs w:val="18"/>
          <w:color w:val="auto"/>
        </w:rPr>
      </w:pPr>
    </w:p>
    <w:p>
      <w:pPr>
        <w:ind w:left="1000" w:right="60" w:hanging="439"/>
        <w:spacing w:after="0" w:line="255"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discounted future net revenues from proved oil and natural gas reserves of the Issuer and its Restricted Subsidiaries calculated in accordance with SEC guidelines before any state or federal income taxes, as estimated in a reserve report prepared as of the end of either the Issuer’s most recently completed fiscal year (or, if such date of determination is within 45 days after the end of such most recently completed fiscal year and no reserve report as of the end of such fiscal year has at the time been prepared, the Issuer’s second preceding fiscal year) or, at the Issuer’s option, the Issuer’s most recently completed fiscal quarter for which internal financial statements are available, as </w:t>
      </w:r>
      <w:r>
        <w:rPr>
          <w:rFonts w:ascii="Times New Roman" w:cs="Times New Roman" w:eastAsia="Times New Roman" w:hAnsi="Times New Roman"/>
          <w:sz w:val="18"/>
          <w:szCs w:val="18"/>
          <w:i w:val="1"/>
          <w:iCs w:val="1"/>
          <w:color w:val="auto"/>
        </w:rPr>
        <w:t>increased by</w:t>
      </w:r>
      <w:r>
        <w:rPr>
          <w:rFonts w:ascii="Times New Roman" w:cs="Times New Roman" w:eastAsia="Times New Roman" w:hAnsi="Times New Roman"/>
          <w:sz w:val="18"/>
          <w:szCs w:val="18"/>
          <w:color w:val="auto"/>
        </w:rPr>
        <w:t>, as of the date of determination, the estimated discounted future net revenues calculated in accordance with SEC guidelines from:</w:t>
      </w:r>
    </w:p>
    <w:p>
      <w:pPr>
        <w:spacing w:after="0" w:line="94" w:lineRule="exact"/>
        <w:rPr>
          <w:rFonts w:ascii="Times New Roman" w:cs="Times New Roman" w:eastAsia="Times New Roman" w:hAnsi="Times New Roman"/>
          <w:sz w:val="18"/>
          <w:szCs w:val="18"/>
          <w:color w:val="auto"/>
        </w:rPr>
      </w:pPr>
    </w:p>
    <w:p>
      <w:pPr>
        <w:ind w:left="1540" w:right="380" w:hanging="533"/>
        <w:spacing w:after="0" w:line="282" w:lineRule="auto"/>
        <w:tabs>
          <w:tab w:leader="none" w:pos="15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proved oil and natural gas reserves of the Issuer and its Restricted Subsidiaries acquired since the date of such year-end or quarterly reserve report, and</w:t>
      </w:r>
    </w:p>
    <w:p>
      <w:pPr>
        <w:spacing w:after="0" w:line="67" w:lineRule="exact"/>
        <w:rPr>
          <w:rFonts w:ascii="Times New Roman" w:cs="Times New Roman" w:eastAsia="Times New Roman" w:hAnsi="Times New Roman"/>
          <w:sz w:val="18"/>
          <w:szCs w:val="18"/>
          <w:color w:val="auto"/>
        </w:rPr>
      </w:pPr>
    </w:p>
    <w:p>
      <w:pPr>
        <w:ind w:left="1540" w:right="160" w:hanging="533"/>
        <w:spacing w:after="0" w:line="258" w:lineRule="auto"/>
        <w:tabs>
          <w:tab w:leader="none" w:pos="15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proved oil and natural gas reserves of the Issuer and its Restricted Subsidiaries attributable to extensions, discoveries and other additions and upward revisions of estimates of proved oil and natural gas reserves (including previously estimated development costs incurred during the period and the accretion of discount since the prior period end) since the date of such year-end or quarterly reserve report due to exploration, development or exploitation, production or other activities which would, in accordance with standard industry practice, cause such revisions,</w:t>
      </w:r>
    </w:p>
    <w:p>
      <w:pPr>
        <w:spacing w:after="0" w:line="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decreased by</w:t>
      </w:r>
      <w:r>
        <w:rPr>
          <w:rFonts w:ascii="Times New Roman" w:cs="Times New Roman" w:eastAsia="Times New Roman" w:hAnsi="Times New Roman"/>
          <w:sz w:val="18"/>
          <w:szCs w:val="18"/>
          <w:color w:val="auto"/>
        </w:rPr>
        <w:t>, as of the date of determination, the estimated discounted future net revenue attributable to:</w:t>
      </w:r>
    </w:p>
    <w:p>
      <w:pPr>
        <w:spacing w:after="0" w:line="133" w:lineRule="exact"/>
        <w:rPr>
          <w:sz w:val="20"/>
          <w:szCs w:val="20"/>
          <w:color w:val="auto"/>
        </w:rPr>
      </w:pPr>
    </w:p>
    <w:p>
      <w:pPr>
        <w:ind w:left="1540" w:right="360" w:hanging="533"/>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proved oil and natural gas reserves of the Issuer and its Restricted Subsidiaries reflected in such reserve report produced or disposed of since the date of such year-end or quarterly reserve report, and</w:t>
      </w:r>
    </w:p>
    <w:p>
      <w:pPr>
        <w:spacing w:after="0" w:line="67" w:lineRule="exact"/>
        <w:rPr>
          <w:rFonts w:ascii="Times New Roman" w:cs="Times New Roman" w:eastAsia="Times New Roman" w:hAnsi="Times New Roman"/>
          <w:sz w:val="18"/>
          <w:szCs w:val="18"/>
          <w:color w:val="auto"/>
        </w:rPr>
      </w:pPr>
    </w:p>
    <w:p>
      <w:pPr>
        <w:ind w:left="1540" w:right="180" w:hanging="533"/>
        <w:spacing w:after="0" w:line="261"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estimated proved oil and natural gas reserves of the Issuer and its Restricted Subsidiaries reflected in such reserve report attributable to downward revisions of estimates of proved oil and natural gas reserves since such year-end or quarterly reserve report due to changes in geological conditions or other factors which would, in accordance with standard industry practice, cause such revisions;</w:t>
      </w:r>
    </w:p>
    <w:p>
      <w:pPr>
        <w:spacing w:after="0" w:line="72" w:lineRule="exact"/>
        <w:rPr>
          <w:sz w:val="20"/>
          <w:szCs w:val="20"/>
          <w:color w:val="auto"/>
        </w:rPr>
      </w:pPr>
    </w:p>
    <w:p>
      <w:pPr>
        <w:jc w:val="both"/>
        <w:ind w:left="1000" w:right="180"/>
        <w:spacing w:after="0" w:line="266" w:lineRule="auto"/>
        <w:rPr>
          <w:sz w:val="20"/>
          <w:szCs w:val="20"/>
          <w:color w:val="auto"/>
        </w:rPr>
      </w:pPr>
      <w:r>
        <w:rPr>
          <w:rFonts w:ascii="Times New Roman" w:cs="Times New Roman" w:eastAsia="Times New Roman" w:hAnsi="Times New Roman"/>
          <w:sz w:val="18"/>
          <w:szCs w:val="18"/>
          <w:color w:val="auto"/>
        </w:rPr>
        <w:t>in the case of the preceding clauses (A) through (D), calculated on a pre-tax basis in accordance with SEC guidelines (utilizing the prices utilized in the Issuer’s year-end or quarterly reserve report, as applicable) and estimated by the Issuer’s petroleum engineers or, at the Issuer’s election, any independent petroleum engineers engaged by the Issuer for that purpose;</w:t>
      </w:r>
    </w:p>
    <w:p>
      <w:pPr>
        <w:spacing w:after="0" w:line="81" w:lineRule="exact"/>
        <w:rPr>
          <w:sz w:val="20"/>
          <w:szCs w:val="20"/>
          <w:color w:val="auto"/>
        </w:rPr>
      </w:pPr>
    </w:p>
    <w:p>
      <w:pPr>
        <w:ind w:left="1000" w:hanging="439"/>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capitalized costs that are attributable to oil and natural gas properties of the Issuer and its Restricted Subsidiaries to which no proved oil and natural gas reserves are attributable, based on the Issuer’s books and records as of a date no earlier than the last day of the Issuer’s most recent quarterly or annual period for which internal financial statements are available;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60" w:top="270" w:right="459" w:bottom="1440" w:gutter="0" w:footer="0" w:header="0"/>
        </w:sectPr>
      </w:pPr>
    </w:p>
    <w:bookmarkStart w:id="12" w:name="page13"/>
    <w:bookmarkEnd w:id="12"/>
    <w:p>
      <w:pPr>
        <w:ind w:left="1420" w:right="400" w:hanging="439"/>
        <w:spacing w:after="0" w:line="282" w:lineRule="auto"/>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Consolidated Net Working Capital of the Issuer and its Restricted Subsidiaries as of a date no earlier than the last day of the Issuer’s most recent quarterly or annual period for which internal financial statements are available;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w:t>
      </w:r>
    </w:p>
    <w:p>
      <w:pPr>
        <w:spacing w:after="0" w:line="130"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book value and</w:t>
      </w:r>
    </w:p>
    <w:p>
      <w:pPr>
        <w:spacing w:after="0" w:line="130" w:lineRule="exact"/>
        <w:rPr>
          <w:rFonts w:ascii="Times New Roman" w:cs="Times New Roman" w:eastAsia="Times New Roman" w:hAnsi="Times New Roman"/>
          <w:sz w:val="18"/>
          <w:szCs w:val="18"/>
          <w:color w:val="auto"/>
        </w:rPr>
      </w:pPr>
    </w:p>
    <w:p>
      <w:pPr>
        <w:ind w:left="1960" w:right="1100" w:hanging="533"/>
        <w:spacing w:after="0" w:line="282" w:lineRule="auto"/>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appraised value, as estimated by independent appraisers, of other tangible assets (including Investments in unconsolidated Subsidiaries)</w:t>
      </w:r>
    </w:p>
    <w:p>
      <w:pPr>
        <w:spacing w:after="0" w:line="54" w:lineRule="exact"/>
        <w:rPr>
          <w:sz w:val="20"/>
          <w:szCs w:val="20"/>
          <w:color w:val="auto"/>
        </w:rPr>
      </w:pPr>
    </w:p>
    <w:p>
      <w:pPr>
        <w:ind w:left="1420" w:right="260"/>
        <w:spacing w:after="0" w:line="266" w:lineRule="auto"/>
        <w:rPr>
          <w:sz w:val="20"/>
          <w:szCs w:val="20"/>
          <w:color w:val="auto"/>
        </w:rPr>
      </w:pPr>
      <w:r>
        <w:rPr>
          <w:rFonts w:ascii="Times New Roman" w:cs="Times New Roman" w:eastAsia="Times New Roman" w:hAnsi="Times New Roman"/>
          <w:sz w:val="18"/>
          <w:szCs w:val="18"/>
          <w:color w:val="auto"/>
        </w:rPr>
        <w:t xml:space="preserve">in each case, of the Issuer and its Restricted Subsidiaries as of a date no earlier than the last day of the date of the Issuer’s most recent quarterly or annual period for which internal financial statements are available;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 such appraisal has been performed, the Issuer shall not be required to obtain such an appraisal and only clause (iv)(A) of this definition shall apply,</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to the extent not otherwise taken into account in the immediately preceding clause (a),</w:t>
      </w:r>
    </w:p>
    <w:p>
      <w:pPr>
        <w:spacing w:after="0" w:line="133" w:lineRule="exact"/>
        <w:rPr>
          <w:sz w:val="20"/>
          <w:szCs w:val="20"/>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minority interests;</w:t>
      </w:r>
    </w:p>
    <w:p>
      <w:pPr>
        <w:spacing w:after="0" w:line="130" w:lineRule="exact"/>
        <w:rPr>
          <w:rFonts w:ascii="Times New Roman" w:cs="Times New Roman" w:eastAsia="Times New Roman" w:hAnsi="Times New Roman"/>
          <w:sz w:val="18"/>
          <w:szCs w:val="18"/>
          <w:color w:val="auto"/>
        </w:rPr>
      </w:pPr>
    </w:p>
    <w:p>
      <w:pPr>
        <w:ind w:left="1420" w:hanging="439"/>
        <w:spacing w:after="0" w:line="266"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natural gas balancing liabilities of the Issuer and its Restricted Subsidiaries as of the last day of the Issuer’s most recent annual or quarterly period for which internal financial statements are available to the extent not deducted in calculating Consolidated Net Working Capital of the Issuer and its Restricted Subsidiaries in accordance with clause (a)(iii) of this definition;</w:t>
      </w:r>
    </w:p>
    <w:p>
      <w:pPr>
        <w:spacing w:after="0" w:line="81" w:lineRule="exact"/>
        <w:rPr>
          <w:rFonts w:ascii="Times New Roman" w:cs="Times New Roman" w:eastAsia="Times New Roman" w:hAnsi="Times New Roman"/>
          <w:sz w:val="18"/>
          <w:szCs w:val="18"/>
          <w:color w:val="auto"/>
        </w:rPr>
      </w:pPr>
    </w:p>
    <w:p>
      <w:pPr>
        <w:jc w:val="both"/>
        <w:ind w:left="1420" w:right="500" w:hanging="439"/>
        <w:spacing w:after="0" w:line="261"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clause (a)(i) above, the discounted future net revenues, calculated in accordance with SEC guidelines (utilizing the prices utilized in the Issuer’s year-end or quarterly reserve report), attributable to reserves that are required to be delivered to third parties to fully satisfy the obligations of the Issuer and its Restricted Subsidiaries with respect to Volumetric Production Payments on the schedules specified with respect thereto; and</w:t>
      </w:r>
    </w:p>
    <w:p>
      <w:pPr>
        <w:spacing w:after="0" w:line="85" w:lineRule="exact"/>
        <w:rPr>
          <w:rFonts w:ascii="Times New Roman" w:cs="Times New Roman" w:eastAsia="Times New Roman" w:hAnsi="Times New Roman"/>
          <w:sz w:val="18"/>
          <w:szCs w:val="18"/>
          <w:color w:val="auto"/>
        </w:rPr>
      </w:pPr>
    </w:p>
    <w:p>
      <w:pPr>
        <w:ind w:left="1420" w:right="280" w:hanging="439"/>
        <w:spacing w:after="0" w:line="258"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discounted future net revenues, calculated in accordance with SEC guidelines, attributable to reserves subject to Dollar-Denominated Production Payments that, based on the estimates of production and price assumptions included in determining the discounted future net revenues specified in clause (a)(i) above, would be necessary to fully satisfy the payment obligations of the Issuer and its Restricted Subsidiaries with respect to Dollar-Denominated Production Payments on the schedules specified with respect thereto.</w:t>
      </w:r>
    </w:p>
    <w:p>
      <w:pPr>
        <w:spacing w:after="0" w:line="183" w:lineRule="exact"/>
        <w:rPr>
          <w:sz w:val="20"/>
          <w:szCs w:val="20"/>
          <w:color w:val="auto"/>
        </w:rPr>
      </w:pPr>
    </w:p>
    <w:p>
      <w:pPr>
        <w:ind w:right="320" w:firstLine="440"/>
        <w:spacing w:after="0" w:line="312" w:lineRule="auto"/>
        <w:rPr>
          <w:sz w:val="20"/>
          <w:szCs w:val="20"/>
          <w:color w:val="auto"/>
        </w:rPr>
      </w:pPr>
      <w:r>
        <w:rPr>
          <w:rFonts w:ascii="Times New Roman" w:cs="Times New Roman" w:eastAsia="Times New Roman" w:hAnsi="Times New Roman"/>
          <w:sz w:val="17"/>
          <w:szCs w:val="17"/>
          <w:color w:val="auto"/>
        </w:rPr>
        <w:t>If the Issuer changes its method of accounting from the successful efforts method of accounting to the full cost or a similar method, “Adjusted Consolidated Net Tangible Assets” will continue to be calculated as if the Issuer were still using the successful efforts method of accounting.</w:t>
      </w:r>
    </w:p>
    <w:p>
      <w:pPr>
        <w:spacing w:after="0" w:line="138"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Times New Roman" w:cs="Times New Roman" w:eastAsia="Times New Roman" w:hAnsi="Times New Roman"/>
          <w:sz w:val="18"/>
          <w:szCs w:val="18"/>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under common control with</w:t>
      </w:r>
      <w:r>
        <w:rPr>
          <w:rFonts w:ascii="Times New Roman" w:cs="Times New Roman" w:eastAsia="Times New Roman" w:hAnsi="Times New Roman"/>
          <w:sz w:val="18"/>
          <w:szCs w:val="18"/>
          <w:color w:val="auto"/>
        </w:rPr>
        <w:t>” have correlative meanings.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or Paying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Premium</w:t>
      </w:r>
      <w:r>
        <w:rPr>
          <w:rFonts w:ascii="Times New Roman" w:cs="Times New Roman" w:eastAsia="Times New Roman" w:hAnsi="Times New Roman"/>
          <w:sz w:val="18"/>
          <w:szCs w:val="18"/>
          <w:color w:val="auto"/>
        </w:rPr>
        <w:t>” means, with respect to any Note on any redemption date, the greater of:</w:t>
      </w:r>
    </w:p>
    <w:p>
      <w:pPr>
        <w:spacing w:after="0" w:line="119" w:lineRule="exact"/>
        <w:rPr>
          <w:sz w:val="20"/>
          <w:szCs w:val="20"/>
          <w:color w:val="auto"/>
        </w:rPr>
      </w:pPr>
    </w:p>
    <w:p>
      <w:pPr>
        <w:ind w:left="1120" w:hanging="261"/>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principal amount of the Note;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58" w:lineRule="auto"/>
        <w:tabs>
          <w:tab w:leader="none" w:pos="162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present value at such redemption date of (i) the redemption price of the Note at June 15, 2026 (such redemption price being set forth in the table appearing in Section 3.08(d))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all required interest payments due on the Note through June 15, 2026 (in each case, excluding accrued but unpaid interest to the redemption date), computed using a discount rate equal to the Treasury Rate as of such redemption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50 basis points discounted to the redemption date on a semi-annual basis (assuming a 360-day year consisting of twelve 30-day months), over</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w:t>
      </w:r>
    </w:p>
    <w:p>
      <w:pPr>
        <w:spacing w:after="0" w:line="223" w:lineRule="exact"/>
        <w:rPr>
          <w:sz w:val="20"/>
          <w:szCs w:val="20"/>
          <w:color w:val="auto"/>
        </w:rPr>
      </w:pPr>
    </w:p>
    <w:p>
      <w:pPr>
        <w:ind w:right="8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Procedures</w:t>
      </w:r>
      <w:r>
        <w:rPr>
          <w:rFonts w:ascii="Times New Roman" w:cs="Times New Roman" w:eastAsia="Times New Roman" w:hAnsi="Times New Roman"/>
          <w:sz w:val="18"/>
          <w:szCs w:val="18"/>
          <w:color w:val="auto"/>
        </w:rPr>
        <w:t>” means, with respect to any transfer or exchange of or for beneficial interests in any Global Note, the rules and procedures of the Depositary, Euroclear and Clearstream that apply to such transfer or exchange.</w:t>
      </w:r>
    </w:p>
    <w:p>
      <w:pPr>
        <w:spacing w:after="0" w:line="158"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 determined in good faith by the Issuer</w:t>
      </w:r>
      <w:r>
        <w:rPr>
          <w:rFonts w:ascii="Times New Roman" w:cs="Times New Roman" w:eastAsia="Times New Roman" w:hAnsi="Times New Roman"/>
          <w:sz w:val="18"/>
          <w:szCs w:val="18"/>
          <w:color w:val="auto"/>
        </w:rPr>
        <w:t>” means a determination made in good faith by the Board of Directors of the Issuer or any Officer of the Issuer involved in or otherwise familiar with the transaction for which such determination is being made, any such determination being conclusive for all purposes under this Indenture.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80" w:firstLine="419"/>
        <w:spacing w:after="0" w:line="282" w:lineRule="auto"/>
        <w:tabs>
          <w:tab w:leader="none" w:pos="11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(other than operating leases entered into in the ordinary course of business), conveyance or other disposition of any assets or rights by the Issuer or any of the Issuer’s Restricted Subsidiaries; and</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Interests by any of the Issuer’s Restricted Subsidiaries or the sale by the Issuer or any of the Issuer’s Restricted Subsidiaries of Equity Interests in any of the Issuer’s Subsidiaries (in either case other than Preferred Stock of any Restricted Subsidiary issued in compliance with Section 4.09 and directors’ qualifying shares or shares required by applicable law to be held by a Person other than the Issuer or a Restricted Subsidiary),</w:t>
      </w:r>
    </w:p>
    <w:p>
      <w:pPr>
        <w:spacing w:after="0" w:line="70" w:lineRule="exact"/>
        <w:rPr>
          <w:sz w:val="20"/>
          <w:szCs w:val="20"/>
          <w:color w:val="auto"/>
        </w:rPr>
      </w:pPr>
    </w:p>
    <w:p>
      <w:pPr>
        <w:jc w:val="both"/>
        <w:ind w:left="44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clause (1) or (2), the sale, assignment, transfer, conveyance, lease or other disposition of all or substantially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or assets of the Issuer and its Subsidiaries (including by way of a merger or consolidation) will be governed by Section 4.15 and/or by Section 5.01 and not by the provisions of Section 4.10;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8"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preceding, none of the following items will be deemed to be an Asset Sale:</w:t>
      </w:r>
    </w:p>
    <w:p>
      <w:pPr>
        <w:spacing w:after="0" w:line="117" w:lineRule="exact"/>
        <w:rPr>
          <w:sz w:val="20"/>
          <w:szCs w:val="20"/>
          <w:color w:val="auto"/>
        </w:rPr>
      </w:pPr>
    </w:p>
    <w:p>
      <w:pPr>
        <w:ind w:right="280" w:firstLine="419"/>
        <w:spacing w:after="0" w:line="282"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single transaction or series of related transactions that involves assets or Equity Interests having a Fair Market Value of less than $40.0 million;</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assets between or among the Issuer and its Restricted Subsidiaries;</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or sale of Equity Interests by a Restricted Subsidiary of the Issuer to the Issuer or to a Restricted Subsidiary of the Issuer;</w:t>
      </w:r>
    </w:p>
    <w:p>
      <w:pPr>
        <w:spacing w:after="0" w:line="117"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other disposition of products, services, inventory or accounts receivable in the ordinary course of business and any sale or other disposition of surplus, damaged, worn-out or obsolete assets (including the abandonment or other disposition of intellectual property that is, in the reasonable judgment of the Issuer, no longer economically practicable to maintain or useful in the conduct of the business of the Issuer and its Restricted Subsidiaries taken as whole);</w:t>
      </w:r>
    </w:p>
    <w:p>
      <w:pPr>
        <w:spacing w:after="0" w:line="71" w:lineRule="exact"/>
        <w:rPr>
          <w:rFonts w:ascii="Times New Roman" w:cs="Times New Roman" w:eastAsia="Times New Roman" w:hAnsi="Times New Roman"/>
          <w:sz w:val="18"/>
          <w:szCs w:val="18"/>
          <w:color w:val="auto"/>
        </w:rPr>
      </w:pPr>
    </w:p>
    <w:p>
      <w:pPr>
        <w:ind w:right="620" w:firstLine="419"/>
        <w:spacing w:after="0" w:line="282"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farm-out, lease or sublease of developed or undeveloped oil or natural gas properties, or the forfeiture of such properties, owned or held by the Issuer or any of its Restricted Subsidiaries in the ordinary course of business;</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sublicenses by the Issuer or any of its Restricted Subsidiaries of software, intellectual property or other general intangibles in the ordinary course of business;</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 rights or settlement, release, recovery on or surrender of contract, tort or other claims;</w:t>
      </w:r>
    </w:p>
    <w:p>
      <w:pPr>
        <w:spacing w:after="0" w:line="117" w:lineRule="exact"/>
        <w:rPr>
          <w:rFonts w:ascii="Times New Roman" w:cs="Times New Roman" w:eastAsia="Times New Roman" w:hAnsi="Times New Roman"/>
          <w:sz w:val="18"/>
          <w:szCs w:val="18"/>
          <w:color w:val="auto"/>
        </w:rPr>
      </w:pPr>
    </w:p>
    <w:p>
      <w:pPr>
        <w:ind w:right="440" w:firstLine="419"/>
        <w:spacing w:after="0" w:line="282"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creation or incurrence of Liens not prohibited by Section 4.12 and dispositions in connection with such Liens and the exercise by any Person in whose favor such Lien is granted of any of its rights in respect of such Lien;</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cash or Cash Equivalents or other financial instruments (other than Oil and Gas Hedging Contracts);</w:t>
      </w:r>
    </w:p>
    <w:p>
      <w:pPr>
        <w:spacing w:after="0" w:line="117" w:lineRule="exact"/>
        <w:rPr>
          <w:rFonts w:ascii="Times New Roman" w:cs="Times New Roman" w:eastAsia="Times New Roman" w:hAnsi="Times New Roman"/>
          <w:sz w:val="18"/>
          <w:szCs w:val="18"/>
          <w:color w:val="auto"/>
        </w:rPr>
      </w:pPr>
    </w:p>
    <w:p>
      <w:pPr>
        <w:ind w:right="380" w:firstLine="419"/>
        <w:spacing w:after="0" w:line="282" w:lineRule="auto"/>
        <w:tabs>
          <w:tab w:leader="none" w:pos="7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assets that constitutes (or results in by virtue of the consideration received for such disposition) either a Restricted Payment that does not violate Section 4.07 or a Permitted Investment or a Permitted Payment;</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Hydrocarbons or other mineral products in the ordinary course of business;</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Swap;</w:t>
      </w:r>
    </w:p>
    <w:p>
      <w:pPr>
        <w:spacing w:after="0" w:line="115" w:lineRule="exact"/>
        <w:rPr>
          <w:rFonts w:ascii="Times New Roman" w:cs="Times New Roman" w:eastAsia="Times New Roman" w:hAnsi="Times New Roman"/>
          <w:sz w:val="18"/>
          <w:szCs w:val="18"/>
          <w:color w:val="auto"/>
        </w:rPr>
      </w:pPr>
    </w:p>
    <w:p>
      <w:pPr>
        <w:ind w:right="80" w:firstLine="419"/>
        <w:spacing w:after="0" w:line="284" w:lineRule="auto"/>
        <w:tabs>
          <w:tab w:leader="none" w:pos="7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crude oil and natural gas properties (whether or not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any such disposition such properties do not have associated with them any proved reserves;</w:t>
      </w:r>
    </w:p>
    <w:p>
      <w:pPr>
        <w:spacing w:after="0" w:line="50" w:lineRule="exact"/>
        <w:rPr>
          <w:rFonts w:ascii="Times New Roman" w:cs="Times New Roman" w:eastAsia="Times New Roman" w:hAnsi="Times New Roman"/>
          <w:sz w:val="18"/>
          <w:szCs w:val="18"/>
          <w:color w:val="auto"/>
        </w:rPr>
      </w:pPr>
    </w:p>
    <w:p>
      <w:pPr>
        <w:ind w:firstLine="419"/>
        <w:spacing w:after="0" w:line="261" w:lineRule="auto"/>
        <w:tabs>
          <w:tab w:leader="none" w:pos="7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Production Payments and Reserve Sales;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Production Payments and Reserve Sales, other than incentive compensation programs on terms that are customary in the Oil and Gas Business for geologists, geophysicists and other providers of technical services to the Issuer or a Restricted Subsidiary, shall have been created, incurred, issued, assumed or guaranteed in connection with the financing of, and within 60 days after the acquisition of, the property that is subject thereto;</w:t>
      </w:r>
    </w:p>
    <w:p>
      <w:pPr>
        <w:spacing w:after="0" w:line="11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00"/>
          </w:cols>
          <w:pgMar w:left="880" w:top="270" w:right="519" w:bottom="1440" w:gutter="0" w:footer="0" w:header="0"/>
        </w:sectPr>
      </w:pPr>
    </w:p>
    <w:bookmarkStart w:id="15" w:name="page16"/>
    <w:bookmarkEnd w:id="15"/>
    <w:p>
      <w:pPr>
        <w:ind w:left="440" w:right="300" w:firstLine="419"/>
        <w:spacing w:after="0" w:line="282" w:lineRule="auto"/>
        <w:tabs>
          <w:tab w:leader="none" w:pos="12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disposition of assets or Equity Interests received in settlement of debts owing to a Person as a result of foreclosure, perfection or enforcement of any Lien or debt, which debts were owing to such Person; and</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2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conveyance or other disposition (i) of Equity Interests in, or Indebtedness or other securities of, an Unrestricted Subsidiary (other than an Unrestricted Subsidiary the primary assets of which are cash and/or Cash Equivalents) or (ii) in connection with the CMB Transactions.</w:t>
      </w:r>
    </w:p>
    <w:p>
      <w:pPr>
        <w:spacing w:after="0" w:line="174"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Swap</w:t>
      </w:r>
      <w:r>
        <w:rPr>
          <w:rFonts w:ascii="Times New Roman" w:cs="Times New Roman" w:eastAsia="Times New Roman" w:hAnsi="Times New Roman"/>
          <w:sz w:val="18"/>
          <w:szCs w:val="18"/>
          <w:color w:val="auto"/>
        </w:rPr>
        <w:t xml:space="preserve">” means any substantially contemporaneous (and in any event occurring within 180 days of each other) purchase and sale or exchange of any assets or properties used or useful in the Oil and Gas Business between the Issuer or any of its Restricted Subsidiaries and another Person;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Fair Market Value of the properties or assets traded or exchanged by the Issuer or such Restricted Subsidiary (together with any cash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Cash Equivalents) is reasonably equivalent to the Fair Market Value of the properties or assets (together with any cash or Cash Equivalents) to be received by the Issuer or such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net cash or Cash Equivalents received must be applied in accordance with Section 4.10 if then in effect as if the Asset Swap were an Asset Sale.</w:t>
      </w:r>
    </w:p>
    <w:p>
      <w:pPr>
        <w:spacing w:after="0" w:line="18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sale and leaseback transaction results in a Finance Lease Obligation, the amount of Indebtedness represented thereby will be determined in accordance with the definition of “Finance Lease Obligation.”</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within one year by conversion or exercise of other securities, whether such right is currently exercisable or is exercisable only after the passage of time. The terms “</w:t>
      </w:r>
      <w:r>
        <w:rPr>
          <w:rFonts w:ascii="Times New Roman" w:cs="Times New Roman" w:eastAsia="Times New Roman" w:hAnsi="Times New Roman"/>
          <w:sz w:val="18"/>
          <w:szCs w:val="18"/>
          <w:i w:val="1"/>
          <w:iCs w:val="1"/>
          <w:color w:val="auto"/>
        </w:rPr>
        <w:t>Beneficially Owns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Beneficially Owned</w:t>
      </w:r>
      <w:r>
        <w:rPr>
          <w:rFonts w:ascii="Times New Roman" w:cs="Times New Roman" w:eastAsia="Times New Roman" w:hAnsi="Times New Roman"/>
          <w:sz w:val="18"/>
          <w:szCs w:val="18"/>
          <w:color w:val="auto"/>
        </w:rPr>
        <w:t>” have a corresponding meaning. For purposes of this definition, a Person shall be deemed not to Beneficially Own securities that are the subject of a stock purchase agreement, merger agreement, amalgamation agreement, arrangement agreement or similar agreement until consummation of the transactions or, as applicable, series of related transactions contemplated thereby.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corporation, the board of directors of the corporation or any committee thereof duly authorized to act on behalf of such</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partnership, the board of directors of the general partner of the partnership;</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the managing member or members or any controlling committee of managing members thereof;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6" w:name="page17"/>
    <w:bookmarkEnd w:id="16"/>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 with respect to any other Person, the board or committee of such Person serving a similar function.</w:t>
      </w:r>
    </w:p>
    <w:p>
      <w:pPr>
        <w:spacing w:after="0" w:line="22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Borrowing Base</w:t>
      </w:r>
      <w:r>
        <w:rPr>
          <w:rFonts w:ascii="Times New Roman" w:cs="Times New Roman" w:eastAsia="Times New Roman" w:hAnsi="Times New Roman"/>
          <w:sz w:val="18"/>
          <w:szCs w:val="18"/>
          <w:color w:val="auto"/>
        </w:rPr>
        <w:t>” means the maximum amount determined or re-determined by the lenders under the Credit Agreement, having a lender group with a majority in principal amount of the commitments thereunder provided by lenders that are commercial banks that engage in oil and gas reserve based lending in the ordinary course of their respective businesses, as the aggregate lending value to be ascribed to the Oil and Gas Properties of the Issuer and its Restricted Subsidiaries against which such lenders are prepared to provide loans, letters of credit or other Indebtedness to the Issuer and the Restricted Subsidiaries under the Credit Agreement, using their customary practices and standards for determining reserve based loans and which are generally applied by commercial lenders to borrowers in the Oil and Gas Business, as determined semi-annually during each year and/or on such other occasions as may be provided for by the Credit Agreement, and which is based upon, inter alia, the review by such lenders of the hydrocarbon reserves, royalty interests and assets and liabilities of the Issuer and the Restricted Subsidiaries.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other than a Legal Holiday.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17"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1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interests (whether general or limited) or membership interests; and</w:t>
      </w:r>
    </w:p>
    <w:p>
      <w:pPr>
        <w:spacing w:after="0" w:line="117" w:lineRule="exact"/>
        <w:rPr>
          <w:rFonts w:ascii="Times New Roman" w:cs="Times New Roman" w:eastAsia="Times New Roman" w:hAnsi="Times New Roman"/>
          <w:sz w:val="18"/>
          <w:szCs w:val="18"/>
          <w:color w:val="auto"/>
        </w:rPr>
      </w:pPr>
    </w:p>
    <w:p>
      <w:pPr>
        <w:jc w:val="both"/>
        <w:ind w:left="440" w:right="440" w:firstLine="419"/>
        <w:spacing w:after="0" w:line="266" w:lineRule="auto"/>
        <w:tabs>
          <w:tab w:leader="none" w:pos="11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 but excluding from all of the foregoing any debt securities exercisable for, exchangeable for or convertible into Capital Stock, whether or not such debt securities include any right of participation with Capital Stock.</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dollars;</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of the United States government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full faith and credit of the United States is pledged in support of those securities) having maturities of not more than one year from the date of acquisition;</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general obligations issued by any state of the United States of America or any political subdivision of any such state or any public instrumentality thereof maturing within one year from the date of acquisition thereof and, at the time of acquisition thereof, having a credit rating of “A” or better from either S&amp;P or Moody’s;</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demand deposits and eurodollar time deposits with maturities of one year or less from the date of acquisition, bankers’ acceptances with maturities not exceeding six months and overnight bank deposits, in each case, with any domestic commercial bank having capital and surplus in excess of $500.0 million or that is a lender under the Credit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7" w:name="page18"/>
    <w:bookmarkEnd w:id="17"/>
    <w:p>
      <w:pPr>
        <w:ind w:left="1120" w:hanging="261"/>
        <w:spacing w:after="0"/>
        <w:tabs>
          <w:tab w:leader="none" w:pos="11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repurchase obligations with a term of not more than seven days for underlying securities of the types described in clauses (2), (3) and</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entered into with any financial institution meeting the qualifications specified in clause (4) above;</w:t>
      </w:r>
    </w:p>
    <w:p>
      <w:pPr>
        <w:spacing w:after="0" w:line="98"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having one of the two highest ratings obtainable from Moody’s or S&amp;P and, in each case, maturing within one year after the date of acquisition;</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at least 95% of the assets of which constitute Cash Equivalents of the kinds described in clauses (1) through (6) of this definition;</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Subsidiary of the Issuer organized or operating outside the United States, investments denominated in local currency that are similar to the items specified in clauses (1) through (7) above; and</w:t>
      </w:r>
    </w:p>
    <w:p>
      <w:pPr>
        <w:spacing w:after="0" w:line="53" w:lineRule="exact"/>
        <w:rPr>
          <w:rFonts w:ascii="Times New Roman" w:cs="Times New Roman" w:eastAsia="Times New Roman" w:hAnsi="Times New Roman"/>
          <w:sz w:val="18"/>
          <w:szCs w:val="18"/>
          <w:color w:val="auto"/>
        </w:rPr>
      </w:pPr>
    </w:p>
    <w:p>
      <w:pPr>
        <w:ind w:left="440" w:right="780" w:firstLine="419"/>
        <w:spacing w:after="0" w:line="282" w:lineRule="auto"/>
        <w:tabs>
          <w:tab w:leader="none" w:pos="111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securities having a rating of at least P-2 or A-2 from either Moody’s or S&amp;P, respectively, and in each case maturing within 24 months after the date of the creation thereof.</w:t>
      </w:r>
    </w:p>
    <w:p>
      <w:pPr>
        <w:spacing w:after="0" w:line="160" w:lineRule="exact"/>
        <w:rPr>
          <w:sz w:val="20"/>
          <w:szCs w:val="20"/>
          <w:color w:val="auto"/>
        </w:rPr>
      </w:pPr>
    </w:p>
    <w:p>
      <w:pPr>
        <w:ind w:right="7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Management Obligations</w:t>
      </w:r>
      <w:r>
        <w:rPr>
          <w:rFonts w:ascii="Times New Roman" w:cs="Times New Roman" w:eastAsia="Times New Roman" w:hAnsi="Times New Roman"/>
          <w:sz w:val="18"/>
          <w:szCs w:val="18"/>
          <w:color w:val="auto"/>
        </w:rPr>
        <w:t>” means, with respect to any Person, any obligations of such Person to any lender in respect of treasury management arrangements, depositary or other cash management services, including any treasury management line of credit.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119" w:lineRule="exact"/>
        <w:rPr>
          <w:sz w:val="20"/>
          <w:szCs w:val="20"/>
          <w:color w:val="auto"/>
        </w:rPr>
      </w:pPr>
    </w:p>
    <w:p>
      <w:pPr>
        <w:ind w:left="440" w:firstLine="419"/>
        <w:spacing w:after="0" w:line="256"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other than any Subsidiary or Affiliate thereof, is or becomes the Beneficial Owner, directly or indirectly, of more than 50% of the total outstanding Voting Stock of the Issuer (measured by voting power rather than the number of shares), other than any such transaction in which the outstanding Voting Stock of the Issuer is changed into or exchanged for Voting Stock of the surviving Person or any parent thereof that collectively represents at least 50% of the total outstanding Voting Stock (measured by voting power rather than the number of shares) of the surviving Person or such parent immediately following such transaction;</w:t>
      </w:r>
    </w:p>
    <w:p>
      <w:pPr>
        <w:spacing w:after="0" w:line="79"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sells, assigns, conveys, transfers, leases or otherwise disposes of all or substantially all of its assets to any Person other than the Issuer or a Subsidiary (other than by way of a merger or consolidation of the Issuer); or</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liquidated or dissolved or adopts a plan of liquidation or dissolution other than in a transaction which complies with the provisions described under Section 5.01.</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(a) a transaction will not be deemed to involve a Change of Control if (i) the Issuer becomes a direct or indirect wholly owned Subsidiary of a holding company and (ii) immediately following that transaction no Person (other than a holding company satisfying the requirements of this sentence) is the Beneficial Owner, directly or indirectly, of more than 50% of the Voting Stock of such holding company; and (b) a Change of Control shall not be deemed to occur upon the consummation of any actions undertaken by the Issuer or any Restricted Subsidiary solely for the purpose of changing the legal structure of the Issuer or such Restricted Subsidiary.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Decline.</w:t>
      </w:r>
    </w:p>
    <w:p>
      <w:pPr>
        <w:spacing w:after="0" w:line="225"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CMB Transactions</w:t>
      </w:r>
      <w:r>
        <w:rPr>
          <w:rFonts w:ascii="Times New Roman" w:cs="Times New Roman" w:eastAsia="Times New Roman" w:hAnsi="Times New Roman"/>
          <w:sz w:val="18"/>
          <w:szCs w:val="18"/>
          <w:color w:val="auto"/>
        </w:rPr>
        <w:t>” means any transaction deemed by the Issuer in good faith to be necessary or advisable in connection with a separation of the Issuer’s and its Subsidiaries’ carbon management and power generation business into a separate entity, including any spin-off, split-off or sale transaction.</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Clearstream</w:t>
      </w:r>
      <w:r>
        <w:rPr>
          <w:rFonts w:ascii="Times New Roman" w:cs="Times New Roman" w:eastAsia="Times New Roman" w:hAnsi="Times New Roman"/>
          <w:sz w:val="18"/>
          <w:szCs w:val="18"/>
          <w:color w:val="auto"/>
        </w:rPr>
        <w:t xml:space="preserve">” means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 from time to time, and any successor statute or statutes thereto.</w:t>
      </w:r>
    </w:p>
    <w:p>
      <w:pPr>
        <w:spacing w:after="0" w:line="225" w:lineRule="exact"/>
        <w:rPr>
          <w:sz w:val="20"/>
          <w:szCs w:val="20"/>
          <w:color w:val="auto"/>
        </w:rPr>
      </w:pPr>
    </w:p>
    <w:p>
      <w:pPr>
        <w:ind w:right="4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Cash Flow</w:t>
      </w:r>
      <w:r>
        <w:rPr>
          <w:rFonts w:ascii="Times New Roman" w:cs="Times New Roman" w:eastAsia="Times New Roman" w:hAnsi="Times New Roman"/>
          <w:sz w:val="18"/>
          <w:szCs w:val="18"/>
          <w:color w:val="auto"/>
        </w:rPr>
        <w:t xml:space="preserve">” means, with respect to any specified Person for any period, the Consolidated Net Income of such Person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without duplication:</w:t>
      </w:r>
    </w:p>
    <w:p>
      <w:pPr>
        <w:spacing w:after="0" w:line="50" w:lineRule="exact"/>
        <w:rPr>
          <w:sz w:val="20"/>
          <w:szCs w:val="20"/>
          <w:color w:val="auto"/>
        </w:rPr>
      </w:pPr>
    </w:p>
    <w:p>
      <w:pPr>
        <w:ind w:left="440" w:right="200" w:firstLine="419"/>
        <w:spacing w:after="0" w:line="284"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any extraordinary expenses or loss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net loss realized by such Person or any of its Restricted Subsidiaries in connection with an Asset Sale, to the extent such expenses or losses were deducted in computing such Consolidated Net Income; </w:t>
      </w:r>
      <w:r>
        <w:rPr>
          <w:rFonts w:ascii="Times New Roman" w:cs="Times New Roman" w:eastAsia="Times New Roman" w:hAnsi="Times New Roman"/>
          <w:sz w:val="18"/>
          <w:szCs w:val="18"/>
          <w:i w:val="1"/>
          <w:iCs w:val="1"/>
          <w:color w:val="auto"/>
        </w:rPr>
        <w:t>plus</w:t>
      </w:r>
    </w:p>
    <w:p>
      <w:pPr>
        <w:spacing w:after="0" w:line="52"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provision for taxes based on income or profits (including state franchise taxes accounted for as income taxes in accordance with GAAP) of such Person and its Restricted Subsidiaries for such period, to the extent that such provision for taxes was deducted in computing such Consolidated Net Income;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Fixed Charges of such Person and its Restricted Subsidiaries for such period, to the extent that such Fixed Charges were deducted in computing such Consolidated Net Income;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56"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depreciation, depletion, amortization (including amortization of intangibles but excluding amortization of prepaid cash expenses that were paid in a prior period), impairment, abandonment expense, non-cash equity based compensation expense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for such period to the extent that such depreciation, depletion, amortization, impairment, abandonment expense and other non-cash charges or expenses were deducted in computing such Consolidated Net Income; </w:t>
      </w:r>
      <w:r>
        <w:rPr>
          <w:rFonts w:ascii="Times New Roman" w:cs="Times New Roman" w:eastAsia="Times New Roman" w:hAnsi="Times New Roman"/>
          <w:sz w:val="18"/>
          <w:szCs w:val="18"/>
          <w:i w:val="1"/>
          <w:iCs w:val="1"/>
          <w:color w:val="auto"/>
        </w:rPr>
        <w:t>plus</w:t>
      </w:r>
    </w:p>
    <w:p>
      <w:pPr>
        <w:spacing w:after="0" w:line="79"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Person accounts for its oil and gas operations using successful efforts or a similar method of accounting, consolidated exploration expense of such Person and its Restricted Subsidiaries; </w:t>
      </w:r>
      <w:r>
        <w:rPr>
          <w:rFonts w:ascii="Times New Roman" w:cs="Times New Roman" w:eastAsia="Times New Roman" w:hAnsi="Times New Roman"/>
          <w:sz w:val="18"/>
          <w:szCs w:val="18"/>
          <w:i w:val="1"/>
          <w:iCs w:val="1"/>
          <w:color w:val="auto"/>
        </w:rPr>
        <w:t>minus</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items increasing such Consolidated Net Income for such period, other than the accrual of revenue in the ordinary course of business; and </w:t>
      </w:r>
      <w:r>
        <w:rPr>
          <w:rFonts w:ascii="Times New Roman" w:cs="Times New Roman" w:eastAsia="Times New Roman" w:hAnsi="Times New Roman"/>
          <w:sz w:val="18"/>
          <w:szCs w:val="18"/>
          <w:i w:val="1"/>
          <w:iCs w:val="1"/>
          <w:color w:val="auto"/>
        </w:rPr>
        <w:t>minus</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increasing such Consolidated Net Income for such period, the sum of (a) the amount of deferred revenues that are amortized during such period and are attributable to reserves that are subject to Volumetric Production Payments and (b) amounts recorded in accordance with GAAP as repayments of principal and interest pursuant to Dollar-Denominated Production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on a consolidated basis and determined in accordance with GAAP.</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8" w:right="459" w:bottom="1440" w:gutter="0" w:footer="0" w:header="0"/>
        </w:sectPr>
      </w:pPr>
    </w:p>
    <w:bookmarkStart w:id="19" w:name="page20"/>
    <w:bookmarkEnd w:id="19"/>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Consolidated Leverage Ratio Indebtedness</w:t>
      </w:r>
      <w:r>
        <w:rPr>
          <w:rFonts w:ascii="Times New Roman" w:cs="Times New Roman" w:eastAsia="Times New Roman" w:hAnsi="Times New Roman"/>
          <w:sz w:val="18"/>
          <w:szCs w:val="18"/>
          <w:color w:val="auto"/>
        </w:rPr>
        <w:t>” of any Person as of any date means the aggregate amount of Indebtedness for money borrowed and Finance Lease Obligations of such Person and its Restricted Subsidiaries, determined on a consolidated basis.</w:t>
      </w:r>
    </w:p>
    <w:p>
      <w:pPr>
        <w:spacing w:after="0" w:line="158"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Income</w:t>
      </w:r>
      <w:r>
        <w:rPr>
          <w:rFonts w:ascii="Times New Roman" w:cs="Times New Roman" w:eastAsia="Times New Roman" w:hAnsi="Times New Roman"/>
          <w:sz w:val="18"/>
          <w:szCs w:val="18"/>
          <w:color w:val="auto"/>
        </w:rPr>
        <w:t xml:space="preserve">” means, with respect to any specified Person for any period, the aggregate of the net income (loss) of such Person and its Restricted Subsidiaries for such period, on a consolidated basis determined in accordance with GAAP and without any reduction in respect of Preferred Stock dividends;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7" w:lineRule="exact"/>
        <w:rPr>
          <w:sz w:val="20"/>
          <w:szCs w:val="20"/>
          <w:color w:val="auto"/>
        </w:rPr>
      </w:pPr>
    </w:p>
    <w:p>
      <w:pPr>
        <w:ind w:left="440" w:right="360" w:firstLine="419"/>
        <w:spacing w:after="0" w:line="266"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Person that is not a Restricted Subsidiary or that is accounted for by the equity method of accounting will be included, but only to the extent of, in the case of net income, the amount of dividends or distributions paid in cash to the specified Person or a Restricted Subsidiary of the Person;</w:t>
      </w:r>
    </w:p>
    <w:p>
      <w:pPr>
        <w:spacing w:after="0" w:line="67"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Restricted Subsidiary of such Person (other than a Guarantor) will be excluded to the extent that the declaration or payment of dividends or similar distributions by that Restricted Subsidiary of that net income is not at the date of determination permitted, directly or indirectly, by operation of the terms of its charter or any judgment, decree, order, statute, rule or governmental regulation applicable to that Restricted Subsidiary or its stockholders, partners or members or any other loan instrument, agreement or other contractual restriction;</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will be excluded;</w:t>
      </w:r>
    </w:p>
    <w:p>
      <w:pPr>
        <w:spacing w:after="0" w:line="115" w:lineRule="exact"/>
        <w:rPr>
          <w:rFonts w:ascii="Times New Roman" w:cs="Times New Roman" w:eastAsia="Times New Roman" w:hAnsi="Times New Roman"/>
          <w:sz w:val="18"/>
          <w:szCs w:val="18"/>
          <w:color w:val="auto"/>
        </w:rPr>
      </w:pPr>
    </w:p>
    <w:p>
      <w:pPr>
        <w:jc w:val="both"/>
        <w:ind w:left="440" w:right="80" w:firstLine="419"/>
        <w:spacing w:after="0" w:line="261"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(loss), net of taxes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all fees and expenses relating thereto), realized upon the sale or other disposition of any property, plant or equipment of such Person or its consolidated Restricted Subsidiaries (including pursuant to any sale or leaseback transaction) which is not sold or otherwise disposed of in the ordinary course of business and any gain (loss) realized upon the sale or other disposition of any Capital Stock of any Person, together with any related provision for taxes on any such gain, will be excluded;</w:t>
      </w:r>
    </w:p>
    <w:p>
      <w:pPr>
        <w:spacing w:after="0" w:line="73"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deducted in the calculation of Consolidated Net Income, any non-cash or other charges relating to any premium or penalty paid, write off of deferred financing costs or other financial recapitalization charges in connection with redeeming or retiring any Indebtedness prior to its Stated Maturity, and any fees and expenses incurred in connection with debt financings or restructurings or in connection with the Issuer’s bankruptcy restructuring, will be excluded;</w:t>
      </w:r>
    </w:p>
    <w:p>
      <w:pPr>
        <w:spacing w:after="0" w:line="71"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“ceiling limitation” on oil and gas properties or other asset impairment writedowns on oil and gas properties or other non-current assets under GAAP or SEC guidelines will be excluded;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equity compensation expenses, including under FASB ASC 718, will be excluded;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provision will be excluded; and</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non-cash gains or losses or charges in respect of Hedging Obligations (including those resulting from the application of FASB ASC 815) will be excluded.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8" w:right="459" w:bottom="1440" w:gutter="0" w:footer="0" w:header="0"/>
        </w:sectPr>
      </w:pPr>
    </w:p>
    <w:bookmarkStart w:id="20" w:name="page21"/>
    <w:bookmarkEnd w:id="20"/>
    <w:p>
      <w:pPr>
        <w:ind w:left="4" w:right="14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Consolidated Net Working Capital</w:t>
      </w:r>
      <w:r>
        <w:rPr>
          <w:rFonts w:ascii="Times New Roman" w:cs="Times New Roman" w:eastAsia="Times New Roman" w:hAnsi="Times New Roman"/>
          <w:sz w:val="17"/>
          <w:szCs w:val="17"/>
          <w:color w:val="auto"/>
        </w:rPr>
        <w:t xml:space="preserve">” means (a) all current assets of the Issuer and its Restricted Subsidiaries except current assets from Oil and Gas Hedging Contracts,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(b) all current liabilities of the Issuer and its Restricted Subsidiaries, except (i) current liabilities included in Indebtedness,</w:t>
      </w:r>
    </w:p>
    <w:p>
      <w:pPr>
        <w:spacing w:after="0" w:line="1" w:lineRule="exact"/>
        <w:rPr>
          <w:sz w:val="20"/>
          <w:szCs w:val="20"/>
          <w:color w:val="auto"/>
        </w:rPr>
      </w:pPr>
    </w:p>
    <w:p>
      <w:pPr>
        <w:jc w:val="both"/>
        <w:ind w:left="4" w:right="120" w:hanging="4"/>
        <w:spacing w:after="0" w:line="277" w:lineRule="auto"/>
        <w:tabs>
          <w:tab w:leader="none" w:pos="26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liabilities associated with future abandonment or asset retirement obligations relating to oil and natural gas properties, (iii) current liabilities associated with non-cash stock based compensation and (iv) any current liabilities from Oil and Gas Hedging Contracts, in each case as set forth in the consolidated financial statements of the Issuer prepared in accordance with GAAP (excluding any adjustments made pursuant to FASB ASC 815).</w:t>
      </w:r>
    </w:p>
    <w:p>
      <w:pPr>
        <w:spacing w:after="0" w:line="16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w:t>
      </w:r>
      <w:r>
        <w:rPr>
          <w:rFonts w:ascii="Times New Roman" w:cs="Times New Roman" w:eastAsia="Times New Roman" w:hAnsi="Times New Roman"/>
          <w:sz w:val="18"/>
          <w:szCs w:val="18"/>
          <w:color w:val="auto"/>
        </w:rPr>
        <w:t>” means, with respect to any Default or Event of Default, that such Default or Event of Default has not been cured or waived.</w:t>
      </w:r>
    </w:p>
    <w:p>
      <w:pPr>
        <w:spacing w:after="0" w:line="225" w:lineRule="exact"/>
        <w:rPr>
          <w:sz w:val="20"/>
          <w:szCs w:val="20"/>
          <w:color w:val="auto"/>
        </w:rPr>
      </w:pPr>
    </w:p>
    <w:p>
      <w:pPr>
        <w:ind w:left="4" w:right="3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 of the Trustee</w:t>
      </w:r>
      <w:r>
        <w:rPr>
          <w:rFonts w:ascii="Times New Roman" w:cs="Times New Roman" w:eastAsia="Times New Roman" w:hAnsi="Times New Roman"/>
          <w:sz w:val="18"/>
          <w:szCs w:val="18"/>
          <w:color w:val="auto"/>
        </w:rPr>
        <w:t>” means the principal office of the Trustee which at any time its corporate trust business shall be administered, which office at the date hereof is located at the address of the Trustee specified in Section 12.02, or such other address as to which the Trustee may give notice to the Issuer), or the principal corporate trust office of any successor trustee (or such other address as such successor trustee may designate from time to time by notice to the Issuer).</w:t>
      </w:r>
    </w:p>
    <w:p>
      <w:pPr>
        <w:spacing w:after="0" w:line="180"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means the Amended and Restated Credit Agreement dated as of April 26, 2023, as amended to the Issue Date, among the Issuer, the guarantors party thereto, Citibank, N.A., as administrative agent, and the lenders and agents party thereto from time to time, as such agreement, in whole or in part, in one or more instances, may hereafter be amended, renewed, extended, increased, substituted, refinanced, restructured, replaced, supplemented or otherwise modified from time to time (including, without limitation, any successive renewals, extensions, increases, substitutions, refinancings, restructurings, replacements, supplementations or other modifications of the foregoing).</w:t>
      </w:r>
    </w:p>
    <w:p>
      <w:pPr>
        <w:spacing w:after="0" w:line="183"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means one or more debt facilities (including the Credit Agreement), loan agreements, indentures or commercial paper facilities, in each case, with banks or other institutional lenders or investors providing for revolving credit loans, term loans, capital market financings, debt securities, receivables financing (including through the sale of receivables to such lenders or to special purpose entities formed to borrow from such lenders against such receivables) or letters of credit, in each case, as amended, restated, modified, renewed, refunded, replaced in any manner (whether upon or after termination or otherwise) or refinanced (including by means of sales or exchanges of debt securities to or with institutional investors) in whole or in part from time to time.</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the Trustee, as custodian with respect to the Notes in global form, or any successor entity thereto.</w:t>
      </w:r>
    </w:p>
    <w:p>
      <w:pPr>
        <w:spacing w:after="0" w:line="225"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Customary Recourse Exceptions</w:t>
      </w:r>
      <w:r>
        <w:rPr>
          <w:rFonts w:ascii="Times New Roman" w:cs="Times New Roman" w:eastAsia="Times New Roman" w:hAnsi="Times New Roman"/>
          <w:sz w:val="18"/>
          <w:szCs w:val="18"/>
          <w:color w:val="auto"/>
        </w:rPr>
        <w:t>” means, with respect to any Non-Recourse Debt of an Unrestricted Subsidiary or Joint Venture,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jc w:val="both"/>
        <w:ind w:left="4" w:right="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Definitive Note</w:t>
      </w:r>
      <w:r>
        <w:rPr>
          <w:rFonts w:ascii="Times New Roman" w:cs="Times New Roman" w:eastAsia="Times New Roman" w:hAnsi="Times New Roman"/>
          <w:sz w:val="18"/>
          <w:szCs w:val="18"/>
          <w:color w:val="auto"/>
        </w:rPr>
        <w:t xml:space="preserve">” means a certificated Note registered in the name of the Holder thereof and issued in accordance with Section 2.06,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such Note shall not bear the Global Note Legend and shall not have the “Schedule of Increases or Decreases of Interests in the Global Note” attached thereto.</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8" w:right="45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De Minimis Guaranteed Amount</w:t>
      </w:r>
      <w:r>
        <w:rPr>
          <w:rFonts w:ascii="Times New Roman" w:cs="Times New Roman" w:eastAsia="Times New Roman" w:hAnsi="Times New Roman"/>
          <w:sz w:val="18"/>
          <w:szCs w:val="18"/>
          <w:color w:val="auto"/>
        </w:rPr>
        <w:t>” means a principal amount of Indebtedness that does not exceed $15.0 million.</w:t>
      </w:r>
    </w:p>
    <w:p>
      <w:pPr>
        <w:spacing w:after="0" w:line="225"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Designated Non-cash Consideration</w:t>
      </w:r>
      <w:r>
        <w:rPr>
          <w:rFonts w:ascii="Times New Roman" w:cs="Times New Roman" w:eastAsia="Times New Roman" w:hAnsi="Times New Roman"/>
          <w:sz w:val="18"/>
          <w:szCs w:val="18"/>
          <w:color w:val="auto"/>
        </w:rPr>
        <w:t xml:space="preserve">” means the Fair Market Value of non-cash consideration received by the Issuer or a Restricted Subsidiary in connection with an Asset Sale that is so designated as Designated Non-cash Consideration,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amount of cash or Cash Equivalents received in connection with a subsequent sale of or collection on such Designated Non-cash Consideration.</w:t>
      </w:r>
    </w:p>
    <w:p>
      <w:pPr>
        <w:spacing w:after="0" w:line="173" w:lineRule="exact"/>
        <w:rPr>
          <w:sz w:val="20"/>
          <w:szCs w:val="20"/>
          <w:color w:val="auto"/>
        </w:rPr>
      </w:pPr>
    </w:p>
    <w:p>
      <w:pPr>
        <w:jc w:val="both"/>
        <w:ind w:right="3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pacing w:after="0" w:line="17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Stock</w:t>
      </w:r>
      <w:r>
        <w:rPr>
          <w:rFonts w:ascii="Times New Roman" w:cs="Times New Roman" w:eastAsia="Times New Roman" w:hAnsi="Times New Roman"/>
          <w:sz w:val="18"/>
          <w:szCs w:val="18"/>
          <w:color w:val="auto"/>
        </w:rPr>
        <w:t xml:space="preserve">”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(other than in exchange for Capital Stock of the Issuer (other than Disqualified Stock)), in whole or in part, on or prior to the date that is 91 days after the earlier of (a) the date on which no Notes are outstanding and (b) the date on which the Notes mature;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only the portion of Capital Stock which is mandatorily redeemable or matures or is redeemable at the option of the holder thereof prior to such date will be deemed to be Disqualified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Capital Stock issued pursuant to any plan of the Issuer or any of its Affiliates for the benefit of one or more employees will not constitute Disqualified Stock solely because it may be required to be repurchased by the Issuer or any of its Affiliates in order to satisfy applicable contractual, statutory or regulatory obligations. Notwithstanding the preceding sentence, any Capital Stock that would constitute Disqualified Stock solely because the holders of the Capital Stock have the right to require the Issuer to repurchase or redeem such Capital Stock upon the occurrence of a change of control or an asset sale will not constitute Disqualified Stock if (x) the terms of such Capital Stock provide that the Issuer may not repurchase or redeem any such Capital Stock pursuant to such provisions unless such repurchase or redemption complies with Section 4.07 or (y) the terms of such Capital Stock provide that the Issuer may not repurchase or redeem any such Capital Stock pursuant to such provisions prior to the Issuer’s purchase of the Notes as is required to be purchased pursuant to the provisions of this Indenture. The amount (or principal amount) of Disqualified Stock deemed to be outstanding at any time for purposes of this Indenture will be the maximum amount that the Issuer and its Restricted Subsidiaries may become obligated to pay upon the maturity of, or pursuant to any mandatory redemption provisions of, such Disqualified Stock, exclusive of accrued dividends.</w:t>
      </w:r>
    </w:p>
    <w:p>
      <w:pPr>
        <w:spacing w:after="0" w:line="195"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Dollar-Denominated Production Payments</w:t>
      </w:r>
      <w:r>
        <w:rPr>
          <w:rFonts w:ascii="Times New Roman" w:cs="Times New Roman" w:eastAsia="Times New Roman" w:hAnsi="Times New Roman"/>
          <w:sz w:val="18"/>
          <w:szCs w:val="18"/>
          <w:color w:val="auto"/>
        </w:rPr>
        <w:t>” means production payment obligations recorded as liabilities in accordance with GAAP, together with all undertakings and obligations in connection therewith.</w:t>
      </w:r>
    </w:p>
    <w:p>
      <w:pPr>
        <w:spacing w:after="0" w:line="158"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EHP Entities</w:t>
      </w:r>
      <w:r>
        <w:rPr>
          <w:rFonts w:ascii="Times New Roman" w:cs="Times New Roman" w:eastAsia="Times New Roman" w:hAnsi="Times New Roman"/>
          <w:sz w:val="18"/>
          <w:szCs w:val="18"/>
          <w:color w:val="auto"/>
        </w:rPr>
        <w:t>” means EHP Topco Holding Company, LLC, EHP Midco Holding Company, LLC, Elk Hills Power, LLC and their respective Subsidiaries, and any successor thereto.</w:t>
      </w:r>
    </w:p>
    <w:p>
      <w:pPr>
        <w:spacing w:after="0" w:line="158" w:lineRule="exact"/>
        <w:rPr>
          <w:sz w:val="20"/>
          <w:szCs w:val="20"/>
          <w:color w:val="auto"/>
        </w:rPr>
      </w:pPr>
    </w:p>
    <w:p>
      <w:pPr>
        <w:jc w:val="both"/>
        <w:ind w:right="3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Electronic Means</w:t>
      </w:r>
      <w:r>
        <w:rPr>
          <w:rFonts w:ascii="Times New Roman" w:cs="Times New Roman" w:eastAsia="Times New Roman" w:hAnsi="Times New Roman"/>
          <w:sz w:val="18"/>
          <w:szCs w:val="18"/>
          <w:color w:val="auto"/>
        </w:rPr>
        <w:t>” means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8" w:right="479" w:bottom="1440" w:gutter="0" w:footer="0" w:header="0"/>
        </w:sectPr>
      </w:pPr>
    </w:p>
    <w:bookmarkStart w:id="22" w:name="page23"/>
    <w:bookmarkEnd w:id="22"/>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Equity Interests</w:t>
      </w:r>
      <w:r>
        <w:rPr>
          <w:rFonts w:ascii="Times New Roman" w:cs="Times New Roman" w:eastAsia="Times New Roman" w:hAnsi="Times New Roman"/>
          <w:sz w:val="18"/>
          <w:szCs w:val="18"/>
          <w:color w:val="auto"/>
        </w:rPr>
        <w:t>” of any Person means (1) any and all Capital Stock of such Person and (2) all rights to purchase, warrants or options (whether or not currently exercisable), participations or other equivalents of or interests in (however designated) such Capital Stock of such Person, but excluding from all of the foregoing any debt securities exercisable for, exchangeable for or convertible into Equity Interests, regardless of whether such debt securities include any right of participation with Equity Interests.</w:t>
      </w:r>
    </w:p>
    <w:p>
      <w:pPr>
        <w:spacing w:after="0" w:line="180"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Offering</w:t>
      </w:r>
      <w:r>
        <w:rPr>
          <w:rFonts w:ascii="Times New Roman" w:cs="Times New Roman" w:eastAsia="Times New Roman" w:hAnsi="Times New Roman"/>
          <w:sz w:val="18"/>
          <w:szCs w:val="18"/>
          <w:color w:val="auto"/>
        </w:rPr>
        <w:t>” means a sale of Equity Interests of the Issuer (other than Disqualified Stock and other than to a Subsidiary of the Issuer) made for cash or any cash contribution to the capital of the Issuer in respect of Equity Interests (other than Disqualified Stock), in each case after the Issue Date.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Euroclear</w:t>
      </w:r>
      <w:r>
        <w:rPr>
          <w:rFonts w:ascii="Times New Roman" w:cs="Times New Roman" w:eastAsia="Times New Roman" w:hAnsi="Times New Roman"/>
          <w:sz w:val="18"/>
          <w:szCs w:val="18"/>
          <w:color w:val="auto"/>
        </w:rPr>
        <w:t>” means Euroclear Bank, S.A./N.V., as operator of the Euroclear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Indebtedness</w:t>
      </w:r>
      <w:r>
        <w:rPr>
          <w:rFonts w:ascii="Times New Roman" w:cs="Times New Roman" w:eastAsia="Times New Roman" w:hAnsi="Times New Roman"/>
          <w:sz w:val="18"/>
          <w:szCs w:val="18"/>
          <w:color w:val="auto"/>
        </w:rPr>
        <w:t>” means all Indebtedness of the Issuer and its Subsidiaries (other than Indebtedness under the Credit Agreement, the Notes and the Guarantees) in existence on the Issue Date, until such amounts are repaid.</w:t>
      </w:r>
    </w:p>
    <w:p>
      <w:pPr>
        <w:spacing w:after="0" w:line="158"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the value that would be paid by a willing buyer to an unaffiliated willing seller in a transaction not involving distress or necessity of either party.</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Finance Lease Obligation</w:t>
      </w:r>
      <w:r>
        <w:rPr>
          <w:rFonts w:ascii="Times New Roman" w:cs="Times New Roman" w:eastAsia="Times New Roman" w:hAnsi="Times New Roman"/>
          <w:sz w:val="18"/>
          <w:szCs w:val="18"/>
          <w:color w:val="auto"/>
        </w:rPr>
        <w:t>” means, at the time any determination is to be made, the amount of the liability in respect of a finance lease that would at that time be required to be capitalized on a balance sheet prepared in accordance with GAAP, with the amount of Indebtedness represented by such obligation being the capitalized amount of such obligation determined in accordance with GAAP, and the Stated Maturity thereof being the date of the last payment of rent or any other amount due under such lease prior to the first date upon which such lease may be prepaid by the lessee without payment of a penalty. Notwithstanding the foregoing, any lease (whether entered into before or after the Issue Date) that would have been classified as an operating lease pursuant to GAAP as in effect on the Issue Date will be deemed not to represent a Finance Lease Obligation. For purposes of Section 4.12, a Finance Lease Obligation will be deemed to be secured by a Lien on the property being leased.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Inc., and any successor to the ratings business thereof.</w:t>
      </w:r>
    </w:p>
    <w:p>
      <w:pPr>
        <w:spacing w:after="0" w:line="22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 Coverage Ratio</w:t>
      </w:r>
      <w:r>
        <w:rPr>
          <w:rFonts w:ascii="Times New Roman" w:cs="Times New Roman" w:eastAsia="Times New Roman" w:hAnsi="Times New Roman"/>
          <w:sz w:val="18"/>
          <w:szCs w:val="18"/>
          <w:color w:val="auto"/>
        </w:rPr>
        <w:t>” means with respect to any specified Person for any four-quarter reference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Times New Roman" w:cs="Times New Roman" w:eastAsia="Times New Roman" w:hAnsi="Times New Roman"/>
          <w:sz w:val="18"/>
          <w:szCs w:val="18"/>
          <w:i w:val="1"/>
          <w:iCs w:val="1"/>
          <w:color w:val="auto"/>
        </w:rPr>
        <w:t>Calculation Date</w:t>
      </w:r>
      <w:r>
        <w:rPr>
          <w:rFonts w:ascii="Times New Roman" w:cs="Times New Roman" w:eastAsia="Times New Roman" w:hAnsi="Times New Roman"/>
          <w:sz w:val="18"/>
          <w:szCs w:val="18"/>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 (except that in making such computation, interest on the amount of Indebtedness under any revolving Credit Facility outstanding on the date of such determination will be deemed to be (i) the average daily balance of such Indebtedness during such four fiscal quarters or such shorter period for which such Credit Facility was outstanding or (ii) if such revolving Credit Facility was created after the end of such four fiscal quarters, the average daily balance of such Indebtedness during the period from the date of creation of such revolving Credit Facility to the date of such determination). If 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8" w:right="479" w:bottom="1440" w:gutter="0" w:footer="0" w:header="0"/>
        </w:sectPr>
      </w:pPr>
    </w:p>
    <w:bookmarkStart w:id="23" w:name="page24"/>
    <w:bookmarkEnd w:id="2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bears a floating rate of interest and is being given pro forma effect, the interest expense on such Indebtedness will be calculated as if the average rate in effect from the beginning of such period to the Calculation Date had been the applicable rate for the entire period (taking into account any interest Hedging Obligation applicable to such Indebtedness, but if the remaining term of such interest Hedging Obligation is less than twelve months, then such interest Hedging Obligation shall only be taken into account for that portion of the period equal to the remaining term thereof). If any Indebtedness that is being given pro forma effect bears an interest rate at the option of such Person, the interest rate shall be calculated by applying such option rate chosen by such Person.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such Person may designate. Interest on any Indebtedness under a revolving Credit Facility will be calculated based upon the average daily balance of such Indebtedness during the applicable period.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for purposes of calculating the Fixed Charge Coverage Ratio:</w:t>
      </w:r>
    </w:p>
    <w:p>
      <w:pPr>
        <w:spacing w:after="0" w:line="117" w:lineRule="exact"/>
        <w:rPr>
          <w:sz w:val="20"/>
          <w:szCs w:val="20"/>
          <w:color w:val="auto"/>
        </w:rPr>
      </w:pPr>
    </w:p>
    <w:p>
      <w:pPr>
        <w:ind w:left="440" w:right="60" w:firstLine="419"/>
        <w:spacing w:after="0" w:line="256"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Investments that have been made, or contributions received, by the specified Person or any of its Restricted Subsidiaries, including through mergers, consolidations or otherwise (including acquisitions or Investments or contributions of assets used or useful in the Oil and Gas Business), or any Person or any of its Restricted Subsidiaries acquired by the specified Person or any of its Restricted Subsidiaries, and including all related financing transactions and including increases in ownership of Restricted Subsidiaries, during the four-quarter reference period or subsequent to such four-quarter reference period and on or prior to the Calculation Date, or that are to be made on the Calculation Date, will be given pro forma effect as if they had occurred on the first day of the four-quarter reference period;</w:t>
      </w:r>
    </w:p>
    <w:p>
      <w:pPr>
        <w:spacing w:after="0" w:line="79"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Cash Flow attributable to discontinued operations, as determined in accordance with GAAP, and operations or businesses or Investments (or ownership interests therein) disposed of on or prior to the Calculation Date, will be excluded;</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61"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Charges attributable to discontinued operations, as determined in accordance with GAAP, and operations or businesses or Investments (or ownership interests therein) disposed of on or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71"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to be a Restricted Subsidiary of the specified Person immediately following the Calculation Date will be deemed to have been a Restricted Subsidiary at all times during such four-quarter reference period;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not to be a Restricted Subsidiary of the specified Person immediately following the Calculation Date will be deemed not to have been a Restricted Subsidiary at any time during such four-quarter reference period;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reasonably anticipated by such Person to be received during the applicable four-quarter reference period from cash or Cash Equivalents held by such Person or any Restricted Subsidiary of such Person, which cash or Cash Equivalents exist on the Calculation Date or will exist as a result of the transaction giving rise to the need to calculate the Fixed Charge Coverage Ratio, will be included; and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24" w:name="page25"/>
    <w:bookmarkEnd w:id="24"/>
    <w:p>
      <w:pPr>
        <w:ind w:left="440" w:right="100" w:firstLine="419"/>
        <w:spacing w:after="0" w:line="255"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since the beginning of such four-quarter reference period, any Person (that subsequently became a Restricted Subsidiary or was merged or consolidated with or into such Person or any of its Restricted Subsidiaries since the beginning of such four-quarter reference period) disposed of any operations or businesses or Investments (or ownership interests therein) or made any acquisition or Investment or received any contribution that would have required an adjustment pursuant to clause (1), (2) or (3) above if made by such Person or any of its Restricted Subsidiaries during such four-quarter reference period, Consolidated Cash Flow and Fixed Charges for such period will be calculated after giving pro forma effect thereto as if such disposition or acquisition, contribution or Investment had occurred on the first day of such four-quarter reference period.</w:t>
      </w:r>
    </w:p>
    <w:p>
      <w:pPr>
        <w:spacing w:after="0" w:line="18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this definition, whenever pro forma effect is to be given to any calculation under this definition, the pro forma calculations will be determined in good faith by a responsible financial or accounting Officer of the Issuer, which determination shall be conclusive for all purposes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Officer may in such Officer’s discretion include any reasonably identifiable and factually supportable pro forma changes to Consolidated Cash Flow or Fixed Charges, including any pro forma expense and cost reductions or synergies that have occurred or are reasonably expected to occur within the 12 months immediately following the Calculation Date (regardless of whether those cost savings or operating improvements could then be reflected in pro forma financial statements in accordance with Regulation S-X promulgated under the Securities Act or any other regulation or policy of the SEC related thereto).</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Charges</w:t>
      </w:r>
      <w:r>
        <w:rPr>
          <w:rFonts w:ascii="Times New Roman" w:cs="Times New Roman" w:eastAsia="Times New Roman" w:hAnsi="Times New Roman"/>
          <w:sz w:val="18"/>
          <w:szCs w:val="18"/>
          <w:color w:val="auto"/>
        </w:rPr>
        <w:t>” means, with respect to any specified Person for any period, the sum, without duplication, of:</w:t>
      </w:r>
    </w:p>
    <w:p>
      <w:pPr>
        <w:spacing w:after="0" w:line="117" w:lineRule="exact"/>
        <w:rPr>
          <w:sz w:val="20"/>
          <w:szCs w:val="20"/>
          <w:color w:val="auto"/>
        </w:rPr>
      </w:pPr>
    </w:p>
    <w:p>
      <w:pPr>
        <w:ind w:left="440" w:right="280" w:firstLine="419"/>
        <w:spacing w:after="0" w:line="262" w:lineRule="auto"/>
        <w:tabs>
          <w:tab w:leader="none" w:pos="111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interest expense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interest income) of such Person and its Restricted Subsidiaries for such period, whether paid or accrued (excluding (i) any interest attributable to Dollar-Denominated Production Payments, (ii) write-off of deferred financing costs and</w:t>
      </w:r>
    </w:p>
    <w:p>
      <w:pPr>
        <w:ind w:left="440" w:right="20" w:hanging="4"/>
        <w:spacing w:after="0" w:line="253" w:lineRule="auto"/>
        <w:tabs>
          <w:tab w:leader="none" w:pos="7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accretion of interest charges on future plugging and abandonment obligations, future retirement benefits and other obligations that do not constitute Indebtedness, but including, without limitation, amortization of debt issuance costs and original issue discount, non-cash interest payments, the interest component of all payments associated with Finance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Times New Roman" w:cs="Times New Roman" w:eastAsia="Times New Roman" w:hAnsi="Times New Roman"/>
          <w:sz w:val="18"/>
          <w:szCs w:val="18"/>
          <w:i w:val="1"/>
          <w:iCs w:val="1"/>
          <w:color w:val="auto"/>
        </w:rPr>
        <w:t>plus</w:t>
      </w:r>
    </w:p>
    <w:p>
      <w:pPr>
        <w:spacing w:after="0" w:line="76"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expense of such Person and its Restricted Subsidiaries that was capitalized during such period;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1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interest on Indebtedness of another Person (other than Non-Recourse Debt of any Unrestricted Subsidiary or Joint Venture incurred pursuant to Section 4.09(b)(14)) that is guaranteed by such Person or one of its Restricted Subsidiaries or secured by a Lien on assets of such Person or one of its Restricted Subsidiaries, whether or not such guarantee or Lien is called upon;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whether paid or accrued and whether or not in cash, on any series of Disqualified Stock of such Person or any series of Preferred Stock of its Restricted Subsidiaries, other than dividends on Equity Interests payable solely in Equity Interests of such Person (other than Disqualified Stock) or to such Person or a Restricted Subsidiary of such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on a consolidated basis and determined in accordance with GAAP.</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5" w:name="page26"/>
    <w:bookmarkEnd w:id="25"/>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which are in effect from time to time. All ratio computations based on GAAP contained in this Indenture will be computed in conformity with GAAP.</w:t>
      </w:r>
    </w:p>
    <w:p>
      <w:pPr>
        <w:spacing w:after="0" w:line="158" w:lineRule="exact"/>
        <w:rPr>
          <w:sz w:val="20"/>
          <w:szCs w:val="20"/>
          <w:color w:val="auto"/>
        </w:rPr>
      </w:pPr>
    </w:p>
    <w:p>
      <w:pPr>
        <w:ind w:right="4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means the legend set forth in Section 2.06(g)(2), which is required to be placed on all Global Notes issued under this Indenture.</w:t>
      </w:r>
    </w:p>
    <w:p>
      <w:pPr>
        <w:spacing w:after="0" w:line="158"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xml:space="preserve">” means, individually and collectively, each of the Restricted Global Notes and the Unrestricted Global Notes deposited with or on behalf of and registered in the name of the Depositary or its nominee,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that bears the Global Note Legend and that has the “Schedule of Increases or Decreases of Interests in the Global Note” attached thereto issued in accordance with Section 2.01, 2.06(b)(4) or 2.06(d)(4).</w:t>
      </w:r>
    </w:p>
    <w:p>
      <w:pPr>
        <w:spacing w:after="0" w:line="180"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 Securities</w:t>
      </w:r>
      <w:r>
        <w:rPr>
          <w:rFonts w:ascii="Times New Roman" w:cs="Times New Roman" w:eastAsia="Times New Roman" w:hAnsi="Times New Roman"/>
          <w:sz w:val="18"/>
          <w:szCs w:val="18"/>
          <w:color w:val="auto"/>
        </w:rPr>
        <w:t>” means direct obligations of, or obligations guaranteed by, the United States of America, and the payment for which the United States pledges its full faith and credit.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the guarantee by each Guarantor of the Issuer’s obligations under this Indenture and the Notes, as provided in Article 10.</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i w:val="1"/>
          <w:iCs w:val="1"/>
          <w:color w:val="auto"/>
        </w:rPr>
        <w:t>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When used as a verb, “guarantee” has a correlative meaning.</w:t>
      </w:r>
    </w:p>
    <w:p>
      <w:pPr>
        <w:spacing w:after="0" w:line="183" w:lineRule="exact"/>
        <w:rPr>
          <w:sz w:val="20"/>
          <w:szCs w:val="20"/>
          <w:color w:val="auto"/>
        </w:rPr>
      </w:pPr>
    </w:p>
    <w:p>
      <w:pPr>
        <w:ind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Guarantors</w:t>
      </w:r>
      <w:r>
        <w:rPr>
          <w:rFonts w:ascii="Times New Roman" w:cs="Times New Roman" w:eastAsia="Times New Roman" w:hAnsi="Times New Roman"/>
          <w:sz w:val="17"/>
          <w:szCs w:val="17"/>
          <w:color w:val="auto"/>
        </w:rPr>
        <w:t>” means any Subsidiary of the Issuer that guarantees the Notes in accordance with the provisions of this Indenture, and their respective successors and assigns, in each case, until the Guarantee of such Person has been released in accordance with the provisions of this Indenture.</w:t>
      </w:r>
    </w:p>
    <w:p>
      <w:pPr>
        <w:spacing w:after="0" w:line="135"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 Obligations</w:t>
      </w:r>
      <w:r>
        <w:rPr>
          <w:rFonts w:ascii="Times New Roman" w:cs="Times New Roman" w:eastAsia="Times New Roman" w:hAnsi="Times New Roman"/>
          <w:sz w:val="18"/>
          <w:szCs w:val="18"/>
          <w:color w:val="auto"/>
        </w:rPr>
        <w:t>” means, with respect to any specified Person, the obligations of such Person under any (a) Interest Rate Agreement, (b) Oil and Gas Hedging Contract, or (c) other agreements or arrangements designed to protect such Person against or to manage exposure to fluctuations in currency exchange rates.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Note is registered.</w:t>
      </w:r>
    </w:p>
    <w:p>
      <w:pPr>
        <w:spacing w:after="0" w:line="225" w:lineRule="exact"/>
        <w:rPr>
          <w:sz w:val="20"/>
          <w:szCs w:val="20"/>
          <w:color w:val="auto"/>
        </w:rPr>
      </w:pPr>
    </w:p>
    <w:p>
      <w:pPr>
        <w:ind w:right="4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Hydrocarbons</w:t>
      </w:r>
      <w:r>
        <w:rPr>
          <w:rFonts w:ascii="Times New Roman" w:cs="Times New Roman" w:eastAsia="Times New Roman" w:hAnsi="Times New Roman"/>
          <w:sz w:val="18"/>
          <w:szCs w:val="18"/>
          <w:color w:val="auto"/>
        </w:rPr>
        <w:t>” means oil, natural gas, casing head gas, drip gasoline, natural gasoline, condensate, distillate, liquid hydrocarbons, gaseous hydrocarbons and all constituents, elements or compounds thereof and products refined or processed therefrom.</w:t>
      </w:r>
    </w:p>
    <w:p>
      <w:pPr>
        <w:spacing w:after="0" w:line="158"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specified Person, any indebtedness of such Person (excluding accrued expenses and Trade Payables), whether or not contingent:</w:t>
      </w:r>
    </w:p>
    <w:p>
      <w:pPr>
        <w:spacing w:after="0" w:line="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 in respect of borrowed money;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8" w:right="479" w:bottom="1440" w:gutter="0" w:footer="0" w:header="0"/>
        </w:sectPr>
      </w:pPr>
    </w:p>
    <w:bookmarkStart w:id="26" w:name="page27"/>
    <w:bookmarkEnd w:id="26"/>
    <w:p>
      <w:pPr>
        <w:ind w:left="440" w:right="80" w:firstLine="419"/>
        <w:spacing w:after="0" w:line="276" w:lineRule="auto"/>
        <w:tabs>
          <w:tab w:leader="none" w:pos="111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evidenced by bonds, notes, debentures or similar instruments or (b) constituting letters of credit (or reimbursement agreements in respect thereof) (other than obligations with respect to letters of credit securing obligations (other than obligations described in clauses (1), (2)(a),</w:t>
      </w:r>
    </w:p>
    <w:p>
      <w:pPr>
        <w:ind w:left="440" w:right="3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(4) or (6) of this definition) entered into in the ordinary course of business of such Person to the extent such letters of credit are not drawn upon or, if and to the extent drawn upon, such drawing is reimbursed no later than the tenth Business Day following payment on the letter of credit);</w:t>
      </w:r>
    </w:p>
    <w:p>
      <w:pPr>
        <w:spacing w:after="0" w:line="77"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bankers’ acceptances;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Finance Lease Obligations or Attributable Debt in respect of sale and leaseback transactions;</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balance deferred and unpaid of the purchase price of any property or services due more than six months after such property is acquired or such services are completed;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any Hedging Obligations,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(including, with respect to any Production Payment, any warranties or guarantees of production or payment by such Person with respect to such Production Payment, but excluding other contractual obligations of such Person with respect to such Production Payment). Subject to the preceding sentence, neither Dollar-Denominated Production Payments nor Volumetric Production Payments shall be deemed to be Indebtedness.</w:t>
      </w:r>
    </w:p>
    <w:p>
      <w:pPr>
        <w:spacing w:after="0" w:line="18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 addition, “Indebtedness” of any Person shall include Indebtedness described in the preceding paragraph that would not appear as a liability on the balance sheet of such Person if:</w:t>
      </w:r>
    </w:p>
    <w:p>
      <w:pPr>
        <w:spacing w:after="0" w:line="54" w:lineRule="exact"/>
        <w:rPr>
          <w:sz w:val="20"/>
          <w:szCs w:val="20"/>
          <w:color w:val="auto"/>
        </w:rPr>
      </w:pPr>
    </w:p>
    <w:p>
      <w:pPr>
        <w:ind w:left="1120" w:hanging="261"/>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the obligation of a partnership that is a Joint Venture;</w:t>
      </w:r>
    </w:p>
    <w:p>
      <w:pPr>
        <w:spacing w:after="0" w:line="11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 Restricted Subsidiary of such Person is a general partner of the Joint Venture (a “</w:t>
      </w:r>
      <w:r>
        <w:rPr>
          <w:rFonts w:ascii="Times New Roman" w:cs="Times New Roman" w:eastAsia="Times New Roman" w:hAnsi="Times New Roman"/>
          <w:sz w:val="18"/>
          <w:szCs w:val="18"/>
          <w:i w:val="1"/>
          <w:iCs w:val="1"/>
          <w:color w:val="auto"/>
        </w:rPr>
        <w:t>Joint Venture General Partner</w:t>
      </w:r>
      <w:r>
        <w:rPr>
          <w:rFonts w:ascii="Times New Roman" w:cs="Times New Roman" w:eastAsia="Times New Roman" w:hAnsi="Times New Roman"/>
          <w:sz w:val="18"/>
          <w:szCs w:val="18"/>
          <w:color w:val="auto"/>
        </w:rPr>
        <w:t>”); and</w:t>
      </w:r>
    </w:p>
    <w:p>
      <w:pPr>
        <w:spacing w:after="0" w:line="119"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recourse, by contract or operation of law, with respect to the payment of such Indebtedness to property or assets of such Person or a Restricted Subsidiary of such Person; and then such Indebtedness shall be included in an amount not to exceed:</w:t>
      </w:r>
    </w:p>
    <w:p>
      <w:pPr>
        <w:spacing w:after="0" w:line="53" w:lineRule="exact"/>
        <w:rPr>
          <w:rFonts w:ascii="Times New Roman" w:cs="Times New Roman" w:eastAsia="Times New Roman" w:hAnsi="Times New Roman"/>
          <w:sz w:val="18"/>
          <w:szCs w:val="18"/>
          <w:color w:val="auto"/>
        </w:rPr>
      </w:pPr>
    </w:p>
    <w:p>
      <w:pPr>
        <w:ind w:left="980" w:firstLine="408"/>
        <w:spacing w:after="0" w:line="282" w:lineRule="auto"/>
        <w:tabs>
          <w:tab w:leader="none" w:pos="162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lesser of (i) the net assets of the Joint Venture General Partner and (ii) the amount of such obligations to the extent that there is recourse, by contract or operation of law, to the property or assets of such Person or a Restricted Subsidiary of such Person; or</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61" w:lineRule="auto"/>
        <w:tabs>
          <w:tab w:leader="none" w:pos="16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the amount determined pursuant to clause (a) immediately above, the actual amount of such Indebtedness that is recourse to such Person or a Restricted Subsidiary of such Person, if the Indebtedness is evidenced by a writing and is for a determinable amount and the related interest expense shall be included in Fixed Charges to the extent actually paid by such Person or its Restricted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the following shall not in any event constitute “Indebtedness”:</w:t>
      </w:r>
    </w:p>
    <w:p>
      <w:pPr>
        <w:spacing w:after="0" w:line="117" w:lineRule="exact"/>
        <w:rPr>
          <w:sz w:val="20"/>
          <w:szCs w:val="20"/>
          <w:color w:val="auto"/>
        </w:rPr>
      </w:pPr>
    </w:p>
    <w:p>
      <w:pPr>
        <w:ind w:left="440" w:right="100" w:firstLine="419"/>
        <w:spacing w:after="0" w:line="261"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which has been defeased or discharged in accordance with GAAP or defeased or discharged pursuant to the deposit of cash or Cash Equivalents (in an amount sufficient to satisfy all such indebtedness at maturity or redemption, as applicable, and all payments of interest and premium, if any) in a trust or account created or pledged for the sole benefit of the holders of such indebtedness, and subject to no other Liens, and the other applicable terms of the instrument governing such indebtedness;</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81" w:lineRule="auto"/>
        <w:tabs>
          <w:tab w:leader="none" w:pos="111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of a Person in respect of a farm-in agreement or similar arrangement whereby such Person agrees to pay all or a share of the drilling, completion or other expenses of an exploratory or development well (which agreement may be subject to maximum payment obligations, after which expenses are shared in accordance with the working or participation interest therein or in accordance with the agreement of the parties) or perform the drilling, completion or other operation on such well in exchange for an ownership interest in an oil or gas property;</w:t>
      </w:r>
    </w:p>
    <w:p>
      <w:pPr>
        <w:spacing w:after="0" w:line="56" w:lineRule="exact"/>
        <w:rPr>
          <w:rFonts w:ascii="Times New Roman" w:cs="Times New Roman" w:eastAsia="Times New Roman" w:hAnsi="Times New Roman"/>
          <w:sz w:val="17"/>
          <w:szCs w:val="17"/>
          <w:color w:val="auto"/>
        </w:rPr>
      </w:pPr>
    </w:p>
    <w:p>
      <w:pPr>
        <w:ind w:left="440" w:right="380" w:firstLine="419"/>
        <w:spacing w:after="0" w:line="282"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losses or charges in respect of Interest Rate Agreements or Oil and Gas Hedging Contracts (including those resulting from the application of FASB ASC 815);</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and other obligations, agreements, instruments or arrangements described in clauses (10), (18) and (19) of the definition of “Permitted Liens”;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Management Obligations.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Indirect Participant</w:t>
      </w:r>
      <w:r>
        <w:rPr>
          <w:rFonts w:ascii="Times New Roman" w:cs="Times New Roman" w:eastAsia="Times New Roman" w:hAnsi="Times New Roman"/>
          <w:sz w:val="18"/>
          <w:szCs w:val="18"/>
          <w:color w:val="auto"/>
        </w:rPr>
        <w:t>” means a Person who holds a beneficial interest in a Global Note through a Participant.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Notes</w:t>
      </w:r>
      <w:r>
        <w:rPr>
          <w:rFonts w:ascii="Times New Roman" w:cs="Times New Roman" w:eastAsia="Times New Roman" w:hAnsi="Times New Roman"/>
          <w:sz w:val="18"/>
          <w:szCs w:val="18"/>
          <w:color w:val="auto"/>
        </w:rPr>
        <w:t>” means the first $600,000,000 aggregate principal amount of Notes issued under this Indenture on the Issue Date.</w:t>
      </w:r>
    </w:p>
    <w:p>
      <w:pPr>
        <w:spacing w:after="0" w:line="225" w:lineRule="exact"/>
        <w:rPr>
          <w:sz w:val="20"/>
          <w:szCs w:val="20"/>
          <w:color w:val="auto"/>
        </w:rPr>
      </w:pPr>
    </w:p>
    <w:p>
      <w:pPr>
        <w:ind w:right="2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Rate Agreement</w:t>
      </w:r>
      <w:r>
        <w:rPr>
          <w:rFonts w:ascii="Times New Roman" w:cs="Times New Roman" w:eastAsia="Times New Roman" w:hAnsi="Times New Roman"/>
          <w:sz w:val="18"/>
          <w:szCs w:val="18"/>
          <w:color w:val="auto"/>
        </w:rPr>
        <w:t>” means any interest rate swap agreement (whether from fixed to floating or from floating to fixed), interest rate cap agreement, interest rate collar agreement or other similar agreement or arrangement designed to protect the Issuer or any of its Restricted Subsidiaries against fluctuations in interest rates and is not for speculative purposes.</w:t>
      </w:r>
    </w:p>
    <w:p>
      <w:pPr>
        <w:spacing w:after="0" w:line="17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means, with respect to any Person, any direct or indirect investment by such Person in other Persons (including Affiliates) in the form of loans (including guarantees), advances or capital contributions, and purchases or other acquisitions for consideration of Indebtedness, Equity Interests or other securities, together with all items that are or would be classified as investments on a balance sheet prepared in accordance with GAAP (excluding, in each case, (1) commission, travel and similar advances to officers and employees made in the ordinary course of business, (2) any interest in an oil or natural gas leasehold to the extent constituting a security under applicable law and (3) advances to customers in the ordinary course of business that are recorded as accounts receivable on the balance sheet of the lender, prepaid expenses or deposits and extensions of trade credit on commercially reasonable terms in accordance with normal trade practices). If the Issuer or any Restricted Subsidiary of the Issuer sells or otherwise disposes of any Equity Interests of any direct or indirect Restricted Subsidiary of the Issuer such that, after giving effect to any such sale or disposition, such Person is no longer a Restricted Subsidiary of the Issuer (other than the sale of all of the outstanding Capital Stock of such Subsidiary), the Issuer will be deemed to have made an Investment on the date of any such sale or disposition equal to the Fair Market Value of the Issuer’s Investments in such Subsidiary that were not sold or disposed of in an amount determined as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8" w:name="page29"/>
    <w:bookmarkEnd w:id="28"/>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in the penultimate paragraph of Section 4.07. The acquisition by the Issuer or any Restricted Subsidiary of the Issuer of a Person that holds an Investment in a third Person will be deemed to be an Investment by the Issuer or such Restricted Subsidiary in such third Person in an amount equal to the Fair Market Value of the Investments held by the acquired Person in such third Person in an amount determined as provided in the penultimate paragraph of Section 4.07. Except as otherwise provided in this Indenture, the amount of an Investment will be determined at the time the Investment is made and without giving effect to subsequent changes in value or write-ups, write-downs or write-offs with respect to such Investment.</w:t>
      </w:r>
    </w:p>
    <w:p>
      <w:pPr>
        <w:spacing w:after="0" w:line="18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equal to or higher than Baa3 (or the equivalent) by Moody’s or BBB- (or the equivalent) by Fitch or S&amp;P (or, if either such entity ceases to rate the Notes for reasons outside of the control of the Issuer, the equivalent investment grade credit rating from any other “nationally recognized statistical rating organization” within the meaning of Section 3(a)(62) of the Exchange Act selected by the Issuer as a replacement agency).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June 5, 2024.</w:t>
      </w:r>
    </w:p>
    <w:p>
      <w:pPr>
        <w:spacing w:after="0" w:line="225"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means any Person that is not a direct or indirect Subsidiary of the Issuer in which the Issuer or any of its Restricted Subsidiaries makes any Investment.</w:t>
      </w:r>
    </w:p>
    <w:p>
      <w:pPr>
        <w:spacing w:after="0" w:line="158"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means a Saturday, a Sunday or a day on which banking institutions in the City of Los Angeles, California, the place of payment or the City of New York, New York are authorized by law, regulation or executive order to remain closed.</w:t>
      </w:r>
    </w:p>
    <w:p>
      <w:pPr>
        <w:spacing w:after="0" w:line="15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other than a precautionary financing statement respecting a lease not intended as a security agreement.</w:t>
      </w:r>
    </w:p>
    <w:p>
      <w:pPr>
        <w:spacing w:after="0" w:line="183"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Midstream and Infrastructure Assets</w:t>
      </w:r>
      <w:r>
        <w:rPr>
          <w:rFonts w:ascii="Times New Roman" w:cs="Times New Roman" w:eastAsia="Times New Roman" w:hAnsi="Times New Roman"/>
          <w:sz w:val="17"/>
          <w:szCs w:val="17"/>
          <w:color w:val="auto"/>
        </w:rPr>
        <w:t>” means (i) assets used primarily for gathering, distributing, marketing, selling, treating, processing, transmission, compression, fractionation, dehydration, sourcing, disposal, stabilization, treatment, transporting of, or storage, disposal, or other handling of, Hydrocarbons, water, carbon dioxide, sand, minerals, chemicals or other products or substances commonly created, used, recovered, produced or processed in the conduct of the Oil and Gas Business, including compression, pumping, treatment and disposal facilities, gathering lines and systems, and other assets commonly considered midstream assets or useful in connection with the conduct of midstream operations, (ii) power and cogeneration facilities, steam flood facilities, carbon capture and sequestration facilities and assets, and any infrastructure or fixtures or assets related thereto, including machinery, valves, engines, boilers, tanks, parts, fittings, lines, cables, towers, rights of way and easements and (iii) Equity Interests of any Person if (a) all or substantially all of the assets of such Person consist of or will consist of assets described in clauses (i) or (ii) above or (b) all or substantially all of such Person’s business is ownership of, operation of, construction or development of, or direct or indirect investment in, such assets.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any successor to the ratings business thereof.</w:t>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29" w:name="page30"/>
    <w:bookmarkEnd w:id="29"/>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Net Proceeds</w:t>
      </w:r>
      <w:r>
        <w:rPr>
          <w:rFonts w:ascii="Times New Roman" w:cs="Times New Roman" w:eastAsia="Times New Roman" w:hAnsi="Times New Roman"/>
          <w:sz w:val="18"/>
          <w:szCs w:val="18"/>
          <w:color w:val="auto"/>
        </w:rPr>
        <w:t>” means the aggregate cash proceeds and Cash Equivalents received by the Issuer or any of its Restricted Subsidiaries in respect of any Asset Sale (including, without limitation, any cash or Cash Equivalents received upon the sale or other disposition of any non-cash consideration received in any Asset Sale but excluding any non-cash consideration deemed to be cash or Cash Equivalents for purposes Section 4.10), net of (i) the costs relating to such Asset Sale, including, without limitation, legal, title and recording expenses, accounting and investment banking fees, and sales commissions, (ii) distributions and other payments required to be made to minority interest holders in Subsidiaries or joint ventures as a result of such Asset Sale, (iii) any relocation expenses and severance and associated costs, expenses and charges of personnel relating to the assets subject to or incurred as a result of the Asset Sale, (iv) taxes paid or payable as a result of the Asset Sale, in each case, after taking into account any available tax credits or deductions and any tax sharing arrangements, (v) amounts required to be applied to the repayment of Indebtedness (other than revolving credit Indebtedness under a Credit Facility that is secured by a Lien on the asset or assets that were the subject of such Asset Sale), and (vi) any reserve for adjustment or indemnification obligations in respect of the sale price of such asset or assets established in accordance with GAAP.</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Debt</w:t>
      </w:r>
      <w:r>
        <w:rPr>
          <w:rFonts w:ascii="Times New Roman" w:cs="Times New Roman" w:eastAsia="Times New Roman" w:hAnsi="Times New Roman"/>
          <w:sz w:val="18"/>
          <w:szCs w:val="18"/>
          <w:color w:val="auto"/>
        </w:rPr>
        <w:t>” means, with respect to Indebtedness of any Unrestricted Subsidiary or Joint Venture, Indebtedness:</w:t>
      </w:r>
    </w:p>
    <w:p>
      <w:pPr>
        <w:spacing w:after="0" w:line="119" w:lineRule="exact"/>
        <w:rPr>
          <w:sz w:val="20"/>
          <w:szCs w:val="20"/>
          <w:color w:val="auto"/>
        </w:rPr>
      </w:pPr>
    </w:p>
    <w:p>
      <w:pPr>
        <w:ind w:left="440" w:right="140" w:firstLine="419"/>
        <w:spacing w:after="0" w:line="261"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neither the Issuer nor any of its Restricted Subsidiaries (a) provides credit support under any undertaking, agreement or instrument that would constitute Indebtedness or (b) is directly or indirectly liable as a guarantor or otherwise, except for Customary Recourse Exceptions and except by the pledge of (or a guarantee limited in recourse solely to) the Equity Interests of such Unrestricted Subsidiary or Joint Venture; and</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the lenders will not have any recourse to the Capital Stock or assets of the Issuer or any of its Restricted Subsidiaries (other than the Equity Interests of such Unrestricted Subsidiary or Joint Venture), except for Customary Recourse Exceptions.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Non-U.S. Person</w:t>
      </w:r>
      <w:r>
        <w:rPr>
          <w:rFonts w:ascii="Times New Roman" w:cs="Times New Roman" w:eastAsia="Times New Roman" w:hAnsi="Times New Roman"/>
          <w:sz w:val="18"/>
          <w:szCs w:val="18"/>
          <w:color w:val="auto"/>
        </w:rPr>
        <w:t>” means a Person who is not a U.S. Person.</w:t>
      </w:r>
    </w:p>
    <w:p>
      <w:pPr>
        <w:spacing w:after="0" w:line="225" w:lineRule="exact"/>
        <w:rPr>
          <w:sz w:val="20"/>
          <w:szCs w:val="20"/>
          <w:color w:val="auto"/>
        </w:rPr>
      </w:pPr>
    </w:p>
    <w:p>
      <w:pPr>
        <w:jc w:val="both"/>
        <w:ind w:right="2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has the meaning assigned to it in the preamble to this Indenture. The Initial Notes and any Additional Notes shall be treated as a single class for all purposes under this Indenture, and unless the context otherwise requires, all references to the Notes shall include the Initial Notes and any Additional Notes.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NYMEX</w:t>
      </w:r>
      <w:r>
        <w:rPr>
          <w:rFonts w:ascii="Times New Roman" w:cs="Times New Roman" w:eastAsia="Times New Roman" w:hAnsi="Times New Roman"/>
          <w:sz w:val="18"/>
          <w:szCs w:val="18"/>
          <w:color w:val="auto"/>
        </w:rPr>
        <w:t>” means the New York Mercantile Exchange, a commodity futures exchange owned and operated by CME Group of Chicago.</w:t>
      </w:r>
    </w:p>
    <w:p>
      <w:pPr>
        <w:spacing w:after="0" w:line="225" w:lineRule="exact"/>
        <w:rPr>
          <w:sz w:val="20"/>
          <w:szCs w:val="20"/>
          <w:color w:val="auto"/>
        </w:rPr>
      </w:pPr>
    </w:p>
    <w:p>
      <w:pPr>
        <w:ind w:right="3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means any principal, interest, penalties, fees, indemnifications, reimbursements, damages and other liabilities payable under the documentation governing any Indebtedness.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Offering Memorandum</w:t>
      </w:r>
      <w:r>
        <w:rPr>
          <w:rFonts w:ascii="Times New Roman" w:cs="Times New Roman" w:eastAsia="Times New Roman" w:hAnsi="Times New Roman"/>
          <w:sz w:val="18"/>
          <w:szCs w:val="18"/>
          <w:color w:val="auto"/>
        </w:rPr>
        <w:t>” means the offering memorandum of the Issuer dated May 21, 2024 relating to the issuance of the Initial Notes.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with respect to any Person, the Chairman of the Board, the Chief Executive Officer, the President, the Chief Operating Officer, the Chief Financial Officer, the Chief Accounting Officer, the Treasurer, any Assistant Treasurer, the Controller, the Secretary, any Assistant Secretary or any Vice President of such Person (or, if such Person is a limited partnership, the Chairman of the Board, the Chief Executive Officer, the President, the Chief Operating Officer, the Chief Financial Officer, the Chief Accounting Officer, the Treasurer, any Assistant Treasurer, the Controller, the Secretary, any Assistant Secretary, any Vice President or any Assistant Vice President of such Person’s general partner).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8" w:right="459" w:bottom="1440" w:gutter="0" w:footer="0" w:header="0"/>
        </w:sectPr>
      </w:pPr>
    </w:p>
    <w:bookmarkStart w:id="30" w:name="page31"/>
    <w:bookmarkEnd w:id="30"/>
    <w:p>
      <w:pPr>
        <w:ind w:right="4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on behalf of the Issuer by two of its Officers, one of whom must be the principal executive officer, the principal financial officer or the principal accounting officer, that meets the requirements of Section 12.05.</w:t>
      </w:r>
    </w:p>
    <w:p>
      <w:pPr>
        <w:spacing w:after="0" w:line="15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Oil and Gas Business</w:t>
      </w:r>
      <w:r>
        <w:rPr>
          <w:rFonts w:ascii="Times New Roman" w:cs="Times New Roman" w:eastAsia="Times New Roman" w:hAnsi="Times New Roman"/>
          <w:sz w:val="18"/>
          <w:szCs w:val="18"/>
          <w:color w:val="auto"/>
        </w:rPr>
        <w:t>” means (i) the acquisition, exploration, development, production, operation and disposition of interests in oil, gas and other Hydrocarbon properties, (ii) the gathering, marketing, treating, processing, storage, selling and transporting of any production from such interests or properties, (iii) power generation or cogeneration and distribution of power and related activities, (iv) any business relating to exploration for or development, production, treatment, processing, storage, transportation or marketing of oil, gas and other minerals and products produced in association therewith, including steam and water, (v) developing, constructing, owning, operating and maintaining (a) low carbon, carbon management, carbon sequestration and/or carbon offsetting technologies, assets, infrastructure and businesses, including carbon dioxide and associated gases capture (including direct air capture and pre- and post-combustion capture processes), transportation, utilization and/or sequestration technologies, facilities or assets, (b) solar, wind, geothermal or other renewable power generation or deployment technologies, facilities or assets, (c) the production, storage, or transportation of hydrogen, ammonia or other substances, and (d) energy storage or other clean energy technologies, facilities or assets, (vi) any other activities conducted by the Issuer and its Subsidiaries on the Issue Date and (vii) any activity that, as determined in good faith by the Issuer, arises from, relates to or is ancillary, complementary or incidental to or necessary or appropriate for the activities described in clauses (i) through (vi) of this definition.</w:t>
      </w:r>
    </w:p>
    <w:p>
      <w:pPr>
        <w:spacing w:after="0" w:line="190"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Oil and Gas Hedging Contracts</w:t>
      </w:r>
      <w:r>
        <w:rPr>
          <w:rFonts w:ascii="Times New Roman" w:cs="Times New Roman" w:eastAsia="Times New Roman" w:hAnsi="Times New Roman"/>
          <w:sz w:val="18"/>
          <w:szCs w:val="18"/>
          <w:color w:val="auto"/>
        </w:rPr>
        <w:t>” means any puts, cap transactions, floor transactions, collar transactions, forward contract, commodity swap agreement, commodity option agreement or other similar agreement or arrangement in respect of Hydrocarbons to be purchased, used, produced, processed or sold by the Issuer or any of its Restricted Subsidiary that are customary in the Oil and Gas Business and designed to protect against or manage price risks, basis risks or other risks encountered in the Oil and Gas Business and not for speculative purposes.</w:t>
      </w:r>
    </w:p>
    <w:p>
      <w:pPr>
        <w:spacing w:after="0" w:line="180" w:lineRule="exact"/>
        <w:rPr>
          <w:sz w:val="20"/>
          <w:szCs w:val="20"/>
          <w:color w:val="auto"/>
        </w:rPr>
      </w:pPr>
    </w:p>
    <w:p>
      <w:pPr>
        <w:ind w:right="6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Oil and Gas Properties</w:t>
      </w:r>
      <w:r>
        <w:rPr>
          <w:rFonts w:ascii="Times New Roman" w:cs="Times New Roman" w:eastAsia="Times New Roman" w:hAnsi="Times New Roman"/>
          <w:sz w:val="17"/>
          <w:szCs w:val="17"/>
          <w:color w:val="auto"/>
        </w:rPr>
        <w:t>” means all properties, including equity or other ownership interest therein, owned by such Person or any of its Restricted Subsidiaries which contain or are believed to contain “proved oil and gas reserves” as defined in Rule 4-10 of Regulation S-X of the Securities Act.</w:t>
      </w:r>
    </w:p>
    <w:p>
      <w:pPr>
        <w:spacing w:after="0" w:line="135" w:lineRule="exact"/>
        <w:rPr>
          <w:sz w:val="20"/>
          <w:szCs w:val="20"/>
          <w:color w:val="auto"/>
        </w:rPr>
      </w:pPr>
    </w:p>
    <w:p>
      <w:pPr>
        <w:ind w:right="8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an opinion from legal counsel who is reasonably acceptable to the Trustee, that meets the requirements of Section 12.04, which counsel may be an employee of or counsel to the Issuer, any Subsidiary of the Issuer or the Trustee.</w:t>
      </w:r>
    </w:p>
    <w:p>
      <w:pPr>
        <w:spacing w:after="0" w:line="158"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with respect to the Depositary, Euroclear or Clearstream, a Person who has an account with the Depositary, Euroclear or Clearstream, respectively (and, with respect to DTC, shall include Euroclear and Clearstream).</w:t>
      </w:r>
    </w:p>
    <w:p>
      <w:pPr>
        <w:spacing w:after="0" w:line="15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PDP Coverage Ratio</w:t>
      </w:r>
      <w:r>
        <w:rPr>
          <w:rFonts w:ascii="Times New Roman" w:cs="Times New Roman" w:eastAsia="Times New Roman" w:hAnsi="Times New Roman"/>
          <w:sz w:val="18"/>
          <w:szCs w:val="18"/>
          <w:color w:val="auto"/>
        </w:rPr>
        <w:t>” means, as of any date of determination, the ratio of (a) the PDP Reserve Value of the Issuer and its Restricted Subsidiaries, to (b) the total principal amount of outstanding Indebtedness for borrowed money, net of cash and Cash Equivalents, of the Issuer and its Restricted Subsidiaries determined on a consolidated basis as of such date.</w:t>
      </w:r>
    </w:p>
    <w:p>
      <w:pPr>
        <w:spacing w:after="0" w:line="17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PDP Reserve Value</w:t>
      </w:r>
      <w:r>
        <w:rPr>
          <w:rFonts w:ascii="Times New Roman" w:cs="Times New Roman" w:eastAsia="Times New Roman" w:hAnsi="Times New Roman"/>
          <w:sz w:val="18"/>
          <w:szCs w:val="18"/>
          <w:color w:val="auto"/>
        </w:rPr>
        <w:t>” means the net present value of the estimated future net revenues, before state or federal income taxes, discounted at an annual discount rate of 10%, from the oil and natural gas reserves of the Issuer and its Restricted Subsidiaries that are categorized as “proved developed producing” reserves (or an equivalent designation) either (a) in the most recent semi-annual reserve report prepared for purposes of determining the Borrowing Base under the Credit Agreement (or, if the Credit Agreement no longer requires delivery of semi-annual reserve reports for such purpose, in the most recent semi-annual reserve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8" w:right="459" w:bottom="1440" w:gutter="0" w:footer="0" w:header="0"/>
        </w:sectPr>
      </w:pPr>
    </w:p>
    <w:bookmarkStart w:id="31" w:name="page32"/>
    <w:bookmarkEnd w:id="31"/>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prepared in a manner consistent with reports contemplated by the Credit Agreement as of the Issue Date) or (b) at the Issuer’s option, in a reserve report prepared as of the end of its most recently completed fiscal quarter, in either case after giving effect to any acquisitions by the Issuer or its Restricted Subsidiaries of proved developed producing reserves, all calculated based on Strip Prices as of a date not more than 30 days prior to the date of such reserve report and calculated after giving effect to the net mark to market value of Oil and Gas Hedging Contracts. The PDP Reserve Value shall be determined by the Issuer in good faith (based on its internal calculations or calculations provided by third party reserve engineers), which determination shall be conclusive and binding for all purposes under this Indenture.</w:t>
      </w:r>
    </w:p>
    <w:p>
      <w:pPr>
        <w:spacing w:after="0" w:line="18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Acquisition Indebtedness</w:t>
      </w:r>
      <w:r>
        <w:rPr>
          <w:rFonts w:ascii="Times New Roman" w:cs="Times New Roman" w:eastAsia="Times New Roman" w:hAnsi="Times New Roman"/>
          <w:sz w:val="18"/>
          <w:szCs w:val="18"/>
          <w:color w:val="auto"/>
        </w:rPr>
        <w:t xml:space="preserve">” means Indebtedness or Disqualified Stock or Preferred Stock of the Issuer or any of its Restricted Subsidiaries to the extent such Indebtedness or Disqualified Stock or Preferred Stock (i) was Indebtedness or Disqualified Stock or Preferred Stock of any other Person existing at the time (a) such Person became a Restricted Subsidiary of the Issuer or (b) such Person was merged or consolidated with or into the Issuer or any of its Restricted Subsidiaries, or (ii) is incurred in contemplation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the date such Person became a Restricted Subsidiary or the date such Person was merged or consolidated with or into the Issuer or any of its Restricted Subsidiaries, as applicable, either of:</w:t>
      </w:r>
    </w:p>
    <w:p>
      <w:pPr>
        <w:spacing w:after="0" w:line="76" w:lineRule="exact"/>
        <w:rPr>
          <w:sz w:val="20"/>
          <w:szCs w:val="20"/>
          <w:color w:val="auto"/>
        </w:rPr>
      </w:pPr>
    </w:p>
    <w:p>
      <w:pPr>
        <w:ind w:left="440" w:right="40" w:firstLine="419"/>
        <w:spacing w:after="0" w:line="289" w:lineRule="auto"/>
        <w:tabs>
          <w:tab w:leader="none" w:pos="111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such transaction and any related financing transaction on a pro forma basis as if the same had occurred at the beginning of the applicable four-quarter period, the Issuer or such Person (if the Issuer is not the survivor in the transaction) would be permitted to incur at least $1.00 of additional Indebtedness pursuant to the Fixed Charge Coverage Ratio test set forth in Section 4.09(a); or</w:t>
      </w:r>
    </w:p>
    <w:p>
      <w:pPr>
        <w:spacing w:after="0" w:line="49" w:lineRule="exact"/>
        <w:rPr>
          <w:rFonts w:ascii="Times New Roman" w:cs="Times New Roman" w:eastAsia="Times New Roman" w:hAnsi="Times New Roman"/>
          <w:sz w:val="17"/>
          <w:szCs w:val="17"/>
          <w:color w:val="auto"/>
        </w:rPr>
      </w:pPr>
    </w:p>
    <w:p>
      <w:pPr>
        <w:ind w:left="440" w:right="40" w:firstLine="419"/>
        <w:spacing w:after="0" w:line="266" w:lineRule="auto"/>
        <w:tabs>
          <w:tab w:leader="none" w:pos="11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any related financing transaction on a pro forma basis as if the same had occurred at the beginning of the applicable four-quarter period, the Fixed Charge Coverage Ratio of the Issuer or such Person (if the Issuer is not the survivor in the transaction) is equal to or greater than the Fixed Charge Coverage Ratio of the Issuer immediately prior to such transaction.</w:t>
      </w:r>
    </w:p>
    <w:p>
      <w:pPr>
        <w:spacing w:after="0" w:line="17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Business Investments</w:t>
      </w:r>
      <w:r>
        <w:rPr>
          <w:rFonts w:ascii="Times New Roman" w:cs="Times New Roman" w:eastAsia="Times New Roman" w:hAnsi="Times New Roman"/>
          <w:sz w:val="18"/>
          <w:szCs w:val="18"/>
          <w:color w:val="auto"/>
        </w:rPr>
        <w:t>” means Investments made in the ordinary course of, and of a nature that is or shall have become customary in, the Oil and Gas Business as a means of actively exploiting, exploring for, acquiring, developing, processing, gathering, marketing or transporting oil and natural gas through agreements, transactions, interests or arrangements which permit one to share risks or costs, comply with regulatory requirements regarding local ownership or satisfy other objectives customarily achieved through the conduct of Oil and Gas Business jointly with third parties, including, without limitation, (i) ownership interests in oil, natural gas, other Hydrocarbon properties or any interest therein or gathering, transportation, processing, storage or related systems, (ii) Investments in the form of or pursuant to operating agreements, working interests, royalty interests, mineral interests, processing agreements, farm-in agreements, farm-out agreements, development agreements, area of mutual interest agreements, unitization agreements, pooling agreements, joint bidding agreements, service contracts, joint venture agreements, partnership agreements (whether general or limited), limited liability company agreements, trust agreements, subscription agreements, stock purchase agreements and other similar or customary agreements with third parties, (iii) Investments in the form of mineral leases, production sharing agreements, production sales and marketing agreements, oil or gas leases, overriding royalty agreements, net profits agreements, production payment agreements or royalty trust agreements with third parties, (iv) Investments of operating funds on behalf of co-owners of properties used in the Oil and Gas Business of the Issuer or its Restricted Subsidiaries pursuant to joint operating agreements, and (v) direct or indirect ownership interests in drilling rigs, fracturing units and other equipment used in the Oil and Gas Business or in Persons that own or provide such equipment.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Permitted Investments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680" w:hanging="26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the Issuer (including, without limitation, through the purchase of any Notes) or in a Restricted Subsidiary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w:t>
      </w:r>
    </w:p>
    <w:p>
      <w:pPr>
        <w:spacing w:after="0" w:line="98"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cash and Cash Equivalents;</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by the Issuer or any Restricted Subsidiary of the Issuer in a Person, if as a result of such Investment:</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becomes a Restricted Subsidiary of the Issuer; or</w:t>
      </w:r>
    </w:p>
    <w:p>
      <w:pPr>
        <w:spacing w:after="0" w:line="117" w:lineRule="exact"/>
        <w:rPr>
          <w:rFonts w:ascii="Times New Roman" w:cs="Times New Roman" w:eastAsia="Times New Roman" w:hAnsi="Times New Roman"/>
          <w:sz w:val="18"/>
          <w:szCs w:val="18"/>
          <w:color w:val="auto"/>
        </w:rPr>
      </w:pPr>
    </w:p>
    <w:p>
      <w:pPr>
        <w:ind w:left="540" w:right="380" w:firstLine="408"/>
        <w:spacing w:after="0" w:line="282" w:lineRule="auto"/>
        <w:tabs>
          <w:tab w:leader="none" w:pos="11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merged, consolidated or amalgamated with or into, or transfers or conveys substantially all of its properties or assets to, or is liquidated into, the Issuer or a Restricted Subsidiary of the Issuer;</w:t>
      </w:r>
    </w:p>
    <w:p>
      <w:pPr>
        <w:spacing w:after="0" w:line="53" w:lineRule="exact"/>
        <w:rPr>
          <w:rFonts w:ascii="Times New Roman" w:cs="Times New Roman" w:eastAsia="Times New Roman" w:hAnsi="Times New Roman"/>
          <w:sz w:val="18"/>
          <w:szCs w:val="18"/>
          <w:color w:val="auto"/>
        </w:rPr>
      </w:pPr>
    </w:p>
    <w:p>
      <w:pPr>
        <w:ind w:right="260" w:firstLine="419"/>
        <w:spacing w:after="0" w:line="282"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made as a result of the receipt of non-cash consideration from an Asset Sale or Asset Swap that was made pursuant to and in compliance with Section 4.10;</w:t>
      </w:r>
    </w:p>
    <w:p>
      <w:pPr>
        <w:spacing w:after="0" w:line="53"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acquisition of assets or Capital Stock solely in exchange for the issuance of, or with or out of the net cash proceeds of the substantially concurrent (a) contribution (other than from a Restricted Subsidiary) to the equity capital of the Issuer in respect of or (b) sale (other than to a Restricted Subsidiary) of, Equity Interests (other than Disqualified Stock)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such case, the amount of such issuance, contribution or sale will be disregarded for purposes of clause (C)(ii) of Section 4.07(a);</w:t>
      </w:r>
    </w:p>
    <w:p>
      <w:pPr>
        <w:spacing w:after="0" w:line="71"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received in compromise or resolution of (a) obligations of trade creditors or customers that were incurred in the ordinary course of business of the Issuer or any of its Restricted Subsidiaries, including pursuant to any plan of reorganization or similar arrangement upon the bankruptcy or insolvency of any trade creditor or customer; or (b) litigation, arbitration or other disputes;</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represented by Hedging Obligations;</w:t>
      </w:r>
    </w:p>
    <w:p>
      <w:pPr>
        <w:spacing w:after="0" w:line="117" w:lineRule="exact"/>
        <w:rPr>
          <w:rFonts w:ascii="Times New Roman" w:cs="Times New Roman" w:eastAsia="Times New Roman" w:hAnsi="Times New Roman"/>
          <w:sz w:val="18"/>
          <w:szCs w:val="18"/>
          <w:color w:val="auto"/>
        </w:rPr>
      </w:pPr>
    </w:p>
    <w:p>
      <w:pPr>
        <w:ind w:right="360" w:firstLine="419"/>
        <w:spacing w:after="0" w:line="266"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any Person to the extent such Investments consist of prepaid expenses, negotiable instruments held for collection and lease, utility and workers’ compensation, performance and other deposits made in the ordinary course of business by the Issuer or any of its Restricted Subsidiaries;</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allowances for, and loans or advances to, officers, directors or employees made in the ordinary course of business of the Issuer or any Restricted Subsidiary of the Issuer;</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the Notes or Guarantees;</w:t>
      </w:r>
    </w:p>
    <w:p>
      <w:pPr>
        <w:spacing w:after="0" w:line="117" w:lineRule="exact"/>
        <w:rPr>
          <w:rFonts w:ascii="Times New Roman" w:cs="Times New Roman" w:eastAsia="Times New Roman" w:hAnsi="Times New Roman"/>
          <w:sz w:val="18"/>
          <w:szCs w:val="18"/>
          <w:color w:val="auto"/>
        </w:rPr>
      </w:pPr>
    </w:p>
    <w:p>
      <w:pPr>
        <w:ind w:right="100" w:firstLine="419"/>
        <w:spacing w:after="0" w:line="282" w:lineRule="auto"/>
        <w:tabs>
          <w:tab w:leader="none" w:pos="7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of Indebtedness of (a) the Issuer or a Restricted Subsidiary or (b) any Person that is not an Affiliate of the Issuer, in each case permitted to be incurred by Section 4.09;</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68" w:right="459" w:bottom="1440" w:gutter="0" w:footer="0" w:header="0"/>
        </w:sectPr>
      </w:pPr>
    </w:p>
    <w:bookmarkStart w:id="33" w:name="page34"/>
    <w:bookmarkEnd w:id="33"/>
    <w:p>
      <w:pPr>
        <w:ind w:left="4" w:firstLine="419"/>
        <w:spacing w:after="0" w:line="272" w:lineRule="auto"/>
        <w:tabs>
          <w:tab w:leader="none" w:pos="77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Investment existing on, or made pursuant to binding commitments existing on, the Issue Date and any Investment consisting of an extension, modification or renewal of any Investment existing on, or made pursuant to a binding commitment existing on, the Issue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amount of any such Investment may be increased (a) as required by the terms of such Investment as in existence on the Issue Date or</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permitted under this Indenture;</w:t>
      </w:r>
    </w:p>
    <w:p>
      <w:pPr>
        <w:spacing w:after="0" w:line="98" w:lineRule="exact"/>
        <w:rPr>
          <w:rFonts w:ascii="Times New Roman" w:cs="Times New Roman" w:eastAsia="Times New Roman" w:hAnsi="Times New Roman"/>
          <w:sz w:val="18"/>
          <w:szCs w:val="18"/>
          <w:color w:val="auto"/>
        </w:rPr>
      </w:pPr>
    </w:p>
    <w:p>
      <w:pPr>
        <w:ind w:left="4" w:firstLine="419"/>
        <w:spacing w:after="0" w:line="261" w:lineRule="auto"/>
        <w:tabs>
          <w:tab w:leader="none" w:pos="7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acquired after the Issue Date as a result of the acquisition by the Issuer or any Restricted Subsidiary of the Issuer of another Person, including by way of a merger or consolidation with or into the Issuer or any of its Restricted Subsidiaries in a transaction that is not prohibited by Section 5.01 after the Issue Date to the extent that such Investments were not made in contemplation of such acquisition, merger or consolidation and were in existence on the date of such acquisition, merger or consolidation;</w:t>
      </w:r>
    </w:p>
    <w:p>
      <w:pPr>
        <w:spacing w:after="0" w:line="71"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Business Investments, Permitted Other Investments and any Investment made in connection with the CMB Transactions;</w:t>
      </w:r>
    </w:p>
    <w:p>
      <w:pPr>
        <w:spacing w:after="0" w:line="117" w:lineRule="exact"/>
        <w:rPr>
          <w:rFonts w:ascii="Times New Roman" w:cs="Times New Roman" w:eastAsia="Times New Roman" w:hAnsi="Times New Roman"/>
          <w:sz w:val="18"/>
          <w:szCs w:val="18"/>
          <w:color w:val="auto"/>
        </w:rPr>
      </w:pPr>
    </w:p>
    <w:p>
      <w:pPr>
        <w:ind w:left="4" w:right="400" w:firstLine="419"/>
        <w:spacing w:after="0" w:line="282" w:lineRule="auto"/>
        <w:tabs>
          <w:tab w:leader="none" w:pos="7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as a result of a foreclosure by, or other transfer of title to, the Issuer or any of its Restricted Subsidiaries with respect to any secured Investment in default;</w:t>
      </w:r>
    </w:p>
    <w:p>
      <w:pPr>
        <w:spacing w:after="0" w:line="53"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7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receivables owing to the Issuer or any Restricted Subsidiary created or acquired in the ordinary course of business and payable or dischargeable in accordance with customary trade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trade terms may include such concessionary trade terms as the Issuer or any such Restricted Subsidiary deems reasonable under the circumstances;</w:t>
      </w:r>
    </w:p>
    <w:p>
      <w:pPr>
        <w:spacing w:after="0" w:line="67"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7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or other Investments arising from the incurrence of Indebtedness by the Issuer or any Restricted Subsidiary with respect to Indebtedness of any Unrestricted Subsidiary or Joint Venture permitted under Section 4.09(b)(14);</w:t>
      </w:r>
    </w:p>
    <w:p>
      <w:pPr>
        <w:spacing w:after="0" w:line="53" w:lineRule="exact"/>
        <w:rPr>
          <w:rFonts w:ascii="Times New Roman" w:cs="Times New Roman" w:eastAsia="Times New Roman" w:hAnsi="Times New Roman"/>
          <w:sz w:val="18"/>
          <w:szCs w:val="18"/>
          <w:color w:val="auto"/>
        </w:rPr>
      </w:pPr>
    </w:p>
    <w:p>
      <w:pPr>
        <w:ind w:left="4" w:right="280" w:firstLine="419"/>
        <w:spacing w:after="0" w:line="266" w:lineRule="auto"/>
        <w:tabs>
          <w:tab w:leader="none" w:pos="7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performance or other obligations (other than Indebtedness) arising in the ordinary course in the Oil and Gas Business, including obligations under oil and natural gas exploration, development, joint operating, and related agreements and licenses, concessions or operating leases related to the Oil and Gas Business;</w:t>
      </w:r>
    </w:p>
    <w:p>
      <w:pPr>
        <w:spacing w:after="0" w:line="67" w:lineRule="exact"/>
        <w:rPr>
          <w:rFonts w:ascii="Times New Roman" w:cs="Times New Roman" w:eastAsia="Times New Roman" w:hAnsi="Times New Roman"/>
          <w:sz w:val="18"/>
          <w:szCs w:val="18"/>
          <w:color w:val="auto"/>
        </w:rPr>
      </w:pPr>
    </w:p>
    <w:p>
      <w:pPr>
        <w:ind w:left="4" w:right="520" w:firstLine="419"/>
        <w:spacing w:after="0" w:line="282" w:lineRule="auto"/>
        <w:tabs>
          <w:tab w:leader="none" w:pos="7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and prepayments for asset purchases in the ordinary course of business in the Oil and Gas Business of the Issuer or any Restricted Subsidiary;</w:t>
      </w:r>
    </w:p>
    <w:p>
      <w:pPr>
        <w:spacing w:after="0" w:line="53" w:lineRule="exact"/>
        <w:rPr>
          <w:rFonts w:ascii="Times New Roman" w:cs="Times New Roman" w:eastAsia="Times New Roman" w:hAnsi="Times New Roman"/>
          <w:sz w:val="18"/>
          <w:szCs w:val="18"/>
          <w:color w:val="auto"/>
        </w:rPr>
      </w:pPr>
    </w:p>
    <w:p>
      <w:pPr>
        <w:ind w:left="4" w:right="240" w:firstLine="419"/>
        <w:spacing w:after="0" w:line="282" w:lineRule="auto"/>
        <w:tabs>
          <w:tab w:leader="none" w:pos="7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of the Capital Stock of any of the EHP Entities to one or more Unrestricted Subsidiaries or the designation of any of the EHP Entities as Unrestricted Subsidiaries; and</w:t>
      </w:r>
    </w:p>
    <w:p>
      <w:pPr>
        <w:spacing w:after="0" w:line="53" w:lineRule="exact"/>
        <w:rPr>
          <w:rFonts w:ascii="Times New Roman" w:cs="Times New Roman" w:eastAsia="Times New Roman" w:hAnsi="Times New Roman"/>
          <w:sz w:val="18"/>
          <w:szCs w:val="18"/>
          <w:color w:val="auto"/>
        </w:rPr>
      </w:pPr>
    </w:p>
    <w:p>
      <w:pPr>
        <w:ind w:left="4" w:right="40" w:firstLine="419"/>
        <w:spacing w:after="0" w:line="253" w:lineRule="auto"/>
        <w:tabs>
          <w:tab w:leader="none" w:pos="77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in any Person having an aggregate Fair Market Value (measured on the date such Investment was made and without giving effect to subsequent changes in value) that, when taken together with the Fair Market Value (as so measured) of all other Investments made pursuant to this clause (21) that are at the time outstanding, that does not exceed the greater of (a) $300.0 million and (b) 5.0% of Adjusted Consolidated Net Tangible Assets determined at the time such Investment is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Investment pursuant to this clause (21) is made in any Person that is not a Restricted Subsidiary of the Issuer at the date of the making of such Investment and such Person becomes a Restricted Subsidiary of the Issuer after such date, such Investment shall thereafter be deemed to have been made pursuant to clause</w:t>
      </w:r>
    </w:p>
    <w:p>
      <w:pPr>
        <w:spacing w:after="0" w:line="5" w:lineRule="exact"/>
        <w:rPr>
          <w:rFonts w:ascii="Times New Roman" w:cs="Times New Roman" w:eastAsia="Times New Roman" w:hAnsi="Times New Roman"/>
          <w:sz w:val="18"/>
          <w:szCs w:val="18"/>
          <w:color w:val="auto"/>
        </w:rPr>
      </w:pPr>
    </w:p>
    <w:p>
      <w:pPr>
        <w:ind w:left="4"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above and shall cease to have been made pursuant to this clause (21) for so long as such Person continues to be a Restricted Subsidiary of the Issuer (unless the Issuer otherwise classifies such Investment in compliance with this Indenture).</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4"/>
          </w:cols>
          <w:pgMar w:left="876" w:top="270" w:right="459" w:bottom="1440" w:gutter="0" w:footer="0" w:header="0"/>
        </w:sectPr>
      </w:pPr>
    </w:p>
    <w:bookmarkStart w:id="34" w:name="page35"/>
    <w:bookmarkEnd w:id="34"/>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any Investment, the Issuer may, in its sole discretion, classify all or any portion of such Investment in one or more of the above clauses so that the entire Investment is a Permitted Investment.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120" w:firstLine="419"/>
        <w:spacing w:after="0" w:line="282" w:lineRule="auto"/>
        <w:tabs>
          <w:tab w:leader="none" w:pos="111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of the Issuer or any Restricted Subsidiary securing Indebtedness under Credit Facilities that was permitted by the terms of this Indenture to be incurred pursuant to clause (1) of Section 4.09(b);</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Issuer or the Guarantors;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of a Person existing at the time such Person becomes a Restricted Subsidiary of the Issuer or is merged with or into or consolidated with the Issuer or any Restricted Subsidiary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extend to any other property owned by such Person or any of its Restricted Subsidiaries;</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1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(including Capital Stock) existing at the time of acquisition of the property by the Issuer or any Subsidiary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extend to any property other than that acquired;</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or other Liens to secure the performance of statutory obligations, insurance, surety or appeal bonds, workers’ compensation, unemployment and similar obligations, bid, leases (including, without limitation, statutory and common law landlord’s liens), government contracts, plugging and abandonment obligations and performance bonds or other obligations of a like nature incurred in the ordinary course of business (including Liens to secure letters of credit issued to assure payment of such obligations);</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represented by (x) Sale and Leaseback Transactions permitted to be incurred under this Indenture and</w:t>
      </w:r>
    </w:p>
    <w:p>
      <w:pPr>
        <w:spacing w:after="0" w:line="27" w:lineRule="exact"/>
        <w:rPr>
          <w:rFonts w:ascii="Times New Roman" w:cs="Times New Roman" w:eastAsia="Times New Roman" w:hAnsi="Times New Roman"/>
          <w:sz w:val="18"/>
          <w:szCs w:val="18"/>
          <w:color w:val="auto"/>
        </w:rPr>
      </w:pPr>
    </w:p>
    <w:p>
      <w:pPr>
        <w:ind w:left="440" w:right="100" w:hanging="4"/>
        <w:spacing w:after="0" w:line="265" w:lineRule="auto"/>
        <w:tabs>
          <w:tab w:leader="none" w:pos="69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Finance Lease Obligations, mortgage financings or purchase money obligations or other Indebtedness, in each case in this clause (y) that are incurred for the purpose of financing all or any part of the purchase price or other acquisition cost or cost of design, construction, installation, development, repair or improvement of property, plant or equipment used in the business of the Issuer or any of its Restricted Subsidiaries and acquired or designed, constructed, installed, developed, repaired or improved in the ordinary course of business;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such Liens are in favor of the seller or other transferor or lessor of such asset or property, in favor of the Person or Persons designing, constructing, installing, developing, repairing or improving such asset or property, or in favor of the Person or Persons that provided the funding for the acquisition, design, construction, installation, development, repair or improvement cost, as the case may be, of such asset or property, (b) such Liens are created no later than 360 days after the acquisition, lease, leaseback, design, construction, installation, development, repair or improvement,</w:t>
      </w:r>
    </w:p>
    <w:p>
      <w:pPr>
        <w:spacing w:after="0" w:line="1" w:lineRule="exact"/>
        <w:rPr>
          <w:rFonts w:ascii="Times New Roman" w:cs="Times New Roman" w:eastAsia="Times New Roman" w:hAnsi="Times New Roman"/>
          <w:sz w:val="17"/>
          <w:szCs w:val="17"/>
          <w:color w:val="auto"/>
        </w:rPr>
      </w:pPr>
    </w:p>
    <w:p>
      <w:pPr>
        <w:ind w:left="440" w:right="80" w:hanging="4"/>
        <w:spacing w:after="0" w:line="252"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the Indebtedness secured by such Liens is otherwise permitted to be incurred under this Indenture and does not exceed the greater of (i) the cost of the asset or property so acquired, designed, constructed, installed, developed, repaired or improved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related financing costs and (ii) the Fair Market Value of the asset or property so acquired, leased, designed, constructed, installed, developed, repaired or improved, measured at the date of such acquisition or lease, or the date of completion of such design, construction, installation, development, repair or improvement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related financing costs, and (d) such Liens are limited to the asset or property so acquired, leased, designed, constructed, installed, developed, repaired or improved (together with improvements, additions, accessions and contractual rights relating primarily thereto and all proceeds thereof (including dividends, distributions and increases in respect thereof));</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440" w:top="270" w:right="519" w:bottom="1440" w:gutter="0" w:footer="0" w:header="0"/>
        </w:sectPr>
      </w:pPr>
    </w:p>
    <w:bookmarkStart w:id="35" w:name="page36"/>
    <w:bookmarkEnd w:id="35"/>
    <w:p>
      <w:pPr>
        <w:ind w:right="180" w:firstLine="419"/>
        <w:spacing w:after="0" w:line="282"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existing on the Issue Date after giving effect to the issuance of the Initial Notes and the application of proceeds therefrom (other than Liens securing Indebtedness under the Credit Agreement);</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for the benefit of (or to secure) the Notes or the Guarantees or to secure other obligations under this Indenture;</w:t>
      </w:r>
    </w:p>
    <w:p>
      <w:pPr>
        <w:spacing w:after="0" w:line="117" w:lineRule="exact"/>
        <w:rPr>
          <w:rFonts w:ascii="Times New Roman" w:cs="Times New Roman" w:eastAsia="Times New Roman" w:hAnsi="Times New Roman"/>
          <w:sz w:val="18"/>
          <w:szCs w:val="18"/>
          <w:color w:val="auto"/>
        </w:rPr>
      </w:pPr>
    </w:p>
    <w:p>
      <w:pPr>
        <w:ind w:right="180" w:firstLine="419"/>
        <w:spacing w:after="0" w:line="312" w:lineRule="auto"/>
        <w:tabs>
          <w:tab w:leader="none" w:pos="67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and pledges of the Equity Interests of any Unrestricted Subsidiary or any Joint Venture owned by the Issuer or any Restricted Subsidiary of the Issuer to the extent securing Non-Recourse Debt or other Indebtedness of such Unrestricted Subsidiary or Joint Venture;</w:t>
      </w:r>
    </w:p>
    <w:p>
      <w:pPr>
        <w:spacing w:after="0" w:line="31" w:lineRule="exact"/>
        <w:rPr>
          <w:rFonts w:ascii="Times New Roman" w:cs="Times New Roman" w:eastAsia="Times New Roman" w:hAnsi="Times New Roman"/>
          <w:sz w:val="17"/>
          <w:szCs w:val="17"/>
          <w:color w:val="auto"/>
        </w:rPr>
      </w:pPr>
    </w:p>
    <w:p>
      <w:pPr>
        <w:ind w:left="760" w:hanging="341"/>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pipelines or pipeline facilities that arise by operation of law;</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reserved in oil and natural gas mineral leases for bonus or rental payments and for compliance with the terms of such leases;</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any Indebtedness incurred to refinance or replace Indebtedness secured by any Lien described under clauses (3), (4),</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 (7), (8), (12) and (22) of this definition permitted to be incurred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98" w:lineRule="exact"/>
        <w:rPr>
          <w:rFonts w:ascii="Times New Roman" w:cs="Times New Roman" w:eastAsia="Times New Roman" w:hAnsi="Times New Roman"/>
          <w:sz w:val="18"/>
          <w:szCs w:val="18"/>
          <w:color w:val="auto"/>
        </w:rPr>
      </w:pPr>
    </w:p>
    <w:p>
      <w:pPr>
        <w:ind w:left="540" w:right="320" w:firstLine="408"/>
        <w:spacing w:after="0" w:line="266" w:lineRule="auto"/>
        <w:tabs>
          <w:tab w:leader="none" w:pos="118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Lien is limited to all or part of the same property and assets that secured or, under the written agreements pursuant to which the original Lien arose, could secure the original Lien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improvements and accessions to such property or proceeds or distributions thereof); and</w:t>
      </w:r>
    </w:p>
    <w:p>
      <w:pPr>
        <w:spacing w:after="0" w:line="67" w:lineRule="exact"/>
        <w:rPr>
          <w:rFonts w:ascii="Times New Roman" w:cs="Times New Roman" w:eastAsia="Times New Roman" w:hAnsi="Times New Roman"/>
          <w:sz w:val="18"/>
          <w:szCs w:val="18"/>
          <w:color w:val="auto"/>
        </w:rPr>
      </w:pPr>
    </w:p>
    <w:p>
      <w:pPr>
        <w:ind w:left="540" w:firstLine="408"/>
        <w:spacing w:after="0" w:line="261" w:lineRule="auto"/>
        <w:tabs>
          <w:tab w:leader="none" w:pos="119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secured by the new Lien is not increased to any amount greater than the sum of (x) the outstanding principal amount, or, if greater, committed amount, of the Indebtedness exchanged, renewed, refunded, refinanced, replaced, defeased or discharged with such Permitted Refinancing Indebtedness and (y) an amount necessary to pay any fees and expenses, including premiums, related to such exchange, renewal, refunding, refinancing, replacement, defeasance or discharge;</w:t>
      </w:r>
    </w:p>
    <w:p>
      <w:pPr>
        <w:spacing w:after="0" w:line="71"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proceeds thereof, or other deposits, to secure insurance premium financings;</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Uniform Commercial Code financing statements as a precautionary measure in connection with operating leases;</w:t>
      </w:r>
    </w:p>
    <w:p>
      <w:pPr>
        <w:spacing w:after="0" w:line="117" w:lineRule="exact"/>
        <w:rPr>
          <w:rFonts w:ascii="Times New Roman" w:cs="Times New Roman" w:eastAsia="Times New Roman" w:hAnsi="Times New Roman"/>
          <w:sz w:val="18"/>
          <w:szCs w:val="18"/>
          <w:color w:val="auto"/>
        </w:rPr>
      </w:pPr>
    </w:p>
    <w:p>
      <w:pPr>
        <w:jc w:val="both"/>
        <w:ind w:right="280" w:firstLine="419"/>
        <w:spacing w:after="0" w:line="289" w:lineRule="auto"/>
        <w:tabs>
          <w:tab w:leader="none" w:pos="76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bankers’ Liens, rights of setoff, rights of revocation, refund or chargeback with respect to money or instruments of the Issuer or any Restricted Subsidiary, Liens arising out of judgments or awards not constituting an Event of Default and notices of lis pendens and associated rights related to litigation being contested in good faith by appropriate proceedings and for which adequate reserves have been made;</w:t>
      </w:r>
    </w:p>
    <w:p>
      <w:pPr>
        <w:spacing w:after="0" w:line="49" w:lineRule="exact"/>
        <w:rPr>
          <w:rFonts w:ascii="Times New Roman" w:cs="Times New Roman" w:eastAsia="Times New Roman" w:hAnsi="Times New Roman"/>
          <w:sz w:val="17"/>
          <w:szCs w:val="17"/>
          <w:color w:val="auto"/>
        </w:rPr>
      </w:pPr>
    </w:p>
    <w:p>
      <w:pPr>
        <w:ind w:left="760" w:hanging="341"/>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Cash Equivalents or other property arising in connection with the defeasance, discharge or redemption of Indebtedness;</w:t>
      </w:r>
    </w:p>
    <w:p>
      <w:pPr>
        <w:spacing w:after="0" w:line="117" w:lineRule="exact"/>
        <w:rPr>
          <w:rFonts w:ascii="Times New Roman" w:cs="Times New Roman" w:eastAsia="Times New Roman" w:hAnsi="Times New Roman"/>
          <w:sz w:val="18"/>
          <w:szCs w:val="18"/>
          <w:color w:val="auto"/>
        </w:rPr>
      </w:pPr>
    </w:p>
    <w:p>
      <w:pPr>
        <w:jc w:val="both"/>
        <w:ind w:right="400" w:firstLine="419"/>
        <w:spacing w:after="0" w:line="266" w:lineRule="auto"/>
        <w:tabs>
          <w:tab w:leader="none" w:pos="7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the proceeds thereof) of any Person securing such Person’s obligations in respect of bankers’ acceptances issued or created in the ordinary course of business for the account of such Person to facilitate the purchase, shipment or storage of such inventory or other goods;</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20"/>
          </w:cols>
          <w:pgMar w:left="880" w:top="270" w:right="499" w:bottom="1440" w:gutter="0" w:footer="0" w:header="0"/>
        </w:sectPr>
      </w:pPr>
    </w:p>
    <w:bookmarkStart w:id="36" w:name="page37"/>
    <w:bookmarkEnd w:id="36"/>
    <w:p>
      <w:pPr>
        <w:ind w:right="120" w:firstLine="419"/>
        <w:spacing w:after="0" w:line="284" w:lineRule="auto"/>
        <w:tabs>
          <w:tab w:leader="none" w:pos="7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in respect of Production Payments and Reserve Sales;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are limited to the property that is subject to such Production Payments and Reserve Sales;</w:t>
      </w:r>
    </w:p>
    <w:p>
      <w:pPr>
        <w:spacing w:after="0" w:line="52" w:lineRule="exact"/>
        <w:rPr>
          <w:rFonts w:ascii="Times New Roman" w:cs="Times New Roman" w:eastAsia="Times New Roman" w:hAnsi="Times New Roman"/>
          <w:sz w:val="18"/>
          <w:szCs w:val="18"/>
          <w:color w:val="auto"/>
        </w:rPr>
      </w:pPr>
    </w:p>
    <w:p>
      <w:pPr>
        <w:ind w:right="80" w:firstLine="419"/>
        <w:spacing w:after="0" w:line="254" w:lineRule="auto"/>
        <w:tabs>
          <w:tab w:leader="none" w:pos="7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under oil and natural gas leases or subleases, overriding royalty interests, assignments, farm-out agreements, farm-in agreements, division orders, contracts for the sale, purchase, exchange, transportation, gathering or processing of Hydrocarbons, unitizations and pooling designations, declarations, orders and agreements, development agreements, joint venture agreements, partnership agreements, operating agreements, royalties, working interests, net profits interests, joint interest billing arrangements, participation agreements, production sales contracts, production payment agreements, royalty trust agreements, incentive compensation programs for geologists, geophysicists and other providers of technical services to the Issuer or a Restricted Subsidiary, area of mutual interest agreements, gas balancing or deferred production agreements, injection, repressuring and recycling agreements, salt water or other disposal agreements, seismic or geophysical permits or agreements, licenses, sublicenses and other agreements which are customary in the Oil and Gas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all instances that such Liens are limited to the assets that are the subject of the relevant agreement, program, order or contract;</w:t>
      </w:r>
    </w:p>
    <w:p>
      <w:pPr>
        <w:spacing w:after="0" w:line="80" w:lineRule="exact"/>
        <w:rPr>
          <w:rFonts w:ascii="Times New Roman" w:cs="Times New Roman" w:eastAsia="Times New Roman" w:hAnsi="Times New Roman"/>
          <w:sz w:val="18"/>
          <w:szCs w:val="18"/>
          <w:color w:val="auto"/>
        </w:rPr>
      </w:pPr>
    </w:p>
    <w:p>
      <w:pPr>
        <w:ind w:right="440" w:firstLine="419"/>
        <w:spacing w:after="0" w:line="282" w:lineRule="auto"/>
        <w:tabs>
          <w:tab w:leader="none" w:pos="7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performance of Hedging Obligations of the Issuer or any of its Restricted Subsidiaries entered into in the ordinary course of business and not for speculative purposes;</w:t>
      </w:r>
    </w:p>
    <w:p>
      <w:pPr>
        <w:spacing w:after="0" w:line="53" w:lineRule="exact"/>
        <w:rPr>
          <w:rFonts w:ascii="Times New Roman" w:cs="Times New Roman" w:eastAsia="Times New Roman" w:hAnsi="Times New Roman"/>
          <w:sz w:val="18"/>
          <w:szCs w:val="18"/>
          <w:color w:val="auto"/>
        </w:rPr>
      </w:pPr>
    </w:p>
    <w:p>
      <w:pPr>
        <w:jc w:val="both"/>
        <w:ind w:right="280" w:firstLine="419"/>
        <w:spacing w:after="0" w:line="261" w:lineRule="auto"/>
        <w:tabs>
          <w:tab w:leader="none" w:pos="7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under this Indenture in favor of the Trustee for its own benefit and similar Liens in favor of other trustees, agents and representatives arising under instruments governing Indebtedness permitted to be incurred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Liens are solely for the benefit of the trustees, agents or representatives in their capacities as such and not for the benefit of the holders of such Indebtedness;</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7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incurred by the Issuer or any Restricted Subsidiary of the Issuer with respect to Indebtedness in aggregate principal amount that, when taken together with the aggregate principal amount of all other Indebtedness secured by Liens incurred pursuant to this clause (22) then outstanding, together with all other then outstanding Indebtedness secured by Liens incurred pursuant to clause (12) of this definition that had previously refinanced or replaced Indebtedness secured by Liens incurred under this clause (22), does not exceed the greater of (a) $300.0 million and (b) 5.0% of Adjusted Consolidated Net Tangible Assets determined at the time such Lien is incurred;</w:t>
      </w:r>
    </w:p>
    <w:p>
      <w:pPr>
        <w:spacing w:after="0" w:line="75" w:lineRule="exact"/>
        <w:rPr>
          <w:rFonts w:ascii="Times New Roman" w:cs="Times New Roman" w:eastAsia="Times New Roman" w:hAnsi="Times New Roman"/>
          <w:sz w:val="18"/>
          <w:szCs w:val="18"/>
          <w:color w:val="auto"/>
        </w:rPr>
      </w:pPr>
    </w:p>
    <w:p>
      <w:pPr>
        <w:ind w:right="340" w:firstLine="419"/>
        <w:spacing w:after="0" w:line="282" w:lineRule="auto"/>
        <w:tabs>
          <w:tab w:leader="none" w:pos="7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and subleases of real property which do not materially interfere with the ordinary conduct of the business of the Issuer or the Restricted Subsidiaries;</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arising by reason of:</w:t>
      </w:r>
    </w:p>
    <w:p>
      <w:pPr>
        <w:spacing w:after="0" w:line="117" w:lineRule="exact"/>
        <w:rPr>
          <w:rFonts w:ascii="Times New Roman" w:cs="Times New Roman" w:eastAsia="Times New Roman" w:hAnsi="Times New Roman"/>
          <w:sz w:val="18"/>
          <w:szCs w:val="18"/>
          <w:color w:val="auto"/>
        </w:rPr>
      </w:pPr>
    </w:p>
    <w:p>
      <w:pPr>
        <w:ind w:left="540" w:right="180" w:firstLine="408"/>
        <w:spacing w:after="0" w:line="266" w:lineRule="auto"/>
        <w:tabs>
          <w:tab w:leader="none" w:pos="118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taxes, assessments or governmental charges or claims that are not yet delinquent or which are being contested in good faith by appropriate proceedings promptly instituted and diligently conducted;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reserve or other appropriate provision as will be required in conformity with GAAP will have been made therefor,</w:t>
      </w:r>
    </w:p>
    <w:p>
      <w:pPr>
        <w:spacing w:after="0" w:line="6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faith deposits in connection with tenders, leases and contracts (other than contracts for the payment of Indebtedness),</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40"/>
          </w:cols>
          <w:pgMar w:left="880" w:top="268" w:right="479" w:bottom="1440" w:gutter="0" w:footer="0" w:header="0"/>
        </w:sectPr>
      </w:pPr>
    </w:p>
    <w:bookmarkStart w:id="37" w:name="page38"/>
    <w:bookmarkEnd w:id="37"/>
    <w:p>
      <w:pPr>
        <w:ind w:left="980" w:right="60" w:firstLine="408"/>
        <w:spacing w:after="0" w:line="256" w:lineRule="auto"/>
        <w:tabs>
          <w:tab w:leader="none" w:pos="162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survey exceptions, zoning restrictions, easements, licenses, reservations, title defects, rights of others for rights of way, utilities, sewers, electric lines, telephone or telegraph lines, and other similar purposes, provisions, covenants, conditions, waivers, restrictions on the use of property or minor irregularities of title (and with respect to leasehold interests, mortgages, obligations, Liens and other encumbrances incurred, created, assumed or permitted to exist and arising by, through or under a landlord or owner of the leased property, with or without consent of the lessee), none of which materially impairs the use of any parcel of property material to the operation of the business of the Issuer or the Restricted Subsidiaries or the value of such property for the purpose of such business,</w:t>
      </w:r>
    </w:p>
    <w:p>
      <w:pPr>
        <w:spacing w:after="0" w:line="79" w:lineRule="exact"/>
        <w:rPr>
          <w:rFonts w:ascii="Times New Roman" w:cs="Times New Roman" w:eastAsia="Times New Roman" w:hAnsi="Times New Roman"/>
          <w:sz w:val="18"/>
          <w:szCs w:val="18"/>
          <w:color w:val="auto"/>
        </w:rPr>
      </w:pPr>
    </w:p>
    <w:p>
      <w:pPr>
        <w:ind w:left="980" w:right="60" w:firstLine="408"/>
        <w:spacing w:after="0" w:line="258" w:lineRule="auto"/>
        <w:tabs>
          <w:tab w:leader="none" w:pos="16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law or contract in favor of mechanics, carriers, warehousemen, landlords, materialmen, laborers, employees, suppliers and similar persons, incurred in the ordinary course of business, to the extent such Liens relate only to the tangible property of the lessee which is located on such property, for sums which are not yet delinquent or are being contested in good faith by negotiations or by appropriate proceedings which suspend the collection thereof; if such reserve or other appropriate provision, if any, as shall be required by GAAP shall have been made in respect thereof, or</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depository or cash-management arrangements with banks; and</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2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specific property or any interest therein, construction thereon or improvement thereto to secure all or any part of the costs incurred for surveying, exploration, drilling, extraction, development, operation, production, construction, alteration, repair or improvement of, in, from, under or on such property and the plugging and abandonment of wells located thereon (it being understood that, in the case of oil and gas producing properties, or any interest therein, costs incurred for development and production shall include costs incurred for all facilities relating to such properties or to projects, ventures or other arrangements of which such properties form a part or which relate to such properties or interests and costs incurred for processing, gathering, marketing, refining and storage of such production), in each case that do not secure Indebtedness for borrowed money.</w:t>
      </w:r>
    </w:p>
    <w:p>
      <w:pPr>
        <w:spacing w:after="0" w:line="18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In each case set forth above, notwithstanding any stated limitation on the assets that may be subject to such Lien, a Permitted Lien on a specified asset or group or type of assets shall also include any Lien on all improvements, additions, accessions and contractual rights relating primarily thereto and all proceeds thereof (including dividends, distributions and increases in respect thereof).</w:t>
      </w:r>
    </w:p>
    <w:p>
      <w:pPr>
        <w:spacing w:after="0" w:line="174" w:lineRule="exact"/>
        <w:rPr>
          <w:sz w:val="20"/>
          <w:szCs w:val="20"/>
          <w:color w:val="auto"/>
        </w:rPr>
      </w:pPr>
    </w:p>
    <w:p>
      <w:pPr>
        <w:jc w:val="both"/>
        <w:ind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Other Investments</w:t>
      </w:r>
      <w:r>
        <w:rPr>
          <w:rFonts w:ascii="Times New Roman" w:cs="Times New Roman" w:eastAsia="Times New Roman" w:hAnsi="Times New Roman"/>
          <w:sz w:val="18"/>
          <w:szCs w:val="18"/>
          <w:color w:val="auto"/>
        </w:rPr>
        <w:t xml:space="preserve">” means Investments by the Issuer or any of its Restricted Subsidiaries in any Person (including in any Unrestricted Subsidiary) consisting of a capital contribution, or arising from the receipt of non-cash consideration from a transfer, to such Person of Midstream and Infrastructure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7" w:lineRule="exact"/>
        <w:rPr>
          <w:sz w:val="20"/>
          <w:szCs w:val="20"/>
          <w:color w:val="auto"/>
        </w:rPr>
      </w:pPr>
    </w:p>
    <w:p>
      <w:pPr>
        <w:ind w:left="440" w:right="40" w:firstLine="419"/>
        <w:spacing w:after="0" w:line="266" w:lineRule="auto"/>
        <w:tabs>
          <w:tab w:leader="none" w:pos="111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any such Investment and immediately thereafter, (a) the Issuer would be permitted to incur at least $1.00 of additional Indebtedness pursuant to the Fixed Charge Coverage Ratio test set forth in Section 4.09(a) and (b) the PDP Coverage Ratio is not less than 2.00 to 1.00;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has outstanding Indebtedness at the time of any such Investment, either (a) all such Indebtedness is Non-Recourse Debt or</w:t>
      </w:r>
    </w:p>
    <w:p>
      <w:pPr>
        <w:spacing w:after="0" w:line="27" w:lineRule="exact"/>
        <w:rPr>
          <w:rFonts w:ascii="Times New Roman" w:cs="Times New Roman" w:eastAsia="Times New Roman" w:hAnsi="Times New Roman"/>
          <w:sz w:val="18"/>
          <w:szCs w:val="18"/>
          <w:color w:val="auto"/>
        </w:rPr>
      </w:pPr>
    </w:p>
    <w:p>
      <w:pPr>
        <w:ind w:left="440" w:hanging="4"/>
        <w:spacing w:after="0" w:line="260"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of such Person that is not Non-Recourse Debt could, at the time such Investment is made, be incurred at that time by the Issuer pursuant to the Fixed Charge Coverage Ratio test set forth in Section 4.09(a).</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8" w:name="page39"/>
    <w:bookmarkEnd w:id="38"/>
    <w:p>
      <w:pPr>
        <w:ind w:right="100" w:firstLine="440"/>
        <w:spacing w:after="0" w:line="29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Permitted Refinancing Indebtedness</w:t>
      </w:r>
      <w:r>
        <w:rPr>
          <w:rFonts w:ascii="Times New Roman" w:cs="Times New Roman" w:eastAsia="Times New Roman" w:hAnsi="Times New Roman"/>
          <w:sz w:val="17"/>
          <w:szCs w:val="17"/>
          <w:color w:val="auto"/>
        </w:rPr>
        <w:t xml:space="preserve">” means any Indebtedness or Disqualified Stock or Preferred Stock of the Issuer or any of its Restricted Subsidiaries issued in exchange for, or the net proceeds of which are used to renew, refund, refinance, replace, defease or discharge other Indebtedness or Disqualified Stock or Preferred Stock of the Issuer or any of its Restricted Subsidiaries (other than intercompany Indebtedness);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49" w:lineRule="exact"/>
        <w:rPr>
          <w:sz w:val="20"/>
          <w:szCs w:val="20"/>
          <w:color w:val="auto"/>
        </w:rPr>
      </w:pPr>
    </w:p>
    <w:p>
      <w:pPr>
        <w:jc w:val="both"/>
        <w:ind w:left="440" w:firstLine="419"/>
        <w:spacing w:after="0" w:line="261" w:lineRule="auto"/>
        <w:tabs>
          <w:tab w:leader="none" w:pos="11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accreted value, if applicable) of such Permitted Refinancing Indebtedness does not exceed the principal amount of the Indebtedness or Disqualified Stock or Preferred Stock exchanged, renewed, refunded, refinanced, replaced, defeased or discharged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interest on the Indebtedness and all accrued dividends on the Disqualified Stock or Preferred Stock and the amount of all fees and expenses, including premiums, incurred in connection therewith);</w:t>
      </w:r>
    </w:p>
    <w:p>
      <w:pPr>
        <w:spacing w:after="0" w:line="71" w:lineRule="exact"/>
        <w:rPr>
          <w:rFonts w:ascii="Times New Roman" w:cs="Times New Roman" w:eastAsia="Times New Roman" w:hAnsi="Times New Roman"/>
          <w:sz w:val="18"/>
          <w:szCs w:val="18"/>
          <w:color w:val="auto"/>
        </w:rPr>
      </w:pPr>
    </w:p>
    <w:p>
      <w:pPr>
        <w:jc w:val="both"/>
        <w:ind w:left="440" w:right="160" w:firstLine="419"/>
        <w:spacing w:after="0" w:line="261" w:lineRule="auto"/>
        <w:tabs>
          <w:tab w:leader="none" w:pos="11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Permitted Refinancing Indebtedness has a final maturity date that is either (a) no earlier than the final maturity date of, and has a Weighted Average Life to Maturity equal to or greater than the Weighted Average Life to Maturity of, the Indebtedness or Disqualified Stock or Preferred Stock being exchanged, renewed, refunded, refinanced, replaced, defeased or discharged or (b) more than 90 days after the final maturity date of the Notes;</w:t>
      </w:r>
    </w:p>
    <w:p>
      <w:pPr>
        <w:spacing w:after="0" w:line="71" w:lineRule="exact"/>
        <w:rPr>
          <w:rFonts w:ascii="Times New Roman" w:cs="Times New Roman" w:eastAsia="Times New Roman" w:hAnsi="Times New Roman"/>
          <w:sz w:val="18"/>
          <w:szCs w:val="18"/>
          <w:color w:val="auto"/>
        </w:rPr>
      </w:pPr>
    </w:p>
    <w:p>
      <w:pPr>
        <w:ind w:left="440" w:right="200" w:firstLine="419"/>
        <w:spacing w:after="0" w:line="258" w:lineRule="auto"/>
        <w:tabs>
          <w:tab w:leader="none" w:pos="11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exchanged, renewed, refunded, refinanced, replaced, defeased or discharged is subordinated in right of payment to the Notes or the Guarantees, such Permitted Refinancing Indebtedness is subordinated in right of payment to the Notes or the Guarantees, as applicable, on terms at least as favorable to the Holders of Notes as those contained in the documentation governing (or shall be Capital Stock of the obligor on) the Indebtedness being exchanged, renewed, refunded, refinanced, replaced, defeased or discharged, as determined in good faith by the Issuer;</w:t>
      </w:r>
    </w:p>
    <w:p>
      <w:pPr>
        <w:spacing w:after="0" w:line="75"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not incurred by a Restricted Subsidiary of the Issuer (other than a Guarantor) if the Issuer or a Guarantor is the issuer or other obligor on the Indebtedness being exchanged, renewed, refunded, refinanced, replaced, defeased or discharged;</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Preferred Stock being exchanged, renewed, refunded, refinanced, replaced, defeased or discharged was Disqualified Stock of the Issuer, the Permitted Refinancing Indebtedness shall be Disqualified Stock of the Issuer; and</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Preferred Stock being exchanged, renewed, refunded, refinanced, replaced, defeased or discharged was Preferred Stock of a Restricted Subsidiary, the Permitted Refinancing Indebtedness shall be Preferred Stock of such Restricted Subsidiary.</w:t>
      </w:r>
    </w:p>
    <w:p>
      <w:pPr>
        <w:spacing w:after="0" w:line="160" w:lineRule="exact"/>
        <w:rPr>
          <w:sz w:val="20"/>
          <w:szCs w:val="20"/>
          <w:color w:val="auto"/>
        </w:rPr>
      </w:pPr>
    </w:p>
    <w:p>
      <w:pPr>
        <w:ind w:right="4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or government or other entity.</w:t>
      </w:r>
    </w:p>
    <w:p>
      <w:pPr>
        <w:spacing w:after="0" w:line="158" w:lineRule="exact"/>
        <w:rPr>
          <w:sz w:val="20"/>
          <w:szCs w:val="20"/>
          <w:color w:val="auto"/>
        </w:rPr>
      </w:pPr>
    </w:p>
    <w:p>
      <w:pPr>
        <w:ind w:right="6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means, with respect to any Person, any and all preferred or preference stock or other similar Equity Interests (however designated) of such Person whether outstanding or issued after the Issue Date.</w:t>
      </w:r>
    </w:p>
    <w:p>
      <w:pPr>
        <w:spacing w:after="0" w:line="158"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Legend</w:t>
      </w:r>
      <w:r>
        <w:rPr>
          <w:rFonts w:ascii="Times New Roman" w:cs="Times New Roman" w:eastAsia="Times New Roman" w:hAnsi="Times New Roman"/>
          <w:sz w:val="18"/>
          <w:szCs w:val="18"/>
          <w:color w:val="auto"/>
        </w:rPr>
        <w:t>” means the legend set forth in Section 2.06(g)(1) to be placed on all Notes issued under this Indenture except where otherwise permitted by the provisions of this Indenture.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Production Payments</w:t>
      </w:r>
      <w:r>
        <w:rPr>
          <w:rFonts w:ascii="Times New Roman" w:cs="Times New Roman" w:eastAsia="Times New Roman" w:hAnsi="Times New Roman"/>
          <w:sz w:val="18"/>
          <w:szCs w:val="18"/>
          <w:color w:val="auto"/>
        </w:rPr>
        <w:t>” means Dollar-Denominated Production Payments and Volumetric Production Payments, collectively.</w:t>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68" w:right="519" w:bottom="1440" w:gutter="0" w:footer="0" w:header="0"/>
        </w:sectPr>
      </w:pPr>
    </w:p>
    <w:bookmarkStart w:id="39" w:name="page40"/>
    <w:bookmarkEnd w:id="39"/>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Production Payments and Reserve Sales</w:t>
      </w:r>
      <w:r>
        <w:rPr>
          <w:rFonts w:ascii="Times New Roman" w:cs="Times New Roman" w:eastAsia="Times New Roman" w:hAnsi="Times New Roman"/>
          <w:sz w:val="18"/>
          <w:szCs w:val="18"/>
          <w:color w:val="auto"/>
        </w:rPr>
        <w:t>” means the grant or transfer by the Issuer or any of its Restricted Subsidiaries to any Person of a royalty, overriding royalty, net profits interest, Production Payment, partnership or other interest in oil and gas properties, reserves or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 pursuant to incentive compensation programs on terms that are reasonably customary in the Oil and Gas Business for geologists, geophysicists or other providers of technical services to the Issuer or any of its Restricted Subsidiaries.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QIB</w:t>
      </w:r>
      <w:r>
        <w:rPr>
          <w:rFonts w:ascii="Times New Roman" w:cs="Times New Roman" w:eastAsia="Times New Roman" w:hAnsi="Times New Roman"/>
          <w:sz w:val="18"/>
          <w:szCs w:val="18"/>
          <w:color w:val="auto"/>
        </w:rPr>
        <w:t>” means a “qualified institutional buyer” as defined in Rule 144A.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120" w:hanging="261"/>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Moody’s and S&amp;P; and</w:t>
      </w:r>
    </w:p>
    <w:p>
      <w:pPr>
        <w:spacing w:after="0" w:line="117"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Fitch, Moody’s or S&amp;P ceases to rate the Notes or fails to make a rating of the Notes publicly available for reasons outside of our control, a “nationally recognized statistical rating organization” within the meaning of Section 3(a)(62) of the Exchange Act selected by the Issuer as a replacement rating agency for Fitch, Moody’s or S&amp;P, as the case may be.</w:t>
      </w:r>
    </w:p>
    <w:p>
      <w:pPr>
        <w:spacing w:after="0" w:line="174"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Date</w:t>
      </w:r>
      <w:r>
        <w:rPr>
          <w:rFonts w:ascii="Times New Roman" w:cs="Times New Roman" w:eastAsia="Times New Roman" w:hAnsi="Times New Roman"/>
          <w:sz w:val="18"/>
          <w:szCs w:val="18"/>
          <w:color w:val="auto"/>
        </w:rPr>
        <w:t>” means the earlier of the date of public notice of (i) the occurrence of a Change of Control or (ii) the Issuer’s intention to effect a Change of Control.</w:t>
      </w:r>
    </w:p>
    <w:p>
      <w:pPr>
        <w:spacing w:after="0" w:line="158"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Decline</w:t>
      </w:r>
      <w:r>
        <w:rPr>
          <w:rFonts w:ascii="Times New Roman" w:cs="Times New Roman" w:eastAsia="Times New Roman" w:hAnsi="Times New Roman"/>
          <w:sz w:val="18"/>
          <w:szCs w:val="18"/>
          <w:color w:val="auto"/>
        </w:rPr>
        <w:t xml:space="preserve">” shall be deemed to have occurred if, no later than 30 days after the Rating Date (which period shall be extended so long as the rating of the Notes is under publicly announced consideration for possible downgrade by any of the Rating Agencies and one other Rating Agency has either downgraded, or publicly announced that it is considering downgrading,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any case, for the avoidance of doubt, a publicly announced change or possible change in outlook (including negative outlook or negative watch or similar status) shall not extend such period), at least two of the Rating Agencies decrease their rating of the Notes to a rating that is below their respective ratings of the Notes on the day immediately prior to the earlier of (i) the date of the first public announcement of the possibility of a proposed transaction that would result in a Change of Control or (ii) the date that the possibility of such transaction is disclosed to either of the Rating Agencies. Notwithstanding the foregoing, if the Notes have an Investment Grade Rating by at least two of the Rating Agencies immediately prior to the Rating Date, then “Rating Decline” means a decrease in the ratings of the Notes by one or more gradations (including gradations within categories as well as between rating categories) by at least two of the Rating Agencies such that the rating of the Notes by each such Rating Agency falls below an Investment Grade Rating no later than 30 days after the Rating Date (which 30-day period will be extended so long as the rating of the Notes is under publicly announced consideration for possible downgrade by any of the Rating Agencies and one other Rating Agency has either downgraded, or publicly announced that it is considering downgrading,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any case, for the avoidance of doubt, a publicly announced change or possible change in outlook (including negative outlook or negative watch or similar status) shall not extend such period).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Notes initially sold in reliance on Rule 903 of Regulation 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68" w:right="479" w:bottom="1440" w:gutter="0" w:footer="0" w:header="0"/>
        </w:sectPr>
      </w:pPr>
    </w:p>
    <w:bookmarkStart w:id="40" w:name="page41"/>
    <w:bookmarkEnd w:id="40"/>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Resale Restriction Termination Date</w:t>
      </w:r>
      <w:r>
        <w:rPr>
          <w:rFonts w:ascii="Times New Roman" w:cs="Times New Roman" w:eastAsia="Times New Roman" w:hAnsi="Times New Roman"/>
          <w:sz w:val="18"/>
          <w:szCs w:val="18"/>
          <w:color w:val="auto"/>
        </w:rPr>
        <w:t>” means, with respect to any Note, the date one year after the later of the date of original issue of such Note or the last day on which the Issuer or any Affiliate of the Issuer was the owner of such Note (or any predecessor of such Note).</w:t>
      </w:r>
    </w:p>
    <w:p>
      <w:pPr>
        <w:spacing w:after="0" w:line="15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in each case, who shall have direct responsibility for the administration of this Indenture.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Definitive Note</w:t>
      </w:r>
      <w:r>
        <w:rPr>
          <w:rFonts w:ascii="Times New Roman" w:cs="Times New Roman" w:eastAsia="Times New Roman" w:hAnsi="Times New Roman"/>
          <w:sz w:val="18"/>
          <w:szCs w:val="18"/>
          <w:color w:val="auto"/>
        </w:rPr>
        <w:t>” means a Definitive Note bearing the Private Placement Legend.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Global Note</w:t>
      </w:r>
      <w:r>
        <w:rPr>
          <w:rFonts w:ascii="Times New Roman" w:cs="Times New Roman" w:eastAsia="Times New Roman" w:hAnsi="Times New Roman"/>
          <w:sz w:val="18"/>
          <w:szCs w:val="18"/>
          <w:color w:val="auto"/>
        </w:rPr>
        <w:t>” means a Global Note bearing the Private Placement Legend.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Investment</w:t>
      </w:r>
      <w:r>
        <w:rPr>
          <w:rFonts w:ascii="Times New Roman" w:cs="Times New Roman" w:eastAsia="Times New Roman" w:hAnsi="Times New Roman"/>
          <w:sz w:val="18"/>
          <w:szCs w:val="18"/>
          <w:color w:val="auto"/>
        </w:rPr>
        <w:t>” means an Investment other than a Permitted Investment.</w:t>
      </w:r>
    </w:p>
    <w:p>
      <w:pPr>
        <w:spacing w:after="0" w:line="225"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of a Person means any Subsidiary of the referent Person that is not an Unrestricted Subsidiary. Except where expressly stated otherwise, all references to Restricted Subsidiaries refer to Restricted Subsidiaries of the Issuer.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903</w:t>
      </w:r>
      <w:r>
        <w:rPr>
          <w:rFonts w:ascii="Times New Roman" w:cs="Times New Roman" w:eastAsia="Times New Roman" w:hAnsi="Times New Roman"/>
          <w:sz w:val="18"/>
          <w:szCs w:val="18"/>
          <w:color w:val="auto"/>
        </w:rPr>
        <w:t>” means Rule 903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904</w:t>
      </w:r>
      <w:r>
        <w:rPr>
          <w:rFonts w:ascii="Times New Roman" w:cs="Times New Roman" w:eastAsia="Times New Roman" w:hAnsi="Times New Roman"/>
          <w:sz w:val="18"/>
          <w:szCs w:val="18"/>
          <w:color w:val="auto"/>
        </w:rPr>
        <w:t>” means Rule 904 promulgated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w:t>
      </w:r>
    </w:p>
    <w:p>
      <w:pPr>
        <w:spacing w:after="0" w:line="22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means an arrangement relating to property now owned or hereafter acquired whereby the Issuer or a Restricted Subsidiary of the Issuer transfers such property to a Person and the Issuer or a Restricted Subsidiary of the Issuer leases it from such Person.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Debt</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140" w:firstLine="419"/>
        <w:spacing w:after="0" w:line="282" w:lineRule="auto"/>
        <w:tabs>
          <w:tab w:leader="none" w:pos="11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the Issuer or any of its Restricted Subsidiaries outstanding under Credit Facilities and all obligations under Hedging Obligations with respect thereto;</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Indebtedness of the Issuer or any of its Restricted Subsidiaries permitted to be incurred under the terms of this Indenture, unless the instrument under which such Indebtedness is incurred expressly provides that it is subordinated in right of payment to the Notes or any Guarantee;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8" w:right="459" w:bottom="1440" w:gutter="0" w:footer="0" w:header="0"/>
        </w:sectPr>
      </w:pPr>
    </w:p>
    <w:bookmarkStart w:id="41" w:name="page42"/>
    <w:bookmarkEnd w:id="41"/>
    <w:p>
      <w:pPr>
        <w:jc w:val="center"/>
        <w:ind w:right="30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 all Obligations with respect to the items listed in the preceding clauses (1) and (2).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anything to the contrary in the preceding sentence, Senior Debt will not include:</w:t>
      </w:r>
    </w:p>
    <w:p>
      <w:pPr>
        <w:spacing w:after="0" w:line="117" w:lineRule="exact"/>
        <w:rPr>
          <w:sz w:val="20"/>
          <w:szCs w:val="20"/>
          <w:color w:val="auto"/>
        </w:rPr>
      </w:pPr>
    </w:p>
    <w:p>
      <w:pPr>
        <w:ind w:left="1120" w:hanging="261"/>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intercompany Indebtedness of the Issuer or any of its Restricted Subsidiaries to the Issuer or any Affiliate;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that is incurred in violation of this Indenture;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Stock.</w:t>
      </w:r>
    </w:p>
    <w:p>
      <w:pPr>
        <w:spacing w:after="0" w:line="22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Restricted Subsidiary that would be a “significant subsidiary” as defined in Article 1, Rule 1-02 of Regulation S-X, promulgated pursuant to the Securities Act, as such Regulation is in effect on the Issue Date.</w:t>
      </w:r>
    </w:p>
    <w:p>
      <w:pPr>
        <w:spacing w:after="0" w:line="158"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7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Strip Prices</w:t>
      </w:r>
      <w:r>
        <w:rPr>
          <w:rFonts w:ascii="Times New Roman" w:cs="Times New Roman" w:eastAsia="Times New Roman" w:hAnsi="Times New Roman"/>
          <w:sz w:val="18"/>
          <w:szCs w:val="18"/>
          <w:color w:val="auto"/>
        </w:rPr>
        <w:t xml:space="preserve">” means, as of any date of determination, the forward month prices for the most comparable Hydrocarbon commodity applicable to such future production month for a five year period (or such shorter period if forward month prices are not quoted for a reasonably comparable Hydrocarbon commodity for the full specified period), with such prices held constant thereafter based on the last quoted forward month price of such period, as such prices are (i) quoted on the NYMEX (or its successor), and (ii) as adjusted in good faith by the Issuer’s management for energy content, quality and basis differentials;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estimated future production for which prices are defined, within the meaning of SEC guidelines, by contractual arrangements (excluding escalations based upon future conditions), then such contract prices shall be applied to future production subject to such arrangements.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specified Person:</w:t>
      </w:r>
    </w:p>
    <w:p>
      <w:pPr>
        <w:spacing w:after="0" w:line="119" w:lineRule="exact"/>
        <w:rPr>
          <w:sz w:val="20"/>
          <w:szCs w:val="20"/>
          <w:color w:val="auto"/>
        </w:rPr>
      </w:pPr>
    </w:p>
    <w:p>
      <w:pPr>
        <w:ind w:left="440" w:right="160" w:firstLine="419"/>
        <w:spacing w:after="0" w:line="266"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(other than a partnership or limited liability company) of which more than 50% of the total voting power of its Voting Stock is at the time owned or controlled, directly or indirectly, by that Person or one or more of the other Subsidiaries of that Person (or a combination thereof); and</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or limited liability company of which (a)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or (b) such Person or any Subsidiary of such Person is the sole or controlling general partner or manager or managing member of, or otherwise controls, such entity.</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means the Trust Indenture Act of 1939, as amended (15 U.S.C. §§ 77aaa-77bbbb), as in effect on the Issue Date.</w:t>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70" w:right="499" w:bottom="1440" w:gutter="0" w:footer="0" w:header="0"/>
        </w:sectPr>
      </w:pPr>
    </w:p>
    <w:bookmarkStart w:id="42" w:name="page43"/>
    <w:bookmarkEnd w:id="42"/>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Total Leverage Ratio</w:t>
      </w:r>
      <w:r>
        <w:rPr>
          <w:rFonts w:ascii="Times New Roman" w:cs="Times New Roman" w:eastAsia="Times New Roman" w:hAnsi="Times New Roman"/>
          <w:sz w:val="18"/>
          <w:szCs w:val="18"/>
          <w:color w:val="auto"/>
        </w:rPr>
        <w:t>” means, at any date of determination, the ratio of (a) Consolidated Leverage Ratio Indebtedness, net of consolidated cash and Cash Equivalents, of the Issuer and the Restricted Subsidiaries on such date to (b) Consolidated Cash Flow of the Issuer and the Restricted Subsidiaries for the period of four consecutive fiscal quarters for which internal financial statements are available prior to such date, in each case, with such pro forma adjustments to Consolidated Leverage Ratio Indebtedness and Consolidated Cash Flow as are appropriate and consistent with the pro forma adjustment provisions set forth in the definition of “Fixed Charge Coverage Ratio.”</w:t>
      </w:r>
    </w:p>
    <w:p>
      <w:pPr>
        <w:spacing w:after="0" w:line="183"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Trade Payables</w:t>
      </w:r>
      <w:r>
        <w:rPr>
          <w:rFonts w:ascii="Times New Roman" w:cs="Times New Roman" w:eastAsia="Times New Roman" w:hAnsi="Times New Roman"/>
          <w:sz w:val="18"/>
          <w:szCs w:val="18"/>
          <w:color w:val="auto"/>
        </w:rPr>
        <w:t>” means, as to any Person, (a) accounts payable or other obligations of such Person created or assumed by such Person in the ordinary course of business in connection with the obtaining of goods or services and (b) obligations arising under contracts for the exploration, development, drilling, completion and plugging and abandonment of wells or for the construction, repair or maintenance of related infrastructure or facilities.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xml:space="preserve">” means, as of any redemption date, the yield to maturity as of such redemption date of the most recently issued United States Treasury securities with a constant maturity (as compiled and published in the most recent Federal Reserve Statistical Release H.15 that has become publicly available at least two Business Days prior to the redemption date (or, if such Statistical Release is no longer published or the relevant information does not appear thereon, any publicly available source of similar market data)) most nearly equal to the period from the redemption date to June 15, 2026;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period from the redemption date to June 15, 2026, is less than one year, the weekly average yield on actively traded United States Treasury securities adjusted to a constant maturity of one year will be used. The Issuer will (a) calculate the Treasury Rate on the second Business Day preceding the applicable redemption date and (b) prior to such redemption date file with the Trustee an Officers’ Certificate setting forth the Applicable Premium and the Treasury Rate and showing the calculation of each in reasonable detail. The Trustee may conclusively rely on such Officers’ Certificate and shall have no obligation to confirm or verify any such calculations.</w:t>
      </w:r>
    </w:p>
    <w:p>
      <w:pPr>
        <w:spacing w:after="0" w:line="188"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Wilmington Trust, National Association, in its capacity as such, until a successor replaces it in accordance with the applicable provisions of this Indenture and thereafter means the successor serving hereunder.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Definitive Note</w:t>
      </w:r>
      <w:r>
        <w:rPr>
          <w:rFonts w:ascii="Times New Roman" w:cs="Times New Roman" w:eastAsia="Times New Roman" w:hAnsi="Times New Roman"/>
          <w:sz w:val="18"/>
          <w:szCs w:val="18"/>
          <w:color w:val="auto"/>
        </w:rPr>
        <w:t>” means a Definitive Note that does not bear and is not required to bear the Private Placement Legend.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Global Note</w:t>
      </w:r>
      <w:r>
        <w:rPr>
          <w:rFonts w:ascii="Times New Roman" w:cs="Times New Roman" w:eastAsia="Times New Roman" w:hAnsi="Times New Roman"/>
          <w:sz w:val="18"/>
          <w:szCs w:val="18"/>
          <w:color w:val="auto"/>
        </w:rPr>
        <w:t>” means a Global Note that does not bear and is not required to bear the Private Placement Legend.</w:t>
      </w:r>
    </w:p>
    <w:p>
      <w:pPr>
        <w:spacing w:after="0" w:line="225"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Unrestricted Subsidiary</w:t>
      </w:r>
      <w:r>
        <w:rPr>
          <w:rFonts w:ascii="Times New Roman" w:cs="Times New Roman" w:eastAsia="Times New Roman" w:hAnsi="Times New Roman"/>
          <w:sz w:val="17"/>
          <w:szCs w:val="17"/>
          <w:color w:val="auto"/>
        </w:rPr>
        <w:t>” means (a) as of the Issue Date, without further action, Carbon TerraVault Holdings, LLC, Oso Rojo, LLC and their respective Subsidiaries and (b) any Subsidiary of the Issuer (including any newly acquired or newly formed Subsidiary or a Person becoming a Subsidiary through merger or consolidation or Investment therein) that is designated (or deemed designated) by the Issuer as an Unrestricted Subsidiary pursuant to an Officers’ Certificate, but only to the extent, in the case of this clause (b), that such Subsidiary, at the time of such designation:</w:t>
      </w:r>
    </w:p>
    <w:p>
      <w:pPr>
        <w:spacing w:after="0" w:line="58" w:lineRule="exact"/>
        <w:rPr>
          <w:sz w:val="20"/>
          <w:szCs w:val="20"/>
          <w:color w:val="auto"/>
        </w:rPr>
      </w:pPr>
    </w:p>
    <w:p>
      <w:pPr>
        <w:ind w:left="440" w:right="40" w:firstLine="419"/>
        <w:spacing w:after="0" w:line="282"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 Indebtedness other than Non-Recourse Debt owing to any Person other than the Issuer or any of its Restricted Subsidiaries (other than any guarantee of the Notes or the Guarantees or any Indebtedness that would be released upon such designation);</w:t>
      </w:r>
    </w:p>
    <w:p>
      <w:pPr>
        <w:spacing w:after="0" w:line="53"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Section 4.11, is not party to any agreement, contract, arrangement or understanding with the Issuer or any Restricted Subsidiary of the Issuer unless the terms of any such agreement, contract, arrangement or understanding, together with the terms of all other agreements, contracts, arrangements and understandings with such Unrestricted Subsidiary, taken as a whole, are no less favorable to the Issuer or such Restricted Subsidiary than those that might be obtained at the time from Persons who are not Affiliates of the Issuer, as determined in good faith by the Issuer;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68" w:right="499" w:bottom="1440" w:gutter="0" w:footer="0" w:header="0"/>
        </w:sectPr>
      </w:pPr>
    </w:p>
    <w:bookmarkStart w:id="43" w:name="page44"/>
    <w:bookmarkEnd w:id="43"/>
    <w:p>
      <w:pPr>
        <w:ind w:left="440" w:right="500" w:firstLine="419"/>
        <w:spacing w:after="0" w:line="282" w:lineRule="auto"/>
        <w:tabs>
          <w:tab w:leader="none" w:pos="111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 Person with respect to which neither the Issuer nor any of its Restricted Subsidiaries has any direct or indirect obligation (a) to subscribe for additional Equity Interests or (b) to maintain or preserve such Person’s financial condition;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57" w:lineRule="auto"/>
        <w:tabs>
          <w:tab w:leader="none" w:pos="111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guaranteed or otherwise become an obligor on any Indebtedness of the Issuer or any of its Restricted Subsidiaries, except to the extent such guarantee or obligation would be released upon such designation and except for (x) any Non-Recourse Debt with respect to which the Issuer or any Restricted Subsidiary has pledged (or provided a guarantee limited in recourse solely to) Equity Interests in such Subsidiary or</w:t>
      </w:r>
    </w:p>
    <w:p>
      <w:pPr>
        <w:spacing w:after="0" w:line="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of the Notes and the Guarantees,</w:t>
      </w:r>
    </w:p>
    <w:p>
      <w:pPr>
        <w:spacing w:after="0" w:line="207"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except, in the case of clauses (1), (2), (3) or (4), for any such Indebtedness that is subject to a guarantee by or other obligation of, or any agreement, contract, arrangement or understanding with, or any equity subscription or credit support obligation of, the Issuer or Restricted Subsidiary that constitutes an Investment in such Subsidiary that has been effected as a Restricted Payment or Permitted Investment that complies with Section 4.07.</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Subsidiaries of an Unrestricted Subsidiary shall also be Unrestricted Subsidiaries automatically without further action.</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Person</w:t>
      </w:r>
      <w:r>
        <w:rPr>
          <w:rFonts w:ascii="Times New Roman" w:cs="Times New Roman" w:eastAsia="Times New Roman" w:hAnsi="Times New Roman"/>
          <w:sz w:val="18"/>
          <w:szCs w:val="18"/>
          <w:color w:val="auto"/>
        </w:rPr>
        <w:t>” means a U.S. Person as defined in Rule 902(k) promulgated under the Securities Act.</w:t>
      </w:r>
    </w:p>
    <w:p>
      <w:pPr>
        <w:spacing w:after="0" w:line="225"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Volumetric Production Payments</w:t>
      </w:r>
      <w:r>
        <w:rPr>
          <w:rFonts w:ascii="Times New Roman" w:cs="Times New Roman" w:eastAsia="Times New Roman" w:hAnsi="Times New Roman"/>
          <w:sz w:val="18"/>
          <w:szCs w:val="18"/>
          <w:color w:val="auto"/>
        </w:rPr>
        <w:t>” means production payment obligations recorded as deferred revenue in accordance with GAAP, together with all undertakings and obligations in connection therewith.</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xml:space="preserve">” of any specified Person as of any date means the Capital Stock of such Person entitling the holders thereof (whether at all times or only so long as no senior class of Capital Stock has voting power by reason of any contingency) to vote in the election of members of the Board of Directors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 limited partnership or other entity which does not have a Board of Directors, Voting Stock means the Capital Stock of the general partner of such limited partnership or other business entity with the ultimate authority to manage the business and operations of such Person.</w:t>
      </w:r>
    </w:p>
    <w:p>
      <w:pPr>
        <w:spacing w:after="0" w:line="183"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Weighted Average Life to Maturity</w:t>
      </w:r>
      <w:r>
        <w:rPr>
          <w:rFonts w:ascii="Times New Roman" w:cs="Times New Roman" w:eastAsia="Times New Roman" w:hAnsi="Times New Roman"/>
          <w:sz w:val="18"/>
          <w:szCs w:val="18"/>
          <w:color w:val="auto"/>
        </w:rPr>
        <w:t xml:space="preserve">” means, when applied to any Indebtedness (or Disqualified Stock or Preferred Stock) at any date, the number of years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left="440" w:right="60" w:firstLine="419"/>
        <w:spacing w:after="0" w:line="261"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products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(a) the amount of each then remaining installment, sinking fund, serial maturity or other required payments of principal or (with respect to Preferred Stock) redemption or similar payment, including payment at final maturity, in respect of the Indebtedness (or Disqualified Stock or Preferred Stock),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number of years (calculated to the nearest one-twelfth) that will elapse between such date and the making of such payment; </w:t>
      </w:r>
      <w:r>
        <w:rPr>
          <w:rFonts w:ascii="Times New Roman" w:cs="Times New Roman" w:eastAsia="Times New Roman" w:hAnsi="Times New Roman"/>
          <w:sz w:val="18"/>
          <w:szCs w:val="18"/>
          <w:i w:val="1"/>
          <w:iCs w:val="1"/>
          <w:color w:val="auto"/>
        </w:rPr>
        <w:t>by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4" w:name="page45"/>
    <w:bookmarkEnd w:id="44"/>
    <w:p>
      <w:pPr>
        <w:ind w:left="440" w:right="2520" w:firstLine="419"/>
        <w:spacing w:after="0" w:line="407" w:lineRule="auto"/>
        <w:tabs>
          <w:tab w:leader="none" w:pos="11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then outstanding principal amount of such Indebtedness (or Disqualified Stock or Preferred Stock). Section 1.02 </w:t>
      </w:r>
      <w:r>
        <w:rPr>
          <w:rFonts w:ascii="Times New Roman" w:cs="Times New Roman" w:eastAsia="Times New Roman" w:hAnsi="Times New Roman"/>
          <w:sz w:val="18"/>
          <w:szCs w:val="18"/>
          <w:i w:val="1"/>
          <w:iCs w:val="1"/>
          <w:color w:val="auto"/>
        </w:rPr>
        <w:t>Other Definitions.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w:t>
            </w:r>
          </w:p>
        </w:tc>
        <w:tc>
          <w:tcPr>
            <w:tcW w:w="55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Defined in</w:t>
            </w:r>
          </w:p>
        </w:tc>
        <w:tc>
          <w:tcPr>
            <w:tcW w:w="0" w:type="dxa"/>
            <w:vAlign w:val="bottom"/>
          </w:tcPr>
          <w:p>
            <w:pPr>
              <w:spacing w:after="0"/>
              <w:rPr>
                <w:sz w:val="1"/>
                <w:szCs w:val="1"/>
                <w:color w:val="auto"/>
              </w:rPr>
            </w:pPr>
          </w:p>
        </w:tc>
      </w:tr>
      <w:tr>
        <w:trPr>
          <w:trHeight w:val="191"/>
        </w:trPr>
        <w:tc>
          <w:tcPr>
            <w:tcW w:w="4420" w:type="dxa"/>
            <w:vAlign w:val="bottom"/>
            <w:gridSpan w:val="2"/>
            <w:vMerge w:val="continue"/>
          </w:tcPr>
          <w:p>
            <w:pPr>
              <w:spacing w:after="0"/>
              <w:rPr>
                <w:sz w:val="16"/>
                <w:szCs w:val="16"/>
                <w:color w:val="auto"/>
              </w:rPr>
            </w:pPr>
          </w:p>
        </w:tc>
        <w:tc>
          <w:tcPr>
            <w:tcW w:w="55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183"/>
        </w:trPr>
        <w:tc>
          <w:tcPr>
            <w:tcW w:w="3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87"/>
              </w:rPr>
              <w:t>“</w:t>
            </w:r>
            <w:r>
              <w:rPr>
                <w:rFonts w:ascii="Times New Roman" w:cs="Times New Roman" w:eastAsia="Times New Roman" w:hAnsi="Times New Roman"/>
                <w:sz w:val="18"/>
                <w:szCs w:val="18"/>
                <w:i w:val="1"/>
                <w:iCs w:val="1"/>
                <w:color w:val="auto"/>
                <w:w w:val="87"/>
              </w:rPr>
              <w:t>Act</w:t>
            </w:r>
          </w:p>
        </w:tc>
        <w:tc>
          <w:tcPr>
            <w:tcW w:w="41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spacing w:after="0"/>
              <w:rPr>
                <w:sz w:val="15"/>
                <w:szCs w:val="15"/>
                <w:color w:val="auto"/>
              </w:rPr>
            </w:pPr>
          </w:p>
        </w:tc>
        <w:tc>
          <w:tcPr>
            <w:tcW w:w="11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12.15(a)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Aera Merger</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 Transaction</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4.11(a)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Alternate Offer</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4.15(d)</w:t>
            </w:r>
          </w:p>
        </w:tc>
        <w:tc>
          <w:tcPr>
            <w:tcW w:w="0" w:type="dxa"/>
            <w:vAlign w:val="bottom"/>
          </w:tcPr>
          <w:p>
            <w:pPr>
              <w:spacing w:after="0"/>
              <w:rPr>
                <w:sz w:val="1"/>
                <w:szCs w:val="1"/>
                <w:color w:val="auto"/>
              </w:rPr>
            </w:pPr>
          </w:p>
        </w:tc>
      </w:tr>
      <w:tr>
        <w:trPr>
          <w:trHeight w:val="21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8.04(a) or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11.01(a)(2),</w:t>
            </w:r>
          </w:p>
        </w:tc>
        <w:tc>
          <w:tcPr>
            <w:tcW w:w="0" w:type="dxa"/>
            <w:vAlign w:val="bottom"/>
          </w:tcPr>
          <w:p>
            <w:pPr>
              <w:spacing w:after="0"/>
              <w:rPr>
                <w:sz w:val="1"/>
                <w:szCs w:val="1"/>
                <w:color w:val="auto"/>
              </w:rPr>
            </w:pPr>
          </w:p>
        </w:tc>
      </w:tr>
      <w:tr>
        <w:trPr>
          <w:trHeight w:val="229"/>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 Offer</w:t>
            </w:r>
            <w:r>
              <w:rPr>
                <w:rFonts w:ascii="Times New Roman" w:cs="Times New Roman" w:eastAsia="Times New Roman" w:hAnsi="Times New Roman"/>
                <w:sz w:val="18"/>
                <w:szCs w:val="18"/>
                <w:color w:val="auto"/>
              </w:rPr>
              <w:t>”</w:t>
            </w:r>
          </w:p>
        </w:tc>
        <w:tc>
          <w:tcPr>
            <w:tcW w:w="55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applicable</w:t>
            </w:r>
          </w:p>
        </w:tc>
        <w:tc>
          <w:tcPr>
            <w:tcW w:w="0" w:type="dxa"/>
            <w:vAlign w:val="bottom"/>
          </w:tcPr>
          <w:p>
            <w:pPr>
              <w:spacing w:after="0"/>
              <w:rPr>
                <w:sz w:val="1"/>
                <w:szCs w:val="1"/>
                <w:color w:val="auto"/>
              </w:rPr>
            </w:pPr>
          </w:p>
        </w:tc>
      </w:tr>
      <w:tr>
        <w:trPr>
          <w:trHeight w:val="214"/>
        </w:trPr>
        <w:tc>
          <w:tcPr>
            <w:tcW w:w="4420" w:type="dxa"/>
            <w:vAlign w:val="bottom"/>
            <w:gridSpan w:val="2"/>
            <w:vMerge w:val="continue"/>
          </w:tcPr>
          <w:p>
            <w:pPr>
              <w:spacing w:after="0"/>
              <w:rPr>
                <w:sz w:val="18"/>
                <w:szCs w:val="18"/>
                <w:color w:val="auto"/>
              </w:rPr>
            </w:pP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4.10(f)</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Authentication Order</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Authorized Officers</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w w:val="98"/>
              </w:rPr>
              <w:t>12.17</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Purchase Date</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Excess Proceeds</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4.10(f)</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Instructions</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w w:val="98"/>
              </w:rPr>
              <w:t>12.17</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Issuer Website</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4.03(f)</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 Amount</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 Period</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6.01(g)(1)</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Debt</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4.09(b)</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Payment</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4.07(b)</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Officer</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2.06(g)(1)(B)</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Date</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6600" w:type="dxa"/>
            <w:vAlign w:val="bottom"/>
            <w:gridSpan w:val="2"/>
          </w:tcPr>
          <w:p>
            <w:pPr>
              <w:jc w:val="center"/>
              <w:ind w:left="539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4.07(a)(4)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Mandatory Redemption</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Mandatory Redemption Date</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3.07(b)</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Mandatory Redemption Price</w:t>
            </w:r>
            <w:r>
              <w:rPr>
                <w:rFonts w:ascii="Times New Roman" w:cs="Times New Roman" w:eastAsia="Times New Roman" w:hAnsi="Times New Roman"/>
                <w:sz w:val="18"/>
                <w:szCs w:val="18"/>
                <w:color w:val="auto"/>
              </w:rPr>
              <w:t>”</w:t>
            </w:r>
          </w:p>
        </w:tc>
        <w:tc>
          <w:tcPr>
            <w:tcW w:w="55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23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Mandatory Redemption Trigger Date</w:t>
            </w:r>
            <w:r>
              <w:rPr>
                <w:rFonts w:ascii="Times New Roman" w:cs="Times New Roman" w:eastAsia="Times New Roman" w:hAnsi="Times New Roman"/>
                <w:sz w:val="18"/>
                <w:szCs w:val="18"/>
                <w:color w:val="auto"/>
              </w:rPr>
              <w:t>”</w:t>
            </w:r>
          </w:p>
        </w:tc>
        <w:tc>
          <w:tcPr>
            <w:tcW w:w="55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3.07(a)</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50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1.03 </w:t>
      </w:r>
      <w:r>
        <w:rPr>
          <w:rFonts w:ascii="Times New Roman" w:cs="Times New Roman" w:eastAsia="Times New Roman" w:hAnsi="Times New Roman"/>
          <w:sz w:val="18"/>
          <w:szCs w:val="18"/>
          <w:i w:val="1"/>
          <w:iCs w:val="1"/>
          <w:color w:val="auto"/>
        </w:rPr>
        <w:t>No Incorporation by Reference of Trust Indenture Act.</w:t>
      </w:r>
    </w:p>
    <w:p>
      <w:pPr>
        <w:spacing w:after="0" w:line="22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Indenture is not qualified under the TIA, and the TIA shall not apply to or in any way govern the terms of this Indenture, except to the extent required by law. Except as so required, no provisions of the TIA are incorporated into this Indenture unless expressly incorporated pursuant to this Indenture.</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Rules of Construction.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240" w:hanging="253"/>
        <w:spacing w:after="0"/>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25"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will be deemed to include substitute, replacement of successor sections or rules adopted by the SEC from time to time;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or “including” shall be deemed to be followed by the words “without limitation”; and</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20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(as amended or supplemented from time to time) and not to any particular Article, Section or other subdivision.</w:t>
      </w:r>
    </w:p>
    <w:p>
      <w:pPr>
        <w:spacing w:after="0" w:line="37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THE NOTES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 and Dating.</w:t>
      </w:r>
    </w:p>
    <w:p>
      <w:pPr>
        <w:spacing w:after="0" w:line="225" w:lineRule="exact"/>
        <w:rPr>
          <w:sz w:val="20"/>
          <w:szCs w:val="20"/>
          <w:color w:val="auto"/>
        </w:rPr>
      </w:pPr>
    </w:p>
    <w:p>
      <w:pPr>
        <w:ind w:firstLine="987"/>
        <w:spacing w:after="0" w:line="267"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Notes and the Trustee’s certificate of authentication will be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Notes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notations, legends or endorsements required by law, stock exchange rule or usage. Each Note will be dated the date of its authentication. The Notes shall be in minimum denominations of $2,000 and integral multiples of $1,000 in excess thereof.</w:t>
      </w:r>
    </w:p>
    <w:p>
      <w:pPr>
        <w:spacing w:after="0" w:line="175"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Notes will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terms of the Notes will include those stated in this Indenture.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68" w:right="479" w:bottom="1440" w:gutter="0" w:footer="0" w:header="0"/>
        </w:sectPr>
      </w:pPr>
    </w:p>
    <w:bookmarkStart w:id="46" w:name="page47"/>
    <w:bookmarkEnd w:id="46"/>
    <w:p>
      <w:pPr>
        <w:jc w:val="both"/>
        <w:ind w:left="4" w:firstLine="987"/>
        <w:spacing w:after="0" w:line="269" w:lineRule="auto"/>
        <w:tabs>
          <w:tab w:leader="none" w:pos="125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Global Notes</w:t>
      </w:r>
      <w:r>
        <w:rPr>
          <w:rFonts w:ascii="Times New Roman" w:cs="Times New Roman" w:eastAsia="Times New Roman" w:hAnsi="Times New Roman"/>
          <w:sz w:val="17"/>
          <w:szCs w:val="17"/>
          <w:color w:val="auto"/>
        </w:rPr>
        <w:t>. Notes issued in global form will be substantially in the form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hereto (including the Global Note Legend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thereon and the “Schedule of Increases or Decreases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or repurchases. Any endorsement of a Global Note to reflect the amount of any increase or decrease in the aggregate principal amount of outstanding Notes represented thereby will be made by the Trustee or the Custodian, at the direction of the Trustee,</w:t>
      </w:r>
    </w:p>
    <w:p>
      <w:pPr>
        <w:spacing w:after="0" w:line="1" w:lineRule="exact"/>
        <w:rPr>
          <w:rFonts w:ascii="Times New Roman" w:cs="Times New Roman" w:eastAsia="Times New Roman" w:hAnsi="Times New Roman"/>
          <w:sz w:val="17"/>
          <w:szCs w:val="17"/>
          <w:color w:val="auto"/>
        </w:rPr>
      </w:pPr>
    </w:p>
    <w:p>
      <w:pPr>
        <w:ind w:left="4" w:right="100" w:hanging="4"/>
        <w:spacing w:after="0" w:line="260" w:lineRule="auto"/>
        <w:tabs>
          <w:tab w:leader="none" w:pos="2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exchange, in accordance with instructions given by the Holder thereof as required by Section 2.06 or (ii) in the case of a redemption or repurchase, in accordance with Section 2.06(a).</w:t>
      </w:r>
    </w:p>
    <w:p>
      <w:pPr>
        <w:spacing w:after="0" w:line="179"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Euroclear and Clearstream Procedures Applicable. </w:t>
      </w:r>
      <w:r>
        <w:rPr>
          <w:rFonts w:ascii="Times New Roman" w:cs="Times New Roman" w:eastAsia="Times New Roman" w:hAnsi="Times New Roman"/>
          <w:sz w:val="18"/>
          <w:szCs w:val="18"/>
          <w:color w:val="auto"/>
        </w:rPr>
        <w:t>The provisions of the “Operating Procedures of the Euroclear System” and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179" w:lineRule="exact"/>
        <w:rPr>
          <w:rFonts w:ascii="Times New Roman" w:cs="Times New Roman" w:eastAsia="Times New Roman" w:hAnsi="Times New Roman"/>
          <w:sz w:val="18"/>
          <w:szCs w:val="18"/>
          <w:color w:val="auto"/>
        </w:rPr>
      </w:pPr>
    </w:p>
    <w:p>
      <w:pPr>
        <w:ind w:left="4" w:right="80" w:firstLine="987"/>
        <w:spacing w:after="0" w:line="284" w:lineRule="auto"/>
        <w:tabs>
          <w:tab w:leader="none" w:pos="12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Definitive Notes</w:t>
      </w:r>
      <w:r>
        <w:rPr>
          <w:rFonts w:ascii="Times New Roman" w:cs="Times New Roman" w:eastAsia="Times New Roman" w:hAnsi="Times New Roman"/>
          <w:sz w:val="18"/>
          <w:szCs w:val="18"/>
          <w:color w:val="auto"/>
        </w:rPr>
        <w:t>. Notes issued in definitive form shall be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attached hereto (but without the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Legend thereon and without the “Schedule of Increases or Decreases of Interests in the Global Note” attached thereto).</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Execution and Authentication.</w:t>
      </w:r>
    </w:p>
    <w:p>
      <w:pPr>
        <w:spacing w:after="0" w:line="2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 least one Officer must sign the Notes for the Issuer by manual, facsimile, electronic or electronically transmitted signature.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an Officer whose signature is on a Note no longer holds that office at the time a Note is authenticated, the Note will nevertheless be valid.</w:t>
      </w:r>
    </w:p>
    <w:p>
      <w:pPr>
        <w:spacing w:after="0" w:line="225"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A Note will not be valid until authenticated by the manual signature of the Trustee. The signature will be conclusive evidence that the Note has been authenticated under this Indenture.</w:t>
      </w:r>
    </w:p>
    <w:p>
      <w:pPr>
        <w:spacing w:after="0" w:line="16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Trustee will, upon receipt of a written order of the Issuer signed by an Officer of the Issuer (an “</w:t>
      </w:r>
      <w:r>
        <w:rPr>
          <w:rFonts w:ascii="Times New Roman" w:cs="Times New Roman" w:eastAsia="Times New Roman" w:hAnsi="Times New Roman"/>
          <w:sz w:val="18"/>
          <w:szCs w:val="18"/>
          <w:i w:val="1"/>
          <w:iCs w:val="1"/>
          <w:color w:val="auto"/>
        </w:rPr>
        <w:t>Authentication Order</w:t>
      </w:r>
      <w:r>
        <w:rPr>
          <w:rFonts w:ascii="Times New Roman" w:cs="Times New Roman" w:eastAsia="Times New Roman" w:hAnsi="Times New Roman"/>
          <w:sz w:val="18"/>
          <w:szCs w:val="18"/>
          <w:color w:val="auto"/>
        </w:rPr>
        <w:t>”), authenticate Notes for original issue (i) on the Issue Date as Initial Notes in the aggregate principal amount of $600,000,000 and (ii) from time to time any Additional Notes that may be validly issued under this Indenture. The aggregate principal amount of Notes outstanding at any time may not exceed the aggregate principal amount of Notes authorized for issuance by the Issuer pursuant to one or more Authentication Orders, except as provided in Section 2.07.</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Trustee shall also authenticate and deliver Notes at the times and in the manner specified in Sections 2.06, 2.07, 2.10, 3.06, 3.10, 4.15 and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9.04.</w:t>
      </w:r>
    </w:p>
    <w:p>
      <w:pPr>
        <w:spacing w:after="0" w:line="207"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68" w:right="439"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w:t>
      </w:r>
      <w:r>
        <w:rPr>
          <w:rFonts w:ascii="Times New Roman" w:cs="Times New Roman" w:eastAsia="Times New Roman" w:hAnsi="Times New Roman"/>
          <w:sz w:val="18"/>
          <w:szCs w:val="18"/>
          <w:i w:val="1"/>
          <w:iCs w:val="1"/>
          <w:color w:val="auto"/>
        </w:rPr>
        <w:t>Registrar and Paying Agent.</w:t>
      </w:r>
    </w:p>
    <w:p>
      <w:pPr>
        <w:spacing w:after="0" w:line="22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The Issuer will maintain an office or agency where Notes may be presented for registration of transfer or for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an office or agency where Notes may be presented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The Registrar will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will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 initially appoints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to act as Depositary with respect to the Global Notes.</w:t>
      </w:r>
    </w:p>
    <w:p>
      <w:pPr>
        <w:spacing w:after="0" w:line="22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Issuer initially appoints the Trustee to act as the Registrar and Paying Agent (at its office indicated in the definition of “Corporate Trust Office of the Trustee” in Section 1.01) and to act as Custodian with respect to the Global Notes.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Paying Agent to Hold Money in Trust.</w:t>
      </w:r>
    </w:p>
    <w:p>
      <w:pPr>
        <w:spacing w:after="0" w:line="22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Issuer will require each Paying Agent other than the Trustee to agree in writing that the Paying Agent will hold in trust for the benefit of Holders or the Trustee all money held by the Paying Agent for the payment of principal of, premium on, if any, or interest on the Notes, and will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will have no further liability for the money. If the Issuer or a Subsidiary acts as Paying Agent, it will segregate and hold in a separate trust fund for the benefit of the Holders all money held by it as Paying Agent. Upon any bankruptcy or reorganization proceedings relating to the Issuer, the Trustee will serve as Paying Agent for the Notes.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Holder Lists.</w:t>
      </w:r>
    </w:p>
    <w:p>
      <w:pPr>
        <w:spacing w:after="0" w:line="22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Trustee will preserve in as current a form as is reasonably practicable the most recent list available to it of the names and addresses of all Holders. If the Trustee is not the Registrar, the Issuer will furnish to the Trustee at least seven Business Days before each Interest Payment Date and at such other times as the Trustee may request in writing, a list in such form and as of such date as the Trustee may reasonably require of the names and addresses of the Holders of the Notes.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Transfer and Exchange.</w:t>
      </w:r>
    </w:p>
    <w:p>
      <w:pPr>
        <w:spacing w:after="0" w:line="225" w:lineRule="exact"/>
        <w:rPr>
          <w:sz w:val="20"/>
          <w:szCs w:val="20"/>
          <w:color w:val="auto"/>
        </w:rPr>
      </w:pPr>
    </w:p>
    <w:p>
      <w:pPr>
        <w:ind w:firstLine="987"/>
        <w:spacing w:after="0" w:line="267"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Global Notes</w:t>
      </w:r>
      <w:r>
        <w:rPr>
          <w:rFonts w:ascii="Times New Roman" w:cs="Times New Roman" w:eastAsia="Times New Roman" w:hAnsi="Times New Roman"/>
          <w:sz w:val="18"/>
          <w:szCs w:val="18"/>
          <w:color w:val="auto"/>
        </w:rPr>
        <w:t>. A Global Note may not be transferred except as a whole by the Depositary to a nominee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by a nominee of the Depositary to the Depositary or to another nominee of the Depositary, or by the Depositary or any such nominee to a successor Depositary or a nominee of such successor Depositary. All Global Notes will be exchanged by the Issuer for Definitive Notes if:</w:t>
      </w:r>
    </w:p>
    <w:p>
      <w:pPr>
        <w:spacing w:after="0" w:line="67" w:lineRule="exact"/>
        <w:rPr>
          <w:rFonts w:ascii="Times New Roman" w:cs="Times New Roman" w:eastAsia="Times New Roman" w:hAnsi="Times New Roman"/>
          <w:sz w:val="18"/>
          <w:szCs w:val="18"/>
          <w:color w:val="auto"/>
        </w:rPr>
      </w:pPr>
    </w:p>
    <w:p>
      <w:pPr>
        <w:ind w:left="440" w:firstLine="948"/>
        <w:spacing w:after="0" w:line="266" w:lineRule="auto"/>
        <w:tabs>
          <w:tab w:leader="none" w:pos="164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notifies the Issuer that it is unwilling or unable to continue to act as Depositary or that it is no longer a clearing agency registered under the Exchange Act and, in either case, a successor Depositary is not appointed by the Issuer within 90 days after the date of such notice from the Depositary;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8" w:right="459" w:bottom="1440" w:gutter="0" w:footer="0" w:header="0"/>
        </w:sectPr>
      </w:pPr>
    </w:p>
    <w:bookmarkStart w:id="48" w:name="page49"/>
    <w:bookmarkEnd w:id="48"/>
    <w:p>
      <w:pPr>
        <w:ind w:left="440" w:right="80" w:firstLine="948"/>
        <w:spacing w:after="0" w:line="282" w:lineRule="auto"/>
        <w:tabs>
          <w:tab w:leader="none" w:pos="164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has occurred and is continuing an Event of Default and the Depositary notifies the Trustee of its decision to exchange such Global Note for Definitive Notes.</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Upon the occurrence of the preceding events in clause (1) or (2) above, Definitive Notes shall be issued in such names as the Depositary shall instruct the Trustee. Global Notes also may be exchanged or replaced, in whole or in part, as provided in Sections 2.07 and 2.10. Every Note authenticated and delivered in exchange for, or in lieu of, a Global Note or any portion thereof, pursuant to this Section 2.06 or Section 2.07 or 2.10,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Whenever any provision herein refers to issuance by the Issuer and authentication and delivery by the Trustee of a new Note in exchange for the portion of a surrendered Note that has not been redeemed or repurchased, as the case may be, in lieu of the surrender of any Global Note and the issuance, authentication and delivery of a new Global Note in exchange therefor, the Trustee or the Depositary at the direction of the Trustee may endorse such Global Note to reflect a reduction in the principal amount represented thereby in the amount of Notes so represented that have been so redeemed or repurchased.</w:t>
      </w:r>
    </w:p>
    <w:p>
      <w:pPr>
        <w:spacing w:after="0" w:line="192" w:lineRule="exact"/>
        <w:rPr>
          <w:sz w:val="20"/>
          <w:szCs w:val="20"/>
          <w:color w:val="auto"/>
        </w:rPr>
      </w:pPr>
    </w:p>
    <w:p>
      <w:pPr>
        <w:ind w:firstLine="987"/>
        <w:spacing w:after="0" w:line="253"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Beneficial Interests in the Global Notes</w:t>
      </w:r>
      <w:r>
        <w:rPr>
          <w:rFonts w:ascii="Times New Roman" w:cs="Times New Roman" w:eastAsia="Times New Roman" w:hAnsi="Times New Roman"/>
          <w:sz w:val="18"/>
          <w:szCs w:val="18"/>
          <w:color w:val="auto"/>
        </w:rPr>
        <w:t>. The transfer and exchange of beneficial interests in the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will be effected through the Depositary, in accordance with the provisions of this Indenture and the Applicable Procedures. Participants and Indirect Participants shall have no rights under this Indenture with respect to any Global Note held on their behalf by the Depositary or by the Trustee as the Custodian with respect to the Global Notes, and the Issuer, the Trustee, any Agent and any agent of the Issuer or the Trustee shall be entitled to treat the Depositary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Depositary or impair, as between the Depositary and its Participants or the Indirect Participants, the operation of customary practices of such Depositary governing the exercise of the rights of a holder of a beneficial interest in any Global Note. Subject to the provisions of this Section 2.06 and</w:t>
      </w:r>
    </w:p>
    <w:p>
      <w:pPr>
        <w:spacing w:after="0" w:line="2" w:lineRule="exact"/>
        <w:rPr>
          <w:rFonts w:ascii="Times New Roman" w:cs="Times New Roman" w:eastAsia="Times New Roman" w:hAnsi="Times New Roman"/>
          <w:sz w:val="18"/>
          <w:szCs w:val="18"/>
          <w:color w:val="auto"/>
        </w:rPr>
      </w:pPr>
    </w:p>
    <w:p>
      <w:pPr>
        <w:jc w:val="both"/>
        <w:ind w:right="3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12.15, the Holder of a Global Note shall be entitled to grant proxies and otherwise authorize any Person, including Participants and Indirect Participants and Persons that may hold interests through such Persons, to take any action that a Holder is entitled to take under this Indenture or the Notes.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76" w:lineRule="exact"/>
        <w:rPr>
          <w:rFonts w:ascii="Times New Roman" w:cs="Times New Roman" w:eastAsia="Times New Roman" w:hAnsi="Times New Roman"/>
          <w:sz w:val="18"/>
          <w:szCs w:val="18"/>
          <w:color w:val="auto"/>
        </w:rPr>
      </w:pPr>
    </w:p>
    <w:p>
      <w:pPr>
        <w:ind w:left="440" w:right="20" w:firstLine="948"/>
        <w:spacing w:after="0" w:line="257" w:lineRule="auto"/>
        <w:tabs>
          <w:tab w:leader="none" w:pos="164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Beneficial Interests in the Same Global Note</w:t>
      </w:r>
      <w:r>
        <w:rPr>
          <w:rFonts w:ascii="Times New Roman" w:cs="Times New Roman" w:eastAsia="Times New Roman" w:hAnsi="Times New Roman"/>
          <w:sz w:val="18"/>
          <w:szCs w:val="18"/>
          <w:color w:val="auto"/>
        </w:rPr>
        <w:t>. Beneficial interests in any Restricted Global Note may be transferred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who take delivery thereof in the form of a beneficial interest in the same Restricted Global Note in accordance with the transfer restrictions set forth in the Private Placement Legend and any Applicable Procedures. Beneficial interests in any Unrestricted Global Note may be transferred to Persons who take delivery thereof in the form of a beneficial interest in an Unrestricted Global Note. Except as may be required by any Applicable Procedures, no written orders or instructions shall be required to be delivered to the Registrar to effect the transfers described in this Section 2.06(b)(1).</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60"/>
          </w:cols>
          <w:pgMar w:left="440" w:top="270" w:right="499" w:bottom="1440" w:gutter="0" w:footer="0" w:header="0"/>
        </w:sectPr>
      </w:pPr>
    </w:p>
    <w:bookmarkStart w:id="49" w:name="page50"/>
    <w:bookmarkEnd w:id="49"/>
    <w:p>
      <w:pPr>
        <w:ind w:right="200" w:firstLine="948"/>
        <w:spacing w:after="0" w:line="315" w:lineRule="auto"/>
        <w:tabs>
          <w:tab w:leader="none" w:pos="120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Other Transfers and Exchanges of Beneficial Interests in Global Notes. </w:t>
      </w:r>
      <w:r>
        <w:rPr>
          <w:rFonts w:ascii="Times New Roman" w:cs="Times New Roman" w:eastAsia="Times New Roman" w:hAnsi="Times New Roman"/>
          <w:sz w:val="17"/>
          <w:szCs w:val="17"/>
          <w:color w:val="auto"/>
        </w:rPr>
        <w:t>In connection with all transfers and exchanges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beneficial interests that are not subject to Section 2.06(b)(1) above, the transferor of such beneficial interest must deliver to the Registrar either:</w:t>
      </w:r>
    </w:p>
    <w:p>
      <w:pPr>
        <w:spacing w:after="0" w:line="28" w:lineRule="exact"/>
        <w:rPr>
          <w:rFonts w:ascii="Times New Roman" w:cs="Times New Roman" w:eastAsia="Times New Roman" w:hAnsi="Times New Roman"/>
          <w:sz w:val="17"/>
          <w:szCs w:val="17"/>
          <w:color w:val="auto"/>
        </w:rPr>
      </w:pPr>
    </w:p>
    <w:p>
      <w:pPr>
        <w:ind w:left="1740" w:hanging="290"/>
        <w:spacing w:after="0"/>
        <w:tabs>
          <w:tab w:leader="none" w:pos="17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117" w:lineRule="exact"/>
        <w:rPr>
          <w:rFonts w:ascii="Times New Roman" w:cs="Times New Roman" w:eastAsia="Times New Roman" w:hAnsi="Times New Roman"/>
          <w:sz w:val="18"/>
          <w:szCs w:val="18"/>
          <w:color w:val="auto"/>
        </w:rPr>
      </w:pPr>
    </w:p>
    <w:p>
      <w:pPr>
        <w:ind w:left="980" w:firstLine="871"/>
        <w:spacing w:after="0" w:line="266" w:lineRule="auto"/>
        <w:tabs>
          <w:tab w:leader="none" w:pos="2057"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67" w:lineRule="exact"/>
        <w:rPr>
          <w:rFonts w:ascii="Times New Roman" w:cs="Times New Roman" w:eastAsia="Times New Roman" w:hAnsi="Times New Roman"/>
          <w:sz w:val="18"/>
          <w:szCs w:val="18"/>
          <w:color w:val="auto"/>
        </w:rPr>
      </w:pPr>
    </w:p>
    <w:p>
      <w:pPr>
        <w:ind w:left="980" w:right="280" w:firstLine="871"/>
        <w:spacing w:after="0" w:line="282" w:lineRule="auto"/>
        <w:tabs>
          <w:tab w:leader="none" w:pos="2107"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in accordance with the Applicable Procedures containing information regarding the Participant account to be credited with such increase; or</w:t>
      </w:r>
    </w:p>
    <w:p>
      <w:pPr>
        <w:spacing w:after="0" w:line="53"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117" w:lineRule="exact"/>
        <w:rPr>
          <w:rFonts w:ascii="Times New Roman" w:cs="Times New Roman" w:eastAsia="Times New Roman" w:hAnsi="Times New Roman"/>
          <w:sz w:val="18"/>
          <w:szCs w:val="18"/>
          <w:color w:val="auto"/>
        </w:rPr>
      </w:pPr>
    </w:p>
    <w:p>
      <w:pPr>
        <w:ind w:left="980" w:firstLine="871"/>
        <w:spacing w:after="0" w:line="266" w:lineRule="auto"/>
        <w:tabs>
          <w:tab w:leader="none" w:pos="2057"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67" w:lineRule="exact"/>
        <w:rPr>
          <w:rFonts w:ascii="Times New Roman" w:cs="Times New Roman" w:eastAsia="Times New Roman" w:hAnsi="Times New Roman"/>
          <w:sz w:val="18"/>
          <w:szCs w:val="18"/>
          <w:color w:val="auto"/>
        </w:rPr>
      </w:pPr>
    </w:p>
    <w:p>
      <w:pPr>
        <w:ind w:left="980" w:right="300" w:firstLine="871"/>
        <w:spacing w:after="0" w:line="282" w:lineRule="auto"/>
        <w:tabs>
          <w:tab w:leader="none" w:pos="2107"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5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w:t>
      </w:r>
    </w:p>
    <w:p>
      <w:pPr>
        <w:spacing w:after="0" w:line="66" w:lineRule="exact"/>
        <w:rPr>
          <w:sz w:val="20"/>
          <w:szCs w:val="20"/>
          <w:color w:val="auto"/>
        </w:rPr>
      </w:pPr>
    </w:p>
    <w:p>
      <w:pPr>
        <w:jc w:val="both"/>
        <w:ind w:right="280" w:firstLine="948"/>
        <w:spacing w:after="0" w:line="267" w:lineRule="auto"/>
        <w:tabs>
          <w:tab w:leader="none" w:pos="120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of Beneficial Interests to Another Restricted Global Note. </w:t>
      </w:r>
      <w:r>
        <w:rPr>
          <w:rFonts w:ascii="Times New Roman" w:cs="Times New Roman" w:eastAsia="Times New Roman" w:hAnsi="Times New Roman"/>
          <w:sz w:val="18"/>
          <w:szCs w:val="18"/>
          <w:color w:val="auto"/>
        </w:rPr>
        <w:t>A beneficial interest in any Restricted Global Note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to a Person who takes delivery thereof in the form of a beneficial interest in another Restricted Global Note if the transfer complies with the requirements of Section 2.06(b)(2) above and the Registrar receives the following:</w:t>
      </w:r>
    </w:p>
    <w:p>
      <w:pPr>
        <w:spacing w:after="0" w:line="67" w:lineRule="exact"/>
        <w:rPr>
          <w:rFonts w:ascii="Times New Roman" w:cs="Times New Roman" w:eastAsia="Times New Roman" w:hAnsi="Times New Roman"/>
          <w:sz w:val="18"/>
          <w:szCs w:val="18"/>
          <w:color w:val="auto"/>
        </w:rPr>
      </w:pPr>
    </w:p>
    <w:p>
      <w:pPr>
        <w:ind w:left="540" w:right="240" w:firstLine="910"/>
        <w:spacing w:after="0" w:line="282" w:lineRule="auto"/>
        <w:tabs>
          <w:tab w:leader="none" w:pos="173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144A Global Note,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 and</w:t>
      </w:r>
    </w:p>
    <w:p>
      <w:pPr>
        <w:spacing w:after="0" w:line="53" w:lineRule="exact"/>
        <w:rPr>
          <w:rFonts w:ascii="Times New Roman" w:cs="Times New Roman" w:eastAsia="Times New Roman" w:hAnsi="Times New Roman"/>
          <w:sz w:val="18"/>
          <w:szCs w:val="18"/>
          <w:color w:val="auto"/>
        </w:rPr>
      </w:pPr>
    </w:p>
    <w:p>
      <w:pPr>
        <w:ind w:left="540" w:firstLine="910"/>
        <w:spacing w:after="0" w:line="261" w:lineRule="auto"/>
        <w:tabs>
          <w:tab w:leader="none" w:pos="172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shall take delivery in the form of a beneficial interest in the Regulation S Global Note, then the transferor shall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or, if permitted by the Applicable Procedures, item (3)(a) thereof (if available), then the transferee must hold such interests through Euroclear or Clearstream (as Participants in the Depositary).</w:t>
      </w:r>
    </w:p>
    <w:p>
      <w:pPr>
        <w:spacing w:after="0" w:line="69" w:lineRule="exact"/>
        <w:rPr>
          <w:rFonts w:ascii="Times New Roman" w:cs="Times New Roman" w:eastAsia="Times New Roman" w:hAnsi="Times New Roman"/>
          <w:sz w:val="18"/>
          <w:szCs w:val="18"/>
          <w:color w:val="auto"/>
        </w:rPr>
      </w:pPr>
    </w:p>
    <w:p>
      <w:pPr>
        <w:ind w:firstLine="948"/>
        <w:spacing w:after="0" w:line="261" w:lineRule="auto"/>
        <w:tabs>
          <w:tab w:leader="none" w:pos="120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Beneficial Interests in a Restricted Global Note for Beneficial Interests in an Unrestricted Global Note. </w:t>
      </w:r>
      <w:r>
        <w:rPr>
          <w:rFonts w:ascii="Times New Roman" w:cs="Times New Roman" w:eastAsia="Times New Roman" w:hAnsi="Times New Roman"/>
          <w:sz w:val="18"/>
          <w:szCs w:val="18"/>
          <w:color w:val="auto"/>
        </w:rPr>
        <w:t>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w:t>
      </w:r>
    </w:p>
    <w:p>
      <w:pPr>
        <w:spacing w:after="0" w:line="73"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40"/>
          </w:cols>
          <w:pgMar w:left="880" w:top="268" w:right="479" w:bottom="1440" w:gutter="0" w:footer="0" w:header="0"/>
        </w:sectPr>
      </w:pPr>
    </w:p>
    <w:bookmarkStart w:id="50" w:name="page51"/>
    <w:bookmarkEnd w:id="50"/>
    <w:p>
      <w:pPr>
        <w:ind w:left="2100" w:hanging="289"/>
        <w:spacing w:after="0"/>
        <w:tabs>
          <w:tab w:leader="none" w:pos="2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1420" w:right="180" w:firstLine="871"/>
        <w:spacing w:after="0" w:line="266" w:lineRule="auto"/>
        <w:tabs>
          <w:tab w:leader="none" w:pos="249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(1)(a) thereof; or</w:t>
      </w:r>
    </w:p>
    <w:p>
      <w:pPr>
        <w:spacing w:after="0" w:line="67" w:lineRule="exact"/>
        <w:rPr>
          <w:rFonts w:ascii="Times New Roman" w:cs="Times New Roman" w:eastAsia="Times New Roman" w:hAnsi="Times New Roman"/>
          <w:sz w:val="18"/>
          <w:szCs w:val="18"/>
          <w:color w:val="auto"/>
        </w:rPr>
      </w:pPr>
    </w:p>
    <w:p>
      <w:pPr>
        <w:ind w:left="1420" w:right="180" w:firstLine="871"/>
        <w:spacing w:after="0" w:line="266" w:lineRule="auto"/>
        <w:tabs>
          <w:tab w:leader="none" w:pos="254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980" w:right="6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If any such transfer or exchange is effected pursuant to subparagraph (D) above at a time when an Unrestricted Global Note has not yet been issued, the Issuer shall issue and, upon receipt of an Authentication Order in accordance with Section 2.02, the Trustee shall authenticate one or more Unrestricted Global Notes in an aggregate principal amount equal to the aggregate principal amount of beneficial interests transferred or exchanged pursuant to subparagraph (D) above.</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60" w:lineRule="exact"/>
        <w:rPr>
          <w:sz w:val="20"/>
          <w:szCs w:val="20"/>
          <w:color w:val="auto"/>
        </w:rPr>
      </w:pPr>
    </w:p>
    <w:p>
      <w:pPr>
        <w:ind w:left="1240" w:hanging="253"/>
        <w:spacing w:after="0"/>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or Exchange of Beneficial Interests for Definitive Notes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90" w:lineRule="auto"/>
        <w:tabs>
          <w:tab w:leader="none" w:pos="1646"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Beneficial Interests in Restricted Global Notes to Restricted Definitive Notes. </w:t>
      </w:r>
      <w:r>
        <w:rPr>
          <w:rFonts w:ascii="Times New Roman" w:cs="Times New Roman" w:eastAsia="Times New Roman" w:hAnsi="Times New Roman"/>
          <w:sz w:val="17"/>
          <w:szCs w:val="17"/>
          <w:color w:val="auto"/>
        </w:rPr>
        <w:t>If any holder of a beneficial interest in a 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49" w:lineRule="exact"/>
        <w:rPr>
          <w:rFonts w:ascii="Times New Roman" w:cs="Times New Roman" w:eastAsia="Times New Roman" w:hAnsi="Times New Roman"/>
          <w:sz w:val="17"/>
          <w:szCs w:val="17"/>
          <w:color w:val="auto"/>
        </w:rPr>
      </w:pPr>
    </w:p>
    <w:p>
      <w:pPr>
        <w:ind w:left="980" w:firstLine="910"/>
        <w:spacing w:after="0" w:line="282" w:lineRule="auto"/>
        <w:tabs>
          <w:tab w:leader="none" w:pos="2177"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Restricted Definitive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(2)(a) thereof;</w:t>
      </w:r>
    </w:p>
    <w:p>
      <w:pPr>
        <w:spacing w:after="0" w:line="53" w:lineRule="exact"/>
        <w:rPr>
          <w:rFonts w:ascii="Times New Roman" w:cs="Times New Roman" w:eastAsia="Times New Roman" w:hAnsi="Times New Roman"/>
          <w:sz w:val="18"/>
          <w:szCs w:val="18"/>
          <w:color w:val="auto"/>
        </w:rPr>
      </w:pPr>
    </w:p>
    <w:p>
      <w:pPr>
        <w:ind w:left="980" w:right="20" w:firstLine="910"/>
        <w:spacing w:after="0" w:line="282" w:lineRule="auto"/>
        <w:tabs>
          <w:tab w:leader="none" w:pos="2167"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1" w:name="page52"/>
    <w:bookmarkEnd w:id="51"/>
    <w:p>
      <w:pPr>
        <w:ind w:left="540" w:firstLine="910"/>
        <w:spacing w:after="0" w:line="266" w:lineRule="auto"/>
        <w:tabs>
          <w:tab w:leader="none" w:pos="172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beneficial interest is being transferred to a Non-U.S. Person in an offshore transaction (as defined in Section 902(h) of Regulation S) in accordance with Rule 903 or Rule 904,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67" w:lineRule="exact"/>
        <w:rPr>
          <w:rFonts w:ascii="Times New Roman" w:cs="Times New Roman" w:eastAsia="Times New Roman" w:hAnsi="Times New Roman"/>
          <w:sz w:val="18"/>
          <w:szCs w:val="18"/>
          <w:color w:val="auto"/>
        </w:rPr>
      </w:pPr>
    </w:p>
    <w:p>
      <w:pPr>
        <w:ind w:left="540" w:right="20" w:firstLine="910"/>
        <w:spacing w:after="0" w:line="266" w:lineRule="auto"/>
        <w:tabs>
          <w:tab w:leader="none" w:pos="173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another exemption from the registration requirements of the Securities Act other than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(3)(a) thereof;</w:t>
      </w:r>
    </w:p>
    <w:p>
      <w:pPr>
        <w:spacing w:after="0" w:line="67" w:lineRule="exact"/>
        <w:rPr>
          <w:rFonts w:ascii="Times New Roman" w:cs="Times New Roman" w:eastAsia="Times New Roman" w:hAnsi="Times New Roman"/>
          <w:sz w:val="18"/>
          <w:szCs w:val="18"/>
          <w:color w:val="auto"/>
        </w:rPr>
      </w:pPr>
    </w:p>
    <w:p>
      <w:pPr>
        <w:ind w:left="1720" w:hanging="270"/>
        <w:spacing w:after="0"/>
        <w:tabs>
          <w:tab w:leader="none" w:pos="1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540" w:right="180" w:firstLine="910"/>
        <w:spacing w:after="0" w:line="282" w:lineRule="auto"/>
        <w:tabs>
          <w:tab w:leader="none" w:pos="170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the Issuer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53" w:lineRule="exact"/>
        <w:rPr>
          <w:rFonts w:ascii="Times New Roman" w:cs="Times New Roman" w:eastAsia="Times New Roman" w:hAnsi="Times New Roman"/>
          <w:sz w:val="18"/>
          <w:szCs w:val="18"/>
          <w:color w:val="auto"/>
        </w:rPr>
      </w:pPr>
    </w:p>
    <w:p>
      <w:pPr>
        <w:ind w:left="540" w:right="280" w:firstLine="910"/>
        <w:spacing w:after="0" w:line="282" w:lineRule="auto"/>
        <w:tabs>
          <w:tab w:leader="none" w:pos="173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effective registration statement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Trustee shall cause the aggregate principal amount of the applicable Global Note to be reduced accordingly pursuant to Section 2.06(h),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82" w:lineRule="exact"/>
        <w:rPr>
          <w:sz w:val="20"/>
          <w:szCs w:val="20"/>
          <w:color w:val="auto"/>
        </w:rPr>
      </w:pPr>
    </w:p>
    <w:p>
      <w:pPr>
        <w:jc w:val="both"/>
        <w:ind w:right="220" w:firstLine="948"/>
        <w:spacing w:after="0" w:line="267" w:lineRule="auto"/>
        <w:tabs>
          <w:tab w:leader="none" w:pos="120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Restricted Global Notes to Unrestricted Definitive Notes. </w:t>
      </w:r>
      <w:r>
        <w:rPr>
          <w:rFonts w:ascii="Times New Roman" w:cs="Times New Roman" w:eastAsia="Times New Roman" w:hAnsi="Times New Roman"/>
          <w:sz w:val="18"/>
          <w:szCs w:val="18"/>
          <w:color w:val="auto"/>
        </w:rPr>
        <w:t>A holder of a beneficial interest in a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Note may exchange such beneficial interest for an Unrestricted Definitive Note or may transfer such beneficial interest to a Person who takes delivery thereof in the form of an Unrestricted Definitive Note only if:</w:t>
      </w:r>
    </w:p>
    <w:p>
      <w:pPr>
        <w:spacing w:after="0" w:line="6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980" w:firstLine="871"/>
        <w:spacing w:after="0" w:line="276" w:lineRule="auto"/>
        <w:tabs>
          <w:tab w:leader="none" w:pos="2057" w:val="left"/>
        </w:tabs>
        <w:numPr>
          <w:ilvl w:val="3"/>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holder of such beneficial interest in a Restricted Global Note proposes to exchange such beneficial interest for an Unrestricted Definitive Note, a certificate from such holder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including the certifications in item (1)</w:t>
      </w:r>
    </w:p>
    <w:p>
      <w:pPr>
        <w:ind w:left="1240" w:hanging="252"/>
        <w:spacing w:after="0"/>
        <w:tabs>
          <w:tab w:leader="none" w:pos="12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or</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60"/>
          </w:cols>
          <w:pgMar w:left="880" w:top="270" w:right="459" w:bottom="1440" w:gutter="0" w:footer="0" w:header="0"/>
        </w:sectPr>
      </w:pPr>
    </w:p>
    <w:bookmarkStart w:id="52" w:name="page53"/>
    <w:bookmarkEnd w:id="52"/>
    <w:p>
      <w:pPr>
        <w:jc w:val="both"/>
        <w:ind w:left="980" w:right="160" w:firstLine="871"/>
        <w:spacing w:after="0" w:line="266" w:lineRule="auto"/>
        <w:tabs>
          <w:tab w:leader="none" w:pos="21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0" w:lineRule="exact"/>
        <w:rPr>
          <w:sz w:val="20"/>
          <w:szCs w:val="20"/>
          <w:color w:val="auto"/>
        </w:rPr>
      </w:pPr>
    </w:p>
    <w:p>
      <w:pPr>
        <w:ind w:right="40" w:firstLine="948"/>
        <w:spacing w:after="0" w:line="258" w:lineRule="auto"/>
        <w:tabs>
          <w:tab w:leader="none" w:pos="120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Unrestricted Global Notes to Unrestricted Definitive Notes. </w:t>
      </w:r>
      <w:r>
        <w:rPr>
          <w:rFonts w:ascii="Times New Roman" w:cs="Times New Roman" w:eastAsia="Times New Roman" w:hAnsi="Times New Roman"/>
          <w:sz w:val="18"/>
          <w:szCs w:val="18"/>
          <w:color w:val="auto"/>
        </w:rPr>
        <w:t>Subject to Section 2.06(a), if any holder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w:t>
      </w:r>
    </w:p>
    <w:p>
      <w:pPr>
        <w:ind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2.06(b)(2), the Trustee will cause the aggregate principal amount of the applicable Global Note to be reduced accordingly pursuant to Section 2.06(h), and the Issuer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186"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Beneficial Interests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300" w:firstLine="948"/>
        <w:spacing w:after="0" w:line="261" w:lineRule="auto"/>
        <w:tabs>
          <w:tab w:leader="none" w:pos="120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Beneficial Interests in Restricted Global Notes. </w:t>
      </w:r>
      <w:r>
        <w:rPr>
          <w:rFonts w:ascii="Times New Roman" w:cs="Times New Roman" w:eastAsia="Times New Roman" w:hAnsi="Times New Roman"/>
          <w:sz w:val="18"/>
          <w:szCs w:val="18"/>
          <w:color w:val="auto"/>
        </w:rPr>
        <w:t>If any Holder of a Restricted Definitive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73" w:lineRule="exact"/>
        <w:rPr>
          <w:rFonts w:ascii="Times New Roman" w:cs="Times New Roman" w:eastAsia="Times New Roman" w:hAnsi="Times New Roman"/>
          <w:sz w:val="18"/>
          <w:szCs w:val="18"/>
          <w:color w:val="auto"/>
        </w:rPr>
      </w:pPr>
    </w:p>
    <w:p>
      <w:pPr>
        <w:ind w:left="540" w:right="200" w:firstLine="910"/>
        <w:spacing w:after="0" w:line="282" w:lineRule="auto"/>
        <w:tabs>
          <w:tab w:leader="none" w:pos="1737"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 proposes to exchange such Note for a beneficial interest in a 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(2)(b) thereof;</w:t>
      </w:r>
    </w:p>
    <w:p>
      <w:pPr>
        <w:spacing w:after="0" w:line="53" w:lineRule="exact"/>
        <w:rPr>
          <w:rFonts w:ascii="Times New Roman" w:cs="Times New Roman" w:eastAsia="Times New Roman" w:hAnsi="Times New Roman"/>
          <w:sz w:val="18"/>
          <w:szCs w:val="18"/>
          <w:color w:val="auto"/>
        </w:rPr>
      </w:pPr>
    </w:p>
    <w:p>
      <w:pPr>
        <w:ind w:left="540" w:right="220" w:firstLine="910"/>
        <w:spacing w:after="0" w:line="282" w:lineRule="auto"/>
        <w:tabs>
          <w:tab w:leader="none" w:pos="1727"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540" w:right="80" w:firstLine="910"/>
        <w:spacing w:after="0" w:line="266" w:lineRule="auto"/>
        <w:tabs>
          <w:tab w:leader="none" w:pos="1727"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Non-U.S. Person in an offshore transaction (as defined in Rule 902(h) of Regulation S) in accordance with Rule 903 or Rule 904,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40"/>
          </w:cols>
          <w:pgMar w:left="880" w:top="270" w:right="479" w:bottom="1440" w:gutter="0" w:footer="0" w:header="0"/>
        </w:sectPr>
      </w:pPr>
    </w:p>
    <w:bookmarkStart w:id="53" w:name="page54"/>
    <w:bookmarkEnd w:id="53"/>
    <w:p>
      <w:pPr>
        <w:ind w:left="540" w:firstLine="910"/>
        <w:spacing w:after="0" w:line="266" w:lineRule="auto"/>
        <w:tabs>
          <w:tab w:leader="none" w:pos="173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Restricted Definitive Note is being transferred pursuant to another exemption from the registration requirements of the Securities Act other than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(3)(a) thereof;</w:t>
      </w:r>
    </w:p>
    <w:p>
      <w:pPr>
        <w:spacing w:after="0" w:line="67" w:lineRule="exact"/>
        <w:rPr>
          <w:rFonts w:ascii="Times New Roman" w:cs="Times New Roman" w:eastAsia="Times New Roman" w:hAnsi="Times New Roman"/>
          <w:sz w:val="18"/>
          <w:szCs w:val="18"/>
          <w:color w:val="auto"/>
        </w:rPr>
      </w:pPr>
    </w:p>
    <w:p>
      <w:pPr>
        <w:ind w:left="1720" w:hanging="270"/>
        <w:spacing w:after="0"/>
        <w:tabs>
          <w:tab w:leader="none" w:pos="1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540" w:right="120" w:firstLine="910"/>
        <w:spacing w:after="0" w:line="282" w:lineRule="auto"/>
        <w:tabs>
          <w:tab w:leader="none" w:pos="17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the Issuer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53" w:lineRule="exact"/>
        <w:rPr>
          <w:rFonts w:ascii="Times New Roman" w:cs="Times New Roman" w:eastAsia="Times New Roman" w:hAnsi="Times New Roman"/>
          <w:sz w:val="18"/>
          <w:szCs w:val="18"/>
          <w:color w:val="auto"/>
        </w:rPr>
      </w:pPr>
    </w:p>
    <w:p>
      <w:pPr>
        <w:ind w:left="540" w:right="120" w:firstLine="910"/>
        <w:spacing w:after="0" w:line="282" w:lineRule="auto"/>
        <w:tabs>
          <w:tab w:leader="none" w:pos="173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pursuant to an effective registration statement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54" w:lineRule="exact"/>
        <w:rPr>
          <w:sz w:val="20"/>
          <w:szCs w:val="20"/>
          <w:color w:val="auto"/>
        </w:rPr>
      </w:pPr>
    </w:p>
    <w:p>
      <w:pPr>
        <w:ind w:left="540" w:right="60"/>
        <w:spacing w:after="0" w:line="261" w:lineRule="auto"/>
        <w:rPr>
          <w:sz w:val="20"/>
          <w:szCs w:val="20"/>
          <w:color w:val="auto"/>
        </w:rPr>
      </w:pPr>
      <w:r>
        <w:rPr>
          <w:rFonts w:ascii="Times New Roman" w:cs="Times New Roman" w:eastAsia="Times New Roman" w:hAnsi="Times New Roman"/>
          <w:sz w:val="18"/>
          <w:szCs w:val="18"/>
          <w:color w:val="auto"/>
        </w:rPr>
        <w:t>the Trustee will cancel the Restricted Definitive Note, increase or cause to be increased the aggregate principal amount of, in the case of clause (A) above, the appropriate Restricted Global Note, in the case of clause (B) above, the 144A Global Note, and in the case of clause</w:t>
      </w:r>
    </w:p>
    <w:p>
      <w:pPr>
        <w:ind w:left="840" w:hanging="293"/>
        <w:spacing w:after="0"/>
        <w:tabs>
          <w:tab w:leader="none" w:pos="8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Regulation S Global Note.</w:t>
      </w:r>
    </w:p>
    <w:p>
      <w:pPr>
        <w:spacing w:after="0" w:line="96" w:lineRule="exact"/>
        <w:rPr>
          <w:rFonts w:ascii="Times New Roman" w:cs="Times New Roman" w:eastAsia="Times New Roman" w:hAnsi="Times New Roman"/>
          <w:sz w:val="18"/>
          <w:szCs w:val="18"/>
          <w:color w:val="auto"/>
        </w:rPr>
      </w:pPr>
    </w:p>
    <w:p>
      <w:pPr>
        <w:ind w:right="260" w:firstLine="948"/>
        <w:spacing w:after="0" w:line="267" w:lineRule="auto"/>
        <w:tabs>
          <w:tab w:leader="none" w:pos="120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Beneficial Interests in Unrestricted Global Notes. </w:t>
      </w:r>
      <w:r>
        <w:rPr>
          <w:rFonts w:ascii="Times New Roman" w:cs="Times New Roman" w:eastAsia="Times New Roman" w:hAnsi="Times New Roman"/>
          <w:sz w:val="18"/>
          <w:szCs w:val="18"/>
          <w:color w:val="auto"/>
        </w:rPr>
        <w:t>A Holder of a Restricted Definitive Note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such Note for a beneficial interest in an Unrestricted Global Note or transfer such Restricted Definitive Note to a Person who takes delivery thereof in the form of a beneficial interest in an Unrestricted Global Note only if:</w:t>
      </w:r>
    </w:p>
    <w:p>
      <w:pPr>
        <w:spacing w:after="0" w:line="6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980" w:right="220" w:firstLine="871"/>
        <w:spacing w:after="0" w:line="282" w:lineRule="auto"/>
        <w:tabs>
          <w:tab w:leader="none" w:pos="2057" w:val="left"/>
        </w:tabs>
        <w:numPr>
          <w:ilvl w:val="3"/>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exchange such Notes for a beneficial interest in the Unrestricted Global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(1)(c) thereof; or</w:t>
      </w:r>
    </w:p>
    <w:p>
      <w:pPr>
        <w:spacing w:after="0" w:line="53" w:lineRule="exact"/>
        <w:rPr>
          <w:rFonts w:ascii="Times New Roman" w:cs="Times New Roman" w:eastAsia="Times New Roman" w:hAnsi="Times New Roman"/>
          <w:sz w:val="18"/>
          <w:szCs w:val="18"/>
          <w:color w:val="auto"/>
        </w:rPr>
      </w:pPr>
    </w:p>
    <w:p>
      <w:pPr>
        <w:ind w:left="980" w:right="80" w:firstLine="871"/>
        <w:spacing w:after="0" w:line="266" w:lineRule="auto"/>
        <w:tabs>
          <w:tab w:leader="none" w:pos="2107" w:val="left"/>
        </w:tabs>
        <w:numPr>
          <w:ilvl w:val="3"/>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40"/>
          </w:cols>
          <w:pgMar w:left="880" w:top="270" w:right="479" w:bottom="1440" w:gutter="0" w:footer="0" w:header="0"/>
        </w:sectPr>
      </w:pPr>
    </w:p>
    <w:bookmarkStart w:id="54" w:name="page55"/>
    <w:bookmarkEnd w:id="54"/>
    <w:p>
      <w:pPr>
        <w:ind w:left="440" w:right="20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satisfaction of the conditions of any of the subparagraphs in this Section 2.06(d)(2), the Trustee will cancel the Definitive Notes and increase or cause to be increased the aggregate principal amount of the Unrestricted Global Note.</w:t>
      </w:r>
    </w:p>
    <w:p>
      <w:pPr>
        <w:spacing w:after="0" w:line="52" w:lineRule="exact"/>
        <w:rPr>
          <w:sz w:val="20"/>
          <w:szCs w:val="20"/>
          <w:color w:val="auto"/>
        </w:rPr>
      </w:pPr>
    </w:p>
    <w:p>
      <w:pPr>
        <w:ind w:left="440" w:right="100" w:firstLine="948"/>
        <w:spacing w:after="0" w:line="258" w:lineRule="auto"/>
        <w:tabs>
          <w:tab w:leader="none" w:pos="164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Unrestricted Definitive Notes to Beneficial Interests in Unrestricted Global Notes. </w:t>
      </w:r>
      <w:r>
        <w:rPr>
          <w:rFonts w:ascii="Times New Roman" w:cs="Times New Roman" w:eastAsia="Times New Roman" w:hAnsi="Times New Roman"/>
          <w:sz w:val="18"/>
          <w:szCs w:val="18"/>
          <w:color w:val="auto"/>
        </w:rPr>
        <w:t>A Holder of an Unrestricted Definitive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7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exchange or transfer from a Definitive Note to a beneficial interest is effected pursuant to subparagraph (2)(D) or</w:t>
      </w:r>
    </w:p>
    <w:p>
      <w:pPr>
        <w:spacing w:after="0" w:line="27" w:lineRule="exact"/>
        <w:rPr>
          <w:rFonts w:ascii="Times New Roman" w:cs="Times New Roman" w:eastAsia="Times New Roman" w:hAnsi="Times New Roman"/>
          <w:sz w:val="18"/>
          <w:szCs w:val="18"/>
          <w:color w:val="auto"/>
        </w:rPr>
      </w:pPr>
    </w:p>
    <w:p>
      <w:pPr>
        <w:ind w:left="440" w:right="20" w:hanging="4"/>
        <w:spacing w:after="0" w:line="255"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at a time when an Unrestricted Global Note has not yet been issued, the Issuer will issue and, upon receipt of an Authentication Order in accordance with Section 2.02, the Trustee will authenticate one or more Unrestricted Global Notes in an aggregate principal amount equal to the principal amount of Definitive Notes so transferred or exchanged.</w:t>
      </w:r>
    </w:p>
    <w:p>
      <w:pPr>
        <w:spacing w:after="0" w:line="183" w:lineRule="exact"/>
        <w:rPr>
          <w:rFonts w:ascii="Times New Roman" w:cs="Times New Roman" w:eastAsia="Times New Roman" w:hAnsi="Times New Roman"/>
          <w:sz w:val="18"/>
          <w:szCs w:val="18"/>
          <w:color w:val="auto"/>
        </w:rPr>
      </w:pPr>
    </w:p>
    <w:p>
      <w:pPr>
        <w:ind w:firstLine="987"/>
        <w:spacing w:after="0" w:line="257" w:lineRule="auto"/>
        <w:tabs>
          <w:tab w:leader="none" w:pos="123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Definitive Notes for Definitive Notes. </w:t>
      </w:r>
      <w:r>
        <w:rPr>
          <w:rFonts w:ascii="Times New Roman" w:cs="Times New Roman" w:eastAsia="Times New Roman" w:hAnsi="Times New Roman"/>
          <w:sz w:val="18"/>
          <w:szCs w:val="18"/>
          <w:color w:val="auto"/>
        </w:rPr>
        <w:t>Upon request by a Holder of Definitive Notes and such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74" w:lineRule="exact"/>
        <w:rPr>
          <w:rFonts w:ascii="Times New Roman" w:cs="Times New Roman" w:eastAsia="Times New Roman" w:hAnsi="Times New Roman"/>
          <w:sz w:val="18"/>
          <w:szCs w:val="18"/>
          <w:color w:val="auto"/>
        </w:rPr>
      </w:pPr>
    </w:p>
    <w:p>
      <w:pPr>
        <w:ind w:left="440" w:right="80" w:firstLine="948"/>
        <w:spacing w:after="0" w:line="284" w:lineRule="auto"/>
        <w:tabs>
          <w:tab w:leader="none" w:pos="164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Restricted Definitive Notes. </w:t>
      </w:r>
      <w:r>
        <w:rPr>
          <w:rFonts w:ascii="Times New Roman" w:cs="Times New Roman" w:eastAsia="Times New Roman" w:hAnsi="Times New Roman"/>
          <w:sz w:val="18"/>
          <w:szCs w:val="18"/>
          <w:color w:val="auto"/>
        </w:rPr>
        <w:t>Any Restricted Definitive Note may be transferred to and registered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name of Persons who take delivery thereof in the form of a Restricted Definitive Note if:</w:t>
      </w:r>
    </w:p>
    <w:p>
      <w:pPr>
        <w:spacing w:after="0" w:line="52"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980" w:right="180" w:firstLine="910"/>
        <w:spacing w:after="0" w:line="282" w:lineRule="auto"/>
        <w:tabs>
          <w:tab w:leader="none" w:pos="2167"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144A,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980" w:right="160" w:firstLine="910"/>
        <w:spacing w:after="0" w:line="282" w:lineRule="auto"/>
        <w:tabs>
          <w:tab w:leader="none" w:pos="2167"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and</w:t>
      </w:r>
    </w:p>
    <w:p>
      <w:pPr>
        <w:spacing w:after="0" w:line="53" w:lineRule="exact"/>
        <w:rPr>
          <w:rFonts w:ascii="Times New Roman" w:cs="Times New Roman" w:eastAsia="Times New Roman" w:hAnsi="Times New Roman"/>
          <w:sz w:val="18"/>
          <w:szCs w:val="18"/>
          <w:color w:val="auto"/>
        </w:rPr>
      </w:pPr>
    </w:p>
    <w:p>
      <w:pPr>
        <w:ind w:left="980" w:right="80" w:firstLine="910"/>
        <w:spacing w:after="0" w:line="266" w:lineRule="auto"/>
        <w:tabs>
          <w:tab w:leader="none" w:pos="2177"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(3)(d) thereof, if applicable.</w:t>
      </w:r>
    </w:p>
    <w:p>
      <w:pPr>
        <w:spacing w:after="0" w:line="65" w:lineRule="exact"/>
        <w:rPr>
          <w:rFonts w:ascii="Times New Roman" w:cs="Times New Roman" w:eastAsia="Times New Roman" w:hAnsi="Times New Roman"/>
          <w:sz w:val="18"/>
          <w:szCs w:val="18"/>
          <w:color w:val="auto"/>
        </w:rPr>
      </w:pPr>
    </w:p>
    <w:p>
      <w:pPr>
        <w:ind w:left="440" w:right="320" w:firstLine="948"/>
        <w:spacing w:after="0" w:line="267" w:lineRule="auto"/>
        <w:tabs>
          <w:tab w:leader="none" w:pos="164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Unrestricted Definitive Notes. </w:t>
      </w:r>
      <w:r>
        <w:rPr>
          <w:rFonts w:ascii="Times New Roman" w:cs="Times New Roman" w:eastAsia="Times New Roman" w:hAnsi="Times New Roman"/>
          <w:sz w:val="18"/>
          <w:szCs w:val="18"/>
          <w:color w:val="auto"/>
        </w:rPr>
        <w:t>Any Restricted Definitive Note may be exchanged by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for an Unrestricted Definitive Note or transferred to a Person or Persons who take delivery thereof in the form of an Unrestricted Definitive Note if:</w:t>
      </w:r>
    </w:p>
    <w:p>
      <w:pPr>
        <w:spacing w:after="0" w:line="6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3"/>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55" w:name="page56"/>
    <w:bookmarkEnd w:id="55"/>
    <w:p>
      <w:pPr>
        <w:ind w:left="2180" w:hanging="290"/>
        <w:spacing w:after="0"/>
        <w:tabs>
          <w:tab w:leader="none" w:pos="2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w:t>
      </w:r>
    </w:p>
    <w:p>
      <w:pPr>
        <w:spacing w:after="0" w:line="11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receives the following:</w:t>
      </w:r>
    </w:p>
    <w:p>
      <w:pPr>
        <w:spacing w:after="0" w:line="117" w:lineRule="exact"/>
        <w:rPr>
          <w:rFonts w:ascii="Times New Roman" w:cs="Times New Roman" w:eastAsia="Times New Roman" w:hAnsi="Times New Roman"/>
          <w:sz w:val="18"/>
          <w:szCs w:val="18"/>
          <w:color w:val="auto"/>
        </w:rPr>
      </w:pPr>
    </w:p>
    <w:p>
      <w:pPr>
        <w:ind w:left="1420" w:right="340" w:firstLine="871"/>
        <w:spacing w:after="0" w:line="282" w:lineRule="auto"/>
        <w:tabs>
          <w:tab w:leader="none" w:pos="249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exchange such Notes for an Unrestricted Definitive Note,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(1)(d) thereof; or</w:t>
      </w:r>
    </w:p>
    <w:p>
      <w:pPr>
        <w:spacing w:after="0" w:line="53" w:lineRule="exact"/>
        <w:rPr>
          <w:rFonts w:ascii="Times New Roman" w:cs="Times New Roman" w:eastAsia="Times New Roman" w:hAnsi="Times New Roman"/>
          <w:sz w:val="18"/>
          <w:szCs w:val="18"/>
          <w:color w:val="auto"/>
        </w:rPr>
      </w:pPr>
    </w:p>
    <w:p>
      <w:pPr>
        <w:ind w:left="1420" w:right="40" w:firstLine="871"/>
        <w:spacing w:after="0" w:line="266" w:lineRule="auto"/>
        <w:tabs>
          <w:tab w:leader="none" w:pos="254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and, in each such case set forth in this subparagraph (D),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66" w:lineRule="exact"/>
        <w:rPr>
          <w:sz w:val="20"/>
          <w:szCs w:val="20"/>
          <w:color w:val="auto"/>
        </w:rPr>
      </w:pPr>
    </w:p>
    <w:p>
      <w:pPr>
        <w:ind w:left="440" w:right="140" w:firstLine="948"/>
        <w:spacing w:after="0" w:line="267" w:lineRule="auto"/>
        <w:tabs>
          <w:tab w:leader="none" w:pos="164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Unrestricted Definitive Notes to Unrestricted Definitive Notes. </w:t>
      </w:r>
      <w:r>
        <w:rPr>
          <w:rFonts w:ascii="Times New Roman" w:cs="Times New Roman" w:eastAsia="Times New Roman" w:hAnsi="Times New Roman"/>
          <w:sz w:val="18"/>
          <w:szCs w:val="18"/>
          <w:color w:val="auto"/>
        </w:rPr>
        <w:t>A Holder of Unrestricted Definitive Notes may transfer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73"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right="200" w:firstLine="987"/>
        <w:spacing w:after="0" w:line="284"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Legends. </w:t>
      </w:r>
      <w:r>
        <w:rPr>
          <w:rFonts w:ascii="Times New Roman" w:cs="Times New Roman" w:eastAsia="Times New Roman" w:hAnsi="Times New Roman"/>
          <w:sz w:val="18"/>
          <w:szCs w:val="18"/>
          <w:color w:val="auto"/>
        </w:rPr>
        <w:t>The following legends will appear on all Global Notes and Definitive Notes issued under this Indenture unless specifically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stated otherwise in the applicable provisions of this Indenture.</w:t>
      </w:r>
    </w:p>
    <w:p>
      <w:pPr>
        <w:spacing w:after="0" w:line="50"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Legend</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980" w:right="420" w:firstLine="910"/>
        <w:spacing w:after="0" w:line="282" w:lineRule="auto"/>
        <w:tabs>
          <w:tab w:leader="none" w:pos="2177"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“THIS SECURITY HAS NOT BEEN REGISTERED UNDER THE SECURITIES ACT OF 1933, AS AMENDED,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0"/>
          </w:cols>
          <w:pgMar w:left="440" w:top="270" w:right="499" w:bottom="1440" w:gutter="0" w:footer="0" w:header="0"/>
        </w:sectPr>
      </w:pPr>
    </w:p>
    <w:bookmarkStart w:id="56" w:name="page57"/>
    <w:bookmarkEnd w:id="56"/>
    <w:p>
      <w:pPr>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PRIOR TO THE DATE (THE “RESALE RESTRICTION TERMINATION DATE”) THAT IS, IN THE CASE OF RULE 144A NOTES: ONE YEAR AFTER THE LATER OF THE ORIGINAL ISSUE DATE HEREOF, THE ORIGINAL ISSUE DATE OF THE ISSUANCE OF ANY ADDITIONAL NOTES AND THE LAST DATE ON WHICH THE ISSUER OR ANY AFFILIATE OF THE ISSUER WAS THE OWNER OF THIS SECURITY (OR ANY PREDECESSOR OF SUCH SECURITY), AND IN THE CASE OF REGULATION S NOTES: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ISSUER OR ANY SUBSIDIARY THEREOF,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OF THE UNITED STATES WITHIN THE MEANING OF REGULATION S UNDER THE SECURITIES ACT, OR (E) PURSUANT TO ANOTHER AVAILABLE EXEMPTION FROM THE REGISTRATION REQUIREMENTS OF THE SECURITIES ACT OTHER THAN RULE 144, SUBJECT TO THE ISSUER’S AND THE TRUSTEE’S RIGHT PRIOR TO ANY SUCH OFFER, SALE OR TRANSFER PURSUANT TO CLAUSE (E) ABOVE TO REQUIRE THE DELIVERY OF AN OPINION OF COUNSEL, CERTIFICATION AND/ OR OTHER INFORMATION SATISFACTORY TO EACH OF THEM. NOTWITHSTANDING ANYTHING TO THE CONTRARY, TRANSFERS PURSUANT TO RULE 144 WILL NOT BE PERMITTED, EVEN IF LEGALLY AVAILABLE. THIS LEGEND WILL BE REMOVED UPON THE REQUEST OF THE HOLDER AFTER THE RESALE RESTRICTION TERMINATION DATE.</w:t>
      </w:r>
    </w:p>
    <w:p>
      <w:pPr>
        <w:spacing w:after="0" w:line="1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color w:val="auto"/>
        </w:rPr>
        <w:t>BY ITS ACQUISITION OF THIS SECURITY (OR ANY INTEREST HEREIN), THE HOLDER THEREOF WILL BE DEEMED TO HAVE REPRESENTED AND WARRANTED THAT EITHER (1) NO PORTION OF THE ASSETS USED BY SUCH HOLDER TO ACQUIRE OR HOLD THIS SECURITY (OR ANY INTEREST HEREIN) CONSTITUTES THE ASSETS OF (A) ANY EMPLOYEE BENEFIT PLAN THAT IS SUBJECT TO TITLE I OF THE U.S. EMPLOYEE RETIREMENT INCOME SECURITY ACT OF 1974, AS AMENDED (“ERISA”), (B) A PLAN, INDIVIDUAL RETIREMENT ACCOUNT OR OTHER ARRANGEMENT THAT IS SUBJECT TO THE PROHIBITED TRANSACTION PROVISIONS OF SECTION 406 OF ERISA OR SECTION 4975 OF THE U.S. INTERNAL REVENUE CODE OF 1986, AS AMENDED (THE “CODE”) OR PROVISIONS UNDER ANY OTHER U.S. OR NON-U.S. FEDERAL, STATE, LOCAL OR OTHER LAWS OR REGULATIONS THAT ARE SIMILAR TO SUCH PROVISIONS OF ERISA AND/OR THE CODE (COLLECTIVELY, “SIMILAR LAWS”) OR (C) OF AN ENTITY WHOSE UNDERLYING ASSETS ARE CONSIDERED TO INCLUDE “PLAN ASSETS” OF ANY SUCH PLAN, ACCOUNT OR ARRANGEMENT DESCRIBED IN CLAUSE (A) OR (B) OR (2) (A) THE ACQUISITION AND HOLDING OF THIS SECURITY (OR ANY INTEREST HEREIN) WILL NOT CONSTITUTE A NON-EXEMPT PROHIBITED TRANSACTION UNDER SECTION 406 OF ERISA OR SECTION 4975 OF THE CODE OR A SIMILAR VIOLATION UNDER ANY APPLICABLE SIMILAR LAWS.”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66" w:right="459" w:bottom="1440" w:gutter="0" w:footer="0" w:header="0"/>
        </w:sectPr>
      </w:pPr>
    </w:p>
    <w:bookmarkStart w:id="57" w:name="page58"/>
    <w:bookmarkEnd w:id="57"/>
    <w:p>
      <w:pPr>
        <w:ind w:right="40" w:firstLine="910"/>
        <w:spacing w:after="0" w:line="266" w:lineRule="auto"/>
        <w:tabs>
          <w:tab w:leader="none" w:pos="118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any Global Note or Definitive Note issued pursuant to subparagraphs (b)(4), (c)(2), (c)(3), (d)(2), (d)(3), (e)(2) or (e)(3) of this Section 2.06 (and all Notes issued in exchange therefor or substitution thereof) will not bear the Private Placement Legend.</w:t>
      </w:r>
    </w:p>
    <w:p>
      <w:pPr>
        <w:spacing w:after="0" w:line="68" w:lineRule="exact"/>
        <w:rPr>
          <w:sz w:val="20"/>
          <w:szCs w:val="20"/>
          <w:color w:val="auto"/>
        </w:rPr>
      </w:pPr>
    </w:p>
    <w:p>
      <w:pPr>
        <w:ind w:firstLine="401"/>
        <w:spacing w:after="0" w:line="266" w:lineRule="auto"/>
        <w:rPr>
          <w:sz w:val="20"/>
          <w:szCs w:val="20"/>
          <w:color w:val="auto"/>
        </w:rPr>
      </w:pPr>
      <w:r>
        <w:rPr>
          <w:rFonts w:ascii="Times New Roman" w:cs="Times New Roman" w:eastAsia="Times New Roman" w:hAnsi="Times New Roman"/>
          <w:sz w:val="17"/>
          <w:szCs w:val="17"/>
          <w:color w:val="auto"/>
        </w:rPr>
        <w:t>In addition, the foregoing legend may be adjusted for future issuances in accordance with applicable law. The Issuer, in its discretion, may remove the Private Placement Legend from any Restricted Global Note at any time on or after the Resale Restriction Termination Date applicable to such Note. Without limiting the generality of the preceding sentence, the Issuer may, subject to Applicable Procedures, effect such removal by issuing and delivering, in exchange for such Note, an Unrestricted Global Note without such legend, registered to the same Holder and in an equal principal amount, and upon receipt by the Trustee of an Authentication Order and an Officers’ Certificate of the Issuer stating that the Resale Restriction Termination Date applicable to such Note has occurred and requesting the authentication and delivery of an Unrestricted Global Note in exchange therefor (which order shall not be required to be accompanied by any Opinion of Counsel or any other document) given at least three Business Days in advance of the proposed date of exchange specified therein (which shall be no earlier than such Resale Restriction Termination Date), the Trustee shall authenticate and deliver such Unrestricted Global Note to the Depositary or pursuant to such Depositary’s instructions or hold such Unrestricted Global Note as Custodian for the Depositary and shall request the Depositary to, or, if the Trustee is Custodian of such Restricted Global Note, shall itself, surrender such Restricted Global Note in exchange for such Unrestricted Global Note without such legend and thereupon cancel such Restricted Global Note so surrendered, all as directed in such order. For purposes of determining whether the Resale Restriction Termination Date has occurred with respect to any Restricted Global Note or delivering any order pursuant to this Section 2.06(g)(1) with respect to such Restricted Global Notes, (i) only those Restricted Global Notes that a Principal Officer of the Issuer actually knows (after reasonable inquiry) to be or to have been owned by an Affiliate of the Issuer shall be deemed to be or to have been, respectively, owned by an Affiliate of the Issuer; and</w:t>
      </w:r>
    </w:p>
    <w:p>
      <w:pPr>
        <w:spacing w:after="0" w:line="8" w:lineRule="exact"/>
        <w:rPr>
          <w:sz w:val="20"/>
          <w:szCs w:val="20"/>
          <w:color w:val="auto"/>
        </w:rPr>
      </w:pPr>
    </w:p>
    <w:p>
      <w:pPr>
        <w:ind w:right="100" w:firstLine="7"/>
        <w:spacing w:after="0" w:line="253" w:lineRule="auto"/>
        <w:tabs>
          <w:tab w:leader="none" w:pos="2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Officer</w:t>
      </w:r>
      <w:r>
        <w:rPr>
          <w:rFonts w:ascii="Times New Roman" w:cs="Times New Roman" w:eastAsia="Times New Roman" w:hAnsi="Times New Roman"/>
          <w:sz w:val="18"/>
          <w:szCs w:val="18"/>
          <w:color w:val="auto"/>
        </w:rPr>
        <w:t>” means an Officer of the Issuer that is the principal executive officer, the principal financial officer, the treasurer or the principal accounting officer. For purposes of this Section 2.06(g)(1), all provisions relating to the removal of the Private Placement Legend shall relate, if the Resale Restriction Termination Date has occurred only with respect to a portion of the Notes evidenced by a Restricted Global Note, to such portion of the Notes so evidenced as to which the Resale Restriction Termination Date has occurred.</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Holder of any Note evidenced by any Restricted Global Note, by its acceptance thereof, (A) authorizes and consents to, (B) appoints the Issuer as its agent for the sole purpose of delivering such electronic messages, executing and delivering such instruments and taking such other actions, on such Holder’s behalf, as the Depositary or the Trustee may require to effect, and (C) upon the request of the Issuer, agrees to deliver such electronic messages, execute and deliver such instruments and take such other actions as the Depositary or the Trustee may require, or as shall otherwise be necessary to effect, the removal of the Private Placement Legend (including by means of the exchange of all or the portion of such Restricted Global Note evidencing such Note for a certificate evidencing such Note that does not bear such legend) at any time after the Resale Restriction Termination Date.</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020"/>
          </w:cols>
          <w:pgMar w:left="1420" w:top="270" w:right="459" w:bottom="1440" w:gutter="0" w:footer="0" w:header="0"/>
        </w:sectPr>
      </w:pPr>
    </w:p>
    <w:bookmarkStart w:id="58" w:name="page59"/>
    <w:bookmarkEnd w:id="58"/>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 </w:t>
      </w: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Each Global Note will bear a legend in substantially the following form:</w:t>
      </w:r>
    </w:p>
    <w:p>
      <w:pPr>
        <w:spacing w:after="0" w:line="11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Regulation S Legend</w:t>
      </w:r>
      <w:r>
        <w:rPr>
          <w:rFonts w:ascii="Times New Roman" w:cs="Times New Roman" w:eastAsia="Times New Roman" w:hAnsi="Times New Roman"/>
          <w:sz w:val="18"/>
          <w:szCs w:val="18"/>
          <w:color w:val="auto"/>
        </w:rPr>
        <w:t>. Each Regulation S Global Note will bear a legend in substantially the following form:</w:t>
      </w:r>
    </w:p>
    <w:p>
      <w:pPr>
        <w:spacing w:after="0" w:line="11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173" w:lineRule="exact"/>
        <w:rPr>
          <w:sz w:val="20"/>
          <w:szCs w:val="20"/>
          <w:color w:val="auto"/>
        </w:rPr>
      </w:pPr>
    </w:p>
    <w:p>
      <w:pPr>
        <w:ind w:firstLine="987"/>
        <w:spacing w:after="0" w:line="254"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Cancellation and/or Adjustment of Global Notes. </w:t>
      </w:r>
      <w:r>
        <w:rPr>
          <w:rFonts w:ascii="Times New Roman" w:cs="Times New Roman" w:eastAsia="Times New Roman" w:hAnsi="Times New Roman"/>
          <w:sz w:val="18"/>
          <w:szCs w:val="18"/>
          <w:color w:val="auto"/>
        </w:rPr>
        <w:t>At such time as all beneficial interests in a particular Global Note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exchanged for beneficial interests in another Global Note or Definitive Notes, or a particular Global Note has been redeemed, repurchased or canceled in whole and not in part, each such Global Note will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88"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 Relating to Transfers and Exchanges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68" w:right="459" w:bottom="1440" w:gutter="0" w:footer="0" w:header="0"/>
        </w:sectPr>
      </w:pPr>
    </w:p>
    <w:bookmarkStart w:id="59" w:name="page60"/>
    <w:bookmarkEnd w:id="59"/>
    <w:p>
      <w:pPr>
        <w:ind w:right="260" w:firstLine="948"/>
        <w:spacing w:after="0" w:line="282" w:lineRule="auto"/>
        <w:tabs>
          <w:tab w:leader="none" w:pos="120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permit registrations of transfers and exchanges, the Issuer will execute and the Trustee will authenticate Global Notes and Definitive Notes upon receipt of an Authentication Order in accordance with Section 2.02 or at the Registrar’s request.</w:t>
      </w:r>
    </w:p>
    <w:p>
      <w:pPr>
        <w:spacing w:after="0" w:line="53" w:lineRule="exact"/>
        <w:rPr>
          <w:rFonts w:ascii="Times New Roman" w:cs="Times New Roman" w:eastAsia="Times New Roman" w:hAnsi="Times New Roman"/>
          <w:sz w:val="18"/>
          <w:szCs w:val="18"/>
          <w:color w:val="auto"/>
        </w:rPr>
      </w:pPr>
    </w:p>
    <w:p>
      <w:pPr>
        <w:ind w:right="60" w:firstLine="948"/>
        <w:spacing w:after="0" w:line="261" w:lineRule="auto"/>
        <w:tabs>
          <w:tab w:leader="none" w:pos="120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will be made to a Holder of a beneficial interest in a Global Note or to a Holder of a Definitive Note for any registration of transfer or exchange, but the Issuer or the Registrar may require payment of a sum sufficient to cover any transfer tax or similar governmental charge payable in connection therewith (other than any such transfer taxes or similar governmental charge payable upon exchange pursuant to Sections 2.10, 3.06, 3.10, 4.10, 4.15 and 9.04 not involving any transfer).</w:t>
      </w:r>
    </w:p>
    <w:p>
      <w:pPr>
        <w:spacing w:after="0" w:line="71" w:lineRule="exact"/>
        <w:rPr>
          <w:rFonts w:ascii="Times New Roman" w:cs="Times New Roman" w:eastAsia="Times New Roman" w:hAnsi="Times New Roman"/>
          <w:sz w:val="18"/>
          <w:szCs w:val="18"/>
          <w:color w:val="auto"/>
        </w:rPr>
      </w:pPr>
    </w:p>
    <w:p>
      <w:pPr>
        <w:ind w:right="20" w:firstLine="948"/>
        <w:spacing w:after="0" w:line="282" w:lineRule="auto"/>
        <w:tabs>
          <w:tab w:leader="none" w:pos="120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53" w:lineRule="exact"/>
        <w:rPr>
          <w:rFonts w:ascii="Times New Roman" w:cs="Times New Roman" w:eastAsia="Times New Roman" w:hAnsi="Times New Roman"/>
          <w:sz w:val="18"/>
          <w:szCs w:val="18"/>
          <w:color w:val="auto"/>
        </w:rPr>
      </w:pPr>
    </w:p>
    <w:p>
      <w:pPr>
        <w:ind w:firstLine="948"/>
        <w:spacing w:after="0" w:line="266" w:lineRule="auto"/>
        <w:tabs>
          <w:tab w:leader="none" w:pos="120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Global Notes and Definitive Notes issued upon any registration of transfer or exchange of Global Notes or Definitive Notes will be the valid obligations of the Issuer, evidencing the same debt, and entitled to the same benefits under this Indenture, as the Global Notes or Definitive Notes surrendered upon such registration of transfer or exchange.</w:t>
      </w:r>
    </w:p>
    <w:p>
      <w:pPr>
        <w:spacing w:after="0" w:line="6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Registrar nor the Issuer will be required:</w:t>
      </w:r>
    </w:p>
    <w:p>
      <w:pPr>
        <w:spacing w:after="0" w:line="117" w:lineRule="exact"/>
        <w:rPr>
          <w:rFonts w:ascii="Times New Roman" w:cs="Times New Roman" w:eastAsia="Times New Roman" w:hAnsi="Times New Roman"/>
          <w:sz w:val="18"/>
          <w:szCs w:val="18"/>
          <w:color w:val="auto"/>
        </w:rPr>
      </w:pPr>
    </w:p>
    <w:p>
      <w:pPr>
        <w:ind w:left="540" w:firstLine="910"/>
        <w:spacing w:after="0" w:line="282" w:lineRule="auto"/>
        <w:tabs>
          <w:tab w:leader="none" w:pos="173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to register the transfer of or to exchange any Notes during a period beginning at the opening of business 15 days before the day of any selection of Notes for redemption under Section 3.02 and ending at the close of business on the day of selection;</w:t>
      </w:r>
    </w:p>
    <w:p>
      <w:pPr>
        <w:spacing w:after="0" w:line="53" w:lineRule="exact"/>
        <w:rPr>
          <w:rFonts w:ascii="Times New Roman" w:cs="Times New Roman" w:eastAsia="Times New Roman" w:hAnsi="Times New Roman"/>
          <w:sz w:val="18"/>
          <w:szCs w:val="18"/>
          <w:color w:val="auto"/>
        </w:rPr>
      </w:pPr>
    </w:p>
    <w:p>
      <w:pPr>
        <w:ind w:left="540" w:right="280" w:firstLine="910"/>
        <w:spacing w:after="0" w:line="282" w:lineRule="auto"/>
        <w:tabs>
          <w:tab w:leader="none" w:pos="172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any Note selected for redemption in whole or in part, except the unredeemed portion of any Note being redeemed in part; or</w:t>
      </w:r>
    </w:p>
    <w:p>
      <w:pPr>
        <w:spacing w:after="0" w:line="53"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 Note between a record date and the next succeeding Interest Payment Date.</w:t>
      </w:r>
    </w:p>
    <w:p>
      <w:pPr>
        <w:spacing w:after="0" w:line="117" w:lineRule="exact"/>
        <w:rPr>
          <w:rFonts w:ascii="Times New Roman" w:cs="Times New Roman" w:eastAsia="Times New Roman" w:hAnsi="Times New Roman"/>
          <w:sz w:val="18"/>
          <w:szCs w:val="18"/>
          <w:color w:val="auto"/>
        </w:rPr>
      </w:pPr>
    </w:p>
    <w:p>
      <w:pPr>
        <w:ind w:right="60" w:firstLine="948"/>
        <w:spacing w:after="0" w:line="289" w:lineRule="auto"/>
        <w:tabs>
          <w:tab w:leader="none" w:pos="1207"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49" w:lineRule="exact"/>
        <w:rPr>
          <w:rFonts w:ascii="Times New Roman" w:cs="Times New Roman" w:eastAsia="Times New Roman" w:hAnsi="Times New Roman"/>
          <w:sz w:val="17"/>
          <w:szCs w:val="17"/>
          <w:color w:val="auto"/>
        </w:rPr>
      </w:pPr>
    </w:p>
    <w:p>
      <w:pPr>
        <w:ind w:left="1200" w:hanging="252"/>
        <w:spacing w:after="0"/>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authenticate Global Notes and Definitive Notes in accordance with the provisions of Section 2.02.</w:t>
      </w:r>
    </w:p>
    <w:p>
      <w:pPr>
        <w:spacing w:after="0" w:line="117" w:lineRule="exact"/>
        <w:rPr>
          <w:rFonts w:ascii="Times New Roman" w:cs="Times New Roman" w:eastAsia="Times New Roman" w:hAnsi="Times New Roman"/>
          <w:sz w:val="18"/>
          <w:szCs w:val="18"/>
          <w:color w:val="auto"/>
        </w:rPr>
      </w:pPr>
    </w:p>
    <w:p>
      <w:pPr>
        <w:ind w:right="80" w:firstLine="948"/>
        <w:spacing w:after="0" w:line="282" w:lineRule="auto"/>
        <w:tabs>
          <w:tab w:leader="none" w:pos="120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certifications, certificates and Opinions of Counsel required to be submitted to the Registrar pursuant to this Section 2.06 to effect a registration of transfer or exchange may be submitted by facsimile or electronic image scan.</w:t>
      </w:r>
    </w:p>
    <w:p>
      <w:pPr>
        <w:spacing w:after="0" w:line="53" w:lineRule="exact"/>
        <w:rPr>
          <w:rFonts w:ascii="Times New Roman" w:cs="Times New Roman" w:eastAsia="Times New Roman" w:hAnsi="Times New Roman"/>
          <w:sz w:val="18"/>
          <w:szCs w:val="18"/>
          <w:color w:val="auto"/>
        </w:rPr>
      </w:pPr>
    </w:p>
    <w:p>
      <w:pPr>
        <w:ind w:right="400" w:firstLine="948"/>
        <w:spacing w:after="0" w:line="312" w:lineRule="auto"/>
        <w:tabs>
          <w:tab w:leader="none" w:pos="1207"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contained herein to the contrary, neither the Trustee nor the Registrar shall be responsible for ascertaining whether any transfer complies with the registration provisions of or exemptions from the Securities Act or state securities laws.</w:t>
      </w:r>
    </w:p>
    <w:p>
      <w:pPr>
        <w:spacing w:after="0" w:line="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460"/>
          </w:cols>
          <w:pgMar w:left="880" w:top="270" w:right="559" w:bottom="1440" w:gutter="0" w:footer="0" w:header="0"/>
        </w:sectPr>
      </w:pPr>
    </w:p>
    <w:bookmarkStart w:id="60" w:name="page61"/>
    <w:bookmarkEnd w:id="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2.07 </w:t>
      </w:r>
      <w:r>
        <w:rPr>
          <w:rFonts w:ascii="Times New Roman" w:cs="Times New Roman" w:eastAsia="Times New Roman" w:hAnsi="Times New Roman"/>
          <w:sz w:val="18"/>
          <w:szCs w:val="18"/>
          <w:i w:val="1"/>
          <w:iCs w:val="1"/>
          <w:color w:val="auto"/>
        </w:rPr>
        <w:t>Replacement Notes.</w:t>
      </w:r>
    </w:p>
    <w:p>
      <w:pPr>
        <w:spacing w:after="0" w:line="22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If any mutilated Note is surrendered to the Trustee or either the Issuer or the Trustee receives evidence to its satisfaction of the destruction, loss or theft of any Note, and such other reasonable requirements as may be imposed by the Issuer as permitted by Section 8-405 of the Uniform Commercial Code have been satisfied, then, in the absence of notice to the Issuer or the Trustee that such Note has been acquired by a “protected purchaser” within the meaning of Section 8-405 of the Uniform Commercial Code, the Issuer will issue and the Trustee, upon receipt of an Authentication Order, will authenticate a replacement Note if the Trustee’s requirements are met. If required by the Trustee or the Issuer, an indemnity bond must be supplied by the Holder that is sufficient in the judgment of the Trustee or the Issuer, as applicable, to protect the Issuer, the Trustee, any Agent and any authenticating agent from any loss that any of them may suffer if a Note is replaced. The Issuer may charge the Holder for its expenses in replacing a Note.</w:t>
      </w:r>
    </w:p>
    <w:p>
      <w:pPr>
        <w:spacing w:after="0" w:line="192"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Every replacement Note is an additional obligation of the Issuer and will be entitled to all of the benefits of this Indenture equally and proportionately with all other Notes duly issued hereunder.</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Outstanding Notes.</w:t>
      </w:r>
    </w:p>
    <w:p>
      <w:pPr>
        <w:spacing w:after="0" w:line="22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Issuer or an Affiliate of the Issuer holds the Note.</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If a Note is replaced pursuant to Section 2.07, it ceases to be outstanding unless the Trustee receives proof satisfactory to it that the replaced Note is held by a protected purchaser within the meaning of Section 8-405 of the Uniform Commercial Code.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principal amount of any Note is considered paid under Section 4.01, it ceases to be outstanding and interest on it ceases to accrue.</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Issuer, a Subsidiary or an Affiliate of any thereof) holds, by 11:00 a.m., New York City time, on a redemption date or other maturity date, money sufficient to pay Notes payable on that date, then on and after that date such Notes will be deemed to be no longer outstanding and will cease to accrue interest.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Treasury Notes.</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direction, waiver or consent, Notes owned by the Issuer or any Guarantor, or by any Person directly or indirectly controlling or controlled by or under direct or indirect common control with the Issuer or any Guarantor, will be considered as though not outstanding, except that for the purposes of determining whether the Trustee will be protected in relying on any such direction, waiver or consent, only Notes that the Trustee actually knows are so owned will be so disregarded.</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Temporary Notes.</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Until certificates representing Notes are ready for delivery, the Issuer may prepare and the Trustee, upon receipt of an Authentication Order, will authenticate temporary Notes. Temporary Notes will be substantially in the form of certificated Notes but may have variations that the Issuer considers appropriate for temporary Notes and as may be reasonably acceptable to the Trustee. Without unreasonable delay, the Issuer will prepare and the Trustee will authenticate definitive Notes in exchange for temporary Notes.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68" w:right="479"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temporary Notes will be entitled to all of the benefits of this Indenture.</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Cancellation.</w:t>
      </w:r>
    </w:p>
    <w:p>
      <w:pPr>
        <w:spacing w:after="0" w:line="227"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The Issuer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canceled Notes (subject to the record retention requirement of the Exchange Act and its own policies). Upon written request of the Issuer, certification of the disposition of all canceled Notes shall be delivered to the Issuer. The Issuer may not issue new Notes to replace Notes that it has paid or that have been delivered to the Trustee for cancellation.</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Defaulted Interest.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the Issuer defaults in a payment of interest on the Notes, it will pay the defaulted interest in any lawful manner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to the extent lawful, interest payable on the defaulted interest, to the Persons who are Holders on a subsequent special record date, in each case at the rate provided in the Notes and in Section 4.01;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special record date shall not be required with respect to payments of defaulted interest made within the applicable grace period for such payment. The Issuer will notify the Trustee, and the Paying Agent if other than the Trustee, in writing of the amount of defaulted interest proposed to be paid on each Note and the date of the proposed payment. The Issuer will fix or cause to be fixed each such special record date and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special record date may be less than 10 days prior to the related payment date for such defaulted interest. For purposes of Sections 2.05, 2.06, 3.05, 3.08, 3.10, 4.10 and 4.15, reference to “Interest Payment Date” shall be deemed to refer to and include any such payment date so fixed. At least 10 days before the special record date, the Issuer (or, upon the written request of the Issuer, the Trustee in the name and at the expense of the Issuer) will mail or cause to be mailed to Holders a notice that states the special record date, the related payment date and the amount of such interest to be paid.</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interest which is paid prior to the expiration of the 30-day period set forth in Section 6.01(a) shall be paid to the Holders as of the record day for the Interest Payment Date for which interest has not been paid.</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Issuance of Additional Notes.</w:t>
      </w:r>
    </w:p>
    <w:p>
      <w:pPr>
        <w:spacing w:after="0" w:line="227" w:lineRule="exact"/>
        <w:rPr>
          <w:sz w:val="20"/>
          <w:szCs w:val="20"/>
          <w:color w:val="auto"/>
        </w:rPr>
      </w:pPr>
    </w:p>
    <w:p>
      <w:pPr>
        <w:ind w:firstLine="987"/>
        <w:spacing w:after="0" w:line="254" w:lineRule="auto"/>
        <w:tabs>
          <w:tab w:leader="none" w:pos="12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shall be entitled, subject to its compliance with Article 4, to issue Additional Notes under this Indenture. Any Additional Notes shall be part of the same series as the Initial Notes issued on the Issue Date, rank equally with the Initial Notes and have identical terms and conditions to the Initial Notes in all respects other than (a) the date of issuance, (b) the issue price and (c) at the option of the Issuer, (i) as to the payment of interest accruing prior to the issue date of such Additional Notes, and (ii) the first payment of interest following the issue date of such Additional Notes. The Initial Notes and any Additional Notes subsequently issued upon original issue under this Indenture shall be treated as a single class for all purposes under this Indenture, including directions, waivers, amendments, consents, redemptions and offers to purchase, and none of the Holders of any Initial Notes or any Additional Notes shall have the right to vote or consent as a separate class on any matter to which such Holders are entitled to vote or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Additional Notes are not fungible with the Initial Notes for U.S. federal income tax purposes, such Additional Notes shall have a different CUSIP number (or other applicable identifying number).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2" w:name="page63"/>
    <w:bookmarkEnd w:id="62"/>
    <w:p>
      <w:pPr>
        <w:ind w:right="80" w:firstLine="987"/>
        <w:spacing w:after="0" w:line="282"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Additional Notes, the Issuer shall set forth in a supplemental indenture or an Officers’ Certificate, a copy of which shall be delivered to the Trustee at or prior to original issuance thereof, the following information:</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Additional Notes to be authenticated and delivered pursuant to this Indenture;</w:t>
      </w:r>
    </w:p>
    <w:p>
      <w:pPr>
        <w:spacing w:after="0" w:line="117"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4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date (and the corresponding date from which interest shall accrue thereon and the first Interest Payment Date therefor), the CUSIP and/or ISIN number and the issue price of such Additional Notes; and</w:t>
      </w:r>
    </w:p>
    <w:p>
      <w:pPr>
        <w:spacing w:after="0" w:line="53" w:lineRule="exact"/>
        <w:rPr>
          <w:rFonts w:ascii="Times New Roman" w:cs="Times New Roman" w:eastAsia="Times New Roman" w:hAnsi="Times New Roman"/>
          <w:sz w:val="18"/>
          <w:szCs w:val="18"/>
          <w:color w:val="auto"/>
        </w:rPr>
      </w:pPr>
    </w:p>
    <w:p>
      <w:pPr>
        <w:ind w:left="440" w:firstLine="948"/>
        <w:spacing w:after="0" w:line="282" w:lineRule="auto"/>
        <w:tabs>
          <w:tab w:leader="none" w:pos="164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Additional Notes shall be subject to the restrictions on transfer set forth in Section 2.06 relating to Restricted Global Notes and Restricted Definitive Notes.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Computation of Interest.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on the Notes shall be computed on the basis of a 360-day year of twelve 30-day months.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i w:val="1"/>
          <w:iCs w:val="1"/>
          <w:color w:val="auto"/>
        </w:rPr>
        <w:t>CUSIP Number.</w:t>
      </w:r>
    </w:p>
    <w:p>
      <w:pPr>
        <w:spacing w:after="0" w:line="22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Issuer in issuing the Notes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liability for any defect in the CUSIP numbers as they appear on the Notes, in any notice or elsewhere and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“CUSIP” numbers.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 AND PREPAYMENT</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Notices to Trustee.</w:t>
      </w:r>
    </w:p>
    <w:p>
      <w:pPr>
        <w:spacing w:after="0" w:line="22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If the Issuer elects to redeem Notes pursuant to the optional redemption provisions of Section 3.08, the Issuer must furnish to the Trustee, at least five Business Days prior to the giving of notice of a redemption (or such shorter period as shall be acceptable to the Trustee), an Officers’ Certificate setting forth:</w:t>
      </w:r>
    </w:p>
    <w:p>
      <w:pPr>
        <w:spacing w:after="0" w:line="68" w:lineRule="exact"/>
        <w:rPr>
          <w:sz w:val="20"/>
          <w:szCs w:val="20"/>
          <w:color w:val="auto"/>
        </w:rPr>
      </w:pPr>
    </w:p>
    <w:p>
      <w:pPr>
        <w:ind w:left="1240" w:hanging="253"/>
        <w:spacing w:after="0"/>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clause of this Indenture pursuant to which the redemption shall occur;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Notes to be redeemed; and</w:t>
      </w:r>
    </w:p>
    <w:p>
      <w:pPr>
        <w:spacing w:after="0" w:line="225" w:lineRule="exact"/>
        <w:rPr>
          <w:rFonts w:ascii="Times New Roman" w:cs="Times New Roman" w:eastAsia="Times New Roman" w:hAnsi="Times New Roman"/>
          <w:sz w:val="18"/>
          <w:szCs w:val="18"/>
          <w:color w:val="auto"/>
        </w:rPr>
      </w:pPr>
    </w:p>
    <w:p>
      <w:pPr>
        <w:ind w:left="5420" w:right="3600" w:hanging="4433"/>
        <w:spacing w:after="0" w:line="454" w:lineRule="auto"/>
        <w:tabs>
          <w:tab w:leader="none" w:pos="124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(if then determined and otherwise the method of determination). 53</w:t>
      </w:r>
    </w:p>
    <w:p>
      <w:pPr>
        <w:sectPr>
          <w:pgSz w:w="11900" w:h="16838" w:orient="portrait"/>
          <w:cols w:equalWidth="0" w:num="1">
            <w:col w:w="11000"/>
          </w:cols>
          <w:pgMar w:left="440" w:top="270" w:right="45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i w:val="1"/>
          <w:iCs w:val="1"/>
          <w:color w:val="auto"/>
        </w:rPr>
        <w:t>Selection of Notes to Be Redeemed.</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less than all of the Notes are to be redeemed at any time, the Trustee will select Notes for redemption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in the case of Notes issued in global form pursuant to Article 2, based on a method as DTC or its nominee or successor may require or a method that most nearly approximates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selection as the Trustee deems fair and appropriate and is in accordance with the applicable procedures of DTC) unless otherwise required by law or applicable stock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knows of such listing) or depositary requirements.</w:t>
      </w:r>
    </w:p>
    <w:p>
      <w:pPr>
        <w:spacing w:after="0" w:line="182"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The Trustee will promptly notify the Issuer in writing of the Notes selected for redemption and, in the case of any Note selected for partial redemption, the principal amount thereof to be redeemed. Notes and portions of Notes selected will be in minimum amounts of $2,000 or integral multiples of $1,000 in excess thereof. Except as provided in the preceding sentence, provisions of this Indenture that apply to Notes called for redemption also apply to portions of Notes called for redemption.</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Notice of Redemption.</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Section 3.07, at least 10 days but not more than 60 days before a redemption date, the Issuer will send or cause to be sent, by first class mail (or electronically if DTC is the recipient), a notice of redemption to each Holder whose Notes are to be redeemed at its registered address (with a copy to the Trustee), except that redemption notices may be given more than 60 days prior to a redemption date if the notice is issued in connection with a defeasance of the Notes or a satisfaction and discharge of this Indenture pursuant to Article 8 or 11.</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notice will identify the Notes to be redeemed and will state:</w:t>
      </w:r>
    </w:p>
    <w:p>
      <w:pPr>
        <w:spacing w:after="0" w:line="117" w:lineRule="exact"/>
        <w:rPr>
          <w:sz w:val="20"/>
          <w:szCs w:val="20"/>
          <w:color w:val="auto"/>
        </w:rPr>
      </w:pPr>
    </w:p>
    <w:p>
      <w:pPr>
        <w:ind w:left="1240" w:hanging="253"/>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(if then determined and otherwise the method of determination);</w:t>
      </w:r>
    </w:p>
    <w:p>
      <w:pPr>
        <w:spacing w:after="0" w:line="225" w:lineRule="exact"/>
        <w:rPr>
          <w:rFonts w:ascii="Times New Roman" w:cs="Times New Roman" w:eastAsia="Times New Roman" w:hAnsi="Times New Roman"/>
          <w:sz w:val="18"/>
          <w:szCs w:val="18"/>
          <w:color w:val="auto"/>
        </w:rPr>
      </w:pPr>
    </w:p>
    <w:p>
      <w:pPr>
        <w:ind w:right="200" w:firstLine="987"/>
        <w:spacing w:after="0" w:line="266" w:lineRule="auto"/>
        <w:tabs>
          <w:tab w:leader="none" w:pos="123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in the name of the Holder thereof upon cancellation of the original Note;</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right="140" w:firstLine="987"/>
        <w:spacing w:after="0" w:line="282" w:lineRule="auto"/>
        <w:tabs>
          <w:tab w:leader="none" w:pos="121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redemption payment, interest on Notes or portions thereof called for redemption ceases to accrue on and after the redemption date;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Notes and/or Section of this Indenture pursuant to which the Notes called for redemption are being redeemed;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 representation is made as to the correctness or accuracy of the CUSIP or ISIN number, if any, listed in such notice or printed on</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Notes; and</w:t>
      </w:r>
    </w:p>
    <w:p>
      <w:pPr>
        <w:spacing w:after="0" w:line="206" w:lineRule="exact"/>
        <w:rPr>
          <w:rFonts w:ascii="Times New Roman" w:cs="Times New Roman" w:eastAsia="Times New Roman" w:hAnsi="Times New Roman"/>
          <w:sz w:val="17"/>
          <w:szCs w:val="17"/>
          <w:color w:val="auto"/>
        </w:rPr>
      </w:pPr>
    </w:p>
    <w:p>
      <w:pPr>
        <w:ind w:left="1200" w:hanging="213"/>
        <w:spacing w:after="0"/>
        <w:tabs>
          <w:tab w:leader="none" w:pos="1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precedent to such redemption.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68" w:right="479" w:bottom="1440" w:gutter="0" w:footer="0" w:header="0"/>
        </w:sectPr>
      </w:pPr>
    </w:p>
    <w:bookmarkStart w:id="64" w:name="page65"/>
    <w:bookmarkEnd w:id="64"/>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Issuer’s request, the Trustee will give the notice of redemption in the Issuer’s name and at the Issuer’s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Officers’ Certificate delivered to the Trustee pursuant to Section 3.01 requests that the Trustee give such notice and sets forth the information to be stated in such notice as provided in the preceding paragraph.</w:t>
      </w:r>
    </w:p>
    <w:p>
      <w:pPr>
        <w:spacing w:after="0" w:line="17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A notice of redemption with respect to a redemption described in Section 3.08(b) need not set forth the Applicable Premium but only the manner of calculation thereof. The Issuer shall notify the Trustee of the Applicable Premium with respect to any such redemption promptly after the calculation, and the Trustee shall not be responsible for making, confirming or verifying such calculation.</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Effect of Notice of Redemption.</w:t>
      </w:r>
    </w:p>
    <w:p>
      <w:pPr>
        <w:spacing w:after="0" w:line="22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Once notice of redemption is given in accordance with Section 3.03, Notes or portions thereof called for redemption become irrevocably due and payable (subject to satisfaction of any conditions to such redemption) on the redemption date at the redemption price. A notice of redemption may, at the Issuer’s discretion, be subject to one or more conditions precedent. If a redemption is subject to the satisfaction of one or more conditions precedent, the related notice shall describe each such condition and, if applicable, shall state that, in the Issuer’s discretion, the date of redemption may be delayed until such time as any or all such conditions shall be satisfied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such date of redemption be delayed to a date later than 60 days after the date on which such notice was sent), or such redemption may not occur and such notice may be rescinded in the event that any or all such conditions shall not have been satisfied or waived by the Issuer by the date of redemption, or by the date of redemption as so delayed.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Deposit of Redemption Price.</w:t>
      </w:r>
    </w:p>
    <w:p>
      <w:pPr>
        <w:spacing w:after="0" w:line="227" w:lineRule="exact"/>
        <w:rPr>
          <w:sz w:val="20"/>
          <w:szCs w:val="20"/>
          <w:color w:val="auto"/>
        </w:rPr>
      </w:pPr>
    </w:p>
    <w:p>
      <w:pPr>
        <w:jc w:val="both"/>
        <w:ind w:right="220" w:firstLine="440"/>
        <w:spacing w:after="0" w:line="261" w:lineRule="auto"/>
        <w:rPr>
          <w:sz w:val="20"/>
          <w:szCs w:val="20"/>
          <w:color w:val="auto"/>
        </w:rPr>
      </w:pPr>
      <w:r>
        <w:rPr>
          <w:rFonts w:ascii="Times New Roman" w:cs="Times New Roman" w:eastAsia="Times New Roman" w:hAnsi="Times New Roman"/>
          <w:sz w:val="18"/>
          <w:szCs w:val="18"/>
          <w:color w:val="auto"/>
        </w:rPr>
        <w:t>No later than 11:00 a.m., New York City time, on the redemption date, the Issuer will deposit with the Trustee or with the Paying Agent money sufficient to pay the redemption price of and accrued interest on all Notes to be redeemed on that date. The Trustee or the Paying Agent will promptly return to the Issuer any money deposited with the Trustee or the Paying Agent by the Issuer in excess of the amounts necessary to pay the redemption price of and accrued interest on all Notes to be redeemed.</w:t>
      </w:r>
    </w:p>
    <w:p>
      <w:pPr>
        <w:spacing w:after="0" w:line="18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If the Issuer complies with the provisions of the preceding paragraph, on and after the redemption date, interest will cease to accrue on the Notes or the portions of Notes called for redemption. 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is not so paid upon surrender for redemption because of the failure of the Issuer to comply with the preceding paragraph, interest shall be paid on the unpaid principal, from the redemption date until such principal is paid, and to the extent lawful on any interest not paid on such unpaid principal, in each case at the rate provided in the Notes and in Section 4.01.</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Notes Redeemed in Part.</w:t>
      </w:r>
    </w:p>
    <w:p>
      <w:pPr>
        <w:spacing w:after="0" w:line="22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Upon surrender of a Note that is redeemed in part, the Issuer will issue and, upon receipt of an Authentication Order, the Trustee will authenticate for the Holder at the expense of the Issuer a new Note equal in principal amount to the unredeemed portion of the Note surrendered.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8" w:right="45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3.07 </w:t>
      </w:r>
      <w:r>
        <w:rPr>
          <w:rFonts w:ascii="Times New Roman" w:cs="Times New Roman" w:eastAsia="Times New Roman" w:hAnsi="Times New Roman"/>
          <w:sz w:val="18"/>
          <w:szCs w:val="18"/>
          <w:i w:val="1"/>
          <w:iCs w:val="1"/>
          <w:color w:val="auto"/>
        </w:rPr>
        <w:t>Special Mandatory Redemption.</w:t>
      </w:r>
    </w:p>
    <w:p>
      <w:pPr>
        <w:spacing w:after="0" w:line="225" w:lineRule="exact"/>
        <w:rPr>
          <w:sz w:val="20"/>
          <w:szCs w:val="20"/>
          <w:color w:val="auto"/>
        </w:rPr>
      </w:pPr>
    </w:p>
    <w:p>
      <w:pPr>
        <w:ind w:right="20" w:firstLine="987"/>
        <w:spacing w:after="0" w:line="254"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(x) the consummation of the Aera Merger does not occur on or before May 7, 2025 (the “</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or (y) prior thereto, the Issuer notifies the Trustee in writing that the Merger Agreement has been terminated or the Issuer will not pursue the consummation of the Aera Merger or has determined in its sole discretion that the Aera Merger cannot or is not reasonably likely to be consummated by the Outside Date (the earlier of the date of delivery of such notice described in clause (y) and the Outside Date, the “</w:t>
      </w:r>
      <w:r>
        <w:rPr>
          <w:rFonts w:ascii="Times New Roman" w:cs="Times New Roman" w:eastAsia="Times New Roman" w:hAnsi="Times New Roman"/>
          <w:sz w:val="18"/>
          <w:szCs w:val="18"/>
          <w:i w:val="1"/>
          <w:iCs w:val="1"/>
          <w:color w:val="auto"/>
        </w:rPr>
        <w:t>Special Mandatory Redemption Trigger Date</w:t>
      </w:r>
      <w:r>
        <w:rPr>
          <w:rFonts w:ascii="Times New Roman" w:cs="Times New Roman" w:eastAsia="Times New Roman" w:hAnsi="Times New Roman"/>
          <w:sz w:val="18"/>
          <w:szCs w:val="18"/>
          <w:color w:val="auto"/>
        </w:rPr>
        <w:t>”), the Issuer will be required to redeem all Notes then outstanding (such redemption, the “</w:t>
      </w:r>
      <w:r>
        <w:rPr>
          <w:rFonts w:ascii="Times New Roman" w:cs="Times New Roman" w:eastAsia="Times New Roman" w:hAnsi="Times New Roman"/>
          <w:sz w:val="18"/>
          <w:szCs w:val="18"/>
          <w:i w:val="1"/>
          <w:iCs w:val="1"/>
          <w:color w:val="auto"/>
        </w:rPr>
        <w:t>Special Mandatory Redemption</w:t>
      </w:r>
      <w:r>
        <w:rPr>
          <w:rFonts w:ascii="Times New Roman" w:cs="Times New Roman" w:eastAsia="Times New Roman" w:hAnsi="Times New Roman"/>
          <w:sz w:val="18"/>
          <w:szCs w:val="18"/>
          <w:color w:val="auto"/>
        </w:rPr>
        <w:t xml:space="preserve">”) at a redemption price equal to 100% of the initial issue price of the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but excluding, the Special Mandatory Redemption Date (as defined below) (the “</w:t>
      </w:r>
      <w:r>
        <w:rPr>
          <w:rFonts w:ascii="Times New Roman" w:cs="Times New Roman" w:eastAsia="Times New Roman" w:hAnsi="Times New Roman"/>
          <w:sz w:val="18"/>
          <w:szCs w:val="18"/>
          <w:i w:val="1"/>
          <w:iCs w:val="1"/>
          <w:color w:val="auto"/>
        </w:rPr>
        <w:t>Special Mandatory Redemption Price</w:t>
      </w:r>
      <w:r>
        <w:rPr>
          <w:rFonts w:ascii="Times New Roman" w:cs="Times New Roman" w:eastAsia="Times New Roman" w:hAnsi="Times New Roman"/>
          <w:sz w:val="18"/>
          <w:szCs w:val="18"/>
          <w:color w:val="auto"/>
        </w:rPr>
        <w:t>”). For purposes of the foregoing, consummation of the Aera Merger refers to the occurrence of the “Effective Time” of the “Initial Mergers”, each as defined in the Agreement and Plan of Merger dated February 7, 2024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among the Issuer, certain Subsidiaries, and certain owners and Affiliates of Aera Energy LLC and Aera Energy Services Company, as such Merger Agreement shall be amended, modified or waived from time to time.</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Issuer becomes obligated to redeem the Notes pursuant to the Special Mandatory Redemption, the Issuer will promptly, and in any event not more than ten Business Days after the Special Mandatory Redemption Trigger Date deliver notice to the Trustee of the Special Mandatory Redemption and the date upon which the Notes will be redeemed (the “</w:t>
      </w:r>
      <w:r>
        <w:rPr>
          <w:rFonts w:ascii="Times New Roman" w:cs="Times New Roman" w:eastAsia="Times New Roman" w:hAnsi="Times New Roman"/>
          <w:sz w:val="18"/>
          <w:szCs w:val="18"/>
          <w:i w:val="1"/>
          <w:iCs w:val="1"/>
          <w:color w:val="auto"/>
        </w:rPr>
        <w:t>Special Mandatory Redemption Date</w:t>
      </w:r>
      <w:r>
        <w:rPr>
          <w:rFonts w:ascii="Times New Roman" w:cs="Times New Roman" w:eastAsia="Times New Roman" w:hAnsi="Times New Roman"/>
          <w:sz w:val="18"/>
          <w:szCs w:val="18"/>
          <w:color w:val="auto"/>
        </w:rPr>
        <w:t>,” which date shall be no earlier than the third Business Day or later than the twentieth Business Day following the date of such notice) together with a notice of Special Mandatory Redemption and written instructions to the Trustee instructing the Trustee to deliver such notice to each registered Holder of Notes (which instructions must be delivered to the Trustee at least two Business Days prior to the date such notice of redemption is to be sent). The Trustee will then promptly mail, or deliver electronically if such Notes are held by any depositary (including DTC) in accordance with such depositary’s customary procedures, such notice of Special Mandatory Redemption to each registered Holder of Notes to be redeemed. Unless the Issuer defaults in payment of the Special Mandatory Redemption Price, on and after such Special Mandatory Redemption Date interest will cease to accrue on the Notes.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Optional Redemption.</w:t>
      </w:r>
    </w:p>
    <w:p>
      <w:pPr>
        <w:spacing w:after="0" w:line="227" w:lineRule="exact"/>
        <w:rPr>
          <w:sz w:val="20"/>
          <w:szCs w:val="20"/>
          <w:color w:val="auto"/>
        </w:rPr>
      </w:pPr>
    </w:p>
    <w:p>
      <w:pPr>
        <w:ind w:firstLine="987"/>
        <w:spacing w:after="0" w:line="255"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June 15, 2026, the Issuer may on any one or more occasions redeem up to 35% of the aggregate principal amount of the Notes (including, without limitation, any Additional Notes) issued under this Indenture, in an amount not greater than the net cash proceeds of one or more Equity Offerings by the Issuer, upon notice as provided in this Indenture, at a redemption price equal to 108.250% of the principal amount of the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date of redemption (subject to the rights of Holders of Notes on the relevant record date to receive interest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at least 65% of the aggregate principal amount of Notes originally issued on the Issue Date (excluding Notes held by the Issuer and its Subsidiaries) remains outstanding immediately after the occurrence of such redemption; and (2) the redemption occurs within 180 days of the date of the closing of such Equity Offering.</w:t>
      </w:r>
    </w:p>
    <w:p>
      <w:pPr>
        <w:spacing w:after="0" w:line="188"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June 15, 2026, the Issuer may on any one or more occasions redeem all or a part of the Notes, upon notice as provided in this Indenture, at a redemption price equal to 100% of the principal amount of the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Premium as of, and accrued and unpaid interest to, but excluding, the date of redemption, subject to the rights of Holders of Notes on the relevant record date to receive interest due on the relevant Interest Payment Date.</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Section 3.08(a), (b) or (e), the Notes will not be redeemable at the Issuer’s option prior to June 15,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8" w:right="459" w:bottom="1440" w:gutter="0" w:footer="0" w:header="0"/>
        </w:sectPr>
      </w:pPr>
    </w:p>
    <w:bookmarkStart w:id="66" w:name="page67"/>
    <w:bookmarkEnd w:id="66"/>
    <w:p>
      <w:pPr>
        <w:jc w:val="both"/>
        <w:ind w:right="180" w:firstLine="987"/>
        <w:spacing w:after="0" w:line="281" w:lineRule="auto"/>
        <w:tabs>
          <w:tab w:leader="none" w:pos="124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On or after June 15, 2026, the Issuer may on any one or more occasions redeem all or a part of the Notes, upon notice as provided in this Indenture, at the redemption prices (expressed as percentages of principal amount) set forth below,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accrued and unpaid interest, if any, on the Notes redeemed to, but excluding, the applicable date of redemption, subject to the rights of Holders of Notes on the relevant record date to receive interest on the relevant Interest Payment Date, if redeemed during the twelve-month period beginning on June 15 of the years indicated below:</w:t>
      </w:r>
    </w:p>
    <w:p>
      <w:pPr>
        <w:spacing w:after="0" w:line="187"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Year</w:t>
            </w:r>
          </w:p>
        </w:tc>
        <w:tc>
          <w:tcPr>
            <w:tcW w:w="63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20"/>
        </w:trPr>
        <w:tc>
          <w:tcPr>
            <w:tcW w:w="6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104.125%</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102.063%</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40" w:hanging="253"/>
        <w:spacing w:after="0"/>
        <w:tabs>
          <w:tab w:leader="none" w:pos="12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redeem all (but not a portion of) the Notes when permitted by, and pursuant to the conditions in, Section 4.15(f).</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pursuant to this Section 3.08 shall be made pursuant to the provisions of Sections 3.01 through 3.06.</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Mandatory Redemption.</w:t>
      </w:r>
    </w:p>
    <w:p>
      <w:pPr>
        <w:spacing w:after="0" w:line="22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Except as provided in Section 3.07, the Issuer is not required to make mandatory redemption or sinking fund payments with respect to the Notes. The Issuer may at any time and from time to time purchase Notes in the open market or otherwise, in each case, without any restriction under this Indenture.</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Offer to Purchase by Application of Excess Proceeds.</w:t>
      </w:r>
    </w:p>
    <w:p>
      <w:pPr>
        <w:spacing w:after="0" w:line="22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pursuant to Section 4.10, the Issuer is required to commence an Asset Sale Offer to all Holders to purchase Notes, it will follow the procedures specified below.</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Asset Sale Offer shall be made to all Holders and all holders of other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containing provisions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to those set forth in this Indenture with respect to offers to purchase, prepay or redeem with the proceeds of sales of assets. The Asset Sale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remain open for a period of at least 20 Business Days following its commencement and not more than 30 Business Days, except to the extent that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longer period is required by applicable law (the “</w:t>
      </w:r>
      <w:r>
        <w:rPr>
          <w:rFonts w:ascii="Times New Roman" w:cs="Times New Roman" w:eastAsia="Times New Roman" w:hAnsi="Times New Roman"/>
          <w:sz w:val="18"/>
          <w:szCs w:val="18"/>
          <w:i w:val="1"/>
          <w:iCs w:val="1"/>
          <w:color w:val="auto"/>
        </w:rPr>
        <w:t>Offer Period</w:t>
      </w:r>
      <w:r>
        <w:rPr>
          <w:rFonts w:ascii="Times New Roman" w:cs="Times New Roman" w:eastAsia="Times New Roman" w:hAnsi="Times New Roman"/>
          <w:sz w:val="18"/>
          <w:szCs w:val="18"/>
          <w:color w:val="auto"/>
        </w:rPr>
        <w:t>”). No later than three Business Days after the termination of the Offer Period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Purchase Date</w:t>
      </w:r>
      <w:r>
        <w:rPr>
          <w:rFonts w:ascii="Times New Roman" w:cs="Times New Roman" w:eastAsia="Times New Roman" w:hAnsi="Times New Roman"/>
          <w:sz w:val="17"/>
          <w:szCs w:val="17"/>
          <w:color w:val="auto"/>
        </w:rPr>
        <w:t>”), the Issuer will apply all Excess Proceeds (the “</w:t>
      </w:r>
      <w:r>
        <w:rPr>
          <w:rFonts w:ascii="Times New Roman" w:cs="Times New Roman" w:eastAsia="Times New Roman" w:hAnsi="Times New Roman"/>
          <w:sz w:val="17"/>
          <w:szCs w:val="17"/>
          <w:i w:val="1"/>
          <w:iCs w:val="1"/>
          <w:color w:val="auto"/>
        </w:rPr>
        <w:t>Offer Amount</w:t>
      </w:r>
      <w:r>
        <w:rPr>
          <w:rFonts w:ascii="Times New Roman" w:cs="Times New Roman" w:eastAsia="Times New Roman" w:hAnsi="Times New Roman"/>
          <w:sz w:val="17"/>
          <w:szCs w:val="17"/>
          <w:color w:val="auto"/>
        </w:rPr>
        <w:t xml:space="preserve">”) to the purchase of Notes and such other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Indebtedness (on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basis based on the principal amount of Notes and such other</w:t>
      </w:r>
      <w:r>
        <w:rPr>
          <w:rFonts w:ascii="Times New Roman" w:cs="Times New Roman" w:eastAsia="Times New Roman" w:hAnsi="Times New Roman"/>
          <w:sz w:val="18"/>
          <w:szCs w:val="18"/>
          <w:i w:val="1"/>
          <w:iCs w:val="1"/>
          <w:color w:val="auto"/>
        </w:rPr>
        <w:t xml:space="preserve"> pari passu </w:t>
      </w:r>
      <w:r>
        <w:rPr>
          <w:rFonts w:ascii="Times New Roman" w:cs="Times New Roman" w:eastAsia="Times New Roman" w:hAnsi="Times New Roman"/>
          <w:sz w:val="18"/>
          <w:szCs w:val="18"/>
          <w:color w:val="auto"/>
        </w:rPr>
        <w:t>Indebtedness surrendered, if applicable) or, if less than the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has been tendered, all Notes and other Indebtedness tendered in response to the Asset Sale Offer. Payment for any Notes so purchased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in the same manner specified in the last paragraph of this Section 3.10.</w:t>
      </w:r>
    </w:p>
    <w:p>
      <w:pPr>
        <w:spacing w:after="0" w:line="20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If the Purchase Date is on or after an interest record date and on or before the related Interest Payment Date, any accrued and unpaid interest will be paid to the Person in whose name a Note is registered at the close of business on such record date, and no additional interest will be payable to Holders who tender Notes pursuant to the Asset Sale Offer.</w:t>
      </w:r>
    </w:p>
    <w:p>
      <w:pPr>
        <w:spacing w:after="0" w:line="176"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Upon the commencement of an Asset Sale Offer, the Issuer will deliver, by first class mail, a notice to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that the Asset Sale Offer is being made pursuant to this Section 3.10 and Section 4.10 and the length of time the Asset Sale Offer 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open;</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440" w:top="270" w:right="499" w:bottom="1440" w:gutter="0" w:footer="0" w:header="0"/>
        </w:sectPr>
      </w:pPr>
    </w:p>
    <w:bookmarkStart w:id="67" w:name="page68"/>
    <w:bookmarkEnd w:id="67"/>
    <w:p>
      <w:pPr>
        <w:ind w:left="1240" w:hanging="253"/>
        <w:spacing w:after="0"/>
        <w:tabs>
          <w:tab w:leader="none" w:pos="1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Offer Amount, the purchase price and the Purchase Date;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tendered or accepted for payment will continue to accrue interest;</w:t>
      </w:r>
    </w:p>
    <w:p>
      <w:pPr>
        <w:spacing w:after="0" w:line="225"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payment, any Note accepted for payment pursuant to the Asset Sale Offer will cease to accrue interest on and after the Purchase Date;</w:t>
      </w:r>
    </w:p>
    <w:p>
      <w:pPr>
        <w:spacing w:after="0" w:line="161" w:lineRule="exact"/>
        <w:rPr>
          <w:rFonts w:ascii="Times New Roman" w:cs="Times New Roman" w:eastAsia="Times New Roman" w:hAnsi="Times New Roman"/>
          <w:sz w:val="18"/>
          <w:szCs w:val="18"/>
          <w:color w:val="auto"/>
        </w:rPr>
      </w:pPr>
    </w:p>
    <w:p>
      <w:pPr>
        <w:ind w:right="660" w:firstLine="987"/>
        <w:spacing w:after="0" w:line="282"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Note purchased pursuant to an Asset Sale Offer may elect to have Notes purchased in minimum denominations of $2,000 and any integral multiple of $1,000 in excess thereof;</w:t>
      </w:r>
    </w:p>
    <w:p>
      <w:pPr>
        <w:spacing w:after="0" w:line="161" w:lineRule="exact"/>
        <w:rPr>
          <w:rFonts w:ascii="Times New Roman" w:cs="Times New Roman" w:eastAsia="Times New Roman" w:hAnsi="Times New Roman"/>
          <w:sz w:val="18"/>
          <w:szCs w:val="18"/>
          <w:color w:val="auto"/>
        </w:rPr>
      </w:pPr>
    </w:p>
    <w:p>
      <w:pPr>
        <w:ind w:right="40" w:firstLine="987"/>
        <w:spacing w:after="0" w:line="266" w:lineRule="auto"/>
        <w:tabs>
          <w:tab w:leader="none" w:pos="121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Notes purchased pursuant to any Asset Sale Offer will be required to surrender the Note, with the form entitled “Option of Holder to Elect Purchase” attached to the Notes completed, or transfer by book-entry transfer, to the Issuer, a depositary, if appointed by the Issuer, or a Paying Agent at the address specified in the notice at least three days before the Purchase Date;</w:t>
      </w:r>
    </w:p>
    <w:p>
      <w:pPr>
        <w:spacing w:after="0" w:line="175"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will be entitled to withdraw their election if the Issuer, the Depositary or the Paying Agent, as the case may be, receives, not later than the expiration of the Offer Period, a telegram, electronic image scan, facsimile transmission or letter setting forth the name of the Holder, the principal amount of the Note the Holder delivered for purchase and a statement that such Holder is withdrawing his election to have such Note purchased;</w:t>
      </w:r>
    </w:p>
    <w:p>
      <w:pPr>
        <w:spacing w:after="0" w:line="179"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if the aggregate principal amount of Notes surrendered by Holders thereof exceeds the Offer Amount allocated to the purchase of Notes in the Asset Sale Offer, the Trustee will select the Notes to be purchased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(except that any Notes represented by a Global Note shall be selected by such method as DTC or its nominee or successor may require or a method that most nearly approximates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selection as the Trustee deems fair and appropriate and is in accordance with DTC’s applicable procedures) based on the principal amount of Notes surrendered (with such adjustments as may be deemed appropriate by the Issuer so that only Notes in minimum denominations of $2,000 and any integral multiple of $1,000 in excess thereof will be purchased; and</w:t>
      </w:r>
    </w:p>
    <w:p>
      <w:pPr>
        <w:spacing w:after="0" w:line="187" w:lineRule="exact"/>
        <w:rPr>
          <w:rFonts w:ascii="Times New Roman" w:cs="Times New Roman" w:eastAsia="Times New Roman" w:hAnsi="Times New Roman"/>
          <w:sz w:val="18"/>
          <w:szCs w:val="18"/>
          <w:color w:val="auto"/>
        </w:rPr>
      </w:pPr>
    </w:p>
    <w:p>
      <w:pPr>
        <w:ind w:right="20" w:firstLine="987"/>
        <w:spacing w:after="0" w:line="282" w:lineRule="auto"/>
        <w:tabs>
          <w:tab w:leader="none" w:pos="120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whose Notes were purchased only in part will be issued new Notes equal in principal amount to the unpurchased portion of the Notes surrendered (or transferred by book-entry transfer).</w:t>
      </w:r>
    </w:p>
    <w:p>
      <w:pPr>
        <w:spacing w:after="0" w:line="16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or before the Purchase Date, the Issuer will, to the extent lawful, accept for payment,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extent necessary, the Notes or portions thereof tendered pursuant to the Asset Sale Offer and required to be purchased pursuant to this Section 3.10 and Section 4.10, or if Notes in an aggregate principal amount less than the Offer Amount allocated to the purchase of Notes in the Asset Sale Offer have been tendered, all Notes tendered, and will deliver or cause to be delivered to the Trustee the Notes properly accepted together with an Officers’ Certificate stating that such Notes or portions thereof were accepted for payment by the Issuer in accordance with the terms of this Section 3.10. Notes to be purchased shall, on the Purchase Date, become due and payable at the purchase price and from and after such date (unless the Issuer shall default in the payment of the purchase price) such Notes shall cease to accrue interest. The Issuer, the depositary for the Asset Sale Offer or the Paying Agent, as the case may be, will promptly (but in any case not later than five days after the Purchase Date) mail or deliver to each tendering Holder an amount equal to the purchase price of the Notes tendered by such Holder and accepted by the Issuer for purchase (or, if any Notes are then in global form, it will promptly make such payment thereon through the facilities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70" w:right="439" w:bottom="1440" w:gutter="0" w:footer="0" w:header="0"/>
        </w:sectPr>
      </w:pPr>
    </w:p>
    <w:bookmarkStart w:id="68" w:name="page69"/>
    <w:bookmarkEnd w:id="68"/>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DTC), and the Issuer will promptly issue a new Note, and the Trustee, upon written request from the Issuer, will authenticate and mail or deliver (or cause to be transferred by book entry) such new Note to such Holder, in a principal amount equal to any unpurchased portion of the Note surrendered. Any Note not so accepted shall be promptly mailed or delivered by the Issuer to the Holder thereof. The Issuer will publicly announce the results of the Asset Sale Offer on the Purchase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Notes.</w:t>
      </w:r>
    </w:p>
    <w:p>
      <w:pPr>
        <w:spacing w:after="0" w:line="22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Issuer will pay or cause to be paid the principal of, premium on, if any, and interest on the Notes on the dates and in the manner provided in the Notes. Principal, interest and premium, if any, will be considered paid on the date due if the Paying Agent, if other than the Issuer or a Subsidiary of the Issuer, holds as of 11:00 a.m., New York City time, on the due date money deposited by the Issuer in immediately available funds and designated for and sufficient to pay all principal, interest and premium, if any, if any, then due.</w:t>
      </w:r>
    </w:p>
    <w:p>
      <w:pPr>
        <w:spacing w:after="0" w:line="180"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The Issuer will pay interest (including post-petition interest in any proceeding under any Bankruptcy Law) on overdue principal at a rate that is equal to the then applicable interest rate on the Notes to the extent lawful; the Issuer will pay interest (including post-petition interest in any proceeding under any Bankruptcy Law) on overdue installments of interest (without regard to any applicable grace period), at the same rate to the extent lawful.</w:t>
      </w:r>
    </w:p>
    <w:p>
      <w:pPr>
        <w:spacing w:after="0" w:line="158"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Issuer may at any time, for the purpose of obtaining satisfaction and discharge with respect to the Notes or for any other purpose, pay, or direct any Paying Agent to pay, to the Trustee all sums held in trust by the Issuer or such Paying Agent, such sums to be held by the Trustee upon the same terms as those upon which such sums were held by the Issuer or such Paying Agent; and, upon such payment by any Paying Agent to the Trustee, such Paying Agent shall be released from all further liability with respect to such money.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p>
    <w:p>
      <w:pPr>
        <w:spacing w:after="0" w:line="227"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Issuer will maintain, an office or agency (which may be an office of the Trustee or an Affiliate of the Trustee) where Notes may be surrendered for registration of transfer or for exchange and where notices and demands to or upon the Issuer in respect of the Notes and this Indenture may be served. The Issuer will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not be deemed an agent of the Issuer for service of legal process.</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will in any manner relieve the Issuer of its obligation to maintain an office or agency for such purposes. The Issuer will give prompt written notice to the Trustee of any such designation or rescission and of any change in the location of any such other office or agency.</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Issuer hereby designates the Corporate Trust Office of the Trustee as one such office or agency of the Issuer in accordance with Section 2.03 of this Indenture.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69" w:name="page70"/>
    <w:bookmarkEnd w:id="69"/>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any Global Notes, the Corporate Trust Office of the Trustee shall be the office or agency where such Global Notes may be presented or surrendered for payment or for registration of transfer or exchange, or where successor Notes may be delivered in exchange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such presentation, surrender or delivery effected pursuant to the Applicable Procedures of the Depositary shall be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effected at such office or agency in accordance with the provisions of this Indenture.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Reports.</w:t>
      </w:r>
    </w:p>
    <w:p>
      <w:pPr>
        <w:spacing w:after="0" w:line="227" w:lineRule="exact"/>
        <w:rPr>
          <w:sz w:val="20"/>
          <w:szCs w:val="20"/>
          <w:color w:val="auto"/>
        </w:rPr>
      </w:pPr>
    </w:p>
    <w:p>
      <w:pPr>
        <w:ind w:right="320" w:firstLine="987"/>
        <w:spacing w:after="0" w:line="266"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by the rules and regulations of the SEC, so long as any Notes are outstanding, the Issuer will furnish to the Holders of Notes (or file with the SEC for public availability), within the time periods specified in the SEC’s rules and regulations applicable to a non-accelerated filer, after giving effect to all applicable extensions and cure periods:</w:t>
      </w:r>
    </w:p>
    <w:p>
      <w:pPr>
        <w:spacing w:after="0" w:line="67" w:lineRule="exact"/>
        <w:rPr>
          <w:rFonts w:ascii="Times New Roman" w:cs="Times New Roman" w:eastAsia="Times New Roman" w:hAnsi="Times New Roman"/>
          <w:sz w:val="18"/>
          <w:szCs w:val="18"/>
          <w:color w:val="auto"/>
        </w:rPr>
      </w:pPr>
    </w:p>
    <w:p>
      <w:pPr>
        <w:ind w:left="440" w:right="180" w:firstLine="948"/>
        <w:spacing w:after="0" w:line="289" w:lineRule="auto"/>
        <w:tabs>
          <w:tab w:leader="none" w:pos="1647"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quarterly and annual reports that would be required to be filed with the SEC on Forms 10-Q and 10-K if the Issuer were required to file such reports, including a “Management’s Discussion and Analysis of Financial Condition and Results of Operations” and, with respect to the annual report only, a report on the Issuer’s consolidated financial statements by the Issuer’s certified independent accountants; and</w:t>
      </w:r>
    </w:p>
    <w:p>
      <w:pPr>
        <w:spacing w:after="0" w:line="49" w:lineRule="exact"/>
        <w:rPr>
          <w:rFonts w:ascii="Times New Roman" w:cs="Times New Roman" w:eastAsia="Times New Roman" w:hAnsi="Times New Roman"/>
          <w:sz w:val="17"/>
          <w:szCs w:val="17"/>
          <w:color w:val="auto"/>
        </w:rPr>
      </w:pPr>
    </w:p>
    <w:p>
      <w:pPr>
        <w:ind w:left="1640" w:hanging="252"/>
        <w:spacing w:after="0"/>
        <w:tabs>
          <w:tab w:leader="none" w:pos="16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that would be required to be filed with the SEC on Form 8-K if the Issuer were required to file such reports.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availability of the foregoing reports on the SEC’s EDGAR filing system will be deemed to satisfy the foregoing delivery requirements.</w:t>
      </w:r>
    </w:p>
    <w:p>
      <w:pPr>
        <w:spacing w:after="0" w:line="225" w:lineRule="exact"/>
        <w:rPr>
          <w:sz w:val="20"/>
          <w:szCs w:val="20"/>
          <w:color w:val="auto"/>
        </w:rPr>
      </w:pPr>
    </w:p>
    <w:p>
      <w:pPr>
        <w:ind w:right="60" w:firstLine="987"/>
        <w:spacing w:after="0" w:line="255"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has designated as an Unrestricted Subsidiary any of its Subsidiaries that is a Significant Subsidiary (or that, taken together with other Unrestricted Subsidiaries, would be a Significant Subsidiary), then the quarterly and annual financial information required by Section 4.03(a) will include (a) the aggregate amount of total property, plant and equipment, net, total operating revenues and net income represented by such Unrestricted Subsidiaries and (b) to the extent material, a reasonably detailed presentation, either on the face of the financial statements or in the footnotes thereto, and in “Management’s Discussion and Analysis of Financial Condition and Results of Operations,” of the financial condition and results of operations of the Issuer and its Restricted Subsidiaries separate from the financial condition and results of operations of the Unrestricted Subsidiaries of the Issuer.</w:t>
      </w:r>
    </w:p>
    <w:p>
      <w:pPr>
        <w:spacing w:after="0" w:line="188"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direct or indirect parent company of the Issuer becomes a guarantor of the Notes, the Issuer may satisfy its obligations under this Section 4.03 with respect to financial and other information relating to the Issuer by furnishing corresponding information relating to such parent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same includes a reasonable summary of the differences between the information relating to such parent, on the one hand, and the information relating to the Issuer and its Restricted Subsidiaries on a standalone basis, on the other hand.</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Defaults or Events of Default arising from a failure to furnish or file in a timely manner a report or information required by this Section 4.03 shall be deemed cured (and the Issuer shall be deemed to be in compliance with this Section 4.03) upon furnishing or filing such report or information as contemplated by this Section 4.03 (but without regard to the date on which such report or information is so furnished or filed);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cure shall not otherwise affect the rights of the Holders under Article 6 if the principal, interest and premium, if any,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accelerated in accordance with the terms of this Indenture and such acceleration has not been rescinded or cancelled prior to such cure.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0" w:name="page71"/>
    <w:bookmarkEnd w:id="70"/>
    <w:p>
      <w:pPr>
        <w:ind w:firstLine="987"/>
        <w:spacing w:after="0" w:line="266"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so long as any Notes remain outstanding, the Issuer will furnish to the Holders and Beneficial Owners of the Notes and to securities analysts and prospective investors in the Notes, upon their request, the information required to be delivered pursuant to Rule 144A(d)(4) under the Securities Act.</w:t>
      </w:r>
    </w:p>
    <w:p>
      <w:pPr>
        <w:spacing w:after="0" w:line="175" w:lineRule="exact"/>
        <w:rPr>
          <w:rFonts w:ascii="Times New Roman" w:cs="Times New Roman" w:eastAsia="Times New Roman" w:hAnsi="Times New Roman"/>
          <w:sz w:val="18"/>
          <w:szCs w:val="18"/>
          <w:color w:val="auto"/>
        </w:rPr>
      </w:pPr>
    </w:p>
    <w:p>
      <w:pPr>
        <w:ind w:right="20" w:firstLine="987"/>
        <w:spacing w:after="0" w:line="256" w:lineRule="auto"/>
        <w:tabs>
          <w:tab w:leader="none" w:pos="121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4.03 does not impose any duty on the Issuer under the Sarbanes Oxley Act of 2002, as amended, and the related SEC rules that would not otherwise be applicable. The Issuer will be deemed to have furnished to the Holders and Beneficial Owners of the Notes and to securities analysts and prospective investors the reports referred to in clauses (1) and (2) of Section 4.03(a) or the information referred to in Section 4.03(e) if the Issuer has posted such reports or information on the Issuer Website. For purposes of this Section 4.03, the term “</w:t>
      </w:r>
      <w:r>
        <w:rPr>
          <w:rFonts w:ascii="Times New Roman" w:cs="Times New Roman" w:eastAsia="Times New Roman" w:hAnsi="Times New Roman"/>
          <w:sz w:val="18"/>
          <w:szCs w:val="18"/>
          <w:i w:val="1"/>
          <w:iCs w:val="1"/>
          <w:color w:val="auto"/>
        </w:rPr>
        <w:t>Issuer Website</w:t>
      </w:r>
      <w:r>
        <w:rPr>
          <w:rFonts w:ascii="Times New Roman" w:cs="Times New Roman" w:eastAsia="Times New Roman" w:hAnsi="Times New Roman"/>
          <w:sz w:val="18"/>
          <w:szCs w:val="18"/>
          <w:color w:val="auto"/>
        </w:rPr>
        <w:t>” means the collection of web pages that may be accessed on the World Wide Web using the URL address http://www.crc.com or such other address as the Issuer may from time to time maintain for public information.</w:t>
      </w:r>
    </w:p>
    <w:p>
      <w:pPr>
        <w:spacing w:after="0" w:line="187"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thereof shall not constitute actual or constructive notice of any information contained therein or determinable from information contained therein, including the Issuer’s compliance with any of its covenants under this Indenture (as to which the Trustee is entitled to certificates). The Trustee’s shall not be obligated to monitor or confirm, on a continuing basis or otherwise, the Issuer’s compliance with the covenants or with respect to any reports or other documents filed with the SEC or EDGAR or any website under this Indenture, or participate in any conference calls.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Compliance Certificate.</w:t>
      </w:r>
    </w:p>
    <w:p>
      <w:pPr>
        <w:spacing w:after="0" w:line="227" w:lineRule="exact"/>
        <w:rPr>
          <w:sz w:val="20"/>
          <w:szCs w:val="20"/>
          <w:color w:val="auto"/>
        </w:rPr>
      </w:pPr>
    </w:p>
    <w:p>
      <w:pPr>
        <w:ind w:firstLine="987"/>
        <w:spacing w:after="0" w:line="255"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deliver to the Trustee, within 120 days after the end of each fiscal year, beginning with the fiscal year ending December 31, 2024, an Officers’ Certificate stating that a review of the activities of the Issuer and its Subsidiaries during the preceding fiscal year has been made under the supervision of the signing Officers with a view to determining whether the Issuer has kept, observed, performed and fulfilled its obligations under this Indenture, and further stating, as to each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Issuer is taking or proposes to take with respect thereto).</w:t>
      </w:r>
    </w:p>
    <w:p>
      <w:pPr>
        <w:spacing w:after="0" w:line="188"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Notes are outstanding, upon any Officer of the Issuer becoming aware of any Default or Event of Default, the Issuer shall deliver to the Trustee a written statement specifying such Default or Event of Default and what action the Issuer is taking or proposes to take with respect thereto within 30 days after such Officer becomes aware of the occurrence and continuance of such Event of Default, unless such Default or Event of Default has been cured before the end of the 30-day period.</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Taxes.</w:t>
      </w:r>
    </w:p>
    <w:p>
      <w:pPr>
        <w:spacing w:after="0" w:line="22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Issuer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4.06 </w:t>
      </w:r>
      <w:r>
        <w:rPr>
          <w:rFonts w:ascii="Times New Roman" w:cs="Times New Roman" w:eastAsia="Times New Roman" w:hAnsi="Times New Roman"/>
          <w:sz w:val="18"/>
          <w:szCs w:val="18"/>
          <w:i w:val="1"/>
          <w:iCs w:val="1"/>
          <w:color w:val="auto"/>
        </w:rPr>
        <w:t>Stay, Extension and Usury Laws.</w:t>
      </w:r>
    </w:p>
    <w:p>
      <w:pPr>
        <w:spacing w:after="0" w:line="22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Issuer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Restricted Payments.</w:t>
      </w:r>
    </w:p>
    <w:p>
      <w:pPr>
        <w:spacing w:after="0" w:line="227" w:lineRule="exact"/>
        <w:rPr>
          <w:sz w:val="20"/>
          <w:szCs w:val="20"/>
          <w:color w:val="auto"/>
        </w:rPr>
      </w:pPr>
    </w:p>
    <w:p>
      <w:pPr>
        <w:ind w:left="1240" w:hanging="253"/>
        <w:spacing w:after="0"/>
        <w:tabs>
          <w:tab w:leader="none" w:pos="12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of its Restricted Subsidiaries to, directly or indirectly:</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58" w:lineRule="auto"/>
        <w:tabs>
          <w:tab w:leader="none" w:pos="164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make any other payment or distribution on account of the Issuer’s or any of its Restricted Subsidiaries’ Equity Interests (including, without limitation, any payment in connection with any merger or consolidation involving the Issuer or any of its Restricted Subsidiaries) or to the direct or indirect holders of the Issuer’s or any of its Restricted Subsidiaries’ Equity Interests in their capacity as such (other than dividends or other payments or distributions payable in Equity Interests (other than Disqualified Stock) of the Issuer and other than dividends or other payments or distributions payable to the Issuer or a Restricted Subsidiary of the Issuer);</w:t>
      </w:r>
    </w:p>
    <w:p>
      <w:pPr>
        <w:spacing w:after="0" w:line="75"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4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redeem or otherwise acquire or retire for value (including, without limitation, in connection with any merger or consolidation involving the Issuer) any Equity Interests of the Issuer or any direct or indirect parent of the Issuer other than through the exchange therefor solely of Equity Interests (other than Disqualified Stock) of the Issuer and other than any acquisition or retirement for value from, or payment to, the Issuer or any Restricted Subsidiary of the Issuer;</w:t>
      </w:r>
    </w:p>
    <w:p>
      <w:pPr>
        <w:spacing w:after="0" w:line="71" w:lineRule="exact"/>
        <w:rPr>
          <w:rFonts w:ascii="Times New Roman" w:cs="Times New Roman" w:eastAsia="Times New Roman" w:hAnsi="Times New Roman"/>
          <w:sz w:val="18"/>
          <w:szCs w:val="18"/>
          <w:color w:val="auto"/>
        </w:rPr>
      </w:pPr>
    </w:p>
    <w:p>
      <w:pPr>
        <w:ind w:left="440" w:firstLine="948"/>
        <w:spacing w:after="0" w:line="258" w:lineRule="auto"/>
        <w:tabs>
          <w:tab w:leader="none" w:pos="164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on or with respect to, or repurchase, redeem, defease or otherwise acquire or retire for value any Indebtedness of the Issuer or any Guarantor that is contractually subordinated in right of payment to the Notes or to any Guarantee (excluding (a) any intercompany Indebtedness between or among the Issuer and any of its Restricted Subsidiaries and (b) the repurchase or other acquisition or retirement for value of any such Indebtedness in anticipation of satisfying a sinking fund or other payment obligation due within one year of the date of such repurchase or other acquisition or retirement for value), except a payment of interest or principal at the Stated Maturity thereof; or</w:t>
      </w:r>
    </w:p>
    <w:p>
      <w:pPr>
        <w:spacing w:after="0" w:line="75"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4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Investment (all such payments and other actions set forth in clauses (1) through (4) of this Section 4.07(a), being collectively referred to as “</w:t>
      </w: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at the time of and after giving effect to such Restricted Payment,</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 no Default or Event of Default has occurred and is continuing or would occur as a consequence of such Restricted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Payment;</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440" w:top="268" w:right="499" w:bottom="1440" w:gutter="0" w:footer="0" w:header="0"/>
        </w:sectPr>
      </w:pPr>
    </w:p>
    <w:bookmarkStart w:id="72" w:name="page73"/>
    <w:bookmarkEnd w:id="72"/>
    <w:p>
      <w:pPr>
        <w:jc w:val="both"/>
        <w:ind w:left="-20" w:right="280" w:firstLine="910"/>
        <w:spacing w:after="0" w:line="266" w:lineRule="auto"/>
        <w:tabs>
          <w:tab w:leader="none" w:pos="116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Section 4.09(a); and</w:t>
      </w:r>
    </w:p>
    <w:p>
      <w:pPr>
        <w:spacing w:after="0" w:line="67" w:lineRule="exact"/>
        <w:rPr>
          <w:rFonts w:ascii="Times New Roman" w:cs="Times New Roman" w:eastAsia="Times New Roman" w:hAnsi="Times New Roman"/>
          <w:sz w:val="18"/>
          <w:szCs w:val="18"/>
          <w:color w:val="auto"/>
        </w:rPr>
      </w:pPr>
    </w:p>
    <w:p>
      <w:pPr>
        <w:ind w:left="-20" w:right="20" w:firstLine="910"/>
        <w:spacing w:after="0" w:line="258" w:lineRule="auto"/>
        <w:tabs>
          <w:tab w:leader="none" w:pos="116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Restricted Payment, together with the aggregate amount of all other Restricted Payments made by the Issuer and its Restricted Subsidiaries since the Issue Date (excluding Restricted Payments permitted by clauses (1) (with respect to a Restricted Payment made under clauses (2) through (14) of Section 4.07(b)) or clauses (2) through (14) of Section 4.07(b), but including Restricted Payments made under clause (15) of Section 4.07(b) only to the extent that such Restricted Payments at the time thereof would not reduce the amount available for Restricted Payments under this clause (4)(C) to less than zero) is less than the sum, without duplication, of:</w:t>
      </w:r>
    </w:p>
    <w:p>
      <w:pPr>
        <w:spacing w:after="0" w:line="75" w:lineRule="exact"/>
        <w:rPr>
          <w:rFonts w:ascii="Times New Roman" w:cs="Times New Roman" w:eastAsia="Times New Roman" w:hAnsi="Times New Roman"/>
          <w:sz w:val="18"/>
          <w:szCs w:val="18"/>
          <w:color w:val="auto"/>
        </w:rPr>
      </w:pPr>
    </w:p>
    <w:p>
      <w:pPr>
        <w:ind w:left="420" w:right="60" w:firstLine="871"/>
        <w:spacing w:after="0" w:line="266" w:lineRule="auto"/>
        <w:tabs>
          <w:tab w:leader="none" w:pos="149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 of the Consolidated Net Income of the Issuer for the period (taken as one accounting period) from April 1, 2024 to the end of the Issuer’s most recently ended fiscal quarter for which internal financial statements are available at the time of such Restricted Payment (or, if such Consolidated Net Income for such period is a deficit,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100% of such deficit);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20" w:firstLine="871"/>
        <w:spacing w:after="0" w:line="253" w:lineRule="auto"/>
        <w:tabs>
          <w:tab w:leader="none" w:pos="154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cash proceeds and the Fair Market Value of any Capital Stock of Persons engaged primarily in the Oil and Gas Business or any other assets that are used or useful in the Oil and Gas Business other than cash, in each case received by the Issuer since the Issue Date as a contribution to its common equity capital or from the issue or sale of Equity Interests of the Issuer (other than Disqualified Stock) or received by the Issuer from the issue or sale of convertible or exchangeable Disqualified Stock or convertible or exchangeable debt securities of the Issuer that have been converted into or exchanged for such Equity Interests since the Issue Date or from the issue or sale of options, warrants or rights to purchase such Equity Interests that have been exercised for such Equity Interests since the Issue Date (other than, in either case, Equity Interests (or Disqualified Stock or debt securities) sold to a Restricted Subsidiary of the Issuer or to an employee stock ownership plan, option plan or similar trust to the extent such sale to an employee stock ownership plan, option plan or similar trust is financed by loans from or guaranteed by the Issuer or any Restricted Subsidiary (unless such loans have been repaid with cash on or prior to the date of determination)); </w:t>
      </w:r>
      <w:r>
        <w:rPr>
          <w:rFonts w:ascii="Times New Roman" w:cs="Times New Roman" w:eastAsia="Times New Roman" w:hAnsi="Times New Roman"/>
          <w:sz w:val="18"/>
          <w:szCs w:val="18"/>
          <w:i w:val="1"/>
          <w:iCs w:val="1"/>
          <w:color w:val="auto"/>
        </w:rPr>
        <w:t>plus</w:t>
      </w:r>
    </w:p>
    <w:p>
      <w:pPr>
        <w:spacing w:after="0" w:line="86" w:lineRule="exact"/>
        <w:rPr>
          <w:rFonts w:ascii="Times New Roman" w:cs="Times New Roman" w:eastAsia="Times New Roman" w:hAnsi="Times New Roman"/>
          <w:sz w:val="18"/>
          <w:szCs w:val="18"/>
          <w:color w:val="auto"/>
        </w:rPr>
      </w:pPr>
    </w:p>
    <w:p>
      <w:pPr>
        <w:ind w:left="420" w:right="20" w:firstLine="871"/>
        <w:spacing w:after="0" w:line="256" w:lineRule="auto"/>
        <w:tabs>
          <w:tab w:leader="none" w:pos="159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already included in Consolidated Net Income for such period, if any Restricted Investment that was made by the Issuer or any of its Restricted Subsidiaries after the Issue Date is sold (other than to the Issuer or any Restricted Subsidiary of the Issuer) or otherwise cancelled, liquidated or repaid, 100% of the aggregate cash, and the Fair Market Value of any property other than cash, constituting the return of capital to the Issuer or any of its Restricted Subsidiaries with respect to such Restricted Investment resulting from such sale, cancellation, liquidation or repayment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out-of-pocket costs incurred in connection with any such sale); </w:t>
      </w:r>
      <w:r>
        <w:rPr>
          <w:rFonts w:ascii="Times New Roman" w:cs="Times New Roman" w:eastAsia="Times New Roman" w:hAnsi="Times New Roman"/>
          <w:sz w:val="18"/>
          <w:szCs w:val="18"/>
          <w:i w:val="1"/>
          <w:iCs w:val="1"/>
          <w:color w:val="auto"/>
        </w:rPr>
        <w:t>plus</w:t>
      </w:r>
    </w:p>
    <w:p>
      <w:pPr>
        <w:spacing w:after="0" w:line="1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000"/>
          </w:cols>
          <w:pgMar w:left="1440" w:top="270" w:right="459" w:bottom="1440" w:gutter="0" w:footer="0" w:header="0"/>
        </w:sectPr>
      </w:pPr>
    </w:p>
    <w:bookmarkStart w:id="73" w:name="page74"/>
    <w:bookmarkEnd w:id="73"/>
    <w:p>
      <w:pPr>
        <w:ind w:left="980" w:firstLine="871"/>
        <w:spacing w:after="0" w:line="255" w:lineRule="auto"/>
        <w:tabs>
          <w:tab w:leader="none" w:pos="2147"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by which Indebtedness of the Issuer or its Restricted Subsidiaries is reduced on the Issuer’s balance sheet upon the conversion or exchange (other than by a Restricted Subsidiary of the Issuer) subsequent to the Issue Date of any such Indebtedness of the Issuer or its Restricted Subsidiaries convertible or exchangeable for Equity Interests (other than Disqualified Stock) of the Issuer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amount of any cash, or the Fair Market Value of any other property (other than such Equity Interests), distributed by the Issuer upon such conversion or exchange and excluding the net cash proceeds from the conversion or exchange financed, directly or indirectly, using funds borrowed from the Issuer or any Restricted Subsidiary), together with the net proceeds, if any, received by the Issuer or any of its Restricted Subsidiaries upon such conversion or exchange; </w:t>
      </w:r>
      <w:r>
        <w:rPr>
          <w:rFonts w:ascii="Times New Roman" w:cs="Times New Roman" w:eastAsia="Times New Roman" w:hAnsi="Times New Roman"/>
          <w:sz w:val="18"/>
          <w:szCs w:val="18"/>
          <w:i w:val="1"/>
          <w:iCs w:val="1"/>
          <w:color w:val="auto"/>
        </w:rPr>
        <w:t>plus</w:t>
      </w:r>
    </w:p>
    <w:p>
      <w:pPr>
        <w:spacing w:after="0" w:line="80" w:lineRule="exact"/>
        <w:rPr>
          <w:rFonts w:ascii="Times New Roman" w:cs="Times New Roman" w:eastAsia="Times New Roman" w:hAnsi="Times New Roman"/>
          <w:sz w:val="18"/>
          <w:szCs w:val="18"/>
          <w:color w:val="auto"/>
        </w:rPr>
      </w:pPr>
    </w:p>
    <w:p>
      <w:pPr>
        <w:ind w:left="980" w:firstLine="871"/>
        <w:spacing w:after="0" w:line="255" w:lineRule="auto"/>
        <w:tabs>
          <w:tab w:leader="none" w:pos="2097"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any Unrestricted Subsidiary of the Issuer designated as such after the Issue Date is redesignated as a Restricted Subsidiary pursuant to the terms of this Indenture or is merged or consolidated with or into, or transfers or otherwise disposes of all of substantially all of its properties or assets to or is liquidated into, the Issuer or a Restricted Subsidiary after the Issue Date, the lesser of, as of the date of such redesignation, merger, consolidation, transfer, disposition or liquidation, (A) the Fair Market Value of the Issuer’s Restricted Investment in such Subsidiary (or of the properties or assets disposed of, as applicable) as of the date of such redesignation, merger, consolidation, transfer, disposition or liquidation and (B) such Fair Market Value as of the date on which such Subsidiary was originally designated as an Unrestricted Subsidiary after the Issue Date; </w:t>
      </w:r>
      <w:r>
        <w:rPr>
          <w:rFonts w:ascii="Times New Roman" w:cs="Times New Roman" w:eastAsia="Times New Roman" w:hAnsi="Times New Roman"/>
          <w:sz w:val="18"/>
          <w:szCs w:val="18"/>
          <w:i w:val="1"/>
          <w:iCs w:val="1"/>
          <w:color w:val="auto"/>
        </w:rPr>
        <w:t>plus</w:t>
      </w:r>
    </w:p>
    <w:p>
      <w:pPr>
        <w:spacing w:after="0" w:line="80" w:lineRule="exact"/>
        <w:rPr>
          <w:rFonts w:ascii="Times New Roman" w:cs="Times New Roman" w:eastAsia="Times New Roman" w:hAnsi="Times New Roman"/>
          <w:sz w:val="18"/>
          <w:szCs w:val="18"/>
          <w:color w:val="auto"/>
        </w:rPr>
      </w:pPr>
    </w:p>
    <w:p>
      <w:pPr>
        <w:ind w:left="980" w:firstLine="871"/>
        <w:spacing w:after="0" w:line="258" w:lineRule="auto"/>
        <w:tabs>
          <w:tab w:leader="none" w:pos="2147"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equal to the net reduction in Restricted Investments made since the Issue Date resulting from dividends, distributions, redemptions or repurchases, proceeds of sales or other dispositions thereof, interest payments, repayments of loans or advances, releases of guarantees or other transfers of assets (including transfers as a result of a merger or liquidation), in each case to the Issuer or any of its Restricted Subsidiaries from any Person (including, without limitation, Unrestricted Subsidiaries) in respect of Restricted Investments; </w:t>
      </w:r>
      <w:r>
        <w:rPr>
          <w:rFonts w:ascii="Times New Roman" w:cs="Times New Roman" w:eastAsia="Times New Roman" w:hAnsi="Times New Roman"/>
          <w:sz w:val="18"/>
          <w:szCs w:val="18"/>
          <w:i w:val="1"/>
          <w:iCs w:val="1"/>
          <w:color w:val="auto"/>
        </w:rPr>
        <w:t>plus</w:t>
      </w:r>
    </w:p>
    <w:p>
      <w:pPr>
        <w:spacing w:after="0" w:line="75" w:lineRule="exact"/>
        <w:rPr>
          <w:rFonts w:ascii="Times New Roman" w:cs="Times New Roman" w:eastAsia="Times New Roman" w:hAnsi="Times New Roman"/>
          <w:sz w:val="18"/>
          <w:szCs w:val="18"/>
          <w:color w:val="auto"/>
        </w:rPr>
      </w:pPr>
    </w:p>
    <w:p>
      <w:pPr>
        <w:ind w:left="980" w:right="240" w:firstLine="871"/>
        <w:spacing w:after="0" w:line="266" w:lineRule="auto"/>
        <w:tabs>
          <w:tab w:leader="none" w:pos="2197"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included in clause (vi), any dividends received in cash by the Issuer or any of its Restricted Subsidiaries since the Issue Date from an Unrestricted Subsidiary, to the extent such dividends were not otherwise included in the Consolidated Net Income of the Issuer for such period;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2260" w:hanging="409"/>
        <w:spacing w:after="0"/>
        <w:tabs>
          <w:tab w:leader="none" w:pos="226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w:t>
      </w:r>
    </w:p>
    <w:p>
      <w:pPr>
        <w:spacing w:after="0" w:line="225"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4.07(a) will not prohibit any of the following actions:</w:t>
      </w:r>
    </w:p>
    <w:p>
      <w:pPr>
        <w:spacing w:after="0" w:line="117" w:lineRule="exact"/>
        <w:rPr>
          <w:rFonts w:ascii="Times New Roman" w:cs="Times New Roman" w:eastAsia="Times New Roman" w:hAnsi="Times New Roman"/>
          <w:sz w:val="18"/>
          <w:szCs w:val="18"/>
          <w:color w:val="auto"/>
        </w:rPr>
      </w:pPr>
    </w:p>
    <w:p>
      <w:pPr>
        <w:ind w:right="200" w:firstLine="948"/>
        <w:spacing w:after="0" w:line="266" w:lineRule="auto"/>
        <w:tabs>
          <w:tab w:leader="none" w:pos="120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Indenture;</w:t>
      </w:r>
    </w:p>
    <w:p>
      <w:pPr>
        <w:spacing w:after="0" w:line="67" w:lineRule="exact"/>
        <w:rPr>
          <w:rFonts w:ascii="Times New Roman" w:cs="Times New Roman" w:eastAsia="Times New Roman" w:hAnsi="Times New Roman"/>
          <w:sz w:val="18"/>
          <w:szCs w:val="18"/>
          <w:color w:val="auto"/>
        </w:rPr>
      </w:pPr>
    </w:p>
    <w:p>
      <w:pPr>
        <w:ind w:right="40" w:firstLine="948"/>
        <w:spacing w:after="0" w:line="258" w:lineRule="auto"/>
        <w:tabs>
          <w:tab w:leader="none" w:pos="120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any Restricted Payment in exchange for, or out of or with the net cash proceeds of the substantially concurrent sale (other than to a Subsidiary of the Issuer) of, Equity Interests of the Issuer (other than Disqualified Stock) or from the substantially concurrent contribution of common equity capital to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net cash proceeds that are utilized for any such Restricted Payment will not be considered to be net proceeds of Equity Interests for purposes of clause (C)(ii) of Section 4.07(a) above and will not be considered to be net cash proceeds from an Equity Offering for purposes of Section 3.08;</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60"/>
          </w:cols>
          <w:pgMar w:left="880" w:top="270" w:right="459" w:bottom="1440" w:gutter="0" w:footer="0" w:header="0"/>
        </w:sectPr>
      </w:pPr>
    </w:p>
    <w:bookmarkStart w:id="74" w:name="page75"/>
    <w:bookmarkEnd w:id="74"/>
    <w:p>
      <w:pPr>
        <w:ind w:left="4" w:right="140" w:firstLine="948"/>
        <w:spacing w:after="0" w:line="266" w:lineRule="auto"/>
        <w:tabs>
          <w:tab w:leader="none" w:pos="121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declaration and payment of any dividend or distribution (or, in the case of any partnership or limited liability company, any similar distribution) by a Restricted Subsidiary of the Issuer to the holders of its Equity Interests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a basis more favorable to the Issuer);</w:t>
      </w:r>
    </w:p>
    <w:p>
      <w:pPr>
        <w:spacing w:after="0" w:line="67" w:lineRule="exact"/>
        <w:rPr>
          <w:rFonts w:ascii="Times New Roman" w:cs="Times New Roman" w:eastAsia="Times New Roman" w:hAnsi="Times New Roman"/>
          <w:sz w:val="18"/>
          <w:szCs w:val="18"/>
          <w:color w:val="auto"/>
        </w:rPr>
      </w:pPr>
    </w:p>
    <w:p>
      <w:pPr>
        <w:ind w:left="4" w:firstLine="948"/>
        <w:spacing w:after="0" w:line="266" w:lineRule="auto"/>
        <w:tabs>
          <w:tab w:leader="none" w:pos="121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redemption, defeasance, satisfaction and discharge or other acquisition or retirement for value of Indebtedness of the Issuer or any Guarantor that is contractually subordinated in right of payment to the Notes or to any Guarantee or any Disqualified Stock of the Issuer out or with the net cash proceeds from a substantially concurrent incurrence of, or in exchange for, Permitted Refinancing Indebtedness;</w:t>
      </w:r>
    </w:p>
    <w:p>
      <w:pPr>
        <w:spacing w:after="0" w:line="67" w:lineRule="exact"/>
        <w:rPr>
          <w:rFonts w:ascii="Times New Roman" w:cs="Times New Roman" w:eastAsia="Times New Roman" w:hAnsi="Times New Roman"/>
          <w:sz w:val="18"/>
          <w:szCs w:val="18"/>
          <w:color w:val="auto"/>
        </w:rPr>
      </w:pPr>
    </w:p>
    <w:p>
      <w:pPr>
        <w:ind w:left="4" w:right="100" w:firstLine="948"/>
        <w:spacing w:after="0" w:line="269" w:lineRule="auto"/>
        <w:tabs>
          <w:tab w:leader="none" w:pos="121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repurchase, redemption or other acquisition or retirement for value of any Equity Interests of the Issuer or any Restricted Subsidiary of the Issuer held by any current or former officer, director or employee of the Issuer or any of its Restricted Subsidiaries pursuant to any equity subscription agreement, equity option agreement, unitholders’ agreement or similar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aggregate price paid for all such repurchased, redeemed, acquired or retired Equity Interests may not exceed $10.0 million in any calendar year (with any portion of such $10.0 million amount that is unused in any calendar year to be carried forward to successive calendar years and added to such amount), </w:t>
      </w:r>
      <w:r>
        <w:rPr>
          <w:rFonts w:ascii="Times New Roman" w:cs="Times New Roman" w:eastAsia="Times New Roman" w:hAnsi="Times New Roman"/>
          <w:sz w:val="17"/>
          <w:szCs w:val="17"/>
          <w:i w:val="1"/>
          <w:iCs w:val="1"/>
          <w:color w:val="auto"/>
        </w:rPr>
        <w:t>plus</w:t>
      </w:r>
    </w:p>
    <w:p>
      <w:pPr>
        <w:spacing w:after="0" w:line="2" w:lineRule="exact"/>
        <w:rPr>
          <w:rFonts w:ascii="Times New Roman" w:cs="Times New Roman" w:eastAsia="Times New Roman" w:hAnsi="Times New Roman"/>
          <w:sz w:val="17"/>
          <w:szCs w:val="17"/>
          <w:color w:val="auto"/>
        </w:rPr>
      </w:pPr>
    </w:p>
    <w:p>
      <w:pPr>
        <w:ind w:left="4" w:right="360" w:hanging="4"/>
        <w:spacing w:after="0" w:line="253" w:lineRule="auto"/>
        <w:tabs>
          <w:tab w:leader="none" w:pos="24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proceeds received by the Issuer or any of its Restricted Subsidiaries from sales of Equity Interests of the Issuer to employees or directors of the Issuer that occur after the Issue Date (to the extent the cash proceeds from the sale of such Equity Interests have not otherwise been applied to the payment of Restricted Payments by virtue of clause (C)(ii) of Section 4.07(a),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cash proceeds of key man life insurance policies received by the Issuer or any of its Restricted Subsidiaries after the Issue Date,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 the amount of payments previously effected by using amounts specified in the foregoing clauses (a) and (b);</w:t>
      </w:r>
    </w:p>
    <w:p>
      <w:pPr>
        <w:spacing w:after="0" w:line="78" w:lineRule="exact"/>
        <w:rPr>
          <w:rFonts w:ascii="Times New Roman" w:cs="Times New Roman" w:eastAsia="Times New Roman" w:hAnsi="Times New Roman"/>
          <w:sz w:val="18"/>
          <w:szCs w:val="18"/>
          <w:color w:val="auto"/>
        </w:rPr>
      </w:pPr>
    </w:p>
    <w:p>
      <w:pPr>
        <w:ind w:left="4" w:right="140" w:firstLine="948"/>
        <w:spacing w:after="0" w:line="289" w:lineRule="auto"/>
        <w:tabs>
          <w:tab w:leader="none" w:pos="1210"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or advances to employees of the Issuer or employees or directors of any Subsidiary of the Issuer, in each case as permitted by Section 402 of the Sarbanes-Oxley Act of 2002, as amended, the proceeds of which are used to purchase Capital Stock of the Issuer, or to refinance loans or advances made pursuant to this clause (6), in an aggregate amount not in excess of $2.0 million at any one time outstanding;</w:t>
      </w:r>
    </w:p>
    <w:p>
      <w:pPr>
        <w:spacing w:after="0" w:line="49" w:lineRule="exact"/>
        <w:rPr>
          <w:rFonts w:ascii="Times New Roman" w:cs="Times New Roman" w:eastAsia="Times New Roman" w:hAnsi="Times New Roman"/>
          <w:sz w:val="17"/>
          <w:szCs w:val="17"/>
          <w:color w:val="auto"/>
        </w:rPr>
      </w:pPr>
    </w:p>
    <w:p>
      <w:pPr>
        <w:ind w:left="4" w:right="160" w:firstLine="948"/>
        <w:spacing w:after="0" w:line="258" w:lineRule="auto"/>
        <w:tabs>
          <w:tab w:leader="none" w:pos="121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or other acquisition or retirement for value of Equity Interests deemed to occur upon the exercise, conversion or exchange of units or other equity options, warrants, incentives or other rights to acquire Equity Interests to the extent such Equity Interests represent a portion of the exercise, conversion or exchange price of those unit or other equity options or other rights and any repurchase or other acquisition or retirement for value of Equity Interests made in lieu of withholding taxes in connection with any exercise, conversion or exchange of units or other equity options, warrants, incentives or other rights to acquire Equity Interests;</w:t>
      </w:r>
    </w:p>
    <w:p>
      <w:pPr>
        <w:spacing w:after="0" w:line="75" w:lineRule="exact"/>
        <w:rPr>
          <w:rFonts w:ascii="Times New Roman" w:cs="Times New Roman" w:eastAsia="Times New Roman" w:hAnsi="Times New Roman"/>
          <w:sz w:val="18"/>
          <w:szCs w:val="18"/>
          <w:color w:val="auto"/>
        </w:rPr>
      </w:pPr>
    </w:p>
    <w:p>
      <w:pPr>
        <w:ind w:left="4" w:right="100" w:firstLine="948"/>
        <w:spacing w:after="0" w:line="266" w:lineRule="auto"/>
        <w:tabs>
          <w:tab w:leader="none" w:pos="121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redemption or other acquisition or retirement for value of Equity Interests of the Issuer or any Restricted Subsidiary of the Issuer representing fractional units of such Equity Interests in connection with a merger or consolidation involving the Issuer or such Restricted Subsidiary or any other transaction permitted by this Indenture;</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564"/>
          </w:cols>
          <w:pgMar w:left="876" w:top="270" w:right="459" w:bottom="1440" w:gutter="0" w:footer="0" w:header="0"/>
        </w:sectPr>
      </w:pPr>
    </w:p>
    <w:bookmarkStart w:id="75" w:name="page76"/>
    <w:bookmarkEnd w:id="75"/>
    <w:p>
      <w:pPr>
        <w:ind w:left="440" w:right="20" w:firstLine="948"/>
        <w:spacing w:after="0" w:line="281" w:lineRule="auto"/>
        <w:tabs>
          <w:tab w:leader="none" w:pos="1647"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the declaration and payment of dividends to holders of any class or series of Disqualified Stock of the Issuer or any Preferred Stock of any Restricted Subsidiary of the Issuer issued in accordance with Section 4.09 or (b) any cash payments due upon conversion of convertible debt securities of the Issuer and any purchase of, or payment under, any bond hedge, capped call or call option and warrant transaction acquired with respect to such convertible debt securities using an amount not greater than the proceeds of such convertible debt securities;</w:t>
      </w:r>
    </w:p>
    <w:p>
      <w:pPr>
        <w:spacing w:after="0" w:line="56" w:lineRule="exact"/>
        <w:rPr>
          <w:rFonts w:ascii="Times New Roman" w:cs="Times New Roman" w:eastAsia="Times New Roman" w:hAnsi="Times New Roman"/>
          <w:sz w:val="17"/>
          <w:szCs w:val="17"/>
          <w:color w:val="auto"/>
        </w:rPr>
      </w:pPr>
    </w:p>
    <w:p>
      <w:pPr>
        <w:ind w:left="440" w:right="60" w:firstLine="948"/>
        <w:spacing w:after="0" w:line="266" w:lineRule="auto"/>
        <w:tabs>
          <w:tab w:leader="none" w:pos="173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cash, dividends, distributions, advances or other Restricted Payments by the Issuer or any of its Restricted Subsidiaries to allow the payment of cash in lieu of the issuance of fractional units upon (i) the exercise of options or warrants, incentives or other rights to acquire Equity Interests or (ii) the exercise, conversion or exchange of Equity Interests of any such Person;</w:t>
      </w:r>
    </w:p>
    <w:p>
      <w:pPr>
        <w:spacing w:after="0" w:line="67" w:lineRule="exact"/>
        <w:rPr>
          <w:rFonts w:ascii="Times New Roman" w:cs="Times New Roman" w:eastAsia="Times New Roman" w:hAnsi="Times New Roman"/>
          <w:sz w:val="18"/>
          <w:szCs w:val="18"/>
          <w:color w:val="auto"/>
        </w:rPr>
      </w:pPr>
    </w:p>
    <w:p>
      <w:pPr>
        <w:ind w:left="440" w:right="80" w:firstLine="948"/>
        <w:spacing w:after="0" w:line="255" w:lineRule="auto"/>
        <w:tabs>
          <w:tab w:leader="none" w:pos="173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redemption or other acquisition or retirement for value of Indebtedness that is subordinated or junior in right of payment to the Notes or any Guarantee at a purchase price not greater than (i) 101% of the principal amount of such subordinated or junior Indebtedness in the event of a Change of Control or (ii) 100% of the principal amount of such subordinated or junior Indebtedness in the event of an Asset Sale, in each case,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in connection with any change of control offer or prepayment offer required by the terms of such Indebtedness, but only if (a) in the case of a Change of Control, the Issuer has first complied with and fully satisfied its obligations in accordance with Section 4.15, or (b) in the case of an Asset Sale, the Issuer has complied with and fully satisfied its obligations in accordance with Section 4.10;</w:t>
      </w:r>
    </w:p>
    <w:p>
      <w:pPr>
        <w:spacing w:after="0" w:line="80"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73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conveyance of or other disposition or distribution of Equity Interests or Indebtedness of any Unrestricted Subsidiary (or a Restricted Subsidiary that owns no assets other than the Equity Interests of an Unrestricted Subsidiary) other than an Unrestricted Subsidiary the primary assets of which are cash and/or Cash Equivalents;</w:t>
      </w:r>
    </w:p>
    <w:p>
      <w:pPr>
        <w:spacing w:after="0" w:line="67"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73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dividends on the Issuer’s common stock in an amount not to exceed $0.31 per share per quarter (subject to proportionate adjustment for stock splits, stock dividends or reclassifications of the Issuer’s common stock);</w:t>
      </w:r>
    </w:p>
    <w:p>
      <w:pPr>
        <w:spacing w:after="0" w:line="53" w:lineRule="exact"/>
        <w:rPr>
          <w:rFonts w:ascii="Times New Roman" w:cs="Times New Roman" w:eastAsia="Times New Roman" w:hAnsi="Times New Roman"/>
          <w:sz w:val="18"/>
          <w:szCs w:val="18"/>
          <w:color w:val="auto"/>
        </w:rPr>
      </w:pPr>
    </w:p>
    <w:p>
      <w:pPr>
        <w:jc w:val="both"/>
        <w:ind w:left="440" w:right="480" w:firstLine="948"/>
        <w:spacing w:after="0" w:line="266" w:lineRule="auto"/>
        <w:tabs>
          <w:tab w:leader="none" w:pos="173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Restricted Payments since the Issue Date which, when combined with the outstanding amount of all other Restricted Payments effected pursuant to this clause (14), does not exceed the greater of (i) $300.0 million and (ii) 5.0% of Adjusted Consolidated Net Tangible Assets (determined at the time of making the Restricted Payment); and</w:t>
      </w:r>
    </w:p>
    <w:p>
      <w:pPr>
        <w:spacing w:after="0" w:line="65" w:lineRule="exact"/>
        <w:rPr>
          <w:rFonts w:ascii="Times New Roman" w:cs="Times New Roman" w:eastAsia="Times New Roman" w:hAnsi="Times New Roman"/>
          <w:sz w:val="18"/>
          <w:szCs w:val="18"/>
          <w:color w:val="auto"/>
        </w:rPr>
      </w:pPr>
    </w:p>
    <w:p>
      <w:pPr>
        <w:ind w:left="440" w:right="60" w:firstLine="948"/>
        <w:spacing w:after="0" w:line="267" w:lineRule="auto"/>
        <w:tabs>
          <w:tab w:leader="none" w:pos="173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Restricted Payments;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(15), at the time of any such Restricted Payment (a) the Total Leverage Ratio is not greater than 1.00 to 1.00 and (b) the PDP Coverage Ratio is not less than 2.00 to 1.00, in each case on a pro forma basis after giving effect to such Restricted Payment.</w:t>
      </w:r>
    </w:p>
    <w:p>
      <w:pPr>
        <w:spacing w:after="0" w:line="17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amount of all Restricted Payments (other than cash) will be the Fair Market Value, on the date of the Restricted Payment, of the Restricted Investment proposed to be made or the asset(s) or securities proposed to be transferred or issued by the Issuer or any of its Restricted Subsidiaries, as the case may be, pursuant to the Restricted Payment, except that the Fair Market Value of any non-cash dividend paid within 60 days after the date of declaration will be determined as of such date of declaration. The Fair Market Value of any Restricted Investment, assets or securities that are required to be valued by this Section 4.07 will be determined in accordance with the definition of that term. For purposes of determining compliance with this Section 4.07, in the event that a Restricted Payment (or payment or other transaction that, except for being a Permitted Investment or Permitted Payment, would constitute a Restricted Payment) meets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76" w:name="page77"/>
    <w:bookmarkEnd w:id="76"/>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criteria of more than one of the categories of Restricted Payments described in the preceding clauses (1) through (15) of Section 4.07(b), or is permitted pursuant to Section 4.07(a) or is a Permitted Investment or Permitted Payment, the Issuer will be permitted to classify (or later classify or reclassify in whole or in part in its sole discretion) such Restricted Payment or other such transaction (or portion thereof) on the date made or later reclassify such Restricted Payment or other such transaction (or portion thereof) in any manner that complies with this Section 4.07. “</w:t>
      </w:r>
      <w:r>
        <w:rPr>
          <w:rFonts w:ascii="Times New Roman" w:cs="Times New Roman" w:eastAsia="Times New Roman" w:hAnsi="Times New Roman"/>
          <w:sz w:val="18"/>
          <w:szCs w:val="18"/>
          <w:i w:val="1"/>
          <w:iCs w:val="1"/>
          <w:color w:val="auto"/>
        </w:rPr>
        <w:t>Permitted Payment</w:t>
      </w:r>
      <w:r>
        <w:rPr>
          <w:rFonts w:ascii="Times New Roman" w:cs="Times New Roman" w:eastAsia="Times New Roman" w:hAnsi="Times New Roman"/>
          <w:sz w:val="18"/>
          <w:szCs w:val="18"/>
          <w:color w:val="auto"/>
        </w:rPr>
        <w:t>” means any transaction expressly excluded from clauses (1), (2) and (3) of Section 4.07(a).</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Section 4.07 and the definition of “Permitted Investments,” a contribution, sale or incurrence will be deemed to be “substantially concurrent” if the related Restricted Payment or purchase, repurchase, redemption, defeasance, satisfaction and discharge, retirement or other acquisition for value or payment of principal or acquisition of assets or Capital Stock occurs no later than 180 days after such contribution, sale or incurrence.</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Dividend and Other Payment Restrictions Affecting Restricted Subsidiaries.</w:t>
      </w:r>
    </w:p>
    <w:p>
      <w:pPr>
        <w:spacing w:after="0" w:line="227" w:lineRule="exact"/>
        <w:rPr>
          <w:sz w:val="20"/>
          <w:szCs w:val="20"/>
          <w:color w:val="auto"/>
        </w:rPr>
      </w:pPr>
    </w:p>
    <w:p>
      <w:pPr>
        <w:ind w:right="180" w:firstLine="987"/>
        <w:spacing w:after="0" w:line="282" w:lineRule="auto"/>
        <w:tabs>
          <w:tab w:leader="none" w:pos="12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of its Restricted Subsidiaries to, directly or indirectly, create or permit to exist or become effective any consensual encumbrance or restriction on the ability of any Restricted Subsidiary to:</w:t>
      </w:r>
    </w:p>
    <w:p>
      <w:pPr>
        <w:spacing w:after="0" w:line="53" w:lineRule="exact"/>
        <w:rPr>
          <w:rFonts w:ascii="Times New Roman" w:cs="Times New Roman" w:eastAsia="Times New Roman" w:hAnsi="Times New Roman"/>
          <w:sz w:val="18"/>
          <w:szCs w:val="18"/>
          <w:color w:val="auto"/>
        </w:rPr>
      </w:pPr>
    </w:p>
    <w:p>
      <w:pPr>
        <w:ind w:left="440" w:firstLine="948"/>
        <w:spacing w:after="0" w:line="256" w:lineRule="auto"/>
        <w:tabs>
          <w:tab w:leader="none" w:pos="164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dividends or make any other distributions on its Capital Stock to the Issuer or any of its Restricted Subsidiaries, or pay any indebtedness owed to the Issuer 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priority that any series of Preferred Stock of a Restricted Subsidiary has in receiving dividends or liquidating distributions before dividends or liquidating distributions are paid in respect of common stock of such Restricted Subsidiary shall not constitute a restriction on the ability to pay or make dividends or distributions on Capital Stock for purposes of this Section 4.08 and (ii) the subordination of Indebtedness owed to the Issuer or any Restricted Subsidiary to other Indebtedness incurred by any Restricted Subsidiary shall not be deemed a restriction on the ability to pay Indebtedness;</w:t>
      </w:r>
    </w:p>
    <w:p>
      <w:pPr>
        <w:spacing w:after="0" w:line="79" w:lineRule="exact"/>
        <w:rPr>
          <w:rFonts w:ascii="Times New Roman" w:cs="Times New Roman" w:eastAsia="Times New Roman" w:hAnsi="Times New Roman"/>
          <w:sz w:val="18"/>
          <w:szCs w:val="18"/>
          <w:color w:val="auto"/>
        </w:rPr>
      </w:pPr>
    </w:p>
    <w:p>
      <w:pPr>
        <w:ind w:left="440" w:right="160" w:firstLine="948"/>
        <w:spacing w:after="0" w:line="266" w:lineRule="auto"/>
        <w:tabs>
          <w:tab w:leader="none" w:pos="164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or advances to the Issuer or any of its Restricted Subsidiaries (it being understood that the subordination of loans or advances made to the Issuer or any Restricted Subsidiary to other Indebtedness incurred by the Issuer or any Restricted Subsidiary shall not be deemed a restriction on the ability to make loans or advances); or</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any of its properties or assets to the Issuer or any of its Restricted Subsidiaries.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in Section 4.08(a) will not apply to encumbrances or restrictions existing under or by reason of:</w:t>
      </w:r>
    </w:p>
    <w:p>
      <w:pPr>
        <w:spacing w:after="0" w:line="117" w:lineRule="exact"/>
        <w:rPr>
          <w:rFonts w:ascii="Times New Roman" w:cs="Times New Roman" w:eastAsia="Times New Roman" w:hAnsi="Times New Roman"/>
          <w:sz w:val="18"/>
          <w:szCs w:val="18"/>
          <w:color w:val="auto"/>
        </w:rPr>
      </w:pPr>
    </w:p>
    <w:p>
      <w:pPr>
        <w:ind w:left="440" w:right="340" w:firstLine="948"/>
        <w:spacing w:after="0" w:line="258" w:lineRule="auto"/>
        <w:tabs>
          <w:tab w:leader="none" w:pos="164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agreements governing Existing Indebtedness and the Credit Agreement as in effect on the Issue Date and any amendments, restatements, modifications, renewals, supplements, refundings, replacements or refinancings of those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encumbrances or restrictions contained in such amendments, restatements, modifications, renewals, supplements, refundings, replacements or refinancings are not materially more restrictive, taken as a whole, with respect to such dividend and other payment restrictions than those contained in those agreements on the Issue Date, as determined in good faith by the Issuer;</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Indenture, the Notes and the Guarantees;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77" w:name="page78"/>
    <w:bookmarkEnd w:id="77"/>
    <w:p>
      <w:pPr>
        <w:ind w:right="300" w:firstLine="948"/>
        <w:spacing w:after="0" w:line="261" w:lineRule="auto"/>
        <w:tabs>
          <w:tab w:leader="none" w:pos="120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agreements governing other Indebtedness permitted to be incurred under the provisions of Section 4.09 and any amendments, restatements, modifications, renewals, supplements, refundings, replacements or refinancings of those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encumbrances or restrictions contained therein are not materially more restrictive, taken as a whole, than those contained in this Indenture, the Notes and the Guarantees or the Credit Agreement as in effect on the Issue Date, as determined in good faith by the Issuer;</w:t>
      </w:r>
    </w:p>
    <w:p>
      <w:pPr>
        <w:spacing w:after="0" w:line="71"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rule, regulation, order, approval, license, permit or similar restriction;</w:t>
      </w:r>
    </w:p>
    <w:p>
      <w:pPr>
        <w:spacing w:after="0" w:line="117" w:lineRule="exact"/>
        <w:rPr>
          <w:rFonts w:ascii="Times New Roman" w:cs="Times New Roman" w:eastAsia="Times New Roman" w:hAnsi="Times New Roman"/>
          <w:sz w:val="18"/>
          <w:szCs w:val="18"/>
          <w:color w:val="auto"/>
        </w:rPr>
      </w:pPr>
    </w:p>
    <w:p>
      <w:pPr>
        <w:ind w:right="120" w:firstLine="948"/>
        <w:spacing w:after="0" w:line="256" w:lineRule="auto"/>
        <w:tabs>
          <w:tab w:leader="none" w:pos="120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instrument governing Indebtedness or Capital Stock or other agreement of a Person acquired (including by merger or consolidation), or the assets of which are acquired, by the Issuer or any of its Restricted Subsidiaries as in effect at the time of such acquisition (except to the extent such Indebtedness or Capital Stock or other agreement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Indebtedness, such Indebtedness was permitted by the terms of this Indenture to be incurred;</w:t>
      </w:r>
    </w:p>
    <w:p>
      <w:pPr>
        <w:spacing w:after="0" w:line="79" w:lineRule="exact"/>
        <w:rPr>
          <w:rFonts w:ascii="Times New Roman" w:cs="Times New Roman" w:eastAsia="Times New Roman" w:hAnsi="Times New Roman"/>
          <w:sz w:val="18"/>
          <w:szCs w:val="18"/>
          <w:color w:val="auto"/>
        </w:rPr>
      </w:pPr>
    </w:p>
    <w:p>
      <w:pPr>
        <w:ind w:right="740" w:firstLine="948"/>
        <w:spacing w:after="0" w:line="282" w:lineRule="auto"/>
        <w:tabs>
          <w:tab w:leader="none" w:pos="120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non-assignment provisions in Hydrocarbon purchase and sale or exchange agreements or similar operational agreements or in licenses, easements or leases, in each case, entered into in the ordinary course of business;</w:t>
      </w:r>
    </w:p>
    <w:p>
      <w:pPr>
        <w:spacing w:after="0" w:line="53" w:lineRule="exact"/>
        <w:rPr>
          <w:rFonts w:ascii="Times New Roman" w:cs="Times New Roman" w:eastAsia="Times New Roman" w:hAnsi="Times New Roman"/>
          <w:sz w:val="18"/>
          <w:szCs w:val="18"/>
          <w:color w:val="auto"/>
        </w:rPr>
      </w:pPr>
    </w:p>
    <w:p>
      <w:pPr>
        <w:ind w:right="120" w:firstLine="948"/>
        <w:spacing w:after="0" w:line="282" w:lineRule="auto"/>
        <w:tabs>
          <w:tab w:leader="none" w:pos="120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obligations for property acquired in the ordinary course of business and Finance Lease Obligations that impose restrictions on the property purchased or leased of the nature described in clause (3) of Section 4.08(a);</w:t>
      </w:r>
    </w:p>
    <w:p>
      <w:pPr>
        <w:spacing w:after="0" w:line="53" w:lineRule="exact"/>
        <w:rPr>
          <w:rFonts w:ascii="Times New Roman" w:cs="Times New Roman" w:eastAsia="Times New Roman" w:hAnsi="Times New Roman"/>
          <w:sz w:val="18"/>
          <w:szCs w:val="18"/>
          <w:color w:val="auto"/>
        </w:rPr>
      </w:pPr>
    </w:p>
    <w:p>
      <w:pPr>
        <w:ind w:right="80" w:firstLine="948"/>
        <w:spacing w:after="0" w:line="282" w:lineRule="auto"/>
        <w:tabs>
          <w:tab w:leader="none" w:pos="120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for the sale or other disposition of a Restricted Subsidiary that restricts distributions by that Restricted Subsidiary pending its sale or other disposition;</w:t>
      </w:r>
    </w:p>
    <w:p>
      <w:pPr>
        <w:spacing w:after="0" w:line="51" w:lineRule="exact"/>
        <w:rPr>
          <w:rFonts w:ascii="Times New Roman" w:cs="Times New Roman" w:eastAsia="Times New Roman" w:hAnsi="Times New Roman"/>
          <w:sz w:val="18"/>
          <w:szCs w:val="18"/>
          <w:color w:val="auto"/>
        </w:rPr>
      </w:pPr>
    </w:p>
    <w:p>
      <w:pPr>
        <w:ind w:firstLine="948"/>
        <w:spacing w:after="0" w:line="267" w:lineRule="auto"/>
        <w:tabs>
          <w:tab w:leader="none" w:pos="120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restrictions contained in the agreements governing such Permitted Refinancing Indebtedness are not materially more restrictive, taken as a whole, than those contained in the agreements governing the Indebtedness being refinanced, as determined in good faith by the Issuer;</w:t>
      </w:r>
    </w:p>
    <w:p>
      <w:pPr>
        <w:spacing w:after="0" w:line="67" w:lineRule="exact"/>
        <w:rPr>
          <w:rFonts w:ascii="Times New Roman" w:cs="Times New Roman" w:eastAsia="Times New Roman" w:hAnsi="Times New Roman"/>
          <w:sz w:val="18"/>
          <w:szCs w:val="18"/>
          <w:color w:val="auto"/>
        </w:rPr>
      </w:pPr>
    </w:p>
    <w:p>
      <w:pPr>
        <w:ind w:right="400" w:firstLine="948"/>
        <w:spacing w:after="0" w:line="282" w:lineRule="auto"/>
        <w:tabs>
          <w:tab w:leader="none" w:pos="129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to be incurred under the provisions of Section 4.12 that limit the right of the debtor to dispose of the assets subject to such Liens;</w:t>
      </w:r>
    </w:p>
    <w:p>
      <w:pPr>
        <w:spacing w:after="0" w:line="53" w:lineRule="exact"/>
        <w:rPr>
          <w:rFonts w:ascii="Times New Roman" w:cs="Times New Roman" w:eastAsia="Times New Roman" w:hAnsi="Times New Roman"/>
          <w:sz w:val="18"/>
          <w:szCs w:val="18"/>
          <w:color w:val="auto"/>
        </w:rPr>
      </w:pPr>
    </w:p>
    <w:p>
      <w:pPr>
        <w:ind w:firstLine="948"/>
        <w:spacing w:after="0" w:line="261" w:lineRule="auto"/>
        <w:tabs>
          <w:tab w:leader="none" w:pos="129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disposition or distribution of assets or property in joint venture agreements, asset sale agreements, sale-leaseback agreements, stock sale agreements, shareholders’ agreements, partnership agreements and other similar agreements (including agreements entered into in connection with a Restricted Investment) entered into with the approval of the Board of Directors of the Issuer or in the ordinary course of business, which limitation is applicable only to the assets or property that is the subject of such agreements;</w:t>
      </w:r>
    </w:p>
    <w:p>
      <w:pPr>
        <w:spacing w:after="0" w:line="71" w:lineRule="exact"/>
        <w:rPr>
          <w:rFonts w:ascii="Times New Roman" w:cs="Times New Roman" w:eastAsia="Times New Roman" w:hAnsi="Times New Roman"/>
          <w:sz w:val="18"/>
          <w:szCs w:val="18"/>
          <w:color w:val="auto"/>
        </w:rPr>
      </w:pPr>
    </w:p>
    <w:p>
      <w:pPr>
        <w:ind w:right="300" w:firstLine="948"/>
        <w:spacing w:after="0" w:line="282" w:lineRule="auto"/>
        <w:tabs>
          <w:tab w:leader="none" w:pos="129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instrument relating to any property or assets acquired after the Issue Date, so long as such encumbrance or restriction relates only to the property or assets so acquired and is not and was not created in anticipation of such acquisition;</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540"/>
          </w:cols>
          <w:pgMar w:left="880" w:top="270" w:right="479" w:bottom="1440" w:gutter="0" w:footer="0" w:header="0"/>
        </w:sectPr>
      </w:pPr>
    </w:p>
    <w:bookmarkStart w:id="78" w:name="page79"/>
    <w:bookmarkEnd w:id="78"/>
    <w:p>
      <w:pPr>
        <w:ind w:left="440" w:right="260" w:firstLine="948"/>
        <w:spacing w:after="0" w:line="282" w:lineRule="auto"/>
        <w:tabs>
          <w:tab w:leader="none" w:pos="173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encumbrances or restrictions on cash, Cash Equivalents or other deposits or net worth requirements imposed by customers or lessors under contracts or leases entered into in the ordinary course of business;</w:t>
      </w:r>
    </w:p>
    <w:p>
      <w:pPr>
        <w:spacing w:after="0" w:line="51" w:lineRule="exact"/>
        <w:rPr>
          <w:rFonts w:ascii="Times New Roman" w:cs="Times New Roman" w:eastAsia="Times New Roman" w:hAnsi="Times New Roman"/>
          <w:sz w:val="18"/>
          <w:szCs w:val="18"/>
          <w:color w:val="auto"/>
        </w:rPr>
      </w:pPr>
    </w:p>
    <w:p>
      <w:pPr>
        <w:jc w:val="both"/>
        <w:ind w:left="440" w:right="140" w:firstLine="948"/>
        <w:spacing w:after="0" w:line="261" w:lineRule="auto"/>
        <w:tabs>
          <w:tab w:leader="none" w:pos="173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Preferred Stock issued by a Restricted Subsidiary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issuance of such Preferred Stock is permitted pursuant to Section 4.09 and the terms of such Preferred Stock do not expressly restrict the ability of a Restricted Subsidiary of the Issuer to pay dividends or make any other distributions on its Equity Interests (other than requirements to pay dividends or liquidation preferences on such Preferred Stock prior to paying any dividends or making any other distributions on such other Equity Interests);</w:t>
      </w:r>
    </w:p>
    <w:p>
      <w:pPr>
        <w:spacing w:after="0" w:line="73" w:lineRule="exact"/>
        <w:rPr>
          <w:rFonts w:ascii="Times New Roman" w:cs="Times New Roman" w:eastAsia="Times New Roman" w:hAnsi="Times New Roman"/>
          <w:sz w:val="18"/>
          <w:szCs w:val="18"/>
          <w:color w:val="auto"/>
        </w:rPr>
      </w:pPr>
    </w:p>
    <w:p>
      <w:pPr>
        <w:ind w:left="440" w:firstLine="948"/>
        <w:spacing w:after="0" w:line="277" w:lineRule="auto"/>
        <w:tabs>
          <w:tab w:leader="none" w:pos="1737"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encumbrance or restriction contained in the terms of any Indebtedness or any agreement pursuant to which such Indebtedness was incurred if (x) either (a) the encumbrance or restriction applies only in the event of a payment default or a default with respect to a financial covenant in such Indebtedness or agreement or (b) any such encumbrance or restriction will not materially affect the Issuer’s ability to make principal or interest payments on the Notes, as determined in good faith by the Issuer and (y) the encumbrance or restriction is not materially more disadvantageous to the Holders than is customary in comparable financings or agreements, as determined in good faith by the Issuer;</w:t>
      </w:r>
    </w:p>
    <w:p>
      <w:pPr>
        <w:spacing w:after="0" w:line="59" w:lineRule="exact"/>
        <w:rPr>
          <w:rFonts w:ascii="Times New Roman" w:cs="Times New Roman" w:eastAsia="Times New Roman" w:hAnsi="Times New Roman"/>
          <w:sz w:val="17"/>
          <w:szCs w:val="17"/>
          <w:color w:val="auto"/>
        </w:rPr>
      </w:pPr>
    </w:p>
    <w:p>
      <w:pPr>
        <w:ind w:left="1740" w:hanging="352"/>
        <w:spacing w:after="0"/>
        <w:tabs>
          <w:tab w:leader="none" w:pos="17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Obligations permitted from time to time under this Indenture;</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58" w:lineRule="auto"/>
        <w:tabs>
          <w:tab w:leader="none" w:pos="173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encumbrances and restrictions contained in contracts entered into in the ordinary course of business, not relating to any Indebtedness, and that do not, taken as a whole, detract from the value of, or from the ability of the Issuer and its Restricted Subsidiaries to realize the value of, property or assets of the Issuer or any Restricted Subsidiary in any manner material to the Issuer or any Restricted Subsidiary, as determined in good faith by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encumbrances or restrictions will not materially affect the Issuer’s ability to make principal or interest payments on the Notes, as determined in good faith by the Issuer;</w:t>
      </w:r>
    </w:p>
    <w:p>
      <w:pPr>
        <w:spacing w:after="0" w:line="75" w:lineRule="exact"/>
        <w:rPr>
          <w:rFonts w:ascii="Times New Roman" w:cs="Times New Roman" w:eastAsia="Times New Roman" w:hAnsi="Times New Roman"/>
          <w:sz w:val="18"/>
          <w:szCs w:val="18"/>
          <w:color w:val="auto"/>
        </w:rPr>
      </w:pPr>
    </w:p>
    <w:p>
      <w:pPr>
        <w:ind w:left="440" w:right="660" w:firstLine="948"/>
        <w:spacing w:after="0" w:line="282" w:lineRule="auto"/>
        <w:tabs>
          <w:tab w:leader="none" w:pos="173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encumbrances and restrictions contained in agreements of the types described in the definition of “Permitted Business Investments”; or</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Investment.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each case set forth above, notwithstanding any stated limitation on the assets or property that may be subject to such encumbrance or restriction, an encumbrance or restriction on a specified asset or property or group or type of assets or property may also apply to all improvements, additions, accessions and contractual rights relating primarily thereto and all proceeds thereof (including dividends, distributions and increases in respect thereof).</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Incurrence of Indebtedness and Issuance of Preferred Stock.</w:t>
      </w:r>
    </w:p>
    <w:p>
      <w:pPr>
        <w:spacing w:after="0" w:line="227" w:lineRule="exact"/>
        <w:rPr>
          <w:sz w:val="20"/>
          <w:szCs w:val="20"/>
          <w:color w:val="auto"/>
        </w:rPr>
      </w:pPr>
    </w:p>
    <w:p>
      <w:pPr>
        <w:ind w:right="20" w:firstLine="987"/>
        <w:spacing w:after="0" w:line="256"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of its Restricted Subsidiaries to, directly or indirectly, create, incur, issue, assume, guarantee or otherwise become directly or indirectly liable, contingently or otherwise, with respect to (collectively, “</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 xml:space="preserve">”) any Indebtedness (including Acquired Debt), and the Issuer will not issue any Disqualified Stock and will not permit any of its Restricted Subsidiaries to issue any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Issuer may incur Indebtedness (including Acquired Debt) or issue Disqualified Stock, and any Restricted Subsidiary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 Indebtedness (including Acquired Debt) or issue Preferred Stock, if the Fixed Charge Coverage Ratio for the Issuer’s most recently ended four full fiscal quarters for which internal financial statements are available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79" w:name="page80"/>
    <w:bookmarkEnd w:id="7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immediately preceding the date on which such additional Indebtedness is incurred or such Disqualified Stock or such Preferred Stock is issued, as the case may be, would have been at least 2.0 to 1.0, determined on a pro forma basis (including a pro forma application of the net proceeds therefrom), as if the additional Indebtedness had been incurred or the Disqualified Stock or the Preferred Stock had been issued, as the case may be, at the beginning of such four-quarter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Indebtedness (including Acquired Debt) that may be incurred and Preferred Stock that may be issued by Restricted Subsidiaries that are not Guarantors, in each case, in reliance on the Fixed Charge Coverage Ratio test set forth in this Section 4.09(a) shall not exceed the greater of (i) $300.0 million and (ii) 5% of Adjusted Consolidated Net Tangible Assets determined on the date of such incurrence or issuance.</w:t>
      </w:r>
    </w:p>
    <w:p>
      <w:pPr>
        <w:spacing w:after="0" w:line="189" w:lineRule="exact"/>
        <w:rPr>
          <w:sz w:val="20"/>
          <w:szCs w:val="20"/>
          <w:color w:val="auto"/>
        </w:rPr>
      </w:pPr>
    </w:p>
    <w:p>
      <w:pPr>
        <w:ind w:right="360" w:firstLine="987"/>
        <w:spacing w:after="0" w:line="282" w:lineRule="auto"/>
        <w:tabs>
          <w:tab w:leader="none" w:pos="124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will not prohibit the incurrence of any of the following items of Indebtedness or issuances of Disqualified Stock or Preferred Stock, as applicable (collectively, “</w:t>
      </w:r>
      <w:r>
        <w:rPr>
          <w:rFonts w:ascii="Times New Roman" w:cs="Times New Roman" w:eastAsia="Times New Roman" w:hAnsi="Times New Roman"/>
          <w:sz w:val="18"/>
          <w:szCs w:val="18"/>
          <w:i w:val="1"/>
          <w:iCs w:val="1"/>
          <w:color w:val="auto"/>
        </w:rPr>
        <w:t>Permitted Debt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80" w:firstLine="948"/>
        <w:spacing w:after="0" w:line="258" w:lineRule="auto"/>
        <w:tabs>
          <w:tab w:leader="none" w:pos="1647"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Restricted Subsidiary (whether as borrower or guarantor) of Indebtedness and letters of credit under one or more Credit Facilities in an aggregate principal amount at any one time outstanding under this clause (1) (with letters of credit being deemed to have a principal amount equal to the maximum potential liability of the Issuer and its Restricted Subsidiaries thereunder) not to exceed the greatest of (i) $1.1 billion, (ii) the Borrowing Base and (iii) 30.0% of Adjusted Consolidated Net Tangible Assets determined on the date of such incurrence;</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and its Restricted Subsidiaries of the Existing Indebtedness;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and the Guarantors of Indebtedness represented by (a) the Initial Notes issued on the Issue Date and</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Initial Notes issued on the Issue Date.</w:t>
      </w:r>
    </w:p>
    <w:p>
      <w:pPr>
        <w:spacing w:after="0" w:line="98" w:lineRule="exact"/>
        <w:rPr>
          <w:rFonts w:ascii="Times New Roman" w:cs="Times New Roman" w:eastAsia="Times New Roman" w:hAnsi="Times New Roman"/>
          <w:sz w:val="18"/>
          <w:szCs w:val="18"/>
          <w:color w:val="auto"/>
        </w:rPr>
      </w:pPr>
    </w:p>
    <w:p>
      <w:pPr>
        <w:ind w:left="440" w:right="40" w:firstLine="948"/>
        <w:spacing w:after="0" w:line="254" w:lineRule="auto"/>
        <w:tabs>
          <w:tab w:leader="none" w:pos="1647"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Indebtedness (x) in connection with Sale and Leaseback Transactions, or (y) represented by Finance Lease Obligations, mortgage financings or purchase money obligations or other Indebtedness that in the case of this clause (y) are incurred for the purpose of financing all or any part of the purchase price or other acquisition cost or cost of design, construction, installation, development, repair or improvement of property, plant or equipment used in the business of the Issuer or any of its Restricted Subsidiaries (together with improvements, additions, accessions and contractual rights relating primarily thereto), and any Permitted Refinancing Indebtedness incurred to renew, refund, refinance, replace, defease or discharge any Indebtedness incurred pursuant to this clause (4), in an aggregate principal amount, when taken together with the outstanding amount of all other Indebtedness or Permitted Refinancing Indebtedness incurred pursuant to this clause (4), not to exceed the greater of (a) $300.0 million and (b) 5.0% of Adjusted Consolidated Net Tangible Assets determined at the date of such incurrence;</w:t>
      </w:r>
    </w:p>
    <w:p>
      <w:pPr>
        <w:spacing w:after="0" w:line="80" w:lineRule="exact"/>
        <w:rPr>
          <w:rFonts w:ascii="Times New Roman" w:cs="Times New Roman" w:eastAsia="Times New Roman" w:hAnsi="Times New Roman"/>
          <w:sz w:val="18"/>
          <w:szCs w:val="18"/>
          <w:color w:val="auto"/>
        </w:rPr>
      </w:pPr>
    </w:p>
    <w:p>
      <w:pPr>
        <w:ind w:left="440" w:firstLine="948"/>
        <w:spacing w:after="0" w:line="261" w:lineRule="auto"/>
        <w:tabs>
          <w:tab w:leader="none" w:pos="1647"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Permitted Refinancing Indebtedness in exchange for, or the net proceeds of which are used to renew, refund, refinance, replace, defease or discharge any Indebtedness (other than intercompany Indebtedness) or Disqualified Stock or Preferred Stock that was permitted by this Indenture to be incurred under Section 4.09(a) or clause (2), (3), (5) or (15) of this Section 4.09(b);</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80" w:name="page81"/>
    <w:bookmarkEnd w:id="80"/>
    <w:p>
      <w:pPr>
        <w:ind w:right="120" w:firstLine="948"/>
        <w:spacing w:after="0" w:line="282" w:lineRule="auto"/>
        <w:tabs>
          <w:tab w:leader="none" w:pos="120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incurrence by the Issuer or any of its Restricted Subsidiaries of intercompany Indebtedness between or among the Issuer and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53" w:lineRule="exact"/>
        <w:rPr>
          <w:rFonts w:ascii="Times New Roman" w:cs="Times New Roman" w:eastAsia="Times New Roman" w:hAnsi="Times New Roman"/>
          <w:sz w:val="18"/>
          <w:szCs w:val="18"/>
          <w:color w:val="auto"/>
        </w:rPr>
      </w:pPr>
    </w:p>
    <w:p>
      <w:pPr>
        <w:ind w:left="540" w:right="80" w:firstLine="910"/>
        <w:spacing w:after="0" w:line="266" w:lineRule="auto"/>
        <w:tabs>
          <w:tab w:leader="none" w:pos="173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or any Guarantor is the obligor on such Indebtedness and the payee is not the Issuer or a Guarantor, such Indebtedness must be unsecured and expressly subordinated to the prior payment in full in cash of all Obligations then due with respect to the Notes, in the case of the Issuer, or the Guarantee, in the case of a Guarantor; and</w:t>
      </w:r>
    </w:p>
    <w:p>
      <w:pPr>
        <w:spacing w:after="0" w:line="67" w:lineRule="exact"/>
        <w:rPr>
          <w:rFonts w:ascii="Times New Roman" w:cs="Times New Roman" w:eastAsia="Times New Roman" w:hAnsi="Times New Roman"/>
          <w:sz w:val="18"/>
          <w:szCs w:val="18"/>
          <w:color w:val="auto"/>
        </w:rPr>
      </w:pPr>
    </w:p>
    <w:p>
      <w:pPr>
        <w:ind w:left="540" w:right="120" w:firstLine="910"/>
        <w:spacing w:after="0" w:line="266" w:lineRule="auto"/>
        <w:tabs>
          <w:tab w:leader="none" w:pos="172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subsequent issuance or transfer of Equity Interests that results in any such Indebtedness being held by a Person other than the Issuer or a Restricted Subsidiary of the Issuer and (ii) any sale or other transfer of any such Indebtedness to a Person that is not either the Issuer or a Restricted Subsidiary of the Issuer,</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will be deemed, in each case, to constitute an incurrence of such Indebtedness by the Issuer or such Restricted Subsidiary, as the case may be, that was not permitted by this clause (6);</w:t>
      </w:r>
    </w:p>
    <w:p>
      <w:pPr>
        <w:spacing w:after="0" w:line="54" w:lineRule="exact"/>
        <w:rPr>
          <w:sz w:val="20"/>
          <w:szCs w:val="20"/>
          <w:color w:val="auto"/>
        </w:rPr>
      </w:pPr>
    </w:p>
    <w:p>
      <w:pPr>
        <w:ind w:right="260" w:firstLine="948"/>
        <w:spacing w:after="0" w:line="282" w:lineRule="auto"/>
        <w:tabs>
          <w:tab w:leader="none" w:pos="120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by any of the Issuer’s Restricted Subsidiaries to the Issuer or to any of its Restricted Subsidiaries of any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53" w:lineRule="exact"/>
        <w:rPr>
          <w:rFonts w:ascii="Times New Roman" w:cs="Times New Roman" w:eastAsia="Times New Roman" w:hAnsi="Times New Roman"/>
          <w:sz w:val="18"/>
          <w:szCs w:val="18"/>
          <w:color w:val="auto"/>
        </w:rPr>
      </w:pPr>
    </w:p>
    <w:p>
      <w:pPr>
        <w:ind w:left="540" w:right="340" w:firstLine="910"/>
        <w:spacing w:after="0" w:line="282" w:lineRule="auto"/>
        <w:tabs>
          <w:tab w:leader="none" w:pos="173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subsequent issuance or transfer of Equity Interests that results in any such Preferred Stock being held by a Person other than the Issuer or a Restricted Subsidiary of the Issuer; and</w:t>
      </w:r>
    </w:p>
    <w:p>
      <w:pPr>
        <w:spacing w:after="0" w:line="53" w:lineRule="exact"/>
        <w:rPr>
          <w:rFonts w:ascii="Times New Roman" w:cs="Times New Roman" w:eastAsia="Times New Roman" w:hAnsi="Times New Roman"/>
          <w:sz w:val="18"/>
          <w:szCs w:val="18"/>
          <w:color w:val="auto"/>
        </w:rPr>
      </w:pPr>
    </w:p>
    <w:p>
      <w:pPr>
        <w:ind w:left="1740" w:hanging="290"/>
        <w:spacing w:after="0"/>
        <w:tabs>
          <w:tab w:leader="none" w:pos="17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or other transfer of any such Preferred Stock to a Person that is not either the Issuer or a Restricted Subsidiary of</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w:t>
      </w:r>
    </w:p>
    <w:p>
      <w:pPr>
        <w:spacing w:after="0" w:line="9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will be deemed, in each case, to constitute an issuance of such Preferred Stock by such Restricted Subsidiary that was not permitted by this clause (7);</w:t>
      </w:r>
    </w:p>
    <w:p>
      <w:pPr>
        <w:spacing w:after="0" w:line="54" w:lineRule="exact"/>
        <w:rPr>
          <w:sz w:val="20"/>
          <w:szCs w:val="20"/>
          <w:color w:val="auto"/>
        </w:rPr>
      </w:pPr>
    </w:p>
    <w:p>
      <w:pPr>
        <w:ind w:left="1200" w:hanging="252"/>
        <w:spacing w:after="0"/>
        <w:tabs>
          <w:tab w:leader="none" w:pos="12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Hedging Obligations;</w:t>
      </w:r>
    </w:p>
    <w:p>
      <w:pPr>
        <w:spacing w:after="0" w:line="117" w:lineRule="exact"/>
        <w:rPr>
          <w:rFonts w:ascii="Times New Roman" w:cs="Times New Roman" w:eastAsia="Times New Roman" w:hAnsi="Times New Roman"/>
          <w:sz w:val="18"/>
          <w:szCs w:val="18"/>
          <w:color w:val="auto"/>
        </w:rPr>
      </w:pPr>
    </w:p>
    <w:p>
      <w:pPr>
        <w:jc w:val="both"/>
        <w:ind w:firstLine="948"/>
        <w:spacing w:after="0" w:line="258" w:lineRule="auto"/>
        <w:tabs>
          <w:tab w:leader="none" w:pos="120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guarantee by the Issuer or any of the Guarantors of Indebtedness of the Issuer or a Restricted Subsidiary of the Issuer to the extent that the guaranteed Indebtedness was permitted to be incurred by another provision of this Section 4.09;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Indebtedness being guaranteed is subordinated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then the guarantee must be subordinated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as applicable, to the same extent as the Indebtedness guaranteed, and if the guarantee is by a Restricted Subsidiary that is not a Guarantor, the Indebtedness guaranteed could have otherwise been incurred by such Restricted Subsidiary under this Section 4.09;</w:t>
      </w:r>
    </w:p>
    <w:p>
      <w:pPr>
        <w:spacing w:after="0" w:line="75" w:lineRule="exact"/>
        <w:rPr>
          <w:rFonts w:ascii="Times New Roman" w:cs="Times New Roman" w:eastAsia="Times New Roman" w:hAnsi="Times New Roman"/>
          <w:sz w:val="18"/>
          <w:szCs w:val="18"/>
          <w:color w:val="auto"/>
        </w:rPr>
      </w:pPr>
    </w:p>
    <w:p>
      <w:pPr>
        <w:ind w:right="80" w:firstLine="948"/>
        <w:spacing w:after="0" w:line="258" w:lineRule="auto"/>
        <w:tabs>
          <w:tab w:leader="none" w:pos="129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Indebtedness in respect of self-insurance obligations or bid, plugging and abandonment, appeal, reimbursement, performance, surety and similar bonds and completion guarantees issued or provided by, or for the account of, the Issuer or a Restricted Subsidiary in the ordinary course of business and any guarantees or obligations with respect to letters of credit functioning as or supporting any of the foregoing bonds or obligations and workers’ compensation claims in the ordinary course of business;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560"/>
          </w:cols>
          <w:pgMar w:left="880" w:top="270" w:right="459" w:bottom="1440" w:gutter="0" w:footer="0" w:header="0"/>
        </w:sectPr>
      </w:pPr>
    </w:p>
    <w:bookmarkStart w:id="81" w:name="page82"/>
    <w:bookmarkEnd w:id="81"/>
    <w:p>
      <w:pPr>
        <w:ind w:left="440" w:right="100" w:firstLine="948"/>
        <w:spacing w:after="0" w:line="266" w:lineRule="auto"/>
        <w:tabs>
          <w:tab w:leader="none" w:pos="173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incurrence by the Issuer or any of its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67" w:lineRule="exact"/>
        <w:rPr>
          <w:rFonts w:ascii="Times New Roman" w:cs="Times New Roman" w:eastAsia="Times New Roman" w:hAnsi="Times New Roman"/>
          <w:sz w:val="18"/>
          <w:szCs w:val="18"/>
          <w:color w:val="auto"/>
        </w:rPr>
      </w:pPr>
    </w:p>
    <w:p>
      <w:pPr>
        <w:ind w:left="440" w:right="260" w:firstLine="948"/>
        <w:spacing w:after="0" w:line="282" w:lineRule="auto"/>
        <w:tabs>
          <w:tab w:leader="none" w:pos="173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any of its Restricted Subsidiaries of in-kind obligations relating to net oil, natural gas liquid or natural gas balancing positions arising in the ordinary course of business;</w:t>
      </w:r>
    </w:p>
    <w:p>
      <w:pPr>
        <w:spacing w:after="0" w:line="53" w:lineRule="exact"/>
        <w:rPr>
          <w:rFonts w:ascii="Times New Roman" w:cs="Times New Roman" w:eastAsia="Times New Roman" w:hAnsi="Times New Roman"/>
          <w:sz w:val="18"/>
          <w:szCs w:val="18"/>
          <w:color w:val="auto"/>
        </w:rPr>
      </w:pPr>
    </w:p>
    <w:p>
      <w:pPr>
        <w:ind w:left="440" w:right="20" w:firstLine="948"/>
        <w:spacing w:after="0" w:line="258" w:lineRule="auto"/>
        <w:tabs>
          <w:tab w:leader="none" w:pos="173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of any obligation arising from agreements of the Issuer or any Restricted Subsidiary of the Issuer providing for indemnification, guarantees (other than guarantees of Indebtedness), adjustment of purchase price, holdbacks, earn outs or similar obligations, in each case, incurred or assumed in connection with the disposition or acquisition of any business, assets or Capital Stock of a Restricted Subsidiary in a transaction permitted by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obligation is not reflected on the face of the balance sheet of the Issuer or any Restricted Subsidiary;</w:t>
      </w:r>
    </w:p>
    <w:p>
      <w:pPr>
        <w:spacing w:after="0" w:line="75" w:lineRule="exact"/>
        <w:rPr>
          <w:rFonts w:ascii="Times New Roman" w:cs="Times New Roman" w:eastAsia="Times New Roman" w:hAnsi="Times New Roman"/>
          <w:sz w:val="18"/>
          <w:szCs w:val="18"/>
          <w:color w:val="auto"/>
        </w:rPr>
      </w:pPr>
    </w:p>
    <w:p>
      <w:pPr>
        <w:ind w:left="440" w:firstLine="948"/>
        <w:spacing w:after="0" w:line="266" w:lineRule="auto"/>
        <w:tabs>
          <w:tab w:leader="none" w:pos="173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(or a guarantee limited in recourse solely to) Equity Interests in an Unrestricted Subsidiary or Joint Venture held by the Issuer or a Restricted Subsidiary to secure Indebtedness of such Unrestricted Subsidiary or Joint Venture and solely to the extent such Indebtedness constitutes Non-Recourse Debt;</w:t>
      </w:r>
    </w:p>
    <w:p>
      <w:pPr>
        <w:spacing w:after="0" w:line="6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its Restricted Subsidiaries of Permitted Acquisition Indebtedness;</w:t>
      </w:r>
    </w:p>
    <w:p>
      <w:pPr>
        <w:spacing w:after="0" w:line="117"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73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Issuer or its Restricted Subsidiaries of Indebtedness consisting of the financing of insurance premiums in customary amounts consistent with the operations and business of the Issuer and the Restricted Subsidiaries; and</w:t>
      </w:r>
    </w:p>
    <w:p>
      <w:pPr>
        <w:spacing w:after="0" w:line="53" w:lineRule="exact"/>
        <w:rPr>
          <w:rFonts w:ascii="Times New Roman" w:cs="Times New Roman" w:eastAsia="Times New Roman" w:hAnsi="Times New Roman"/>
          <w:sz w:val="18"/>
          <w:szCs w:val="18"/>
          <w:color w:val="auto"/>
        </w:rPr>
      </w:pPr>
    </w:p>
    <w:p>
      <w:pPr>
        <w:ind w:left="440" w:right="60" w:firstLine="948"/>
        <w:spacing w:after="0" w:line="272" w:lineRule="auto"/>
        <w:tabs>
          <w:tab w:leader="none" w:pos="1737"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by the Issuer or any Restricted Subsidiary of additional Indebtedness or the issuance by the Issuer of any Disqualified Stock or by any Restricted Subsidiary of Preferred Stock in an aggregate principal amount, when taken together with the outstanding amount of all other Indebtedness incurred or Disqualified Stock or Preferred Stock issued pursuant to this clause (17), not to exceed the greater of</w:t>
      </w:r>
    </w:p>
    <w:p>
      <w:pPr>
        <w:spacing w:after="0" w:line="1"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million and (ii) 5.0% of Adjusted Consolidated Net Tangible Assets determined on the date of such incurrence or issuance.</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Indebtedness permitted by this Section 4.09 need not be permitted solely by reference to one provision permitting such Indebtedness or Disqualified Stock or Preferred Stock but may be permitted in part by one such provision and in part by one or more other provisions of this Section 4.09. For purposes of determining compliance with this Section 4.09, in the event that an item of Indebtedness or Disqualified Stock or Preferred Stock meets the criteria of more than one of the categories of Permitted Debt described in clauses (1) through (17) of Section 4.09(b), or is entitled to be incurred pursuant to Section 4.09(a), the Issuer will be permitted to divide, classify and reclassify such item of Indebtedness or Disqualified Stock or Preferred Stock on the date of its incurrence or issuance, or later redivide or reclassify all or a portion of such item of Indebtedness or Disqualified Stock or Preferred Stock, in any manner (including by dividing and classifying such item of Indebtedness or Disqualified Stock or Preferred Stock in more than one type of Indebtedness or Disqualified Stock or Preferred Stock permitted under this Section 4.09) that complies with this Section 4.09;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Indebtedness outstanding under the Credit Agreement on the Issue Date shall be considered incurred under clause (1) of Section 4.09(b) and may not be reclassified.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2" w:name="page83"/>
    <w:bookmarkEnd w:id="82"/>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dollar equivalent principal amount of any Indebtedness denominated in a foreign currency and incurred pursuant to any dollar-denominated restriction on the incurrence of Indebtedness shall be calculated based on the relevant exchange rates in effect at the time of incurrence, in the case of term Indebtedness, or first committed, in the case of revolving credit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w:t>
      </w:r>
    </w:p>
    <w:p>
      <w:pPr>
        <w:spacing w:after="0" w:line="189"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Section 4.09, the maximum amount of Indebtedness that the Issuer and the Restricted Subsidiaries may incur pursuant to this Section 4.09 shall not be deemed to be exceeded solely as a result of fluctuations in the exchange rates of currencies. The principal amount of any Indebtedness incurred to refinance other Indebtedness, if incurred in a different currency from the Indebtedness being refinanced, shall be calculated based on the currency exchange rate applicable to the currencies in which such Permitted Refinancing Indebtedness is denominated that is in effect on the date of such refinancing.</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accrual of interest or Preferred Stock dividends, the accretion or amortization of original issue discount, the payment of interest on any Indebtedness or on the Notes in the form of additional Indebtedness with the same term and the payment of dividends on Preferred Stock or Disqualified Stock in the form of additional securities of the same class of Preferred Stock or Disqualified Stock will not be deemed to be an incurrence of Indebtedness or an issuance of Preferred Stock or Disqualified Stock for purposes of this Section 4.09;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thereof is included in Fixed Charges of the Issuer as accrued to the extent required by the definition of such term. For purposes of this Section 4.09, (i) the accrual of an obligation to pay a premium in respect of Indebtedness or Disqualified Stock or Preferred Stock arising in connection with the issuance of a notice of redemption or making of a mandatory offer to purchase such Indebtedness or Disqualified Stock or Preferred Stock, and (ii) unrealized losses or charges in respect of Hedging Agreements (including those resulting from the application of FASB ASC Topic No.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will, in the case of clause (i) or (ii), not be deemed to be an incurrence of Indebtedness or Disqualified Stock or Preferred Stock. Further, the accounting reclassification of any obligation or Disqualified Stock or Preferred Stock of the Issuer or any of its Restricted Subsidiaries as Indebtedness or Disqualified Stock or Preferred Stock will not be deemed an incurrence of Indebtedness or issuance of Disqualified Stock or Preferred Stock for purposes of this Section 4.09.</w:t>
      </w:r>
    </w:p>
    <w:p>
      <w:pPr>
        <w:spacing w:after="0" w:line="19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“amount” or “principal amount” of any Indebtedness or Preferred Stock or Disqualified Stock outstanding at any time of determination as used herein shall be as set forth below or, if not set forth below, determined in accordance with GAAP:</w:t>
      </w:r>
    </w:p>
    <w:p>
      <w:pPr>
        <w:spacing w:after="0" w:line="67" w:lineRule="exact"/>
        <w:rPr>
          <w:sz w:val="20"/>
          <w:szCs w:val="20"/>
          <w:color w:val="auto"/>
        </w:rPr>
      </w:pPr>
    </w:p>
    <w:p>
      <w:pPr>
        <w:ind w:left="1420" w:hanging="439"/>
        <w:spacing w:after="0"/>
        <w:tabs>
          <w:tab w:leader="none" w:pos="14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issued with original issue discount;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in the case of any other Indebtedness;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Indebtedness of another Person secured by a Lien on the assets of the specified Person, the lesser of:</w:t>
      </w:r>
    </w:p>
    <w:p>
      <w:pPr>
        <w:spacing w:after="0" w:line="117" w:lineRule="exact"/>
        <w:rPr>
          <w:rFonts w:ascii="Times New Roman" w:cs="Times New Roman" w:eastAsia="Times New Roman" w:hAnsi="Times New Roman"/>
          <w:sz w:val="18"/>
          <w:szCs w:val="18"/>
          <w:color w:val="auto"/>
        </w:rPr>
      </w:pPr>
    </w:p>
    <w:p>
      <w:pPr>
        <w:ind w:left="2500" w:hanging="209"/>
        <w:spacing w:after="0"/>
        <w:tabs>
          <w:tab w:leader="none" w:pos="25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such assets at the date of determination; and</w:t>
      </w:r>
    </w:p>
    <w:p>
      <w:pPr>
        <w:spacing w:after="0" w:line="117" w:lineRule="exact"/>
        <w:rPr>
          <w:rFonts w:ascii="Times New Roman" w:cs="Times New Roman" w:eastAsia="Times New Roman" w:hAnsi="Times New Roman"/>
          <w:sz w:val="18"/>
          <w:szCs w:val="18"/>
          <w:color w:val="auto"/>
        </w:rPr>
      </w:pPr>
    </w:p>
    <w:p>
      <w:pPr>
        <w:ind w:left="2560" w:hanging="269"/>
        <w:spacing w:after="0"/>
        <w:tabs>
          <w:tab w:leader="none" w:pos="25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Indebtedness of the other Person;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70" w:right="479" w:bottom="1440" w:gutter="0" w:footer="0" w:header="0"/>
        </w:sectPr>
      </w:pPr>
    </w:p>
    <w:bookmarkStart w:id="83" w:name="page84"/>
    <w:bookmarkEnd w:id="83"/>
    <w:p>
      <w:pPr>
        <w:ind w:left="1420" w:hanging="439"/>
        <w:spacing w:after="0"/>
        <w:tabs>
          <w:tab w:leader="none" w:pos="1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Finance Lease Obligation, the amount determined in accordance with the definition thereof;</w:t>
      </w:r>
    </w:p>
    <w:p>
      <w:pPr>
        <w:spacing w:after="0" w:line="130" w:lineRule="exact"/>
        <w:rPr>
          <w:rFonts w:ascii="Times New Roman" w:cs="Times New Roman" w:eastAsia="Times New Roman" w:hAnsi="Times New Roman"/>
          <w:sz w:val="18"/>
          <w:szCs w:val="18"/>
          <w:color w:val="auto"/>
        </w:rPr>
      </w:pPr>
    </w:p>
    <w:p>
      <w:pPr>
        <w:ind w:left="1420" w:right="240" w:hanging="439"/>
        <w:spacing w:after="0" w:line="266" w:lineRule="auto"/>
        <w:tabs>
          <w:tab w:leader="none" w:pos="1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Preferred Stock, (x) if other than Disqualified Stock, the greater of its voluntary or involuntary liquidation preference and its maximum fixed redemption price or repurchase price or (y) if Disqualified Stock, as specified in the definition thereof;</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Interest Rate Agreements included in Section 4.09(b), zero;</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all other unconditional obligations, the amount of the liability thereof determined in accordance with GAAP;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all other contingent obligations, the maximum liability at such date of such Person.</w:t>
      </w:r>
    </w:p>
    <w:p>
      <w:pPr>
        <w:spacing w:after="0" w:line="225"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For purposes of determining any particular amount of Indebtedness, (i) guarantees of, or obligations in respect of letters of credit relating to, Indebtedness otherwise included in the determination of such amount shall not also be included and (ii) if obligations in respect of letters of credit are incurred pursuant to a Credit Facility and are being treated as incurred pursuant to clause (1) of Section 4.09(b) and the letters of credit relate to other Indebtedness, then the amount of such other Indebtedness equal to the face amount of such letters of credit shall not be included. If Indebtedness is secured by a letter of credit that serves only to secure such Indebtedness, then the total amount deemed incurred shall be equal to the greater of (x) the principal of such Indebtedness and (y) the amount that may be drawn under such letter of credit.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Asset Sales.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 will not, and will not permit any of its Restricted Subsidiaries to, consummate an Asset Sale unless:</w:t>
      </w:r>
    </w:p>
    <w:p>
      <w:pPr>
        <w:spacing w:after="0" w:line="117" w:lineRule="exact"/>
        <w:rPr>
          <w:sz w:val="20"/>
          <w:szCs w:val="20"/>
          <w:color w:val="auto"/>
        </w:rPr>
      </w:pPr>
    </w:p>
    <w:p>
      <w:pPr>
        <w:ind w:right="80" w:firstLine="987"/>
        <w:spacing w:after="0" w:line="266" w:lineRule="auto"/>
        <w:tabs>
          <w:tab w:leader="none" w:pos="12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 Restricted Subsidiary, as the case may be) receives consideration at the time of the Asset Sale at least equal to the Fair Market Value (measured within 15 days of the definitive agreement with respect to such Asset Sale) of the assets or Equity Interests issued or sold or otherwise disposed of; and</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aggregate consideration received in the Asset Sale by the Issuer or a Restricted Subsidiary and all other Asset Sales since the Issue Date is in the form of cash or Cash Equivalents.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provision, each of the following will be deemed to be cash:</w:t>
      </w:r>
    </w:p>
    <w:p>
      <w:pPr>
        <w:spacing w:after="0" w:line="117" w:lineRule="exact"/>
        <w:rPr>
          <w:sz w:val="20"/>
          <w:szCs w:val="20"/>
          <w:color w:val="auto"/>
        </w:rPr>
      </w:pPr>
    </w:p>
    <w:p>
      <w:pPr>
        <w:ind w:left="440" w:right="60" w:firstLine="948"/>
        <w:spacing w:after="0" w:line="258" w:lineRule="auto"/>
        <w:tabs>
          <w:tab w:leader="none" w:pos="164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as shown on the Issuer’s most recent consolidated balance sheet, of the Issuer or any Restricted Subsidiary (other than contingent liabilities and liabilities that are by their terms subordinated to the Notes or any Guarantee) that are assumed by the transferee of any such assets pursuant to a novation or indemnity agreement that releases the Issuer or such Restricted Subsidiary from or indemnifies against further liability (or in lieu of such absence of liability, the acquiring Person or its parent company agrees to indemnify and hold the Issuer or such Restricted Subsidiary harmless from and against any loss, liability or cost in respect of such assumed liabilities);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40"/>
          </w:cols>
          <w:pgMar w:left="440" w:top="270" w:right="519" w:bottom="1440" w:gutter="0" w:footer="0" w:header="0"/>
        </w:sectPr>
      </w:pPr>
    </w:p>
    <w:bookmarkStart w:id="84" w:name="page85"/>
    <w:bookmarkEnd w:id="84"/>
    <w:p>
      <w:pPr>
        <w:ind w:left="440" w:right="40" w:firstLine="948"/>
        <w:spacing w:after="0" w:line="261" w:lineRule="auto"/>
        <w:tabs>
          <w:tab w:leader="none" w:pos="164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Asset Sale of oil and gas properties by the Issuer or any of its Restricted Subsidiaries where the Issuer or such Restricted Subsidiary retains an interest in such property, the costs and expenses of the Issuer or such Restricted Subsidiary related to the exploration, development, completion or production of such properties and activities related thereto that the transferee (or an Affiliate thereof) agrees to pay;</w:t>
      </w:r>
    </w:p>
    <w:p>
      <w:pPr>
        <w:spacing w:after="0" w:line="71" w:lineRule="exact"/>
        <w:rPr>
          <w:rFonts w:ascii="Times New Roman" w:cs="Times New Roman" w:eastAsia="Times New Roman" w:hAnsi="Times New Roman"/>
          <w:sz w:val="18"/>
          <w:szCs w:val="18"/>
          <w:color w:val="auto"/>
        </w:rPr>
      </w:pPr>
    </w:p>
    <w:p>
      <w:pPr>
        <w:ind w:left="440" w:right="40" w:firstLine="948"/>
        <w:spacing w:after="0" w:line="312" w:lineRule="auto"/>
        <w:tabs>
          <w:tab w:leader="none" w:pos="1647"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Notes or other obligations received by the Issuer or any Restricted Subsidiary from such transferee that are, within 180 days of the Asset Sale, converted by the Issuer or such Restricted Subsidiary into cash, to the extent of the cash received in that conversion;</w:t>
      </w:r>
    </w:p>
    <w:p>
      <w:pPr>
        <w:spacing w:after="0" w:line="31" w:lineRule="exact"/>
        <w:rPr>
          <w:rFonts w:ascii="Times New Roman" w:cs="Times New Roman" w:eastAsia="Times New Roman" w:hAnsi="Times New Roman"/>
          <w:sz w:val="17"/>
          <w:szCs w:val="17"/>
          <w:color w:val="auto"/>
        </w:rPr>
      </w:pPr>
    </w:p>
    <w:p>
      <w:pPr>
        <w:ind w:left="1640" w:hanging="252"/>
        <w:spacing w:after="0"/>
        <w:tabs>
          <w:tab w:leader="none" w:pos="16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Assets; and</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58" w:lineRule="auto"/>
        <w:tabs>
          <w:tab w:leader="none" w:pos="164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Designated Non-cash Consideration received by the Issuer or such Restricted Subsidiary in such Asset Sale having an aggregate Fair Market Value, taken together with all other Designated Non-cash Consideration received pursuant to this clause (5), not to exceed an amount equal to 5.0% of the Issuer’s Adjusted Consolidated Net Tangible Assets (determined at the time of receipt of such Designated Non-cash Consideration), with the Fair Market Value of each item of Designated Non-cash Consideration being measured at the time received and without giving effect to subsequent changes in value.</w:t>
      </w:r>
    </w:p>
    <w:p>
      <w:pPr>
        <w:spacing w:after="0" w:line="183"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365 days after the receipt of any Net Proceeds from an Asset Sale, the Issuer (or any Restricted Subsidiary) may apply such Net Proceeds at its option to any combination of the following:</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redeem or repurchase any Senior Debt;</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 in or acquire Additional Assets;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capital expenditures in respect of the Issuer’s or any Restricted Subsidiaries’ Oil and Gas Business.</w:t>
      </w:r>
    </w:p>
    <w:p>
      <w:pPr>
        <w:spacing w:after="0" w:line="225" w:lineRule="exact"/>
        <w:rPr>
          <w:rFonts w:ascii="Times New Roman" w:cs="Times New Roman" w:eastAsia="Times New Roman" w:hAnsi="Times New Roman"/>
          <w:sz w:val="18"/>
          <w:szCs w:val="18"/>
          <w:color w:val="auto"/>
        </w:rPr>
      </w:pPr>
    </w:p>
    <w:p>
      <w:pPr>
        <w:ind w:right="20" w:firstLine="987"/>
        <w:spacing w:after="0" w:line="281" w:lineRule="auto"/>
        <w:tabs>
          <w:tab w:leader="none" w:pos="1246"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of clause (2) or (3) of Section 4.10(c) shall be deemed to be satisfied if a bona fide binding contract committing to make the investment, acquisition or expenditure referred to therein is entered into by the Issuer (or any Restricted Subsidiary) with a Person other than a Restricted Subsidiary within the time period specified in Section 4.10(c) and such Net Proceeds are subsequently applied in accordance with such contract within six months following the later of (x) the date such agreement is entered into and (y) the time period specified in the preceding paragraph.</w:t>
      </w:r>
    </w:p>
    <w:p>
      <w:pPr>
        <w:spacing w:after="0" w:line="164" w:lineRule="exact"/>
        <w:rPr>
          <w:rFonts w:ascii="Times New Roman" w:cs="Times New Roman" w:eastAsia="Times New Roman" w:hAnsi="Times New Roman"/>
          <w:sz w:val="17"/>
          <w:szCs w:val="17"/>
          <w:color w:val="auto"/>
        </w:rPr>
      </w:pPr>
    </w:p>
    <w:p>
      <w:pPr>
        <w:ind w:firstLine="987"/>
        <w:spacing w:after="0" w:line="282"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final application of any Net Proceeds, the Issuer (or any Restricted Subsidiary) may temporarily reduce Indebtedness under any Credit Facility or otherwise expend or invest the Net Proceeds in any manner that is not prohibited by this Indenture.</w:t>
      </w:r>
    </w:p>
    <w:p>
      <w:pPr>
        <w:spacing w:after="0" w:line="159" w:lineRule="exact"/>
        <w:rPr>
          <w:rFonts w:ascii="Times New Roman" w:cs="Times New Roman" w:eastAsia="Times New Roman" w:hAnsi="Times New Roman"/>
          <w:sz w:val="18"/>
          <w:szCs w:val="18"/>
          <w:color w:val="auto"/>
        </w:rPr>
      </w:pPr>
    </w:p>
    <w:p>
      <w:pPr>
        <w:ind w:right="80" w:firstLine="987"/>
        <w:spacing w:after="0" w:line="255" w:lineRule="auto"/>
        <w:tabs>
          <w:tab w:leader="none" w:pos="121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Proceeds from Asset Sales that are not applied or invested as provided in Section 4.10(c) will constitute “</w:t>
      </w:r>
      <w:r>
        <w:rPr>
          <w:rFonts w:ascii="Times New Roman" w:cs="Times New Roman" w:eastAsia="Times New Roman" w:hAnsi="Times New Roman"/>
          <w:sz w:val="18"/>
          <w:szCs w:val="18"/>
          <w:i w:val="1"/>
          <w:iCs w:val="1"/>
          <w:color w:val="auto"/>
        </w:rPr>
        <w:t>Excess Proceeds</w:t>
      </w:r>
      <w:r>
        <w:rPr>
          <w:rFonts w:ascii="Times New Roman" w:cs="Times New Roman" w:eastAsia="Times New Roman" w:hAnsi="Times New Roman"/>
          <w:sz w:val="18"/>
          <w:szCs w:val="18"/>
          <w:color w:val="auto"/>
        </w:rPr>
        <w:t>.” When the aggregate amount of Excess Proceeds exceeds $50.0 million, within five days thereof, the Issuer will make an offer (an “</w:t>
      </w:r>
      <w:r>
        <w:rPr>
          <w:rFonts w:ascii="Times New Roman" w:cs="Times New Roman" w:eastAsia="Times New Roman" w:hAnsi="Times New Roman"/>
          <w:sz w:val="18"/>
          <w:szCs w:val="18"/>
          <w:i w:val="1"/>
          <w:iCs w:val="1"/>
          <w:color w:val="auto"/>
        </w:rPr>
        <w:t>Asset Sale Offer</w:t>
      </w:r>
      <w:r>
        <w:rPr>
          <w:rFonts w:ascii="Times New Roman" w:cs="Times New Roman" w:eastAsia="Times New Roman" w:hAnsi="Times New Roman"/>
          <w:sz w:val="18"/>
          <w:szCs w:val="18"/>
          <w:color w:val="auto"/>
        </w:rPr>
        <w:t xml:space="preserve">”) to all Holders of Notes and all holders of other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containing provisions similar to those set forth in this Indenture with respect to offers to purchase, prepay or redeem with the proceeds of sales of assets to purchase, prepay or redeem,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principal amounts of Notes and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(or, in the case of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issued with significant original issue discount, based on the accreted value thereof) tendered), the maximum principal amount of Notes and such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accrued interest on the Indebtedness and the amount of all fees and expenses, including premiums, incurred in connection therewith) that may be purchased, prepaid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85" w:name="page86"/>
    <w:bookmarkEnd w:id="85"/>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redeemed out of the Excess Proceeds. The offer price in any Asset Sale Offer will be equal to 100% of the principal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date of purchase, prepayment or redemption, subject to the rights of Holders of Notes on the relevant record date to receive interest due on the relevant Interest Payment Date, and will be payable in cash. If any Excess Proceeds remain after consummation of an Asset Sale Offer, the Issuer or any Restricted Subsidiary may use those Excess Proceeds for any purpose not otherwise prohibited by this Indenture. If the aggregate principal amount of Notes tendered in such Asset Sale Offer exceeds the amount of Excess Proceeds allocated to the purchase of Notes, the Trustee will select the Notes to be purchased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(except that any Notes represented by a Note in global form will be selected by such method as DTC or its nominee or successor may require or a method that most nearly approximates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selection as the Trustee deems fair and appropriate and is in accordance with DTC’s applicable procedures), based on the principal amounts tendered (with such adjustments as may be deemed appropriate by the Issuer so that only Notes in minimum denominations of $2,000 and any integral multiple of $1,000 in excess thereof will be purchased). Upon completion of each Asset Sale Offer, the amount of Excess Proceeds will be reset at zero. The Issuer may satisfy the foregoing obligation with respect to any Excess Proceeds by making an Asset Sale Offer prior to the expiration of the relevant 365 day period or with respect to Excess Proceeds of $50.0 million or less.</w:t>
      </w:r>
    </w:p>
    <w:p>
      <w:pPr>
        <w:spacing w:after="0" w:line="192" w:lineRule="exact"/>
        <w:rPr>
          <w:sz w:val="20"/>
          <w:szCs w:val="20"/>
          <w:color w:val="auto"/>
        </w:rPr>
      </w:pPr>
    </w:p>
    <w:p>
      <w:pPr>
        <w:ind w:right="100" w:firstLine="987"/>
        <w:spacing w:after="0" w:line="258"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Section 3.10 or this Section 4.10, the Issuer will comply with the applicable securities laws and regulations and will not be deemed to have breached its obligations under Section 3.10 or this Section 4.10 by virtue of such compliance.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i w:val="1"/>
          <w:iCs w:val="1"/>
          <w:color w:val="auto"/>
        </w:rPr>
        <w:t>Transactions with Affiliates.</w:t>
      </w:r>
    </w:p>
    <w:p>
      <w:pPr>
        <w:spacing w:after="0" w:line="227" w:lineRule="exact"/>
        <w:rPr>
          <w:sz w:val="20"/>
          <w:szCs w:val="20"/>
          <w:color w:val="auto"/>
        </w:rPr>
      </w:pPr>
    </w:p>
    <w:p>
      <w:pPr>
        <w:ind w:firstLine="987"/>
        <w:spacing w:after="0" w:line="261" w:lineRule="auto"/>
        <w:tabs>
          <w:tab w:leader="none" w:pos="1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Issuer (each, an “</w:t>
      </w:r>
      <w:r>
        <w:rPr>
          <w:rFonts w:ascii="Times New Roman" w:cs="Times New Roman" w:eastAsia="Times New Roman" w:hAnsi="Times New Roman"/>
          <w:sz w:val="18"/>
          <w:szCs w:val="18"/>
          <w:i w:val="1"/>
          <w:iCs w:val="1"/>
          <w:color w:val="auto"/>
        </w:rPr>
        <w:t>Affiliate Transaction</w:t>
      </w:r>
      <w:r>
        <w:rPr>
          <w:rFonts w:ascii="Times New Roman" w:cs="Times New Roman" w:eastAsia="Times New Roman" w:hAnsi="Times New Roman"/>
          <w:sz w:val="18"/>
          <w:szCs w:val="18"/>
          <w:color w:val="auto"/>
        </w:rPr>
        <w:t>”) involving aggregate consideration to or from the Issuer or a Restricted Subsidiary in excess of $25.0 million, unless:</w:t>
      </w:r>
    </w:p>
    <w:p>
      <w:pPr>
        <w:spacing w:after="0" w:line="71" w:lineRule="exact"/>
        <w:rPr>
          <w:rFonts w:ascii="Times New Roman" w:cs="Times New Roman" w:eastAsia="Times New Roman" w:hAnsi="Times New Roman"/>
          <w:sz w:val="18"/>
          <w:szCs w:val="18"/>
          <w:color w:val="auto"/>
        </w:rPr>
      </w:pPr>
    </w:p>
    <w:p>
      <w:pPr>
        <w:ind w:left="440" w:right="80" w:firstLine="948"/>
        <w:spacing w:after="0" w:line="261" w:lineRule="auto"/>
        <w:tabs>
          <w:tab w:leader="none" w:pos="164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 Transaction is on terms that are no less favorable to the Issuer or the relevant Restricted Subsidiary than those that could have been obtained in a comparable transaction by the Issuer or such Restricted Subsidiary with an unrelated Person or, if, as determined in good faith by the Issuer, no comparable transaction is available with which to compare such Affiliate Transaction, such Affiliate Transaction is otherwise fair to the Issuer or the relevant Restricted Subsidiary from a financial point of view; and</w:t>
      </w:r>
    </w:p>
    <w:p>
      <w:pPr>
        <w:spacing w:after="0" w:line="71" w:lineRule="exact"/>
        <w:rPr>
          <w:rFonts w:ascii="Times New Roman" w:cs="Times New Roman" w:eastAsia="Times New Roman" w:hAnsi="Times New Roman"/>
          <w:sz w:val="18"/>
          <w:szCs w:val="18"/>
          <w:color w:val="auto"/>
        </w:rPr>
      </w:pPr>
    </w:p>
    <w:p>
      <w:pPr>
        <w:ind w:left="440" w:right="100" w:firstLine="948"/>
        <w:spacing w:after="0" w:line="258" w:lineRule="auto"/>
        <w:tabs>
          <w:tab w:leader="none" w:pos="164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delivers to the Trustee, with respect to any Affiliate Transaction or series of related Affiliate Transactions involving aggregate consideration in excess of $50.0 million, an Officers’ Certificate certifying that such Affiliate Transaction or series of related Affiliate Transactions complies with this Section 4.11 and that such Affiliate Transaction or series of related Affiliate Transactions has been approved by a majority of the members of the Board of Directors of the Issuer and by a majority of the disinterested members of the Board of Directors of the Issuer, if 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68" w:right="459" w:bottom="1440" w:gutter="0" w:footer="0" w:header="0"/>
        </w:sectPr>
      </w:pPr>
    </w:p>
    <w:bookmarkStart w:id="86" w:name="page87"/>
    <w:bookmarkEnd w:id="86"/>
    <w:p>
      <w:pPr>
        <w:ind w:left="1240" w:hanging="253"/>
        <w:spacing w:after="0"/>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items will not be deemed to be Affiliate Transactions and, therefore, will not be subject to the provisions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4.11(a):</w:t>
      </w:r>
    </w:p>
    <w:p>
      <w:pPr>
        <w:spacing w:after="0" w:line="98" w:lineRule="exact"/>
        <w:rPr>
          <w:rFonts w:ascii="Times New Roman" w:cs="Times New Roman" w:eastAsia="Times New Roman" w:hAnsi="Times New Roman"/>
          <w:sz w:val="18"/>
          <w:szCs w:val="18"/>
          <w:color w:val="auto"/>
        </w:rPr>
      </w:pPr>
    </w:p>
    <w:p>
      <w:pPr>
        <w:ind w:left="440" w:right="340" w:firstLine="948"/>
        <w:spacing w:after="0" w:line="282" w:lineRule="auto"/>
        <w:tabs>
          <w:tab w:leader="none" w:pos="164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agreement, employee benefit plan, officer or director indemnification agreement or any similar arrangement entered into by the Issuer or any of its Restricted Subsidiaries in the ordinary course of business and payments pursuant thereto;</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the Issuer and/or its Restricted Subsidiaries;</w:t>
      </w:r>
    </w:p>
    <w:p>
      <w:pPr>
        <w:spacing w:after="0" w:line="117"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64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 Person (other than an Unrestricted Subsidiary of the Issuer) that is an Affiliate of the Issuer solely because the Issuer owns, directly or through a Restricted Subsidiary, an Equity Interest in, and controls, such Person;</w:t>
      </w:r>
    </w:p>
    <w:p>
      <w:pPr>
        <w:spacing w:after="0" w:line="53" w:lineRule="exact"/>
        <w:rPr>
          <w:rFonts w:ascii="Times New Roman" w:cs="Times New Roman" w:eastAsia="Times New Roman" w:hAnsi="Times New Roman"/>
          <w:sz w:val="18"/>
          <w:szCs w:val="18"/>
          <w:color w:val="auto"/>
        </w:rPr>
      </w:pPr>
    </w:p>
    <w:p>
      <w:pPr>
        <w:ind w:left="440" w:firstLine="948"/>
        <w:spacing w:after="0" w:line="266" w:lineRule="auto"/>
        <w:tabs>
          <w:tab w:leader="none" w:pos="164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reasonable and customary fees and reimbursement of expenses (pursuant to indemnity agreements or otherwise) of, or provision of directors’ and officers’ liability insurance, compensation, indemnification and other benefits to, officers, directors, employees or consultants of the Issuer or any of its Subsidiaries;</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Equity Interests (other than Disqualified Stock) of the Issuer to Affiliates of the Issuer;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Payments or Permitted Investments or Permitted Payments that are permitted by Section 4.07;</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4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between the Issuer or any of its Restricted Subsidiaries and any Person that would not otherwise constitute an Affiliate Transaction except for the fact that any director or officer of such other Person is also a director or officer of the Issuer or such Restricted Subsidiary,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director or officer abstains from voting as a director of the Issuer or such Restricted Subsidiary, as applicable, on any matter involving such other Person;</w:t>
      </w:r>
    </w:p>
    <w:p>
      <w:pPr>
        <w:spacing w:after="0" w:line="71" w:lineRule="exact"/>
        <w:rPr>
          <w:rFonts w:ascii="Times New Roman" w:cs="Times New Roman" w:eastAsia="Times New Roman" w:hAnsi="Times New Roman"/>
          <w:sz w:val="18"/>
          <w:szCs w:val="18"/>
          <w:color w:val="auto"/>
        </w:rPr>
      </w:pPr>
    </w:p>
    <w:p>
      <w:pPr>
        <w:ind w:left="440" w:right="200" w:firstLine="948"/>
        <w:spacing w:after="0" w:line="266" w:lineRule="auto"/>
        <w:tabs>
          <w:tab w:leader="none" w:pos="164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which the Issuer or any of its Restricted Subsidiaries, as the case may be, delivers to the Trustee a letter from an accounting, appraisal, advisory or investment banking firm of national standing stating that such transaction is fair to the Issuer or such Restricted Subsidiary from a financial point of view or that such transaction meets the requirements of Section 4.11(a)(1);</w:t>
      </w:r>
    </w:p>
    <w:p>
      <w:pPr>
        <w:spacing w:after="0" w:line="67"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4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guarantees by the Issuer or any of its Restricted Subsidiaries of performance of obligations of the Issuer’s Unrestricted Subsidiaries in the ordinary course of business, except for guarantees of Indebtedness in respect of borrowed money, and (b) pledges by the Issuer or any Restricted Subsidiary of the Issuer of (or any guarantee by the Issuer or any Restricted Subsidiary limited in recourse solely to) Equity Interests in Unrestricted Subsidiaries for the benefit of lenders or other creditors of the Issuer’s Unrestricted Subsidiaries;</w:t>
      </w:r>
    </w:p>
    <w:p>
      <w:pPr>
        <w:spacing w:after="0" w:line="71" w:lineRule="exact"/>
        <w:rPr>
          <w:rFonts w:ascii="Times New Roman" w:cs="Times New Roman" w:eastAsia="Times New Roman" w:hAnsi="Times New Roman"/>
          <w:sz w:val="18"/>
          <w:szCs w:val="18"/>
          <w:color w:val="auto"/>
        </w:rPr>
      </w:pPr>
    </w:p>
    <w:p>
      <w:pPr>
        <w:ind w:left="440" w:right="160" w:firstLine="948"/>
        <w:spacing w:after="0" w:line="258" w:lineRule="auto"/>
        <w:tabs>
          <w:tab w:leader="none" w:pos="173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Unrestricted Subsidiaries, joint ventures, customers, clients, suppliers or purchasers or sellers of goods or services, or lessors or lessees of property, which are, in the aggregate (taking into account all the costs and benefits associated with such transactions), not materially less favorable to the Issuer and its Restricted Subsidiaries than those that would have been obtained in a comparable transaction by the Issuer or such Restricted Subsidiary with an unrelated Person or are on terms at least as favorable as might reasonably have been obtained at such time from an unaffiliated party, in each case, as determined in good faith by the Issuer;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7" w:name="page88"/>
    <w:bookmarkEnd w:id="87"/>
    <w:p>
      <w:pPr>
        <w:ind w:left="440" w:right="100" w:firstLine="948"/>
        <w:spacing w:after="0" w:line="256" w:lineRule="auto"/>
        <w:tabs>
          <w:tab w:leader="none" w:pos="173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(other than purchases or sales of assets) effected in accordance with the terms of (a) any agreements with Affiliates of the Issuer pursuant to agreements in effect on the Issue Date, (b) any amendment or replacement of any of such agreements or (c) any agreement entered into hereafter that is similar to any such agreements, so long as, in the case of clause (b) or (c), the terms of any such amendment or replacement agreement or future agreement, taken as a whole, are no less advantageous to the Issuer or no less favorable to the Holders in any material respect than the agreement so amended or replaced or the similar such agreement, respectively, as determined in good faith by the Issuer;</w:t>
      </w:r>
    </w:p>
    <w:p>
      <w:pPr>
        <w:spacing w:after="0" w:line="79" w:lineRule="exact"/>
        <w:rPr>
          <w:rFonts w:ascii="Times New Roman" w:cs="Times New Roman" w:eastAsia="Times New Roman" w:hAnsi="Times New Roman"/>
          <w:sz w:val="18"/>
          <w:szCs w:val="18"/>
          <w:color w:val="auto"/>
        </w:rPr>
      </w:pPr>
    </w:p>
    <w:p>
      <w:pPr>
        <w:ind w:left="440" w:right="140" w:firstLine="948"/>
        <w:spacing w:after="0" w:line="258" w:lineRule="auto"/>
        <w:tabs>
          <w:tab w:leader="none" w:pos="173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purchases and sales of electric power, steam, water, natural gas or other hydrocarbons and other commercial relationships and transactions, or the provision of payroll, cash management, purchasing, insurance, indemnity and liability sharing, hedging, management, technology and licensing arrangements, marketing, or the granting or of acquiring of rights of way, easements, servitudes or other real property interests, or other sharing of assets or equipment, in each case between the Issuer or any Restricted Subsidiary and any Unrestricted Subsidiary or joint venture, and (b) any transactions entered into in connection with the CMB Transactions; and</w:t>
      </w:r>
    </w:p>
    <w:p>
      <w:pPr>
        <w:spacing w:after="0" w:line="75" w:lineRule="exact"/>
        <w:rPr>
          <w:rFonts w:ascii="Times New Roman" w:cs="Times New Roman" w:eastAsia="Times New Roman" w:hAnsi="Times New Roman"/>
          <w:sz w:val="18"/>
          <w:szCs w:val="18"/>
          <w:color w:val="auto"/>
        </w:rPr>
      </w:pPr>
    </w:p>
    <w:p>
      <w:pPr>
        <w:ind w:left="440" w:right="80" w:firstLine="948"/>
        <w:spacing w:after="0" w:line="281" w:lineRule="auto"/>
        <w:tabs>
          <w:tab w:leader="none" w:pos="1737"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contracts for exploring for, producing, marketing, storing or otherwise handling Hydrocarbons, or activities or services reasonably related or ancillary thereto, or other operational contracts, any such contracts entered into in the ordinary course of business and otherwise in compliance with the terms of this Indenture which are fair to the Issuer and its Restricted Subsidiaries, or are on terms at least as favorable as might reasonably have been obtained at such time from an unaffiliated party, in each case, as determined in good faith by the Issuer.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i w:val="1"/>
          <w:iCs w:val="1"/>
          <w:color w:val="auto"/>
        </w:rPr>
        <w:t>Liens.</w:t>
      </w:r>
    </w:p>
    <w:p>
      <w:pPr>
        <w:spacing w:after="0" w:line="22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Issuer will not and will not permit any of its Restricted Subsidiaries to, directly or indirectly, create, incur, assume or otherwise cause or suffer to exist or become effective any Lien of any kind (other than Permitted Liens) securing Indebtedness upon any of their property or assets, now owned or hereafter acquired, unless the Notes or any Guarantee of such Restricted Subsidiary, as applicable, are secured on an equal and ratable basis with the Indebtedness so secured (or, in the case of Indebtedness subordinated to the Notes or any Guarantee, prior or senior thereto, with the same relative priority as the Notes or Guarantee shall have with respect to such subordinated Indebtedness) until such time as such Indebtedness is no longer secured by a Lien. Any Lien created for the benefit of the Holders of the Notes pursuant to the preceding sentence shall provide by its terms that such Lien shall be automatically and unconditionally released and discharged upon the release and discharge of the initial Lien;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 Event of Default has occurred and is continuing at the time of such release and discharge. In the event of the termination of Section 4.09 of this Indenture pursuant to Section 4.18, all calculations under Section 4.12 (including with respect to the definition of “Permitted Liens”) of this Indenture shall be made as if Section 4.09 had not been terminated.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i w:val="1"/>
          <w:iCs w:val="1"/>
          <w:color w:val="auto"/>
        </w:rPr>
        <w:t>Organizational Existence.</w:t>
      </w:r>
    </w:p>
    <w:p>
      <w:pPr>
        <w:spacing w:after="0" w:line="227"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Subject to Article 5, the Issuer shall do or cause to be done all things necessary to preserve and keep in full force and effect the existence, the rights (charter and statutory), licenses and franchises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shall not be required to preserve any such right, license or franchise if the Issuer shall determine that the preservation thereof is no longer desirable in the conduct of the business of the Issuer.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88" w:name="page89"/>
    <w:bookmarkEnd w:id="8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4.15 </w:t>
      </w:r>
      <w:r>
        <w:rPr>
          <w:rFonts w:ascii="Times New Roman" w:cs="Times New Roman" w:eastAsia="Times New Roman" w:hAnsi="Times New Roman"/>
          <w:sz w:val="18"/>
          <w:szCs w:val="18"/>
          <w:i w:val="1"/>
          <w:iCs w:val="1"/>
          <w:color w:val="auto"/>
        </w:rPr>
        <w:t>Offer to Repurchase Upon Change of Control Triggering Event.</w:t>
      </w:r>
    </w:p>
    <w:p>
      <w:pPr>
        <w:spacing w:after="0" w:line="227" w:lineRule="exact"/>
        <w:rPr>
          <w:sz w:val="20"/>
          <w:szCs w:val="20"/>
          <w:color w:val="auto"/>
        </w:rPr>
      </w:pPr>
    </w:p>
    <w:p>
      <w:pPr>
        <w:ind w:right="60" w:firstLine="987"/>
        <w:spacing w:after="0" w:line="256"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occurs, each Holder of Notes will have the right to require the Issuer to repurchase all or any part (equal to $2,000 or an integral multiple of $1,000 in excess thereof) of that Holder’s Notes pursuant to a cash tender offer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on the terms set forth in this Section 4.15. In the Change of Control Offer, the Issuer will offer a payment in cash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equal to 101% of the aggregate principal amount of Notes repurchased,</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accrued and unpaid interest, if any, on the Notes repurchased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excluding, the date of purchase (the “</w:t>
      </w:r>
      <w:r>
        <w:rPr>
          <w:rFonts w:ascii="Times New Roman" w:cs="Times New Roman" w:eastAsia="Times New Roman" w:hAnsi="Times New Roman"/>
          <w:sz w:val="18"/>
          <w:szCs w:val="18"/>
          <w:i w:val="1"/>
          <w:iCs w:val="1"/>
          <w:color w:val="auto"/>
        </w:rPr>
        <w:t>Change of Control Purchase Date</w:t>
      </w:r>
      <w:r>
        <w:rPr>
          <w:rFonts w:ascii="Times New Roman" w:cs="Times New Roman" w:eastAsia="Times New Roman" w:hAnsi="Times New Roman"/>
          <w:sz w:val="18"/>
          <w:szCs w:val="18"/>
          <w:color w:val="auto"/>
        </w:rPr>
        <w:t>”), subject to the rights of Holders of Notes on the relevant record date to receive interest due on the relevant Interest Payment Date.</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the Issuer will send a notice to each Holder (with a copy to the Trustee) describing the transaction or transactions that constitute the Change of Control and offering to repurchase Notes properly tendered prior to the expiration date specified in the notice, which date will be no earlier than 10 days and no later than 60 days from the date such notice is sent, pursuant to the procedures required by this Section 4.15 and described in such notice. The Issuer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this Section 4.15, the Issuer will comply with the applicable securities laws and regulations and will not be deemed to have breached its obligations under this Section 4.15 by virtue of such compliance.</w:t>
      </w:r>
    </w:p>
    <w:p>
      <w:pPr>
        <w:spacing w:after="0" w:line="192" w:lineRule="exact"/>
        <w:rPr>
          <w:sz w:val="20"/>
          <w:szCs w:val="20"/>
          <w:color w:val="auto"/>
        </w:rPr>
      </w:pPr>
    </w:p>
    <w:p>
      <w:pPr>
        <w:jc w:val="both"/>
        <w:ind w:right="80" w:firstLine="987"/>
        <w:spacing w:after="0" w:line="266" w:lineRule="auto"/>
        <w:tabs>
          <w:tab w:leader="none" w:pos="124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expiration of the Change of Control Offer, the Issuer will, to the extent lawful, accept for payment all Notes or portions of Notes properly tendered pursuant to the Change of Control Offer. Promptly after such acceptance, the Issuer will, on the Change of Control Purchase Date:</w:t>
      </w:r>
    </w:p>
    <w:p>
      <w:pPr>
        <w:spacing w:after="0" w:line="67" w:lineRule="exact"/>
        <w:rPr>
          <w:rFonts w:ascii="Times New Roman" w:cs="Times New Roman" w:eastAsia="Times New Roman" w:hAnsi="Times New Roman"/>
          <w:sz w:val="18"/>
          <w:szCs w:val="18"/>
          <w:color w:val="auto"/>
        </w:rPr>
      </w:pPr>
    </w:p>
    <w:p>
      <w:pPr>
        <w:ind w:left="440" w:right="320" w:firstLine="948"/>
        <w:spacing w:after="0" w:line="282" w:lineRule="auto"/>
        <w:tabs>
          <w:tab w:leader="none" w:pos="1647"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440" w:right="520" w:firstLine="948"/>
        <w:spacing w:after="0" w:line="282" w:lineRule="auto"/>
        <w:tabs>
          <w:tab w:leader="none" w:pos="1647"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Issuer.</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Notes to be purchased shall, on the Change of Control Purchase Date, become due and payable at the Change of Control Payment, and from and after such date (unless the Issuer shall default in depositing the Change of Control Payment) such Notes shall cease to accrue interest. The Paying Agent will promptly mail to each Holder of Notes properly tendered the Change of Control Payment for such Notes (or, if such Notes are then in global form, it will make such payment thereon through the facilities of DTC), and the Issuer will promptly issue a new Note, and the Trustee, upon written request from the Issuer, will promptly authenticate and mail or deliver (or cause to be transferred by book entry) to each Holder such new Note in the principal amount equal to any unpurchased portion of the Notes surrendered by such Holder, if any. The Issuer will publicly announce the results of the Change of Control Offer on or as soon as practicable after the Change of Control Purchase Date.</w:t>
      </w:r>
    </w:p>
    <w:p>
      <w:pPr>
        <w:spacing w:after="0" w:line="189" w:lineRule="exact"/>
        <w:rPr>
          <w:sz w:val="20"/>
          <w:szCs w:val="20"/>
          <w:color w:val="auto"/>
        </w:rPr>
      </w:pPr>
    </w:p>
    <w:p>
      <w:pPr>
        <w:ind w:right="260" w:firstLine="987"/>
        <w:spacing w:after="0" w:line="282"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described above that require the Issuer to make a Change of Control Offer following a Change of Control Triggering Event will be applicable whether or not any other provisions of this Indenture are applicable, except as described in paragraph (d) below.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68" w:right="459" w:bottom="1440" w:gutter="0" w:footer="0" w:header="0"/>
        </w:sectPr>
      </w:pPr>
    </w:p>
    <w:bookmarkStart w:id="89" w:name="page90"/>
    <w:bookmarkEnd w:id="89"/>
    <w:p>
      <w:pPr>
        <w:ind w:firstLine="987"/>
        <w:spacing w:after="0" w:line="255" w:lineRule="auto"/>
        <w:tabs>
          <w:tab w:leader="none" w:pos="12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Section 4.15, the Issuer will not be required to make a Change of Control Offer upon a Change of Control Triggering Event if (1) a third party makes the Change of Control Offer in the manner, at the time and otherwise in compliance with the requirements set forth in this Section 4.15 applicable to a Change of Control Offer made by the Issuer and purchases all Notes properly tendered and not withdrawn under the Change of Control Offer, (2) notice of redemption of all outstanding Notes has been given pursuant to Section 3.03, unless and until there is a default in payment of the applicable redemption price or (3) in connection with or in contemplation of any Change of Control, the Issuer or a third party has made an offer to purchase (an “</w:t>
      </w:r>
      <w:r>
        <w:rPr>
          <w:rFonts w:ascii="Times New Roman" w:cs="Times New Roman" w:eastAsia="Times New Roman" w:hAnsi="Times New Roman"/>
          <w:sz w:val="18"/>
          <w:szCs w:val="18"/>
          <w:i w:val="1"/>
          <w:iCs w:val="1"/>
          <w:color w:val="auto"/>
        </w:rPr>
        <w:t>Alternate Offer</w:t>
      </w:r>
      <w:r>
        <w:rPr>
          <w:rFonts w:ascii="Times New Roman" w:cs="Times New Roman" w:eastAsia="Times New Roman" w:hAnsi="Times New Roman"/>
          <w:sz w:val="18"/>
          <w:szCs w:val="18"/>
          <w:color w:val="auto"/>
        </w:rPr>
        <w:t>”) any and all Notes validly tendered at a cash price equal to or higher than the Change of Control Payment and has purchased all Notes properly tendered in accordance with the terms of such Alternate Offer.</w:t>
      </w:r>
    </w:p>
    <w:p>
      <w:pPr>
        <w:spacing w:after="0" w:line="188"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Indenture, a Change of Control Offer or an Alternate Offer may be made in advance of a Change of Control, or conditioned upon the consummation of such Change of Control, if a definitive agreement is in place for the Change of Control at the time the Change of Control Offer or Alternate Offer is made.</w:t>
      </w:r>
    </w:p>
    <w:p>
      <w:pPr>
        <w:spacing w:after="0" w:line="175" w:lineRule="exact"/>
        <w:rPr>
          <w:rFonts w:ascii="Times New Roman" w:cs="Times New Roman" w:eastAsia="Times New Roman" w:hAnsi="Times New Roman"/>
          <w:sz w:val="18"/>
          <w:szCs w:val="18"/>
          <w:color w:val="auto"/>
        </w:rPr>
      </w:pPr>
    </w:p>
    <w:p>
      <w:pPr>
        <w:ind w:right="60" w:firstLine="987"/>
        <w:spacing w:after="0" w:line="255" w:lineRule="auto"/>
        <w:tabs>
          <w:tab w:leader="none" w:pos="121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upon consummation of a Change of Control Offer, Alternate Offer or other tender offer, less than 10% of the aggregate principal amount of the Notes (including, without limitation, Additional Notes, if any) that were originally issued are outstanding and held by Holders other than the Issuer or Affiliates thereof, the Issuer will have the right, upon not less than 10 nor more than 60 days prior notice, given not more than 30 days following the purchase pursuant to such offer to redeem all of the Notes that remain outstanding following such purchase at a redemption price equal to the price offered in such Change of Control Offer, Alternate Offer or other tender offer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to the extent not included in such amount, accrued and unpaid interest, if any, on the Notes that remain outstanding, to the date of redemption, subject to the rights of Holders of Notes on the relevant record date to receive interest on the relevant Interest Payment Date.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i w:val="1"/>
          <w:iCs w:val="1"/>
          <w:color w:val="auto"/>
        </w:rPr>
        <w:t>Additional Guarantees.</w:t>
      </w:r>
    </w:p>
    <w:p>
      <w:pPr>
        <w:spacing w:after="0" w:line="22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after the Issue Date, any Restricted Subsidiary of the Issuer that is not already a Guarantor guarantees or otherwise becomes an obligor with respect to any other Indebtedness of the Issuer or any Guarantor in excess of the De Minimis Guaranteed Amount, then such Restricted Subsidiary will become a Guarantor by executing a supplemental indenture in substantially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delivering it to the Trustee within 20 Business Days of the date on which it guaranteed or became an obligor with respect to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preceding shall not apply to Subsidiaries of the Issuer that have properly been designated as Unrestricted Subsidiaries in accordance with this Indenture for so long as they continue to constitute Unrestricted Subsidiaries. Notwithstanding the preceding, any Guarantee of a Restricted Subsidiary that was incurred pursuant to this paragraph shall be subject to all limitations and provisions described in Article 10, including provisions for the release of such Guarantee.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i w:val="1"/>
          <w:iCs w:val="1"/>
          <w:color w:val="auto"/>
        </w:rPr>
        <w:t>Designation of Restricted and Unrestricted Subsidiaries.</w:t>
      </w:r>
    </w:p>
    <w:p>
      <w:pPr>
        <w:spacing w:after="0" w:line="22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Issuer may after the Issue Date designate any Restricted Subsidiary to be an Unrestricted Subsidiary if that designation would not cause a Default. If a Restricted Subsidiary is designated as an Unrestricted Subsidiary after the Issue Date, the aggregate Fair Market Value of all outstanding Investments owned by the Issuer and its Restricted Subsidiaries in the Subsidiary designated as an Unrestricted Subsidiary will be deemed to either be an Investment made as a “Restricted Payment” as of the time of the designation that will reduce the amount available for Restricted Payments under Section 4.07(a) or represent a Permitted Investment under one or more clauses of the definition of “Permitted Investments,” as determined in good faith by the Issuer. That designation will only be permitted if the Investment would be permitted at that time and if the Subsidiary so designated otherwise meets the definition of an “Unrestricted Subsidiary.”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0" w:name="page91"/>
    <w:bookmarkEnd w:id="90"/>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designation of a Subsidiary of the Issuer as an Unrestricted Subsidiary will be evidenced to the Trustee by filing with the Trustee an Officers’ Certificate certifying that such designation complied with the preceding conditions and was permitted by Section 4.07.</w:t>
      </w:r>
    </w:p>
    <w:p>
      <w:pPr>
        <w:spacing w:after="0" w:line="16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Issuer may at any time designate any Unrestricted Subsidiary to be a Restricted Subsidiary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designation will be deemed to be an incurrence of Indebtedness and Liens by a Restricted Subsidiary of the Issuer of any outstanding Indebtedness of such Unrestricted Subsidiary, and such designation will only be permitted if (1) such Indebtedness is permitted under Section 4.09, with the Fixed Charge Coverage Ratio calculated on a pro forma basis as if such designation had occurred at the beginning of the applicable reference period; (2) such Indebtedness is permitted under Section 4.12; and (3) no Default or Event of Default would be in existence following such designation. If, at any time, any Unrestricted Subsidiary would fail to meet the preceding requirements as an Unrestricted Subsidiary, it will thereafter cease to be an Unrestricted Subsidiary for purposes of this Indenture and any Indebtedness and Liens of such Subsidiary will be deemed to be incurred by a Restricted Subsidiary of the Issuer as of such date and, if such Indebtedness or Liens are not permitted to be incurred as of such date under Sections 4.09 and/or 4.12, the Issuer will be in default of Section 4.09 and/or Section 4.12, as applicable.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i w:val="1"/>
          <w:iCs w:val="1"/>
          <w:color w:val="auto"/>
        </w:rPr>
        <w:t>Covenant Termination.</w:t>
      </w:r>
    </w:p>
    <w:p>
      <w:pPr>
        <w:spacing w:after="0" w:line="22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Notwithstanding any provision of this Indenture or of the Notes to the contrary, if at any time following the Issue Date (a) the Notes are rated Baa3 or better by Moody’s or BBB- or better by S&amp;P (or, if either such entity ceases to rate the Notes for reasons outside of the control of the Issuer, the equivalent investment grade credit rating from any other “nationally recognized statistical rating organization” within the meaning of Section 3(a)(62) of the Exchange Act selected by the Issuer as a replacement agency), (b) no Default or Event of Default shall have occurred and be continuing under this Indenture and (c) the Issuer has delivered to the Trustee an Officers’ Certificate certifying to such events, Sections 3.10, 4.07, 4.08, 4.09, 4.10, 4.11 and 4.17 and Section 5.01(a)(4) of this Indenture will thereafter terminate and no Default or Event of Default shall result from any failure to comply with any of the provisions of such Sections.</w:t>
      </w:r>
    </w:p>
    <w:p>
      <w:pPr>
        <w:spacing w:after="0" w:line="18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have no duty to monitor the ratings of the Notes, shall not be deemed to have knowledge of the ratings of the Notes and may conclusively rely on any Officers’ Certificate provided by the Issuer with respect to the ratings of the Notes. The Trustee shall have no duty to notify the Holders whether the Issuer and its Restricted Subsidiaries are subject to the covenants described in this Article 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SUCCESSORS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Merger, Consolidation or Sale of Assets.</w:t>
      </w:r>
    </w:p>
    <w:p>
      <w:pPr>
        <w:spacing w:after="0" w:line="227" w:lineRule="exact"/>
        <w:rPr>
          <w:sz w:val="20"/>
          <w:szCs w:val="20"/>
          <w:color w:val="auto"/>
        </w:rPr>
      </w:pPr>
    </w:p>
    <w:p>
      <w:pPr>
        <w:ind w:right="480" w:firstLine="987"/>
        <w:spacing w:after="0" w:line="266"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 directly or indirectly, (x) consolidate or merge with or into another Person (whether or not the Issuer is the survivor), or (y) sell, assign, transfer, convey, lease or otherwise dispose of all or substantially all of its properties or assets, in one or more related transactions, to another Person, unless:</w:t>
      </w:r>
    </w:p>
    <w:p>
      <w:pPr>
        <w:spacing w:after="0" w:line="67" w:lineRule="exact"/>
        <w:rPr>
          <w:rFonts w:ascii="Times New Roman" w:cs="Times New Roman" w:eastAsia="Times New Roman" w:hAnsi="Times New Roman"/>
          <w:sz w:val="18"/>
          <w:szCs w:val="18"/>
          <w:color w:val="auto"/>
        </w:rPr>
      </w:pPr>
    </w:p>
    <w:p>
      <w:pPr>
        <w:ind w:left="440" w:firstLine="948"/>
        <w:spacing w:after="0" w:line="258" w:lineRule="auto"/>
        <w:tabs>
          <w:tab w:leader="none" w:pos="164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(a) the Issuer is the surviving Person or (b) the Person formed by or surviving any such consolidation or merger (if other than the Issuer) or to which such sale, assignment, transfer, conveyance, lease or other disposition has been made is a Person organized or existing under the laws of the United States, any state of the United States or the District of Columbia;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any time such surviving Person is a limited liability company or limited partnership, there shall be a co-issuer of the Notes that is a corporation organized or existing under the laws of the United States, any state of the United States or the District of Columbia;</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91" w:name="page92"/>
    <w:bookmarkEnd w:id="91"/>
    <w:p>
      <w:pPr>
        <w:ind w:left="440" w:right="260" w:firstLine="948"/>
        <w:spacing w:after="0" w:line="266" w:lineRule="auto"/>
        <w:tabs>
          <w:tab w:leader="none" w:pos="164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Person formed by or surviving any such consolidation or merger (if other than the Issuer) or the Person to which such sale, assignment, transfer, conveyance, lease or other disposition has been made assumes all the obligations of the Issuer under the Notes and this Indenture pursuant to a supplemental indenture or other agreement in a form reasonably satisfactory to the Trustee;</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w:t>
      </w:r>
    </w:p>
    <w:p>
      <w:pPr>
        <w:spacing w:after="0" w:line="117"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4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any related financing transaction on a pro forma basis as if the same had occurred at the beginning of the applicable four-quarter period, either</w:t>
      </w:r>
    </w:p>
    <w:p>
      <w:pPr>
        <w:spacing w:after="0" w:line="53" w:lineRule="exact"/>
        <w:rPr>
          <w:rFonts w:ascii="Times New Roman" w:cs="Times New Roman" w:eastAsia="Times New Roman" w:hAnsi="Times New Roman"/>
          <w:sz w:val="18"/>
          <w:szCs w:val="18"/>
          <w:color w:val="auto"/>
        </w:rPr>
      </w:pPr>
    </w:p>
    <w:p>
      <w:pPr>
        <w:ind w:left="980" w:right="280" w:firstLine="910"/>
        <w:spacing w:after="0" w:line="266" w:lineRule="auto"/>
        <w:tabs>
          <w:tab w:leader="none" w:pos="2177"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the Person formed by or surviving any such consolidation or merger (if other than the Issuer), or to which such sale, assignment, transfer, conveyance, lease or other disposition has been made, would be permitted to incur at least $1.00 of additional Indebtedness pursuant to the Fixed Charge Coverage Ratio test set forth in Section 4.09(a); or</w:t>
      </w:r>
    </w:p>
    <w:p>
      <w:pPr>
        <w:spacing w:after="0" w:line="67" w:lineRule="exact"/>
        <w:rPr>
          <w:rFonts w:ascii="Times New Roman" w:cs="Times New Roman" w:eastAsia="Times New Roman" w:hAnsi="Times New Roman"/>
          <w:sz w:val="18"/>
          <w:szCs w:val="18"/>
          <w:color w:val="auto"/>
        </w:rPr>
      </w:pPr>
    </w:p>
    <w:p>
      <w:pPr>
        <w:ind w:left="980" w:right="120" w:firstLine="910"/>
        <w:spacing w:after="0" w:line="266" w:lineRule="auto"/>
        <w:tabs>
          <w:tab w:leader="none" w:pos="2167"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 Coverage Ratio of the Issuer or the Person formed by or surviving any such consolidation or merger (if other than the Issuer), or to which such sale, assignment, transfer, conveyance, lease or other disposition has been made, is equal to or greater than the Fixed Charge Coverage Ratio of the Issuer immediately prior to such transaction; and</w:t>
      </w:r>
    </w:p>
    <w:p>
      <w:pPr>
        <w:spacing w:after="0" w:line="67" w:lineRule="exact"/>
        <w:rPr>
          <w:rFonts w:ascii="Times New Roman" w:cs="Times New Roman" w:eastAsia="Times New Roman" w:hAnsi="Times New Roman"/>
          <w:sz w:val="18"/>
          <w:szCs w:val="18"/>
          <w:color w:val="auto"/>
        </w:rPr>
      </w:pPr>
    </w:p>
    <w:p>
      <w:pPr>
        <w:ind w:left="440" w:right="240" w:firstLine="948"/>
        <w:spacing w:after="0" w:line="282" w:lineRule="auto"/>
        <w:tabs>
          <w:tab w:leader="none" w:pos="164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delivered to the Trustee an Officers’ Certificate and an Opinion of Counsel, each stating that such consolidation, merger or disposition and such supplemental indenture, if any, comply with this Indenture.</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restrictions described in Sections 5.01(a)(3), 5.01(a)(4) or 5.01(a)(5), (i) any Restricted Subsidiary of the Issuer may consolidate with or merge into the Issuer and (ii) the Issuer may consolidate with or merge into or dispose all or substantially all of its properties or assets to any Guarantor; and the Issuer, in the case of clause (i) or (ii), will not be required to comply with Sections 5.01(a)(3), 5.01(a)(4) or 5.01(a)(5) in connection with any such consolidation, merger or disposition.</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5.01(a), the Issuer may reorganize as any other form of entity in accordance with the following procedures:</w:t>
      </w:r>
    </w:p>
    <w:p>
      <w:pPr>
        <w:spacing w:after="0" w:line="117"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4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involves the conversion (by merger, sale, contribution or exchange of assets or otherwise) of the Issuer into a form of entity other than a corporation formed under Delaware law;</w:t>
      </w:r>
    </w:p>
    <w:p>
      <w:pPr>
        <w:spacing w:after="0" w:line="53" w:lineRule="exact"/>
        <w:rPr>
          <w:rFonts w:ascii="Times New Roman" w:cs="Times New Roman" w:eastAsia="Times New Roman" w:hAnsi="Times New Roman"/>
          <w:sz w:val="18"/>
          <w:szCs w:val="18"/>
          <w:color w:val="auto"/>
        </w:rPr>
      </w:pPr>
    </w:p>
    <w:p>
      <w:pPr>
        <w:ind w:left="440" w:right="480" w:firstLine="948"/>
        <w:spacing w:after="0" w:line="282" w:lineRule="auto"/>
        <w:tabs>
          <w:tab w:leader="none" w:pos="164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so formed by or resulting from such reorganization is an entity organized or existing under the laws of the United States, any state thereof or the District of Columbia;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92" w:name="page93"/>
    <w:bookmarkEnd w:id="92"/>
    <w:p>
      <w:pPr>
        <w:ind w:left="440" w:right="240" w:firstLine="948"/>
        <w:spacing w:after="0" w:line="282" w:lineRule="auto"/>
        <w:tabs>
          <w:tab w:leader="none" w:pos="164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entity so formed by or resulting from such reorganization assumes all the obligations of the Issuer under the Notes and this Indenture pursuant to a supplemental indenture or other agreement in a form reasonably satisfactory to the Trustee;</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reorganization no Default or Event of Default exists; and</w:t>
      </w:r>
    </w:p>
    <w:p>
      <w:pPr>
        <w:spacing w:after="0" w:line="117" w:lineRule="exact"/>
        <w:rPr>
          <w:rFonts w:ascii="Times New Roman" w:cs="Times New Roman" w:eastAsia="Times New Roman" w:hAnsi="Times New Roman"/>
          <w:sz w:val="18"/>
          <w:szCs w:val="18"/>
          <w:color w:val="auto"/>
        </w:rPr>
      </w:pPr>
    </w:p>
    <w:p>
      <w:pPr>
        <w:ind w:left="440" w:firstLine="948"/>
        <w:spacing w:after="0" w:line="261" w:lineRule="auto"/>
        <w:tabs>
          <w:tab w:leader="none" w:pos="164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reorganization is not materially adverse to the Holders or Beneficial Owners of the Notes (for purposes of this clause (5) a reorganization will not be considered materially adverse to the Holders or Beneficial Owners of the Notes solely because the successor or survivor of such reorganization (a) is subject to federal or state income taxation as an entity or (b) is considered to be an “includible corporation” of an affiliated group of corporations within the meaning of Section 1504(b) of the Code or any similar state or local law).</w:t>
      </w:r>
    </w:p>
    <w:p>
      <w:pPr>
        <w:spacing w:after="0" w:line="179"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Guarantor may not sell or otherwise dispose of, in one or a series of related transactions, all or substantially all of its properties or assets to, or consolidate with or merge with or into (whether or not such Guarantor is the surviving Person) another Person, other than the Issuer or another Guarantor, unless:</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related transactions, no Default or Event of Default exists;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jc w:val="both"/>
        <w:ind w:left="980" w:right="420" w:firstLine="910"/>
        <w:spacing w:after="0" w:line="266" w:lineRule="auto"/>
        <w:tabs>
          <w:tab w:leader="none" w:pos="2177"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surviving any such consolidation or merger (if other than the Guarantor) unconditionally assumes all the obligations of that Guarantor under its Guarantee and this Indenture pursuant to a supplemental indenture or other agreement in form reasonably satisfactory to the Trustee; or</w:t>
      </w:r>
    </w:p>
    <w:p>
      <w:pPr>
        <w:spacing w:after="0" w:line="6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or series of transactions does not violate Section 4.10.</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case of any such consolidation, merger, sale or other disposition and upon the assumption by the successor Person, by supplemental indenture, executed and delivered to the Trustee and satisfactory in form to the Trustee, of the Guarantee of the Guarantor and the due and punctual performance of all of the covenants and conditions of this Indenture to be performed by the Guarantor, such successor Person will succeed to and be substituted for the Guarantor with the same effect as if it had been named herein as a Guarantor.</w:t>
      </w:r>
    </w:p>
    <w:p>
      <w:pPr>
        <w:spacing w:after="0" w:line="180" w:lineRule="exact"/>
        <w:rPr>
          <w:sz w:val="20"/>
          <w:szCs w:val="20"/>
          <w:color w:val="auto"/>
        </w:rPr>
      </w:pPr>
    </w:p>
    <w:p>
      <w:pPr>
        <w:ind w:right="100" w:firstLine="987"/>
        <w:spacing w:after="0" w:line="261" w:lineRule="auto"/>
        <w:tabs>
          <w:tab w:leader="none" w:pos="123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5.01, the transfer (by lease, assignment, sale or otherwise, in a single transaction or series of transactions) of all or substantially all of the properties or assets of one or more Restricted Subsidiaries of the Issuer, the Capital Stock of which constitutes all or substantially all of the properties or assets of the Issuer, shall be deemed to be the transfer of all or substantially all of the properties or assets of the Issuer.</w:t>
      </w:r>
    </w:p>
    <w:p>
      <w:pPr>
        <w:spacing w:after="0" w:line="179" w:lineRule="exact"/>
        <w:rPr>
          <w:rFonts w:ascii="Times New Roman" w:cs="Times New Roman" w:eastAsia="Times New Roman" w:hAnsi="Times New Roman"/>
          <w:sz w:val="18"/>
          <w:szCs w:val="18"/>
          <w:color w:val="auto"/>
        </w:rPr>
      </w:pPr>
    </w:p>
    <w:p>
      <w:pPr>
        <w:ind w:right="140" w:firstLine="987"/>
        <w:spacing w:after="0" w:line="274" w:lineRule="auto"/>
        <w:tabs>
          <w:tab w:leader="none" w:pos="1216"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93" w:name="page94"/>
    <w:bookmarkEnd w:id="9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Times New Roman" w:cs="Times New Roman" w:eastAsia="Times New Roman" w:hAnsi="Times New Roman"/>
          <w:sz w:val="18"/>
          <w:szCs w:val="18"/>
          <w:i w:val="1"/>
          <w:iCs w:val="1"/>
          <w:color w:val="auto"/>
        </w:rPr>
        <w:t>Successor Issuer Substituted.</w:t>
      </w:r>
    </w:p>
    <w:p>
      <w:pPr>
        <w:spacing w:after="0" w:line="227"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assignment, transfer, conveyance, lease or other disposition of all or substantially all of the properties or assets of the Issuer in a transaction that is subject to, and that complies with the provisions of, Section 5.01 in which the Issuer is not the surviving or successor Person, the successor Person formed by such consolidation or into or with which the Issuer is merged or to which such sale, assignment, transfer, conveyance, lease or other disposition is made shall succeed to, and be substituted for, and may exercise every right and power of the Issuer under this Indenture with the same effect as if such successor Person had been named as the predecessor Issuer herein and shall be substituted for the Issuer (so that from and after the date of such consolidation, merger, sale, assignment, transfer, lease, conveyance or other disposition, the provisions of this Indenture referring to the “Issuer” shall refer instead to the successor Person and not to the predecessor Issuer) and such predecessor Issuer shall be discharged and released from all of its obligations and covenants under this Indenture and the Notes and the Trustee shall enter into a supplemental indenture to evidence the succession and substitution of such successor and such discharge and release of such predecessor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predecessor Issuer shall not be relieved from the obligation to pay the principal of, or premium or interest, if any,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 the case of a lease of all or substantially all of the Issuer’s properties or assets in a transaction that is subject to, and that complies with the provisions of, Section 5.01.</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the following is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40" w:hanging="253"/>
        <w:spacing w:after="0"/>
        <w:tabs>
          <w:tab w:leader="none" w:pos="12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Notes;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(at Stated Maturity, upon redemption or otherwise) of the principal of, or premium, if any,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firstLine="987"/>
        <w:spacing w:after="0" w:line="266" w:lineRule="auto"/>
        <w:tabs>
          <w:tab w:leader="none" w:pos="12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for 30 days after written notice has been given, by certified mail, (1) to the Issuer by the Trustee or (2) to the Issuer and the Trustee by the Holders of at least 25% in aggregate principal amount of the Notes then outstanding to comply with its obligations to offer to repurchase or repurchase the Notes described under Section 3.10, 4.10 or 4.15;</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to comply with Section 5.01;</w:t>
      </w:r>
    </w:p>
    <w:p>
      <w:pPr>
        <w:spacing w:after="0" w:line="225" w:lineRule="exact"/>
        <w:rPr>
          <w:rFonts w:ascii="Times New Roman" w:cs="Times New Roman" w:eastAsia="Times New Roman" w:hAnsi="Times New Roman"/>
          <w:sz w:val="18"/>
          <w:szCs w:val="18"/>
          <w:color w:val="auto"/>
        </w:rPr>
      </w:pPr>
    </w:p>
    <w:p>
      <w:pPr>
        <w:ind w:right="400" w:firstLine="987"/>
        <w:spacing w:after="0" w:line="282" w:lineRule="auto"/>
        <w:tabs>
          <w:tab w:leader="none" w:pos="12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for 180 days after written notice has been given, by certified mail, (1) to the Issuer by the Trustee or (2) to the Issuer and the Trustee by the Holders of at least 25% in aggregate principal amount of the Notes then outstanding to comply with Section 4.03;</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21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for 60 days after written notice has been given, by certified mail, (1) to the Issuer by the Trustee or (2) to the Issuer and the Trustee by the Holders of at least 25% in aggregate principal amount of the Notes then outstanding to comply with any of the other agreements in this Indenture;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68" w:right="459" w:bottom="1440" w:gutter="0" w:footer="0" w:header="0"/>
        </w:sectPr>
      </w:pPr>
    </w:p>
    <w:bookmarkStart w:id="94" w:name="page95"/>
    <w:bookmarkEnd w:id="94"/>
    <w:p>
      <w:pPr>
        <w:ind w:right="160" w:firstLine="987"/>
        <w:spacing w:after="0" w:line="266" w:lineRule="auto"/>
        <w:tabs>
          <w:tab w:leader="none" w:pos="124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under any mortgage, indenture or instrument under which there is issued or by which there is secured or evidenced any Indebtedness for money borrowed by the Issuer or any of its Restricted Subsidiaries (or the payment of which is guaranteed by the Issuer or any of its Restricted Subsidiaries), whether such Indebtedness or guarantee now exists, or is created after the Issue Date, if that default:</w:t>
      </w:r>
    </w:p>
    <w:p>
      <w:pPr>
        <w:spacing w:after="0" w:line="67" w:lineRule="exact"/>
        <w:rPr>
          <w:rFonts w:ascii="Times New Roman" w:cs="Times New Roman" w:eastAsia="Times New Roman" w:hAnsi="Times New Roman"/>
          <w:sz w:val="18"/>
          <w:szCs w:val="18"/>
          <w:color w:val="auto"/>
        </w:rPr>
      </w:pPr>
    </w:p>
    <w:p>
      <w:pPr>
        <w:ind w:left="440" w:firstLine="948"/>
        <w:spacing w:after="0" w:line="282" w:lineRule="auto"/>
        <w:tabs>
          <w:tab w:leader="none" w:pos="164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of, or interest or premium, if any, on, such Indebtedness prior to the expiration of the grace period provided in such Indebtedness on the date of such default (a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express maturity,</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$50.0 million and, within 20 Business Days of such Payment Default or acceleration, such Indebtedness has not been discharged or such Payment Default has not been cured or such acceleration has not been rescinded or annulled;</w:t>
      </w:r>
    </w:p>
    <w:p>
      <w:pPr>
        <w:spacing w:after="0" w:line="180" w:lineRule="exact"/>
        <w:rPr>
          <w:sz w:val="20"/>
          <w:szCs w:val="20"/>
          <w:color w:val="auto"/>
        </w:rPr>
      </w:pPr>
    </w:p>
    <w:p>
      <w:pPr>
        <w:ind w:right="100" w:firstLine="987"/>
        <w:spacing w:after="0" w:line="266" w:lineRule="auto"/>
        <w:tabs>
          <w:tab w:leader="none" w:pos="124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or any of its Restricted Subsidiaries to pay final judgments entered by a court or courts of competent jurisdiction aggregating in excess of $50.0 million (to the extent not covered by insurance by a reputable and creditworthy insurer as to which the insurer has not disclaimed coverage), which judgments are not paid, discharged or stayed, for a period of 60 days;</w:t>
      </w:r>
    </w:p>
    <w:p>
      <w:pPr>
        <w:spacing w:after="0" w:line="175" w:lineRule="exact"/>
        <w:rPr>
          <w:rFonts w:ascii="Times New Roman" w:cs="Times New Roman" w:eastAsia="Times New Roman" w:hAnsi="Times New Roman"/>
          <w:sz w:val="18"/>
          <w:szCs w:val="18"/>
          <w:color w:val="auto"/>
        </w:rPr>
      </w:pPr>
    </w:p>
    <w:p>
      <w:pPr>
        <w:ind w:right="200" w:firstLine="987"/>
        <w:spacing w:after="0" w:line="282" w:lineRule="auto"/>
        <w:tabs>
          <w:tab w:leader="none" w:pos="120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of the Issuer’s Restricted Subsidiaries that is a Significant Subsidiary or any group of Restricted Subsidiaries of the Issuer that, taken together, would constitute a Significant Subsidiary pursuant to or within the meaning of Bankruptcy Law:</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440" w:right="520" w:firstLine="948"/>
        <w:spacing w:after="0" w:line="282" w:lineRule="auto"/>
        <w:tabs>
          <w:tab w:leader="none" w:pos="164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Issuer or any of the Issuer’s Restricted Subsidiaries that is a Significant Subsidiary or any group of Restricted Subsidiaries of the Issuer that, taken together, would constitute a Significant Subsidiary in an involuntary case;</w:t>
      </w:r>
    </w:p>
    <w:p>
      <w:pPr>
        <w:spacing w:after="0" w:line="53"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4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Issuer or any of the Issuer’s Restricted Subsidiaries that is a Significant Subsidiary or any group of Restricted Subsidiaries of the Issuer that, taken together, would constitute a Significant Subsidiary or for all or substantially all of the property of the Issuer or any of its Restricted Subsidiaries that is a Significant Subsidiary or any group of Restricted Subsidiaries of the Issuer that, taken together, would constitute a Significant Subsidiary; or</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20"/>
          </w:cols>
          <w:pgMar w:left="440" w:top="270" w:right="539" w:bottom="1440" w:gutter="0" w:footer="0" w:header="0"/>
        </w:sectPr>
      </w:pPr>
    </w:p>
    <w:bookmarkStart w:id="95" w:name="page96"/>
    <w:bookmarkEnd w:id="95"/>
    <w:p>
      <w:pPr>
        <w:ind w:left="440" w:right="180" w:firstLine="948"/>
        <w:spacing w:after="0" w:line="282" w:lineRule="auto"/>
        <w:tabs>
          <w:tab w:leader="none" w:pos="164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orders the liquidation of the Issuer or any of the Issuer’s Restricted Subsidiaries that is a Significant Subsidiary or any group of Restricted Subsidiaries of the Issuer that, taken together, would constitute a Significant Subsidiary;</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consecutive days; and</w:t>
      </w:r>
    </w:p>
    <w:p>
      <w:pPr>
        <w:spacing w:after="0" w:line="225" w:lineRule="exact"/>
        <w:rPr>
          <w:sz w:val="20"/>
          <w:szCs w:val="20"/>
          <w:color w:val="auto"/>
        </w:rPr>
      </w:pPr>
    </w:p>
    <w:p>
      <w:pPr>
        <w:ind w:right="20" w:firstLine="987"/>
        <w:spacing w:after="0" w:line="266"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this Indenture, any Guarantee is held in any judicial proceeding to be unenforceable or invalid or ceases for any reason to be in full force and effect, or any Guarantor, or any Person acting on behalf of any Guarantor, denies or disaffirms its obligations under its Guarantee, except, in each case, by reason of the release of such Guarantee in accordance with this Indenture.</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w:t>
      </w:r>
    </w:p>
    <w:p>
      <w:pPr>
        <w:spacing w:after="0" w:line="22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case of an Event of Default specified in clause (i) or (j) of Section 6.01, with respect to the Issuer, any Restricted Subsidiary of the Issuer that is a Significant Subsidiary or any group of Restricted Subsidiaries of the Issuer that, taken together, would constitute a Significant Subsidiary, the outstanding principal of, and accrued and unpaid interest, if any, on, all outstanding Notes will become due and payable immediately without further action or notice. If any other Event of Default occurs and is continuing, the Trustee or the Holders of at least 25% in aggregate principal amount of the then outstanding Notes may declare the outstanding principal of, and accrued and unpaid interest, if any, on, all outstanding Notes to be due and payable immediately.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any such declaration, the Notes shall become due and payable immediately.</w:t>
      </w:r>
    </w:p>
    <w:p>
      <w:pPr>
        <w:spacing w:after="0" w:line="225"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then outstanding Notes by written notice to the Trustee may, on behalf of the Holders of all of the Notes, rescind an acceleration under this Indenture, if the rescission would not conflict with any judgment or decree, except a continuing Default or Event of Default in the payment of principal of, or interest or premium, if any, on, the Notes.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Other Remedies.</w:t>
      </w:r>
    </w:p>
    <w:p>
      <w:pPr>
        <w:spacing w:after="0" w:line="22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occurs and is continuing, and is actually known to a Responsible Officer of the Trustee, the Trustee may pursue any available remedy to collect the payment of principal of, premium on, if any, or interest on, the Notes or to enforce the performance of any provision of the Notes or this Indenture.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Waiver of Past Defaults.</w:t>
      </w:r>
    </w:p>
    <w:p>
      <w:pPr>
        <w:spacing w:after="0" w:line="22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principal of, premium on, if any, or interest on, the Notes or as otherwise specified in Section 9.02.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60"/>
          </w:cols>
          <w:pgMar w:left="440" w:top="270" w:right="499" w:bottom="1440" w:gutter="0" w:footer="0" w:header="0"/>
        </w:sectPr>
      </w:pPr>
    </w:p>
    <w:bookmarkStart w:id="96" w:name="page97"/>
    <w:bookmarkEnd w:id="9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6.05 </w:t>
      </w:r>
      <w:r>
        <w:rPr>
          <w:rFonts w:ascii="Times New Roman" w:cs="Times New Roman" w:eastAsia="Times New Roman" w:hAnsi="Times New Roman"/>
          <w:sz w:val="18"/>
          <w:szCs w:val="18"/>
          <w:i w:val="1"/>
          <w:iCs w:val="1"/>
          <w:color w:val="auto"/>
        </w:rPr>
        <w:t>Control by Majority.</w:t>
      </w:r>
    </w:p>
    <w:p>
      <w:pPr>
        <w:spacing w:after="0" w:line="22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of Notes or that may involve the Trustee in personal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affirmative duty to determine whether any direction is prejudicial to any other Holder).</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Limitation on Suits.</w:t>
      </w:r>
    </w:p>
    <w:p>
      <w:pPr>
        <w:spacing w:after="0" w:line="22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Except to enforce the right to receive payment of principal, premium, if any, or interest, if any, when due, no Holder of a Note may pursue any remedy with respect to this Indenture or the Notes unless:</w:t>
      </w:r>
    </w:p>
    <w:p>
      <w:pPr>
        <w:spacing w:after="0" w:line="54" w:lineRule="exact"/>
        <w:rPr>
          <w:sz w:val="20"/>
          <w:szCs w:val="20"/>
          <w:color w:val="auto"/>
        </w:rPr>
      </w:pPr>
    </w:p>
    <w:p>
      <w:pPr>
        <w:ind w:left="1240" w:hanging="253"/>
        <w:spacing w:after="0"/>
        <w:tabs>
          <w:tab w:leader="none" w:pos="12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is continuing;</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at least 25% in aggregate principal amount of the then outstanding Notes make a written request to the Trustee to pursue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remedy;</w:t>
      </w:r>
    </w:p>
    <w:p>
      <w:pPr>
        <w:spacing w:after="0" w:line="207" w:lineRule="exact"/>
        <w:rPr>
          <w:sz w:val="20"/>
          <w:szCs w:val="20"/>
          <w:color w:val="auto"/>
        </w:rPr>
      </w:pPr>
    </w:p>
    <w:p>
      <w:pPr>
        <w:ind w:right="60" w:firstLine="987"/>
        <w:spacing w:after="0" w:line="282"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offer and, if requested, provide to the Trustee security or indemnity satisfactory to the Trustee against any loss, liability or expense;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such request within 60 days after receipt of the request and the offer of security or indemnity; and</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Holders of a majority in aggregate principal amount of the then outstanding Notes do not give the Trustee a direction inconsistent with such request.</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of a Note or to obtain a preference or priority over another Holder of a Note.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Rights of Holders of Notes to Receive Payment.</w:t>
      </w:r>
    </w:p>
    <w:p>
      <w:pPr>
        <w:spacing w:after="0" w:line="22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the right of any Holder of a Note to receive payment of principal of, premium on, if any, or interest on, the Note, on or after the respective due dates expressed in the Note, or to bring suit for the enforcement of any such payment on or after such respective dates, shall not be amended or modified in a manner adverse to such Holder without the consent of such Holder.</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Collection Suit by Trustee.</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specified in Section 6.01(a) or (b) occurs and is continuing, the Trustee is authorized to recover judgment in its own name and as trustee of an express trust against the Issuer for the whole amount of principal of, premium on,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0"/>
          </w:cols>
          <w:pgMar w:left="440" w:top="268" w:right="479" w:bottom="1440" w:gutter="0" w:footer="0" w:header="0"/>
        </w:sectPr>
      </w:pPr>
    </w:p>
    <w:bookmarkStart w:id="97" w:name="page98"/>
    <w:bookmarkEnd w:id="9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6.09 </w:t>
      </w:r>
      <w:r>
        <w:rPr>
          <w:rFonts w:ascii="Times New Roman" w:cs="Times New Roman" w:eastAsia="Times New Roman" w:hAnsi="Times New Roman"/>
          <w:sz w:val="18"/>
          <w:szCs w:val="18"/>
          <w:i w:val="1"/>
          <w:iCs w:val="1"/>
          <w:color w:val="auto"/>
        </w:rPr>
        <w:t>Trustee May File Proofs of Claim.</w:t>
      </w:r>
    </w:p>
    <w:p>
      <w:pPr>
        <w:spacing w:after="0" w:line="22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Priorities.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6, it shall pay out the money in the following order:</w:t>
      </w:r>
    </w:p>
    <w:p>
      <w:pPr>
        <w:spacing w:after="0" w:line="115" w:lineRule="exact"/>
        <w:rPr>
          <w:sz w:val="20"/>
          <w:szCs w:val="20"/>
          <w:color w:val="auto"/>
        </w:rPr>
      </w:pPr>
    </w:p>
    <w:p>
      <w:pPr>
        <w:ind w:left="440" w:right="26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its agents and attorneys for amounts due under this Indenture, including payment of all compensation, expenses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incurred, and all advances made, by the Trustee and the costs and expenses of collection;</w:t>
      </w:r>
    </w:p>
    <w:p>
      <w:pPr>
        <w:spacing w:after="0" w:line="50" w:lineRule="exact"/>
        <w:rPr>
          <w:sz w:val="20"/>
          <w:szCs w:val="20"/>
          <w:color w:val="auto"/>
        </w:rPr>
      </w:pPr>
    </w:p>
    <w:p>
      <w:pPr>
        <w:ind w:left="44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of the Notes for amounts due and unpaid on the Notes for principal, interest and premium, if any, ratably,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 or priority of any kind, according to the amounts due and payable on the Notes for principal, interest and premium, if any, respectively; and</w:t>
      </w:r>
    </w:p>
    <w:p>
      <w:pPr>
        <w:spacing w:after="0" w:line="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Issuer or to such party as a court of competent jurisdiction shall direct.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of the Notes pursuant to this Section 6.10.</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Undertaking for Costs.</w:t>
      </w:r>
    </w:p>
    <w:p>
      <w:pPr>
        <w:spacing w:after="0" w:line="22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or a suit by Holders of more than 10% in aggregate principal amount of the then outstanding Notes.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440" w:top="268" w:right="479" w:bottom="1440" w:gutter="0" w:footer="0" w:header="0"/>
        </w:sectPr>
      </w:pPr>
    </w:p>
    <w:bookmarkStart w:id="98" w:name="page99"/>
    <w:bookmarkEnd w:id="98"/>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7</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TRUSTEE</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Duties of Trustee.</w:t>
      </w:r>
    </w:p>
    <w:p>
      <w:pPr>
        <w:spacing w:after="0" w:line="227" w:lineRule="exact"/>
        <w:rPr>
          <w:sz w:val="20"/>
          <w:szCs w:val="20"/>
          <w:color w:val="auto"/>
        </w:rPr>
      </w:pPr>
    </w:p>
    <w:p>
      <w:pPr>
        <w:jc w:val="both"/>
        <w:ind w:left="-100" w:right="200" w:firstLine="987"/>
        <w:spacing w:after="0" w:line="266" w:lineRule="auto"/>
        <w:tabs>
          <w:tab w:leader="none" w:pos="11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and is actually known to a Responsible Officer of the Trustee, the Trustee will exercise such of the rights and powers vested in it by this Indenture, and use the same degree of care and skill in its exercise, as a prudent man would exercise or use under the circumstances in the conduct of his own affairs under the same circumstances.</w:t>
      </w:r>
    </w:p>
    <w:p>
      <w:pPr>
        <w:spacing w:after="0" w:line="175" w:lineRule="exact"/>
        <w:rPr>
          <w:rFonts w:ascii="Times New Roman" w:cs="Times New Roman" w:eastAsia="Times New Roman" w:hAnsi="Times New Roman"/>
          <w:sz w:val="18"/>
          <w:szCs w:val="18"/>
          <w:color w:val="auto"/>
        </w:rPr>
      </w:pPr>
    </w:p>
    <w:p>
      <w:pPr>
        <w:ind w:left="1140" w:hanging="253"/>
        <w:spacing w:after="0"/>
        <w:tabs>
          <w:tab w:leader="none" w:pos="11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17" w:lineRule="exact"/>
        <w:rPr>
          <w:rFonts w:ascii="Times New Roman" w:cs="Times New Roman" w:eastAsia="Times New Roman" w:hAnsi="Times New Roman"/>
          <w:sz w:val="18"/>
          <w:szCs w:val="18"/>
          <w:color w:val="auto"/>
        </w:rPr>
      </w:pPr>
    </w:p>
    <w:p>
      <w:pPr>
        <w:jc w:val="both"/>
        <w:ind w:left="340" w:firstLine="948"/>
        <w:spacing w:after="0" w:line="266" w:lineRule="auto"/>
        <w:tabs>
          <w:tab w:leader="none" w:pos="154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67" w:lineRule="exact"/>
        <w:rPr>
          <w:rFonts w:ascii="Times New Roman" w:cs="Times New Roman" w:eastAsia="Times New Roman" w:hAnsi="Times New Roman"/>
          <w:sz w:val="18"/>
          <w:szCs w:val="18"/>
          <w:color w:val="auto"/>
        </w:rPr>
      </w:pPr>
    </w:p>
    <w:p>
      <w:pPr>
        <w:ind w:left="340" w:right="120" w:firstLine="948"/>
        <w:spacing w:after="0" w:line="289" w:lineRule="auto"/>
        <w:tabs>
          <w:tab w:leader="none" w:pos="1547"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57" w:lineRule="exact"/>
        <w:rPr>
          <w:rFonts w:ascii="Times New Roman" w:cs="Times New Roman" w:eastAsia="Times New Roman" w:hAnsi="Times New Roman"/>
          <w:sz w:val="17"/>
          <w:szCs w:val="17"/>
          <w:color w:val="auto"/>
        </w:rPr>
      </w:pPr>
    </w:p>
    <w:p>
      <w:pPr>
        <w:ind w:left="-100" w:firstLine="987"/>
        <w:spacing w:after="0" w:line="282" w:lineRule="auto"/>
        <w:tabs>
          <w:tab w:leader="none" w:pos="11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grossly negligent action, its own grossly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1540" w:hanging="252"/>
        <w:spacing w:after="0"/>
        <w:tabs>
          <w:tab w:leader="none" w:pos="15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 7.01;</w:t>
      </w:r>
    </w:p>
    <w:p>
      <w:pPr>
        <w:spacing w:after="0" w:line="117" w:lineRule="exact"/>
        <w:rPr>
          <w:rFonts w:ascii="Times New Roman" w:cs="Times New Roman" w:eastAsia="Times New Roman" w:hAnsi="Times New Roman"/>
          <w:sz w:val="18"/>
          <w:szCs w:val="18"/>
          <w:color w:val="auto"/>
        </w:rPr>
      </w:pPr>
    </w:p>
    <w:p>
      <w:pPr>
        <w:ind w:left="340" w:right="140" w:firstLine="948"/>
        <w:spacing w:after="0" w:line="282" w:lineRule="auto"/>
        <w:tabs>
          <w:tab w:leader="none" w:pos="154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error of judgment made in good faith by a Responsible Officer, unless it is proved that the Trustee was grossly negligent in ascertaining the pertinent facts; and</w:t>
      </w:r>
    </w:p>
    <w:p>
      <w:pPr>
        <w:spacing w:after="0" w:line="53" w:lineRule="exact"/>
        <w:rPr>
          <w:rFonts w:ascii="Times New Roman" w:cs="Times New Roman" w:eastAsia="Times New Roman" w:hAnsi="Times New Roman"/>
          <w:sz w:val="18"/>
          <w:szCs w:val="18"/>
          <w:color w:val="auto"/>
        </w:rPr>
      </w:pPr>
    </w:p>
    <w:p>
      <w:pPr>
        <w:ind w:left="340" w:right="420" w:firstLine="948"/>
        <w:spacing w:after="0" w:line="282" w:lineRule="auto"/>
        <w:tabs>
          <w:tab w:leader="none" w:pos="154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with respect to any action it takes or omits to take in good faith in accordance with a direction received by it pursuant to Section 6.05.</w:t>
      </w:r>
    </w:p>
    <w:p>
      <w:pPr>
        <w:spacing w:after="0" w:line="161" w:lineRule="exact"/>
        <w:rPr>
          <w:rFonts w:ascii="Times New Roman" w:cs="Times New Roman" w:eastAsia="Times New Roman" w:hAnsi="Times New Roman"/>
          <w:sz w:val="18"/>
          <w:szCs w:val="18"/>
          <w:color w:val="auto"/>
        </w:rPr>
      </w:pPr>
    </w:p>
    <w:p>
      <w:pPr>
        <w:ind w:left="-100" w:right="80" w:firstLine="987"/>
        <w:spacing w:after="0" w:line="282" w:lineRule="auto"/>
        <w:tabs>
          <w:tab w:leader="none" w:pos="114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that in any way relates to the Trustee is subject to this Section 7.01 and Section 7.02.</w:t>
      </w:r>
    </w:p>
    <w:p>
      <w:pPr>
        <w:spacing w:after="0" w:line="161" w:lineRule="exact"/>
        <w:rPr>
          <w:rFonts w:ascii="Times New Roman" w:cs="Times New Roman" w:eastAsia="Times New Roman" w:hAnsi="Times New Roman"/>
          <w:sz w:val="18"/>
          <w:szCs w:val="18"/>
          <w:color w:val="auto"/>
        </w:rPr>
      </w:pPr>
    </w:p>
    <w:p>
      <w:pPr>
        <w:ind w:left="-100" w:right="60" w:firstLine="987"/>
        <w:spacing w:after="0" w:line="266" w:lineRule="auto"/>
        <w:tabs>
          <w:tab w:leader="none" w:pos="11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will require the Trustee to expend or risk its own funds or incur any liability. The Trustee will be under no obligation to exercise any of the rights or powers under this Indenture at the request or direction of any Holders of the Notes unless such Holders have offered, and if requested, provided to the Trustee indemnity or security satisfactory to the Trustee against any loss, liability or expense.</w:t>
      </w:r>
    </w:p>
    <w:p>
      <w:pPr>
        <w:spacing w:after="0" w:line="175" w:lineRule="exact"/>
        <w:rPr>
          <w:rFonts w:ascii="Times New Roman" w:cs="Times New Roman" w:eastAsia="Times New Roman" w:hAnsi="Times New Roman"/>
          <w:sz w:val="18"/>
          <w:szCs w:val="18"/>
          <w:color w:val="auto"/>
        </w:rPr>
      </w:pPr>
    </w:p>
    <w:p>
      <w:pPr>
        <w:ind w:left="-100" w:right="440" w:firstLine="987"/>
        <w:spacing w:after="0" w:line="282" w:lineRule="auto"/>
        <w:tabs>
          <w:tab w:leader="none" w:pos="111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interest on any money received by it except as the Trustee may agree in writing with the Issuer. Money held in trust by the Trustee need not be segregated from other funds except to the extent required by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820"/>
          </w:cols>
          <w:pgMar w:left="540" w:top="270" w:right="539" w:bottom="1440" w:gutter="0" w:footer="0" w:header="0"/>
        </w:sectPr>
      </w:pPr>
    </w:p>
    <w:bookmarkStart w:id="99" w:name="page100"/>
    <w:bookmarkEnd w:id="9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7.02 </w:t>
      </w:r>
      <w:r>
        <w:rPr>
          <w:rFonts w:ascii="Times New Roman" w:cs="Times New Roman" w:eastAsia="Times New Roman" w:hAnsi="Times New Roman"/>
          <w:sz w:val="18"/>
          <w:szCs w:val="18"/>
          <w:i w:val="1"/>
          <w:iCs w:val="1"/>
          <w:color w:val="auto"/>
        </w:rPr>
        <w:t>Rights of Trustee.</w:t>
      </w:r>
    </w:p>
    <w:p>
      <w:pPr>
        <w:spacing w:after="0" w:line="227" w:lineRule="exact"/>
        <w:rPr>
          <w:sz w:val="20"/>
          <w:szCs w:val="20"/>
          <w:color w:val="auto"/>
        </w:rPr>
      </w:pPr>
    </w:p>
    <w:p>
      <w:pPr>
        <w:ind w:right="20" w:firstLine="987"/>
        <w:spacing w:after="0" w:line="266" w:lineRule="auto"/>
        <w:tabs>
          <w:tab w:leader="none" w:pos="12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w:t>
      </w:r>
    </w:p>
    <w:p>
      <w:pPr>
        <w:spacing w:after="0" w:line="175" w:lineRule="exact"/>
        <w:rPr>
          <w:rFonts w:ascii="Times New Roman" w:cs="Times New Roman" w:eastAsia="Times New Roman" w:hAnsi="Times New Roman"/>
          <w:sz w:val="18"/>
          <w:szCs w:val="18"/>
          <w:color w:val="auto"/>
        </w:rPr>
      </w:pPr>
    </w:p>
    <w:p>
      <w:pPr>
        <w:jc w:val="both"/>
        <w:ind w:right="200" w:firstLine="987"/>
        <w:spacing w:after="0" w:line="261"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spacing w:after="0" w:line="179" w:lineRule="exact"/>
        <w:rPr>
          <w:rFonts w:ascii="Times New Roman" w:cs="Times New Roman" w:eastAsia="Times New Roman" w:hAnsi="Times New Roman"/>
          <w:sz w:val="18"/>
          <w:szCs w:val="18"/>
          <w:color w:val="auto"/>
        </w:rPr>
      </w:pPr>
    </w:p>
    <w:p>
      <w:pPr>
        <w:ind w:right="640" w:firstLine="987"/>
        <w:spacing w:after="0" w:line="282" w:lineRule="auto"/>
        <w:tabs>
          <w:tab w:leader="none" w:pos="12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will not be responsible for the misconduct or negligence of any agent appointed with due care.</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that it believes to be authorized or within the rights or powers conferred upon it by this Indenture.</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Issuer will be sufficient if signed by an Officer of the Issuer.</w:t>
      </w:r>
    </w:p>
    <w:p>
      <w:pPr>
        <w:spacing w:after="0" w:line="161" w:lineRule="exact"/>
        <w:rPr>
          <w:rFonts w:ascii="Times New Roman" w:cs="Times New Roman" w:eastAsia="Times New Roman" w:hAnsi="Times New Roman"/>
          <w:sz w:val="18"/>
          <w:szCs w:val="18"/>
          <w:color w:val="auto"/>
        </w:rPr>
      </w:pPr>
    </w:p>
    <w:p>
      <w:pPr>
        <w:ind w:right="120" w:firstLine="987"/>
        <w:spacing w:after="0" w:line="258" w:lineRule="auto"/>
        <w:tabs>
          <w:tab w:leader="none" w:pos="121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be under no obligation to exercise any of the rights or powers vested in it by this Indenture at the request or direction of any of the Holders unless such Holders have offered to the Trustee indemnity or security satisfactory to it against the losses, liabilities and expenses that might be incurred by it in compliance with such request or direction. In no event shall the Trustee be liable to any Person for special, punitive, indirect, incidental, consequential or incidental loss or damage of any kind whatsoever (including, but not limited to, lost profits) for any action it takes or omits to take, even if the Trustee has been advised of the likelihood of such loss or damage.</w:t>
      </w:r>
    </w:p>
    <w:p>
      <w:pPr>
        <w:spacing w:after="0" w:line="183"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 Default or an Event of Default unless a Responsible Officer of the Trustee has actual knowledge of such Default or Event of Default.</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7.01(b)(2), the Trustee shall not be bound to make any investigation into the facts or matters stated in any resolution, certificate, statement, instrument, opinion, report, notice, request, direction, consent, order, judgment, bond, debenture, note, other evidence of indebtedness or other paper or document, but the Trustee, in its discretion, may make such further inquiry or investigation into such facts or matters as it may see fit.</w:t>
      </w:r>
    </w:p>
    <w:p>
      <w:pPr>
        <w:spacing w:after="0" w:line="179" w:lineRule="exact"/>
        <w:rPr>
          <w:rFonts w:ascii="Times New Roman" w:cs="Times New Roman" w:eastAsia="Times New Roman" w:hAnsi="Times New Roman"/>
          <w:sz w:val="18"/>
          <w:szCs w:val="18"/>
          <w:color w:val="auto"/>
        </w:rPr>
      </w:pPr>
    </w:p>
    <w:p>
      <w:pPr>
        <w:ind w:right="160" w:firstLine="987"/>
        <w:spacing w:after="0" w:line="266" w:lineRule="auto"/>
        <w:tabs>
          <w:tab w:leader="none" w:pos="120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2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Notes, except for the Trustee’s certificates of authentication, shall be taken as the statements of the Issuer and the Guarantors, as applicable, and shall not be taken as the statements of the Trustee, and the Trustee assumes no responsibility for their correctness. The Trustee makes no representations as to the validity or sufficiency of this Indenture or of the Notes, except that the Trustee represents that it is duly authorized to execute and deliver this Indenture, authenticate the Notes and perform its obligations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68" w:right="459" w:bottom="1440" w:gutter="0" w:footer="0" w:header="0"/>
        </w:sectPr>
      </w:pPr>
    </w:p>
    <w:bookmarkStart w:id="100" w:name="page101"/>
    <w:bookmarkEnd w:id="100"/>
    <w:p>
      <w:pPr>
        <w:ind w:right="160" w:firstLine="987"/>
        <w:spacing w:after="0" w:line="282" w:lineRule="auto"/>
        <w:tabs>
          <w:tab w:leader="none" w:pos="120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have no duty to ascertain or inquire as to the performance or observance of any of the terms of this Indenture or any other documents or agreements entered into in connection with the transactions contemplated hereby by the Issuer or any other party hereto.</w:t>
      </w:r>
    </w:p>
    <w:p>
      <w:pPr>
        <w:spacing w:after="0" w:line="161" w:lineRule="exact"/>
        <w:rPr>
          <w:rFonts w:ascii="Times New Roman" w:cs="Times New Roman" w:eastAsia="Times New Roman" w:hAnsi="Times New Roman"/>
          <w:sz w:val="18"/>
          <w:szCs w:val="18"/>
          <w:color w:val="auto"/>
        </w:rPr>
      </w:pPr>
    </w:p>
    <w:p>
      <w:pPr>
        <w:ind w:right="40" w:firstLine="987"/>
        <w:spacing w:after="0" w:line="277" w:lineRule="auto"/>
        <w:tabs>
          <w:tab w:leader="none" w:pos="1296"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responsible or liable for any failure or delay in the performance of its obligations under this Indenture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Individual Rights of Trustee.</w:t>
      </w:r>
    </w:p>
    <w:p>
      <w:pPr>
        <w:spacing w:after="0" w:line="22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(as defined in the TIA) after a Default has occurred and is continuing it must eliminate such conflict within 90 days or resign. Any Agent may do the same with like rights and duties. The Trustee is also subject to Section 7.10.</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Trustee’s Disclaimer.</w:t>
      </w:r>
    </w:p>
    <w:p>
      <w:pPr>
        <w:spacing w:after="0" w:line="22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Trustee will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Notice of Defaults.</w:t>
      </w:r>
    </w:p>
    <w:p>
      <w:pPr>
        <w:spacing w:after="0" w:line="22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If a Default or Event of Default occurs and is continuing and if it is actually known to a Responsible Officer of the Trustee, the Trustee will send to Holders of the Notes a notice of the Default or Event of Default within 90 days after the Trustee gains knowledge of any such Default or Event of Default unless such Default or Event of Default shall have been cured or waived before the giving of such notice. Except in the case of a Default or Event of Default in payment of principal of, premium on, if any, or interest on, any Note, the Trustee may withhold the notice if and so long as a committee of its Responsible Officers in good faith determines that withholding the notice is in the interests of the Holders of the Notes.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[Reserved].</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0"/>
          </w:cols>
          <w:pgMar w:left="440" w:top="270" w:right="479" w:bottom="1440" w:gutter="0" w:footer="0" w:header="0"/>
        </w:sectPr>
      </w:pPr>
    </w:p>
    <w:bookmarkStart w:id="101" w:name="page102"/>
    <w:bookmarkEnd w:id="101"/>
    <w:p>
      <w:pPr>
        <w:ind w:lef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7.07 </w:t>
      </w:r>
      <w:r>
        <w:rPr>
          <w:rFonts w:ascii="Times New Roman" w:cs="Times New Roman" w:eastAsia="Times New Roman" w:hAnsi="Times New Roman"/>
          <w:sz w:val="18"/>
          <w:szCs w:val="18"/>
          <w:i w:val="1"/>
          <w:iCs w:val="1"/>
          <w:color w:val="auto"/>
        </w:rPr>
        <w:t>Compensation and Indemnity.</w:t>
      </w:r>
    </w:p>
    <w:p>
      <w:pPr>
        <w:spacing w:after="0" w:line="227" w:lineRule="exact"/>
        <w:rPr>
          <w:sz w:val="20"/>
          <w:szCs w:val="20"/>
          <w:color w:val="auto"/>
        </w:rPr>
      </w:pPr>
    </w:p>
    <w:p>
      <w:pPr>
        <w:ind w:left="-60" w:right="60" w:firstLine="987"/>
        <w:spacing w:after="0" w:line="256" w:lineRule="auto"/>
        <w:tabs>
          <w:tab w:leader="none" w:pos="117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pay to the Trustee (in its capacity as Trustee, and, to the extent it has been appointed as such, as Paying Agent and Registrar) from time to time reasonable compensation for its acceptance of this Indenture and services hereunder in accordance with a written schedule provided to the Issuer by the Trustee. The Trustee’s compensation will not be limited by any law on compensation of a trustee of an express trust. The Issuer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87" w:lineRule="exact"/>
        <w:rPr>
          <w:rFonts w:ascii="Times New Roman" w:cs="Times New Roman" w:eastAsia="Times New Roman" w:hAnsi="Times New Roman"/>
          <w:sz w:val="18"/>
          <w:szCs w:val="18"/>
          <w:color w:val="auto"/>
        </w:rPr>
      </w:pPr>
    </w:p>
    <w:p>
      <w:pPr>
        <w:ind w:left="-60" w:firstLine="987"/>
        <w:spacing w:after="0" w:line="271" w:lineRule="auto"/>
        <w:tabs>
          <w:tab w:leader="none" w:pos="1186"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and the Guarantors will, jointly and severally, indemnify and hold harmless the Trustee against any and all losses, liabilities or expenses incurred by it arising out of or in connection with the acceptance or administration of its duties under this Indenture, including the costs and expenses (including attorneys’ fees) of enforcing this Indenture against the Issuer and the Guarantors (including this Section 7.07) and defending itself against any claim (whether asserted by the Issuer, the Guarantors, any Holder or any other Person) or liability in connection with the exercise or performance of any of its powers or duties hereunder, except to the extent any such loss, liability or expense may be attributable to its gross negligence or willful misconduct. The Trustee will notify the Issuer promptly of any third party claim for which it may seek indemnity. Failure by the Trustee to so notify the Issuer will not relieve the Issuer or any of the Guarantors of their obligations hereunder. The Issuer or such Guarantor will defend the claim and the Trustee will cooperate in the defense. The Trustee may have separate counsel and the Issuer will pay the reasonable fees and expenses of such counsel. Neither the Issuer nor any Guarantor need pay for any settlement made without its consent, which consent will not be unreasonably withheld.</w:t>
      </w:r>
    </w:p>
    <w:p>
      <w:pPr>
        <w:spacing w:after="0" w:line="173" w:lineRule="exact"/>
        <w:rPr>
          <w:rFonts w:ascii="Times New Roman" w:cs="Times New Roman" w:eastAsia="Times New Roman" w:hAnsi="Times New Roman"/>
          <w:sz w:val="17"/>
          <w:szCs w:val="17"/>
          <w:color w:val="auto"/>
        </w:rPr>
      </w:pPr>
    </w:p>
    <w:p>
      <w:pPr>
        <w:ind w:left="-60" w:right="240" w:firstLine="987"/>
        <w:spacing w:after="0" w:line="282" w:lineRule="auto"/>
        <w:tabs>
          <w:tab w:leader="none" w:pos="117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Issuer and the Guarantors under this Section 7.07 will survive the satisfaction and discharge of this Indenture and the resignation or removal of the Trustee.</w:t>
      </w:r>
    </w:p>
    <w:p>
      <w:pPr>
        <w:spacing w:after="0" w:line="161" w:lineRule="exact"/>
        <w:rPr>
          <w:rFonts w:ascii="Times New Roman" w:cs="Times New Roman" w:eastAsia="Times New Roman" w:hAnsi="Times New Roman"/>
          <w:sz w:val="18"/>
          <w:szCs w:val="18"/>
          <w:color w:val="auto"/>
        </w:rPr>
      </w:pPr>
    </w:p>
    <w:p>
      <w:pPr>
        <w:jc w:val="both"/>
        <w:ind w:left="-60" w:right="100" w:firstLine="987"/>
        <w:spacing w:after="0" w:line="266" w:lineRule="auto"/>
        <w:tabs>
          <w:tab w:leader="none" w:pos="118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Issuer’s and the Guarantors’ payment obligations in this Section 7.07, the Trustee will have a Lien prior to the Notes on all money or property held or collected by the Trustee, except that held in trust to pay principal of, premium on, if any, or interest on, particular Notes. Such Lien will survive the satisfaction and discharge of this Indenture.</w:t>
      </w:r>
    </w:p>
    <w:p>
      <w:pPr>
        <w:spacing w:after="0" w:line="175" w:lineRule="exact"/>
        <w:rPr>
          <w:rFonts w:ascii="Times New Roman" w:cs="Times New Roman" w:eastAsia="Times New Roman" w:hAnsi="Times New Roman"/>
          <w:sz w:val="18"/>
          <w:szCs w:val="18"/>
          <w:color w:val="auto"/>
        </w:rPr>
      </w:pPr>
    </w:p>
    <w:p>
      <w:pPr>
        <w:jc w:val="both"/>
        <w:ind w:left="-60" w:right="100" w:firstLine="987"/>
        <w:spacing w:after="0" w:line="266" w:lineRule="auto"/>
        <w:tabs>
          <w:tab w:leader="none" w:pos="117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Trustee incurs expenses or renders services after an Event of Default specified in Section 6.01(i) or (j) occurs, the expenses and the compensation for the services (including the fees and expenses of its agents and counsel) are intended to constitute administrative expenses for purposes of priority under any Bankruptcy Law.</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Replacement of Trustee.</w:t>
      </w:r>
    </w:p>
    <w:p>
      <w:pPr>
        <w:spacing w:after="0" w:line="227" w:lineRule="exact"/>
        <w:rPr>
          <w:sz w:val="20"/>
          <w:szCs w:val="20"/>
          <w:color w:val="auto"/>
        </w:rPr>
      </w:pPr>
    </w:p>
    <w:p>
      <w:pPr>
        <w:ind w:left="-60" w:right="620" w:firstLine="987"/>
        <w:spacing w:after="0" w:line="282" w:lineRule="auto"/>
        <w:tabs>
          <w:tab w:leader="none" w:pos="117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resignation or removal of the Trustee and appointment of a successor Trustee will become effective only upon the successor Trustee’s acceptance of appointment as provided in this Section 7.08.</w:t>
      </w:r>
    </w:p>
    <w:p>
      <w:pPr>
        <w:spacing w:after="0" w:line="161" w:lineRule="exact"/>
        <w:rPr>
          <w:rFonts w:ascii="Times New Roman" w:cs="Times New Roman" w:eastAsia="Times New Roman" w:hAnsi="Times New Roman"/>
          <w:sz w:val="18"/>
          <w:szCs w:val="18"/>
          <w:color w:val="auto"/>
        </w:rPr>
      </w:pPr>
    </w:p>
    <w:p>
      <w:pPr>
        <w:jc w:val="both"/>
        <w:ind w:left="-60" w:right="100" w:firstLine="987"/>
        <w:spacing w:after="0" w:line="266" w:lineRule="auto"/>
        <w:tabs>
          <w:tab w:leader="none" w:pos="118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in writing at any time and be discharged from the trust hereby created by so notifying the Issuer. The Holders of a majority in aggregate principal amount of the then outstanding Notes may remove the Trustee by so notifying the Trustee and the Issuer in writing at least 30 days prior to the requested date of removal. The Issuer may remove the Trustee if:</w:t>
      </w:r>
    </w:p>
    <w:p>
      <w:pPr>
        <w:spacing w:after="0" w:line="67" w:lineRule="exact"/>
        <w:rPr>
          <w:rFonts w:ascii="Times New Roman" w:cs="Times New Roman" w:eastAsia="Times New Roman" w:hAnsi="Times New Roman"/>
          <w:sz w:val="18"/>
          <w:szCs w:val="18"/>
          <w:color w:val="auto"/>
        </w:rPr>
      </w:pPr>
    </w:p>
    <w:p>
      <w:pPr>
        <w:ind w:left="1580" w:hanging="252"/>
        <w:spacing w:after="0"/>
        <w:tabs>
          <w:tab w:leader="none" w:pos="15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117" w:lineRule="exact"/>
        <w:rPr>
          <w:rFonts w:ascii="Times New Roman" w:cs="Times New Roman" w:eastAsia="Times New Roman" w:hAnsi="Times New Roman"/>
          <w:sz w:val="18"/>
          <w:szCs w:val="18"/>
          <w:color w:val="auto"/>
        </w:rPr>
      </w:pPr>
    </w:p>
    <w:p>
      <w:pPr>
        <w:ind w:left="380" w:right="740" w:firstLine="948"/>
        <w:spacing w:after="0" w:line="282" w:lineRule="auto"/>
        <w:tabs>
          <w:tab w:leader="none" w:pos="158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 Law;</w:t>
      </w:r>
    </w:p>
    <w:p>
      <w:pPr>
        <w:spacing w:after="0" w:line="53" w:lineRule="exact"/>
        <w:rPr>
          <w:rFonts w:ascii="Times New Roman" w:cs="Times New Roman" w:eastAsia="Times New Roman" w:hAnsi="Times New Roman"/>
          <w:sz w:val="18"/>
          <w:szCs w:val="18"/>
          <w:color w:val="auto"/>
        </w:rPr>
      </w:pPr>
    </w:p>
    <w:p>
      <w:pPr>
        <w:ind w:left="1580" w:hanging="252"/>
        <w:spacing w:after="0"/>
        <w:tabs>
          <w:tab w:leader="none" w:pos="15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880"/>
          </w:cols>
          <w:pgMar w:left="500" w:top="268" w:right="519" w:bottom="1440" w:gutter="0" w:footer="0" w:header="0"/>
        </w:sectPr>
      </w:pPr>
    </w:p>
    <w:bookmarkStart w:id="102" w:name="page103"/>
    <w:bookmarkEnd w:id="102"/>
    <w:p>
      <w:pPr>
        <w:ind w:left="1640" w:hanging="252"/>
        <w:spacing w:after="0"/>
        <w:tabs>
          <w:tab w:leader="none" w:pos="16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becomes incapable of acting.</w:t>
      </w:r>
    </w:p>
    <w:p>
      <w:pPr>
        <w:spacing w:after="0" w:line="225" w:lineRule="exact"/>
        <w:rPr>
          <w:rFonts w:ascii="Times New Roman" w:cs="Times New Roman" w:eastAsia="Times New Roman" w:hAnsi="Times New Roman"/>
          <w:sz w:val="18"/>
          <w:szCs w:val="18"/>
          <w:color w:val="auto"/>
        </w:rPr>
      </w:pPr>
    </w:p>
    <w:p>
      <w:pPr>
        <w:ind w:right="360" w:firstLine="987"/>
        <w:spacing w:after="0" w:line="266"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Issuer will promptly appoint a successor Trustee. Within one year after the successor Trustee takes office, the Holders of a majority in aggregate principal amount of the then outstanding Notes may appoint a successor Trustee to replace the successor Trustee appointed by the Issuer.</w:t>
      </w:r>
    </w:p>
    <w:p>
      <w:pPr>
        <w:spacing w:after="0" w:line="175"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does not take office within 60 days after the retiring Trustee resigns or is removed, the retiring Trustee (at the Issuer’s expense), the Issuer, or the Holders of at least 10% in aggregate principal amount of the then outstanding Notes may petition any court of competent jurisdiction for the appointment of a successor Trustee.</w:t>
      </w:r>
    </w:p>
    <w:p>
      <w:pPr>
        <w:spacing w:after="0" w:line="175" w:lineRule="exact"/>
        <w:rPr>
          <w:rFonts w:ascii="Times New Roman" w:cs="Times New Roman" w:eastAsia="Times New Roman" w:hAnsi="Times New Roman"/>
          <w:sz w:val="18"/>
          <w:szCs w:val="18"/>
          <w:color w:val="auto"/>
        </w:rPr>
      </w:pPr>
    </w:p>
    <w:p>
      <w:pPr>
        <w:ind w:right="320" w:firstLine="987"/>
        <w:spacing w:after="0" w:line="282"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61" w:lineRule="exact"/>
        <w:rPr>
          <w:rFonts w:ascii="Times New Roman" w:cs="Times New Roman" w:eastAsia="Times New Roman" w:hAnsi="Times New Roman"/>
          <w:sz w:val="18"/>
          <w:szCs w:val="18"/>
          <w:color w:val="auto"/>
        </w:rPr>
      </w:pPr>
    </w:p>
    <w:p>
      <w:pPr>
        <w:ind w:right="60" w:firstLine="987"/>
        <w:spacing w:after="0" w:line="256" w:lineRule="auto"/>
        <w:tabs>
          <w:tab w:leader="none" w:pos="121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Trustee will deliver a written acceptance of its appointment to the retiring Trustee and to the Issuer.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all sums owing to the Trustee hereunder have been paid and subject to the Lien provided for in Section 7.07. Notwithstanding replacement of the Trustee pursuant to this Section 7.08, the Issuer’s obligations under Section 7.07 will continue for the benefit of the retiring Trustee.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Successor Trustee by Merger, etc.</w:t>
      </w:r>
    </w:p>
    <w:p>
      <w:pPr>
        <w:spacing w:after="0" w:line="22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Eligibility; Disqualification.</w:t>
      </w:r>
    </w:p>
    <w:p>
      <w:pPr>
        <w:spacing w:after="0" w:line="227"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Option to Effect Legal Defeasance or Covenant Defeasance.</w:t>
      </w:r>
    </w:p>
    <w:p>
      <w:pPr>
        <w:spacing w:after="0" w:line="227"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The Issuer may at any time, at its option as set forth in an Officers’ Certificate, elect to have either Section 8.02 or 8.03 be applied to all outstanding Notes upon compliance with the conditions set forth below in this Article 8.</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40" w:top="270" w:right="479" w:bottom="1440" w:gutter="0" w:footer="0" w:header="0"/>
        </w:sectPr>
      </w:pPr>
    </w:p>
    <w:bookmarkStart w:id="103" w:name="page104"/>
    <w:bookmarkEnd w:id="10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8.02 </w:t>
      </w:r>
      <w:r>
        <w:rPr>
          <w:rFonts w:ascii="Times New Roman" w:cs="Times New Roman" w:eastAsia="Times New Roman" w:hAnsi="Times New Roman"/>
          <w:sz w:val="18"/>
          <w:szCs w:val="18"/>
          <w:i w:val="1"/>
          <w:iCs w:val="1"/>
          <w:color w:val="auto"/>
        </w:rPr>
        <w:t>Legal Defeasance and Discharge.</w:t>
      </w:r>
    </w:p>
    <w:p>
      <w:pPr>
        <w:spacing w:after="0" w:line="22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Upon the Issuer’s exercise under Section 8.01 of the option applicable to this Section 8.02, the Issuer and each of the Guarantors will, subject to the satisfaction of the conditions set forth in Section 8.04, be deemed to have been discharged from their obligations with respect to all outstanding Notes (including the Guarantees) on the date the conditions set forth below are satisfied (hereinafter,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For this purpose, Legal Defeasance means that the Issuer and the Guarantors will be deemed to have paid and discharged the entire Indebtedness represented by the outstanding Notes (including the Guarantees), which will thereafter be deemed to be “outstanding” only for the purposes of Section 8.05 and the other Sections of this Indenture referred to in clauses (a) and (b) below, and to have satisfied all their other obligations under such Notes, the Guarantees and this Indenture (and the Trustee, on demand of and at the expense of the Issuer, shall execute proper instruments acknowledging the same), except for the following provisions which will survive until otherwise terminated or discharged hereunder:</w:t>
      </w:r>
    </w:p>
    <w:p>
      <w:pPr>
        <w:spacing w:after="0" w:line="84" w:lineRule="exact"/>
        <w:rPr>
          <w:sz w:val="20"/>
          <w:szCs w:val="20"/>
          <w:color w:val="auto"/>
        </w:rPr>
      </w:pPr>
    </w:p>
    <w:p>
      <w:pPr>
        <w:ind w:right="260" w:firstLine="987"/>
        <w:spacing w:after="0" w:line="282" w:lineRule="auto"/>
        <w:tabs>
          <w:tab w:leader="none" w:pos="12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Notes to receive payments in respect of the principal of, premium on, if any, or interest on, such Notes when such payments are due from the trust referred to in Section 8.04;</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such Notes under Article 2 and Section 4.02;</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powers, trusts, duties and immunities of the Trustee hereunder and the Issuer’s and the Guarantors’ obligations in connection</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therewith; and</w:t>
      </w:r>
    </w:p>
    <w:p>
      <w:pPr>
        <w:spacing w:after="0" w:line="206"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8.</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8, the Issuer may exercise its option under this Section 8.02 notwithstanding the prior exercise of its option under Section 8.03.</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Covenant Defeasance.</w:t>
      </w:r>
    </w:p>
    <w:p>
      <w:pPr>
        <w:spacing w:after="0" w:line="22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Upon the Issuer’s exercise under Section 8.01 of the option applicable to this Section 8.03, the Issuer and each of the Guarantors will, subject to the satisfaction of the conditions set forth in Section 8.04, be released from each of their respective obligations under the covenants contained in Sections 3.10, 4.03, 4.04 4.05, 4.07, 4.08, 4.09, 4.10, 4.11, 4.12, 4.13, 4.14, 4.15, 4.16 and 4.17 and clause (4) of Section 5.01(a) with respect to all the outstanding Notes on and after the date the conditions set forth in Section 8.04 are satisfied (hereinafter,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to the extent permitted by GAAP). For this purpose, Covenant Defeasance means that, with respect to the outstanding Notes and Guarantees, the Issuer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but, except as specified above, the remainder of this Indenture and such Notes and Guarantees will be unaffected thereby. In addition, upon the Issuer’s exercise under Section 8.01 of the option applicable to this Section 8.03, subject to the satisfaction of the conditions set forth in Section 8.04, Sections 6.01(c), (d), (f), (g), (h) and (k) will not constitute Events of Default.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68" w:right="459" w:bottom="1440" w:gutter="0" w:footer="0" w:header="0"/>
        </w:sectPr>
      </w:pPr>
    </w:p>
    <w:bookmarkStart w:id="104" w:name="page105"/>
    <w:bookmarkEnd w:id="10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8.04 </w:t>
      </w:r>
      <w:r>
        <w:rPr>
          <w:rFonts w:ascii="Times New Roman" w:cs="Times New Roman" w:eastAsia="Times New Roman" w:hAnsi="Times New Roman"/>
          <w:sz w:val="18"/>
          <w:szCs w:val="18"/>
          <w:i w:val="1"/>
          <w:iCs w:val="1"/>
          <w:color w:val="auto"/>
        </w:rPr>
        <w:t>Conditions to Legal or Covenant Defeasance.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under either Section 8.02 or 8.03:</w:t>
      </w:r>
    </w:p>
    <w:p>
      <w:pPr>
        <w:spacing w:after="0" w:line="117" w:lineRule="exact"/>
        <w:rPr>
          <w:sz w:val="20"/>
          <w:szCs w:val="20"/>
          <w:color w:val="auto"/>
        </w:rPr>
      </w:pPr>
    </w:p>
    <w:p>
      <w:pPr>
        <w:ind w:firstLine="987"/>
        <w:spacing w:after="0" w:line="252" w:lineRule="auto"/>
        <w:tabs>
          <w:tab w:leader="none" w:pos="12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on, if any, and interest on, the outstanding Notes on the stated date for payment thereof or on the applicable redemption date, as the case may be, and the Issuer must specify whether the Notes are being defeased to such stated date for payment or to a particular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redemption is made as provided in Section 3.08(b) hereof,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on such date. If there is an adjustment to the Applicable Premium, the Issuer must provide notice of such updated redemption amount to the Holders (with a copy to the Trustee) no later than two Business Days prior to such redemption date and the depositor must irrevocably deposit or cause to be deposited additional money in trust on the redemption date as necessary to pay the Applicable Premium as determined by such date (any such amount, the “</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 xml:space="preserve">”) (it being understood that any satisfaction and discharge shall be subject to the condition subsequent that such Applicable Premium Deficit is in fact paid);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Trustee shall have no liability whatsoever in the event that such Applicable Premium Deficit is not in fact paid after any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Defeasance or Covenant Defeasance and that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194"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8.02, the Issuer must deliver to the Trustee an Opinion of Counsel reasonably acceptable to the Trustee confirming that:</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received from, or there has been published by, the Internal Revenue Service a ruling; or</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61" w:lineRule="auto"/>
        <w:tabs>
          <w:tab w:leader="none" w:pos="1647"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Issue Date,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9"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8.03, the Issuer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stating that no Default or Event of Default has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 all or a portion of which are to be applied to such deposit);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68" w:right="459" w:bottom="1440" w:gutter="0" w:footer="0" w:header="0"/>
        </w:sectPr>
      </w:pPr>
    </w:p>
    <w:bookmarkStart w:id="105" w:name="page106"/>
    <w:bookmarkEnd w:id="105"/>
    <w:p>
      <w:pPr>
        <w:ind w:firstLine="987"/>
        <w:spacing w:after="0" w:line="261" w:lineRule="auto"/>
        <w:tabs>
          <w:tab w:leader="none" w:pos="12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must deliver to the Trustee an Officers’ Certificate stating that 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Issuer or any Guarantor is a party or by which the Issuer or any Guarantor is bound;</w:t>
      </w:r>
    </w:p>
    <w:p>
      <w:pPr>
        <w:spacing w:after="0" w:line="179" w:lineRule="exact"/>
        <w:rPr>
          <w:rFonts w:ascii="Times New Roman" w:cs="Times New Roman" w:eastAsia="Times New Roman" w:hAnsi="Times New Roman"/>
          <w:sz w:val="18"/>
          <w:szCs w:val="18"/>
          <w:color w:val="auto"/>
        </w:rPr>
      </w:pPr>
    </w:p>
    <w:p>
      <w:pPr>
        <w:ind w:right="160" w:firstLine="987"/>
        <w:spacing w:after="0" w:line="266" w:lineRule="auto"/>
        <w:tabs>
          <w:tab w:leader="none" w:pos="121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stating that the deposit was not made by the Issuer with the intent of preferring the Holders of the Notes over the other creditors of the Issuer with the intent of defeating, hindering, delaying or defrauding any creditors of the Issuer or others; and</w:t>
      </w:r>
    </w:p>
    <w:p>
      <w:pPr>
        <w:spacing w:after="0" w:line="175"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and an Opinion of Counsel, each stating that all conditions precedent relating to the Legal Defeasance or the Covenant Defeasance, as the case may be, have been complied with.</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Deposited Money and Government Securities to be Held in Trust; Other Miscellaneous Provisions.</w:t>
      </w:r>
    </w:p>
    <w:p>
      <w:pPr>
        <w:spacing w:after="0" w:line="22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Subject to Section 8.06, all money and non-callable Government Securities (including the proceeds thereof) deposited with the Trustee (or other qualifying trustee, collectively for purposes of this Section 8.05,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pursuant to Section 8.04 in respect of the outstanding Notes will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interest and premium, if any, but such money need not be segregated from other funds except to the extent required by law.</w:t>
      </w:r>
    </w:p>
    <w:p>
      <w:pPr>
        <w:spacing w:after="0" w:line="18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Issuer will pay and indemnify the Trustee against any tax, fee or other charge imposed on or assessed against the cash or non-callable Government Securities deposited pursuant to Section 8.04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Article 8 to the contrary, the Trustee will deliver or pay to the Issuer from time to time upon the request of the Issuer any money or non-callable Government Securities held by it as provided in Section 8.04 which, in the opinion of a nationally recognized firm of independent public accountants expressed in a written certification thereof delivered to the Trustee (which may be the opinion delivered under Section 8.04(a)), are in excess of the amount thereof that would then be required to be deposited to effect an equivalent Legal Defeasance or Covenant Defeasance.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Repayment to Issuer.</w:t>
      </w:r>
    </w:p>
    <w:p>
      <w:pPr>
        <w:spacing w:after="0" w:line="22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Subject to applicable law, any money deposited with the Trustee or any Paying Agent, or then held by the Issuer, in trust for the payment of the principal of, premium on, if any, or interest on, any Note and remaining unclaimed for two years after such principal, interest and premium, if any, has become due and payable shall be paid to the Issuer on its request or (if then held by the Issuer) will be discharged from such trust; and the Holder of such Note will thereafter be permitted to look only to the Issuer for payment thereof, and all liability of the Trustee or such Paying Agent with respect to such trust money, and all liability of the Issuer as trustee thereof, will thereupon cease.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06" w:name="page107"/>
    <w:bookmarkEnd w:id="10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8.07 </w:t>
      </w:r>
      <w:r>
        <w:rPr>
          <w:rFonts w:ascii="Times New Roman" w:cs="Times New Roman" w:eastAsia="Times New Roman" w:hAnsi="Times New Roman"/>
          <w:sz w:val="18"/>
          <w:szCs w:val="18"/>
          <w:i w:val="1"/>
          <w:iCs w:val="1"/>
          <w:color w:val="auto"/>
        </w:rPr>
        <w:t>Reinstatement.</w:t>
      </w:r>
    </w:p>
    <w:p>
      <w:pPr>
        <w:spacing w:after="0" w:line="227"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U.S. dollars or non-callable Government Securities in accordance with Section 8.02 or 8.03, as the case may be, by reason of any order or judgment of any court or governmental authority enjoining, restraining or otherwise prohibiting such application, then the Issuer’s and the Guarantors’ obligations under this Indenture and the Notes and the Guarantees will be revived and reinstated as though no deposit had occurred pursuant to Section 8.02 or 8.03 until such time as the Trustee or Paying Agent is permitted to apply all such money or Government Securities in accordance with Section 8.02 or 8.03,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Issuer makes any payment of principal of, premium on, if any, or interest on, any Note following the reinstatement of its obligations, the Issuer will be subrogated to the rights of the Holders of such Notes to receive such payment from the money or Government Securities held by the Trustee or Paying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Without Consent of Holders of Notes.</w:t>
      </w:r>
    </w:p>
    <w:p>
      <w:pPr>
        <w:spacing w:after="0" w:line="22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Notwithstanding Section 9.02 of this Indenture, without the consent of any Holder of Notes, the Issuer, the Guarantors and the Trustee may amend or supplement this Indenture, the Notes or the Guarantees:</w:t>
      </w:r>
    </w:p>
    <w:p>
      <w:pPr>
        <w:spacing w:after="0" w:line="54" w:lineRule="exact"/>
        <w:rPr>
          <w:sz w:val="20"/>
          <w:szCs w:val="20"/>
          <w:color w:val="auto"/>
        </w:rPr>
      </w:pPr>
    </w:p>
    <w:p>
      <w:pPr>
        <w:ind w:left="1240" w:hanging="253"/>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225" w:lineRule="exact"/>
        <w:rPr>
          <w:rFonts w:ascii="Times New Roman" w:cs="Times New Roman" w:eastAsia="Times New Roman" w:hAnsi="Times New Roman"/>
          <w:sz w:val="18"/>
          <w:szCs w:val="18"/>
          <w:color w:val="auto"/>
        </w:rPr>
      </w:pPr>
    </w:p>
    <w:p>
      <w:pPr>
        <w:ind w:right="540" w:firstLine="987"/>
        <w:spacing w:after="0" w:line="282" w:lineRule="auto"/>
        <w:tabs>
          <w:tab w:leader="none" w:pos="123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 Guarantor’s obligations to Holders of the Notes and Guarantees in the case of a merger or consolidation or sale of all or substantially all of the Issuer’s or such Guarantor’s properties or assets, as applicable;</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the Notes or that does not adversely affect the legal rights under this Indenture of any Holder;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21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the Notes or the Guarantees to any provision of the “Description of Notes” section of the Offering Memorandum as specified by an Officers’ Certificate;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in accordance with the limitations set forth in this Indenture as of the date hereof;</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or the Guarantees pursuant to the requirements of Section 4.12 or otherwise;</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release of any Guarantor from its Guarantee, as provided in this Indenture, add any additional Guarantor or guarantee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w:t>
      </w:r>
    </w:p>
    <w:p>
      <w:pPr>
        <w:spacing w:after="0" w:line="206"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this Indenture of a successor Trustee;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20"/>
          </w:cols>
          <w:pgMar w:left="440" w:top="268" w:right="439" w:bottom="1440" w:gutter="0" w:footer="0" w:header="0"/>
        </w:sectPr>
      </w:pPr>
    </w:p>
    <w:bookmarkStart w:id="107" w:name="page108"/>
    <w:bookmarkEnd w:id="10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 to provide for the reorganization of the Issuer as any other form of entity in accordance with Section 5.01(c).</w:t>
      </w:r>
    </w:p>
    <w:p>
      <w:pPr>
        <w:spacing w:after="0" w:line="22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9.01 may be executed by the Issuer, the Guarantors and the Trustee without the consent of the Holders of any of the Notes at the time outstanding, notwithstanding any of the provisions of Section 9.02.</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With Consent of Holders of Notes.</w:t>
      </w:r>
    </w:p>
    <w:p>
      <w:pPr>
        <w:spacing w:after="0" w:line="22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Except as provided below in this Section 9.02, the Issuer, the Guarantors and the Trustee may amend or supplement this Indenture (including, without limitation, Sections 3.10, 4.10 and 4.15) and the Notes and the Guarantees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 subject to Section 6.07, any existing Default or Event of Default or compliance with any provision of this Indenture or the Notes or the Guarantees may be waived, in each case,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Section 2.08 shall determine which Notes are considered to be “outstanding” for purposes of this Section 9.02. However, without the consent of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affected, an amendment, supplement or waiver may not (with respect to any Notes held by a non-consenting Holder):</w:t>
      </w:r>
    </w:p>
    <w:p>
      <w:pPr>
        <w:spacing w:after="0" w:line="99" w:lineRule="exact"/>
        <w:rPr>
          <w:sz w:val="20"/>
          <w:szCs w:val="20"/>
          <w:color w:val="auto"/>
        </w:rPr>
      </w:pPr>
    </w:p>
    <w:p>
      <w:pPr>
        <w:ind w:left="1240" w:hanging="253"/>
        <w:spacing w:after="0"/>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Note or alter or waive any of the provisions with respect to the redemption of the Notes (other than provisions relating to minimum notice periods required with respect to redemptions of Notes and provisions under Section 3.03, 3.10, 4.10 or 4.15);</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including default interest on any Note;</w:t>
      </w:r>
    </w:p>
    <w:p>
      <w:pPr>
        <w:spacing w:after="0" w:line="225" w:lineRule="exact"/>
        <w:rPr>
          <w:rFonts w:ascii="Times New Roman" w:cs="Times New Roman" w:eastAsia="Times New Roman" w:hAnsi="Times New Roman"/>
          <w:sz w:val="18"/>
          <w:szCs w:val="18"/>
          <w:color w:val="auto"/>
        </w:rPr>
      </w:pPr>
    </w:p>
    <w:p>
      <w:pPr>
        <w:jc w:val="both"/>
        <w:ind w:right="140" w:firstLine="987"/>
        <w:spacing w:after="0" w:line="266"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on, if any, or interest on, the Notes (except (i) a payment required by Section 3.10, 4.10 or 4.15 or (ii) a rescission of acceleration of the Notes by the Holders of a majority in aggregate principal amount of the then outstanding Notes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that stated in the Notes;</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2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this Indenture relating to waivers of past Defaults or the rights of Holders of the Notes to receive payments of principal of, premium on, if any, or interest on, the Notes (other than a payment required by Section 3.10, 4.10 or 4.15);</w:t>
      </w:r>
    </w:p>
    <w:p>
      <w:pPr>
        <w:spacing w:after="0" w:line="161" w:lineRule="exact"/>
        <w:rPr>
          <w:rFonts w:ascii="Times New Roman" w:cs="Times New Roman" w:eastAsia="Times New Roman" w:hAnsi="Times New Roman"/>
          <w:sz w:val="18"/>
          <w:szCs w:val="18"/>
          <w:color w:val="auto"/>
        </w:rPr>
      </w:pPr>
    </w:p>
    <w:p>
      <w:pPr>
        <w:ind w:right="380" w:firstLine="987"/>
        <w:spacing w:after="0" w:line="282"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or repurchase payment with respect to any Note (for the avoidance of doubt, other than a payment required by Section 3.10, 4.10 or 4.15);</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Guarantor from any of its obligations under its Guarantee or this Indenture, except in accordance with the terms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08" w:name="page109"/>
    <w:bookmarkEnd w:id="10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make any change in the preceding amendment, supplement and waiver provisions.</w:t>
      </w:r>
    </w:p>
    <w:p>
      <w:pPr>
        <w:spacing w:after="0" w:line="225"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The consent of the Holders is not necessary under this Section 9.02 to approve the particular form of any proposed amendment, supplement or waiver. It is sufficient if such consent approves the substance of the proposed amendment, supplement or waiver. After an amendment, supplement or waiver under this Indenture requiring the approval of the Holders becomes effective, the Issuer will send to the Holders a notice briefly describing the amendment, supplement or waiver. However, the failure to give such notice, or any defect in the notice, will not impair or affect the validity of the amendment, supplement or waiver.</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Revocation and Effect of Consents.</w:t>
      </w:r>
    </w:p>
    <w:p>
      <w:pPr>
        <w:spacing w:after="0" w:line="227" w:lineRule="exact"/>
        <w:rPr>
          <w:sz w:val="20"/>
          <w:szCs w:val="20"/>
          <w:color w:val="auto"/>
        </w:rPr>
      </w:pPr>
    </w:p>
    <w:p>
      <w:pPr>
        <w:ind w:left="4" w:right="200" w:firstLine="440"/>
        <w:spacing w:after="0" w:line="269" w:lineRule="auto"/>
        <w:rPr>
          <w:sz w:val="20"/>
          <w:szCs w:val="20"/>
          <w:color w:val="auto"/>
        </w:rPr>
      </w:pPr>
      <w:r>
        <w:rPr>
          <w:rFonts w:ascii="Times New Roman" w:cs="Times New Roman" w:eastAsia="Times New Roman" w:hAnsi="Times New Roman"/>
          <w:sz w:val="17"/>
          <w:szCs w:val="17"/>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 unless it makes a change described in any of clauses</w:t>
      </w:r>
    </w:p>
    <w:p>
      <w:pPr>
        <w:spacing w:after="0" w:line="3" w:lineRule="exact"/>
        <w:rPr>
          <w:sz w:val="20"/>
          <w:szCs w:val="20"/>
          <w:color w:val="auto"/>
        </w:rPr>
      </w:pPr>
    </w:p>
    <w:p>
      <w:pPr>
        <w:ind w:left="4" w:right="280" w:hanging="4"/>
        <w:spacing w:after="0" w:line="255" w:lineRule="auto"/>
        <w:tabs>
          <w:tab w:leader="none" w:pos="24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 of the first paragraph of Section 9.02, in which case, the amendment, supplement or waiver shall bind only each Holder of a Note who has consented to such amendment, supplement or waiver and every subsequent Holder of a Note or portion of a Note that evidences the same indebtedness as the consenting Holder’s Note.</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Notation on or Exchange of Notes.</w:t>
      </w:r>
    </w:p>
    <w:p>
      <w:pPr>
        <w:spacing w:after="0" w:line="227"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Trustee, at the written direction of the Issuer,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Failure to make the appropriate notation or issue a new Note will not affect the validity and effect of such amendment, supplement or waiver.</w:t>
      </w:r>
    </w:p>
    <w:p>
      <w:pPr>
        <w:spacing w:after="0" w:line="22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Trustee to Sign Amendments, etc.</w:t>
      </w:r>
    </w:p>
    <w:p>
      <w:pPr>
        <w:spacing w:after="0" w:line="22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Trustee will sign any amended or supplemental indenture authorized pursuant to this Article 9 if the amendment or supplement does not adversely affect the rights, duties, protections, indemnities, liabilities or immunities of the Trustee. In executing any amended or supplemental indenture, the Trustee will be entitled to receive and (subject to Section 7.01) will be fully protected in relying upon, in addition to the documents required by Section 12.04, an Officers’ Certificate and an Opinion of Counsel stating that the execution of such amended or supplemental indenture is authorized or permitted by this Indenture and, with respect to the Opinion of Counsel, that such amendment, supplement or waiver is the legal, valid and binding obligation of the Issuer, enforceable against it in accordance with its terms, subject to customary qualifications.</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Effect of Supplemental Indentures.</w:t>
      </w:r>
    </w:p>
    <w:p>
      <w:pPr>
        <w:spacing w:after="0" w:line="227"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Upon the execution of any amended or supplemental indenture under this Article 9, this Indenture shall be modified in accordance therewith, and such amended or supplemental indenture shall form a part of this Indenture for all purposes; and every Holder of Notes theretofore or thereafter authenticated and delivered hereunder shall be bound thereby.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4"/>
          </w:cols>
          <w:pgMar w:left="436" w:top="270" w:right="45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ind w:right="280" w:firstLine="987"/>
        <w:spacing w:after="0" w:line="266" w:lineRule="auto"/>
        <w:tabs>
          <w:tab w:leader="none" w:pos="123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10,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 hereunder or thereunder, that:</w:t>
      </w:r>
    </w:p>
    <w:p>
      <w:pPr>
        <w:spacing w:after="0" w:line="67" w:lineRule="exact"/>
        <w:rPr>
          <w:rFonts w:ascii="Times New Roman" w:cs="Times New Roman" w:eastAsia="Times New Roman" w:hAnsi="Times New Roman"/>
          <w:sz w:val="18"/>
          <w:szCs w:val="18"/>
          <w:color w:val="auto"/>
        </w:rPr>
      </w:pPr>
    </w:p>
    <w:p>
      <w:pPr>
        <w:jc w:val="both"/>
        <w:ind w:left="440" w:right="20" w:firstLine="948"/>
        <w:spacing w:after="0" w:line="261" w:lineRule="auto"/>
        <w:tabs>
          <w:tab w:leader="none" w:pos="1647"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premium on, if any, and interest on, the Notes will be promptly paid in full when due, whether at Stated Maturity, by acceleration, redemption or otherwise, and interest on the overdue principal of, premium on, if any, and interest on, the Notes, if lawful, and all other obligations of the Issuer to the Holders or the Trustee hereunder or thereunder will be promptly paid in full or performed, all in accordance with the terms hereof and thereof; and</w:t>
      </w:r>
    </w:p>
    <w:p>
      <w:pPr>
        <w:spacing w:after="0" w:line="71" w:lineRule="exact"/>
        <w:rPr>
          <w:rFonts w:ascii="Times New Roman" w:cs="Times New Roman" w:eastAsia="Times New Roman" w:hAnsi="Times New Roman"/>
          <w:sz w:val="18"/>
          <w:szCs w:val="18"/>
          <w:color w:val="auto"/>
        </w:rPr>
      </w:pPr>
    </w:p>
    <w:p>
      <w:pPr>
        <w:ind w:left="440" w:right="80" w:firstLine="948"/>
        <w:spacing w:after="0" w:line="266" w:lineRule="auto"/>
        <w:tabs>
          <w:tab w:leader="none" w:pos="1647"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76" w:lineRule="exact"/>
        <w:rPr>
          <w:sz w:val="20"/>
          <w:szCs w:val="20"/>
          <w:color w:val="auto"/>
        </w:rPr>
      </w:pPr>
    </w:p>
    <w:p>
      <w:pPr>
        <w:ind w:right="280" w:firstLine="440"/>
        <w:spacing w:after="0" w:line="312" w:lineRule="auto"/>
        <w:rPr>
          <w:sz w:val="20"/>
          <w:szCs w:val="20"/>
          <w:color w:val="auto"/>
        </w:rPr>
      </w:pPr>
      <w:r>
        <w:rPr>
          <w:rFonts w:ascii="Times New Roman" w:cs="Times New Roman" w:eastAsia="Times New Roman" w:hAnsi="Times New Roman"/>
          <w:sz w:val="17"/>
          <w:szCs w:val="17"/>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40" w:lineRule="exact"/>
        <w:rPr>
          <w:sz w:val="20"/>
          <w:szCs w:val="20"/>
          <w:color w:val="auto"/>
        </w:rPr>
      </w:pPr>
    </w:p>
    <w:p>
      <w:pPr>
        <w:ind w:firstLine="987"/>
        <w:spacing w:after="0" w:line="255"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Issuer, any right to require a proceeding first against the Issuer, protest, notice and all demands whatsoever and covenant that this Guarantee will not be discharged except by complete performance of the obligations contained in the Notes and this Indenture.</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or the Trustee is required by any court or otherwise to return to the Issuer, the Guarantors or any custodian, trustee, liquidator or other similar official acting in relation to either the Issuer or the Guarantors, any amount paid by any of them to the Trustee or such Holder, this Guarantee, to the extent theretofore discharged, will be reinstated in full force and effect.</w:t>
      </w:r>
    </w:p>
    <w:p>
      <w:pPr>
        <w:spacing w:after="0" w:line="175"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for the purposes of this Guarantee, notwithstanding any stay, injunction or other prohibition preventing such acceleration in respect of the obligations Guaranteed hereby, and (2) in the event of any declaration of acceleration of such obligations as provided in Article 6,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10" w:name="page111"/>
    <w:bookmarkEnd w:id="1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10.02 </w:t>
      </w:r>
      <w:r>
        <w:rPr>
          <w:rFonts w:ascii="Times New Roman" w:cs="Times New Roman" w:eastAsia="Times New Roman" w:hAnsi="Times New Roman"/>
          <w:sz w:val="18"/>
          <w:szCs w:val="18"/>
          <w:i w:val="1"/>
          <w:iCs w:val="1"/>
          <w:color w:val="auto"/>
        </w:rPr>
        <w:t>Limitation on Guarantor Liability.</w:t>
      </w:r>
    </w:p>
    <w:p>
      <w:pPr>
        <w:spacing w:after="0" w:line="22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Each Guarantor and, by its acceptance of Notes, each Holder hereby confirm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 Until such time as the Notes are paid in full, each Guarantor hereby waives all rights of subrogation or contribution, whether arising by contract or operation of law (including any such right arising under federal Bankruptcy Law) or otherwise by reason of any payment by it pursuant to the provisions of this Article 10.</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Guarantee Evidenced by Indenture.</w:t>
      </w:r>
    </w:p>
    <w:p>
      <w:pPr>
        <w:spacing w:after="0" w:line="22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Guarantee of any Guarantor shall be evidenced solely by its execution and delivery of this Indenture (or, in the case of any Guarantor that is not party to this Indenture on the Issue Date, a supplemental indenture hereto) and not by an endorsement on, or attachment to, any Note or any Guarantee or notation thereof.</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Each Guarantor hereby agrees that its Guarantee set forth in Section 10.01 will remain in full force and effect notwithstanding any failure to endorse on each Note a notation of such Guarantee.</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will constitute due delivery of the Guarantee set forth in this Indenture on behalf of the Guarantors.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Releases.</w:t>
      </w:r>
    </w:p>
    <w:p>
      <w:pPr>
        <w:spacing w:after="0" w:line="22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Indenture, the Guarantee of a Guarantor shall be released, and such Guarantor deemed automatically and unconditionally released and discharged from all of its obligations under this Indenture, in each case, without any further action on the part of the Trustee or any Holder of the Notes:</w:t>
      </w:r>
    </w:p>
    <w:p>
      <w:pPr>
        <w:spacing w:after="0" w:line="68" w:lineRule="exact"/>
        <w:rPr>
          <w:sz w:val="20"/>
          <w:szCs w:val="20"/>
          <w:color w:val="auto"/>
        </w:rPr>
      </w:pPr>
    </w:p>
    <w:p>
      <w:pPr>
        <w:ind w:firstLine="987"/>
        <w:spacing w:after="0" w:line="266" w:lineRule="auto"/>
        <w:tabs>
          <w:tab w:leader="none" w:pos="123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other disposition of all or substantially all of the properties or assets of that Guarantor, by way of merger, consolidation or otherwise, to a Person that is not (either before or after giving effect to such transaction) the Issuer or a Restricted Subsidiary of the Issuer, if the sale or other disposition does not violate Section 4.10;</w:t>
      </w:r>
    </w:p>
    <w:p>
      <w:pPr>
        <w:spacing w:after="0" w:line="175"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other disposition of Capital Stock of that Guarantor to a Person that is not (either before or after giving effect to such transaction) the Issuer or a Restricted Subsidiary of the Issuer, if the sale or other disposition does not violate Section 4.10 and such Guarantor ceases to be a Restricted Subsidiary of the Issuer as a result of the sale or other disposition;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68" w:right="459" w:bottom="1440" w:gutter="0" w:footer="0" w:header="0"/>
        </w:sectPr>
      </w:pPr>
    </w:p>
    <w:bookmarkStart w:id="111" w:name="page112"/>
    <w:bookmarkEnd w:id="111"/>
    <w:p>
      <w:pPr>
        <w:ind w:left="1240" w:hanging="253"/>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Issuer designates such Guarantor to be an Unrestricted Subsidiary in accordance with the terms of this Indenture;</w:t>
      </w:r>
    </w:p>
    <w:p>
      <w:pPr>
        <w:spacing w:after="0" w:line="225" w:lineRule="exact"/>
        <w:rPr>
          <w:rFonts w:ascii="Times New Roman" w:cs="Times New Roman" w:eastAsia="Times New Roman" w:hAnsi="Times New Roman"/>
          <w:sz w:val="18"/>
          <w:szCs w:val="18"/>
          <w:color w:val="auto"/>
        </w:rPr>
      </w:pPr>
    </w:p>
    <w:p>
      <w:pPr>
        <w:ind w:right="660" w:firstLine="987"/>
        <w:spacing w:after="0" w:line="282"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Legal Defeasance or Covenant Defeasance in accordance with Article 8 or satisfaction and discharge of this Indenture in accordance with Article 11;</w:t>
      </w:r>
    </w:p>
    <w:p>
      <w:pPr>
        <w:spacing w:after="0" w:line="15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liquidation or dissolution of such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 Default or Event of Default has occurred that is continuing;</w:t>
      </w:r>
    </w:p>
    <w:p>
      <w:pPr>
        <w:spacing w:after="0" w:line="227" w:lineRule="exact"/>
        <w:rPr>
          <w:rFonts w:ascii="Times New Roman" w:cs="Times New Roman" w:eastAsia="Times New Roman" w:hAnsi="Times New Roman"/>
          <w:sz w:val="18"/>
          <w:szCs w:val="18"/>
          <w:color w:val="auto"/>
        </w:rPr>
      </w:pPr>
    </w:p>
    <w:p>
      <w:pPr>
        <w:ind w:right="240" w:firstLine="987"/>
        <w:spacing w:after="0" w:line="282" w:lineRule="auto"/>
        <w:tabs>
          <w:tab w:leader="none" w:pos="121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Guarantor consolidating with, merging into or transferring all of its properties or assets to the Issuer or another Guarantor, and as a result of, or in connection with, such transaction such Guarantor dissolving or otherwise ceasing to exist; or</w:t>
      </w:r>
    </w:p>
    <w:p>
      <w:pPr>
        <w:spacing w:after="0" w:line="161"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time as such Guarantor ceases to guarantee or otherwise be an obligor with respect to any other Indebtedness of the Issuer or any other Guarantor in excess of the De Minimis Guaranteed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 Event of Default has occurred that is continuing.</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Any Guarantor not released from its obligations under its Guarantee as provided in this Section 10.04 will remain liable for the full amount of principal of, premium on, if any, and interest on the Notes and for the other obligations of such Guarantor under this Indenture as provided in this Article 10.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issued hereunder (except as to surviving rights of registration of transfer or exchange of the Notes and as otherwise specified in this Article 11), and the Trustee, at the expense of the Issuer, shall execute proper instruments acknowledging such satisfaction and discharge of this Indenture, when:</w:t>
      </w:r>
    </w:p>
    <w:p>
      <w:pPr>
        <w:spacing w:after="0" w:line="68" w:lineRule="exact"/>
        <w:rPr>
          <w:sz w:val="20"/>
          <w:szCs w:val="20"/>
          <w:color w:val="auto"/>
        </w:rPr>
      </w:pPr>
    </w:p>
    <w:p>
      <w:pPr>
        <w:ind w:left="1240" w:hanging="253"/>
        <w:spacing w:after="0"/>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82" w:lineRule="auto"/>
        <w:tabs>
          <w:tab w:leader="none" w:pos="164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53" w:lineRule="exact"/>
        <w:rPr>
          <w:rFonts w:ascii="Times New Roman" w:cs="Times New Roman" w:eastAsia="Times New Roman" w:hAnsi="Times New Roman"/>
          <w:sz w:val="18"/>
          <w:szCs w:val="18"/>
          <w:color w:val="auto"/>
        </w:rPr>
      </w:pPr>
    </w:p>
    <w:p>
      <w:pPr>
        <w:ind w:left="440" w:right="100" w:firstLine="948"/>
        <w:spacing w:after="0" w:line="253" w:lineRule="auto"/>
        <w:tabs>
          <w:tab w:leader="none" w:pos="164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not been delivered to the Trustee for cancellation have become due and payable or will become due and payable within one year by reason of the mailing of a notice of redemption or otherwise and either the Issuer or any Guarantor has irrevocably deposited or caused to be deposited with the Trustee as trust funds in trust solely for the benefit of the Holders, cash in U.S. dollars, non-callable Government Securities, or a combination thereof, in such amounts as will be sufficient, without consideration of any reinvestment of interest, to pay and discharge the entire Indebtedness on the Notes not delivered to the Trustee for cancellation for principal, interest and premium, if any, to the date of Stated Maturity or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redemption is made as provided in Section 3.08(b) hereof,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by such date). If there is an adjustment to the Applicable Premium, the Issuer must provide notice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12" w:name="page113"/>
    <w:bookmarkEnd w:id="112"/>
    <w:p>
      <w:pPr>
        <w:ind w:left="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such updated redemption amount to the Holders (with a copy to the Trustee) no later than two Business Days prior to such redemption date and the depositor must irrevocably deposit or cause to be deposited additional money in trust on the redemption date as necessary to pay the Applicable Premium as determined by such date (any such amount, the “</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 xml:space="preserve">”) (it being understood that any satisfaction and discharge shall be subject to the condition subsequent that such Applicable Premium Deficit is in fact 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liability whatsoever in the event that such Applicable Premium Deficit is not in fact paid after any satisfaction and discharge of this Indenture and that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189" w:lineRule="exact"/>
        <w:rPr>
          <w:sz w:val="20"/>
          <w:szCs w:val="20"/>
          <w:color w:val="auto"/>
        </w:rPr>
      </w:pPr>
    </w:p>
    <w:p>
      <w:pPr>
        <w:ind w:left="1240" w:hanging="253"/>
        <w:spacing w:after="0"/>
        <w:tabs>
          <w:tab w:leader="none" w:pos="12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or caused to be paid all other sums payable by the Issuer under this Indenture; and</w:t>
      </w:r>
    </w:p>
    <w:p>
      <w:pPr>
        <w:spacing w:after="0" w:line="225"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Issuer has delivered irrevocable instructions to the Trustee to apply the deposited money toward the payment of the Notes at Stated Maturity or on the redemption date, as the case may be.</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In addition, the Issuer must deliver an Officers’ Certificate and an Opinion of Counsel to the Trustee stating that all conditions precedent to satisfaction and discharge have been satisfied.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satisfaction and discharge of this Indenture, if money or Government Securities have been deposited with the Trustee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subclause (2) of clause (a) of this Section 11.01, the provisions of Sections 11.02 and 8.06 will survive. In addition, nothing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11.01 will be deemed to discharge those provisions of Section 7.07, that, by their terms, survive the satisfaction and discharge of this Indenture.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Application of Trust Money.</w:t>
      </w:r>
    </w:p>
    <w:p>
      <w:pPr>
        <w:spacing w:after="0" w:line="22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8.06, all money or Government Securities deposited with the Trustee pursuant to Section 11.01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interest and premium, if any, for whose payment such money or Government Securities have been deposited with the Trustee; but such money or Government Securities need not be segregated from other funds except to the extent required by law.</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Government Securities in accordance with Section 11.01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11.01;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Issuer has made any payment of principal of, premium on, if any, or interest on, any Notes because of the reinstatement of their obligations, the Issuer shall be subrogated to the rights of the Holders of such Notes to receive such payment from the money or Government Securities held by the Trustee or Paying Agent.</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above, the Trustee shall pay to the Issuer from time to time upon its request any money or Government Securities held by it as provided in this Section 11.02 which, in the opinion of a nationally recognized firm of independent public accountants expressed in a written certification delivered to the Trustee, are in excess of the amount thereof that would then be required to be deposited to effect satisfaction and discharge under this Article 11.</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40"/>
          </w:cols>
          <w:pgMar w:left="440" w:top="270" w:right="519" w:bottom="1440" w:gutter="0" w:footer="0" w:header="0"/>
        </w:sectPr>
      </w:pPr>
    </w:p>
    <w:bookmarkStart w:id="113" w:name="page114"/>
    <w:bookmarkEnd w:id="113"/>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applicable law, any money or Government Securities deposited with the Trustee or any Paying Agent, or then held by the Issuer, in trust for the payment of the principal of, premium or interest on any Note and remaining unclaimed for two years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Notices.</w:t>
      </w:r>
    </w:p>
    <w:p>
      <w:pPr>
        <w:spacing w:after="0" w:line="22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Issuer, any Guarantor or the Trustee to the others is duly given if in writing in the English language and delivered in Person or by first class mail (registered or certified, return receipt requested), electronic image scan, facsimile transmission or overnight air courier guaranteeing next day delivery, to the others’ address: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any of the Issuer and the Guarantors: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No.: (818) 661-3750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50 South Sixth Street, Suite 1290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No.: (612) 217-5651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California Resources Corporation, Administrator</w:t>
      </w:r>
    </w:p>
    <w:p>
      <w:pPr>
        <w:spacing w:after="0" w:line="207"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The Issuer, any Guarantor or the Trustee, by notice to the others, may designate additional or different addresses for subsequent notices or communications. Notices given by publication will be deemed given on the first date on which publication is made.</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electronic image scan or facsimile; and the next Business Day after timely delivery to the courier, if sent by overnight air courier guaranteeing next day delivery.</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14" w:name="page115"/>
    <w:bookmarkEnd w:id="114"/>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notice or communication is mailed in the manner provided above within the time prescribed, it is duly given, whether or not the addressee receives it.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Issuer mails a notice or communication to Holders, the Issuer will mail a copy to the Trustee and each Agent at the same time.</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the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of any event to a Holder of a Global Note, such notice shall be sufficiently given if given to the Depositary for such Note (or its designee), pursuant to its Applicable Procedures, not later than the latest date (if any), and not earlier than the earliest date (if any), prescribed for the giving of such notice.</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Benefit of Indenture.</w:t>
      </w:r>
    </w:p>
    <w:p>
      <w:pPr>
        <w:spacing w:after="0" w:line="227"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Nothing in this Indenture or in the Notes, express or implied, shall give to any Person, other than the parties hereto, any Paying Agent, any Registrar and their successors hereunder, and the Holders, any benefit or any legal or equitable right, remedy or claim under this Indenture.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Certificate and Opinion as to Conditions Precedent.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any request or application by the Issuer to the Trustee to take any action under this Indenture, the Issuer shall furnish to the Trustee:</w:t>
      </w:r>
    </w:p>
    <w:p>
      <w:pPr>
        <w:spacing w:after="0" w:line="117" w:lineRule="exact"/>
        <w:rPr>
          <w:sz w:val="20"/>
          <w:szCs w:val="20"/>
          <w:color w:val="auto"/>
        </w:rPr>
      </w:pPr>
    </w:p>
    <w:p>
      <w:pPr>
        <w:jc w:val="both"/>
        <w:ind w:right="280" w:firstLine="987"/>
        <w:spacing w:after="0" w:line="266" w:lineRule="auto"/>
        <w:tabs>
          <w:tab w:leader="none" w:pos="12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in form and substance reasonably satisfactory to the Trustee (which must include the statements set forth in Section 12.05) stating that, in the opinion of the signers, all conditions precedent and covenants, if any, provided for in this Indenture relating to the proposed action have been satisfied; and</w:t>
      </w:r>
    </w:p>
    <w:p>
      <w:pPr>
        <w:spacing w:after="0" w:line="175"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form and substance reasonably satisfactory to the Trustee (which must include the statements set forth in Section 12.05) stating that, in the opinion of such counsel, all such conditions precedent and covenants have been satisfied.</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i w:val="1"/>
          <w:iCs w:val="1"/>
          <w:color w:val="auto"/>
        </w:rPr>
        <w:t>Statements Required in Certificate or Opinion.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5360" w:right="2600" w:hanging="4373"/>
        <w:spacing w:after="0" w:line="454" w:lineRule="auto"/>
        <w:tabs>
          <w:tab w:leader="none" w:pos="122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 105</w:t>
      </w:r>
    </w:p>
    <w:p>
      <w:pPr>
        <w:sectPr>
          <w:pgSz w:w="11900" w:h="16838" w:orient="portrait"/>
          <w:cols w:equalWidth="0" w:num="1">
            <w:col w:w="10940"/>
          </w:cols>
          <w:pgMar w:left="440" w:top="270" w:right="519" w:bottom="1440" w:gutter="0" w:footer="0" w:header="0"/>
        </w:sectPr>
      </w:pPr>
    </w:p>
    <w:bookmarkStart w:id="115" w:name="page116"/>
    <w:bookmarkEnd w:id="115"/>
    <w:p>
      <w:pPr>
        <w:ind w:right="320" w:firstLine="987"/>
        <w:spacing w:after="0" w:line="282"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Any certificate or opinion of an Officer with respect to any Person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or representation by, counsel may be based, insofar as it relates to factual matters, upon certificates of public officials or upon a certificate or opinion of, or representations by, an Officer or Officers with respect to any Person stating that the information with respect to such factual matters is in the possession of such Person (or, if such Person is a limited partnership, such Person’s general partner) unless such counsel knows, or in the exercise of reasonable care should know, that the certificate or opinion or representations with respect to such matters are erroneous.</w:t>
      </w:r>
    </w:p>
    <w:p>
      <w:pPr>
        <w:spacing w:after="0" w:line="18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i w:val="1"/>
          <w:iCs w:val="1"/>
          <w:color w:val="auto"/>
        </w:rPr>
        <w:t>Rules by Trustee and Agents.</w:t>
      </w:r>
    </w:p>
    <w:p>
      <w:pPr>
        <w:spacing w:after="0" w:line="22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The Registrar or Paying Agent may make reasonable rules and set reasonable requirements for its functions.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i w:val="1"/>
          <w:iCs w:val="1"/>
          <w:color w:val="auto"/>
        </w:rPr>
        <w:t>No Personal Liability of Directors, Officers, Employees and Members.</w:t>
      </w:r>
    </w:p>
    <w:p>
      <w:pPr>
        <w:spacing w:after="0" w:line="227"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No past, present or future director, officer, partner, employee, incorporator, member, manager, stockholder, unitholder or other owner of the Capital Stock of the Issuer or any Guarantor, as such, will have any liability for any obligations of the Issuer or the Guarantors under the Notes, this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i w:val="1"/>
          <w:iCs w:val="1"/>
          <w:color w:val="auto"/>
        </w:rPr>
        <w:t>Governing Law; Jurisdiction.</w:t>
      </w:r>
    </w:p>
    <w:p>
      <w:pPr>
        <w:spacing w:after="0" w:line="22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INDENTURE, THE NOTES AND THE GUARANTEES, AND ANY CLAIM, CONTROVERSY OR DISPUTE ARISING UNDER OR RELATED TO THIS INDENTURE, THE NOTES AND THE GUARANTEES, WILL BE GOVERNED BY, AND CONSTRUED IN ACCORDANCE WITH, THE LAWS OF THE STATE OF NEW YORK.</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80"/>
          </w:cols>
          <w:pgMar w:left="440" w:top="270" w:right="479" w:bottom="1440" w:gutter="0" w:footer="0" w:header="0"/>
        </w:sectPr>
      </w:pPr>
    </w:p>
    <w:bookmarkStart w:id="116" w:name="page117"/>
    <w:bookmarkEnd w:id="116"/>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hereby (a) irrevocably submit to the non-exclusive jurisdiction of any federal or state court sitting in the Borough of Manhattan, the City of New York, (b) waive any objection to laying of venue in any such action or proceeding in such courts, and (c) waive any objection that such courts are an inconvenient forum or do not have jurisdiction over any party.</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12.09 </w:t>
      </w:r>
      <w:r>
        <w:rPr>
          <w:rFonts w:ascii="Times New Roman" w:cs="Times New Roman" w:eastAsia="Times New Roman" w:hAnsi="Times New Roman"/>
          <w:sz w:val="18"/>
          <w:szCs w:val="18"/>
          <w:i w:val="1"/>
          <w:iCs w:val="1"/>
          <w:color w:val="auto"/>
        </w:rPr>
        <w:t>No Adverse Interpretation of Other Agreements.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Indenture may not be used to interpret any other indenture, loan or debt agreement of the Issuer or its Subsidiaries or of any other 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12.10 </w:t>
      </w:r>
      <w:r>
        <w:rPr>
          <w:rFonts w:ascii="Times New Roman" w:cs="Times New Roman" w:eastAsia="Times New Roman" w:hAnsi="Times New Roman"/>
          <w:sz w:val="18"/>
          <w:szCs w:val="18"/>
          <w:i w:val="1"/>
          <w:iCs w:val="1"/>
          <w:color w:val="auto"/>
        </w:rPr>
        <w:t>Successors.</w:t>
      </w:r>
    </w:p>
    <w:p>
      <w:pPr>
        <w:spacing w:after="0" w:line="22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All agreements of the Issuer in this Indenture and the Notes will bind its successors. All agreements of the Trustee in this Indenture will bind its successors. All agreements of each Guarantor in this Indenture will bind its successors, except as otherwise provided in Section 10.04.</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12.11 </w:t>
      </w:r>
      <w:r>
        <w:rPr>
          <w:rFonts w:ascii="Times New Roman" w:cs="Times New Roman" w:eastAsia="Times New Roman" w:hAnsi="Times New Roman"/>
          <w:sz w:val="18"/>
          <w:szCs w:val="18"/>
          <w:i w:val="1"/>
          <w:iCs w:val="1"/>
          <w:color w:val="auto"/>
        </w:rPr>
        <w:t>Severability; Entire Agreement.</w:t>
      </w:r>
    </w:p>
    <w:p>
      <w:pPr>
        <w:spacing w:after="0" w:line="227"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In case any provision in this Indenture or in the Notes is invalid, illegal or unenforceable, the validity, legality and enforceability of the remaining provisions will not in any way be affected or impaired thereby. This Indenture and the Exhibits hereto set forth the entire agreement and understanding of the parties related to this transaction and supersedes all prior agreements and understandings, oral and written.</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12.12 </w:t>
      </w:r>
      <w:r>
        <w:rPr>
          <w:rFonts w:ascii="Times New Roman" w:cs="Times New Roman" w:eastAsia="Times New Roman" w:hAnsi="Times New Roman"/>
          <w:sz w:val="18"/>
          <w:szCs w:val="18"/>
          <w:i w:val="1"/>
          <w:iCs w:val="1"/>
          <w:color w:val="auto"/>
        </w:rPr>
        <w:t>Counterpart Originals.</w:t>
      </w:r>
    </w:p>
    <w:p>
      <w:pPr>
        <w:spacing w:after="0" w:line="22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parties may sign any number of copies of this Indenture, and each party hereto may sign any number of separate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other than authentication of the Notes by the Trustee. The words “execution,” “signed,” “signature,” “delivery,” and words of like import in or relating to this Indenture, other than the certificate of authentication of the Notes by the Trustee,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set forth herein, the Trustee is under no obligation to agree to accept electronic signatures in any form or format unless expressly agreed to by the Trustee pursuant to procedures approved by the Trustee.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12.13 </w:t>
      </w:r>
      <w:r>
        <w:rPr>
          <w:rFonts w:ascii="Times New Roman" w:cs="Times New Roman" w:eastAsia="Times New Roman" w:hAnsi="Times New Roman"/>
          <w:sz w:val="18"/>
          <w:szCs w:val="18"/>
          <w:i w:val="1"/>
          <w:iCs w:val="1"/>
          <w:color w:val="auto"/>
        </w:rPr>
        <w:t>Table of Contents, Headings, etc.</w:t>
      </w:r>
    </w:p>
    <w:p>
      <w:pPr>
        <w:spacing w:after="0" w:line="22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17" w:name="page118"/>
    <w:bookmarkEnd w:id="1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12.14 </w:t>
      </w:r>
      <w:r>
        <w:rPr>
          <w:rFonts w:ascii="Times New Roman" w:cs="Times New Roman" w:eastAsia="Times New Roman" w:hAnsi="Times New Roman"/>
          <w:sz w:val="18"/>
          <w:szCs w:val="18"/>
          <w:i w:val="1"/>
          <w:iCs w:val="1"/>
          <w:color w:val="auto"/>
        </w:rPr>
        <w:t>Payment Date Other Than a Business Day.</w:t>
      </w:r>
    </w:p>
    <w:p>
      <w:pPr>
        <w:spacing w:after="0" w:line="22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If any payment with respect to any principal of, premium on, if any, or interest on, any Note is due on a day which is not a Business Day, then the payment need not be made on such date, but may be made on the next Business Day with the same force and effect as if made on such date, and no interest will accrue for the intervening period.</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12.15 </w:t>
      </w:r>
      <w:r>
        <w:rPr>
          <w:rFonts w:ascii="Times New Roman" w:cs="Times New Roman" w:eastAsia="Times New Roman" w:hAnsi="Times New Roman"/>
          <w:sz w:val="18"/>
          <w:szCs w:val="18"/>
          <w:i w:val="1"/>
          <w:iCs w:val="1"/>
          <w:color w:val="auto"/>
        </w:rPr>
        <w:t>Action by Holders.</w:t>
      </w:r>
    </w:p>
    <w:p>
      <w:pPr>
        <w:spacing w:after="0" w:line="227" w:lineRule="exact"/>
        <w:rPr>
          <w:sz w:val="20"/>
          <w:szCs w:val="20"/>
          <w:color w:val="auto"/>
        </w:rPr>
      </w:pPr>
    </w:p>
    <w:p>
      <w:pPr>
        <w:ind w:right="120" w:firstLine="987"/>
        <w:spacing w:after="0" w:line="254" w:lineRule="auto"/>
        <w:tabs>
          <w:tab w:leader="none" w:pos="12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made or taken by the Holders may be embodied in and evidenced by one or more instruments of substantially similar tenor signed by such Holders in person or by agents duly appointed in writing, and may be given, made or taken in connection with a purchase of, or tender offer or exchange offer for, outstanding Notes; and, except as herein otherwise expressly provided, such action shall become effective when such instrument or instruments are delivered to the Trustee and, where it is hereby expressly required, to the Issuer. Such instrument or instruments (and the action embodied therein and evidenced thereby) are herein sometimes referred to as the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of the Holders signing such instrument or instruments. Proof of execution of any such instrument or of a writing appointing any such agent shall be sufficient for any purpose of this Indenture and conclusive in favor of the Trustee and the Issuer if made in the manner provided in this Section 12.15.</w:t>
      </w:r>
    </w:p>
    <w:p>
      <w:pPr>
        <w:spacing w:after="0" w:line="192" w:lineRule="exact"/>
        <w:rPr>
          <w:sz w:val="20"/>
          <w:szCs w:val="20"/>
          <w:color w:val="auto"/>
        </w:rPr>
      </w:pPr>
    </w:p>
    <w:p>
      <w:pPr>
        <w:ind w:right="20" w:firstLine="440"/>
        <w:spacing w:after="0" w:line="271" w:lineRule="auto"/>
        <w:rPr>
          <w:sz w:val="20"/>
          <w:szCs w:val="20"/>
          <w:color w:val="auto"/>
        </w:rPr>
      </w:pPr>
      <w:r>
        <w:rPr>
          <w:rFonts w:ascii="Times New Roman" w:cs="Times New Roman" w:eastAsia="Times New Roman" w:hAnsi="Times New Roman"/>
          <w:sz w:val="17"/>
          <w:szCs w:val="17"/>
          <w:color w:val="auto"/>
        </w:rPr>
        <w:t>Without limiting the generality of this Section 12.15, unless otherwise provided in or pursuant to this Indenture, (i) a Holder, including a Depositary or its nominee that is a Holder of a Global Note, may give, make or take, by an agent or agents duly appointed in writing, any request, demand, authorization, direction, notice, consent, waiver or other Act provided in or pursuant to this Indenture to be given, made or taken by the Holders, and a Depositary or its nominee that is a Holder of a Global Note may duly appoint in writing as its agent or agents members of, or participants in, such Depositary holding interests in such Global Note in the records of such Depositary; and (ii) with respect to any Global Note the Depositary for which is DTC, any consent or other action given, made or taken by an “agent member” of DTC by electronic means in accordance with the Automated Tender Offer Procedures system or other customary procedures of, and pursuant to authorization by, DTC shall be deemed to constitute the “</w:t>
      </w:r>
      <w:r>
        <w:rPr>
          <w:rFonts w:ascii="Times New Roman" w:cs="Times New Roman" w:eastAsia="Times New Roman" w:hAnsi="Times New Roman"/>
          <w:sz w:val="17"/>
          <w:szCs w:val="17"/>
          <w:i w:val="1"/>
          <w:iCs w:val="1"/>
          <w:color w:val="auto"/>
        </w:rPr>
        <w:t>Act</w:t>
      </w:r>
      <w:r>
        <w:rPr>
          <w:rFonts w:ascii="Times New Roman" w:cs="Times New Roman" w:eastAsia="Times New Roman" w:hAnsi="Times New Roman"/>
          <w:sz w:val="17"/>
          <w:szCs w:val="17"/>
          <w:color w:val="auto"/>
        </w:rPr>
        <w:t>” of the Holder of such Global Note, and such Act shall be deemed to have been delivered to the Issuer and the Trustee upon the delivery by DTC of an “agent’s message” or other notice of such consent or other action having been so given, made or taken in accordance with the customary procedures of DTC.</w:t>
      </w:r>
    </w:p>
    <w:p>
      <w:pPr>
        <w:spacing w:after="0" w:line="173" w:lineRule="exact"/>
        <w:rPr>
          <w:sz w:val="20"/>
          <w:szCs w:val="20"/>
          <w:color w:val="auto"/>
        </w:rPr>
      </w:pPr>
    </w:p>
    <w:p>
      <w:pPr>
        <w:ind w:right="40" w:firstLine="987"/>
        <w:spacing w:after="0" w:line="256"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witness, notary or officer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 deems sufficient.</w:t>
      </w:r>
    </w:p>
    <w:p>
      <w:pPr>
        <w:spacing w:after="0" w:line="187"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12.15 or elsewhere in this Indenture, the principal amount and serial numbers of Notes held by any Holder, and the date of holding the same, shall be proved by the register of the Notes maintained by the Registrar as provided in Section 2.03.</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80"/>
          </w:cols>
          <w:pgMar w:left="440" w:top="268" w:right="479" w:bottom="1440" w:gutter="0" w:footer="0" w:header="0"/>
        </w:sectPr>
      </w:pPr>
    </w:p>
    <w:bookmarkStart w:id="118" w:name="page119"/>
    <w:bookmarkEnd w:id="118"/>
    <w:p>
      <w:pPr>
        <w:ind w:firstLine="987"/>
        <w:spacing w:after="0" w:line="253" w:lineRule="auto"/>
        <w:tabs>
          <w:tab w:leader="none" w:pos="124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Issuer shall solicit from the Holders of the Notes any request, demand, authorization, direction, notice, consent, waiver or other Act, the Issuer may, at its option, by or pursuant to a resolution of its Board of Directors, fix in advance a record date for the determination of the Holders entitled to give, make or take such request, demand, authorization, direction, notice, consent, waiver or other Act, but the Issuer shall have no obligation to do so. Such record date shall be the record date specified in or pursuant to such resolution, which shall be a date not earlier than the date 30 days prior to the first solicitation of the Holders generally in connection therewith or the date of the most recent list of the Holders forwarded to the Trustee prior to such solicitation pursuant to Section 2.05 and not later than the date such solicitation is completed. If such a record date is fixed, then notwithstanding the second sentence of Section 9.04, any instrument embodying and evidencing such request, demand, authorization, direction, notice, consent, waiver or other Act may be executed before or after such record date, but only the Holders of record at the close of business on such record date (whether or not such Persons were Holders before, or continue to be Holders after, such record date) shall be deemed to be Holders for the purposes of determining whether Holders of the requisite proportion of the then outstanding Notes have given, made or taken such request, demand, authorization, direction, notice, consent, waiver or other Act, and for that purpose the then outstanding Notes shall be computed as of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Act by the Holders of record on any record date shall be deemed effective unless it shall become effective pursuant to the provisions of this Indenture not later than eleven months after such record date.</w:t>
      </w:r>
    </w:p>
    <w:p>
      <w:pPr>
        <w:spacing w:after="0" w:line="187"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9.04, any request, demand, authorization, direction, notice, consent, waiver or other Act of the Holder of any Note shall bind every future Holder of the same Note and the Holder of every Note issued upon the registration or transfer thereof or in exchange therefor or in lieu thereof in respect of anything done, omitted or suffered to be done by the Trustee or the Issuer in reliance thereon, whether or not notation of such action is made upon such Note.</w:t>
      </w:r>
    </w:p>
    <w:p>
      <w:pPr>
        <w:spacing w:after="0" w:line="179" w:lineRule="exact"/>
        <w:rPr>
          <w:rFonts w:ascii="Times New Roman" w:cs="Times New Roman" w:eastAsia="Times New Roman" w:hAnsi="Times New Roman"/>
          <w:sz w:val="18"/>
          <w:szCs w:val="18"/>
          <w:color w:val="auto"/>
        </w:rPr>
      </w:pPr>
    </w:p>
    <w:p>
      <w:pPr>
        <w:ind w:right="80" w:firstLine="987"/>
        <w:spacing w:after="0" w:line="266" w:lineRule="auto"/>
        <w:tabs>
          <w:tab w:leader="none" w:pos="121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a Holder entitled hereunder to give, make or take any action hereunder with regard to any particular Note may do so itself with regard to all or any part of the principal amount of such Note or by one or more duly appointed agents each of which may do so pursuant to such appointment with regard to all or any part of such principal amount.</w:t>
      </w:r>
    </w:p>
    <w:p>
      <w:pPr>
        <w:spacing w:after="0" w:line="175" w:lineRule="exact"/>
        <w:rPr>
          <w:rFonts w:ascii="Times New Roman" w:cs="Times New Roman" w:eastAsia="Times New Roman" w:hAnsi="Times New Roman"/>
          <w:sz w:val="18"/>
          <w:szCs w:val="18"/>
          <w:color w:val="auto"/>
        </w:rPr>
      </w:pPr>
    </w:p>
    <w:p>
      <w:pPr>
        <w:ind w:right="540" w:firstLine="987"/>
        <w:spacing w:after="0" w:line="282" w:lineRule="auto"/>
        <w:tabs>
          <w:tab w:leader="none" w:pos="124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Indenture, any action by the Holders which may be taken in writing may be taken by electronic means or as otherwise reasonably acceptable to the Trustee.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12.16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EACH OF THE ISSUER, THE GUARANTORS, THE HOLDERS AND THE TRUSTEE HEREBY IRREVOCABLY WAIVES, TO THE FULLEST EXTENT PERMITTED BY APPLICABLE LAW, ANY AND ALL RIGHT TO TRIAL BY JURY IN ANY LEGAL PROCEEDING ARISING OUT OF OR RELATING TO THIS INDENTURE, THE NOTES, THE GUARANTEES OR THE TRANSACTION CONTEMPLATED HEREBY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12.17 </w:t>
      </w:r>
      <w:r>
        <w:rPr>
          <w:rFonts w:ascii="Times New Roman" w:cs="Times New Roman" w:eastAsia="Times New Roman" w:hAnsi="Times New Roman"/>
          <w:sz w:val="18"/>
          <w:szCs w:val="18"/>
          <w:i w:val="1"/>
          <w:iCs w:val="1"/>
          <w:color w:val="auto"/>
        </w:rPr>
        <w:t>Electronic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Trustee shall have the right to accept and act upon instructions, including funds transfer instructions (“</w:t>
      </w:r>
      <w:r>
        <w:rPr>
          <w:rFonts w:ascii="Times New Roman" w:cs="Times New Roman" w:eastAsia="Times New Roman" w:hAnsi="Times New Roman"/>
          <w:sz w:val="18"/>
          <w:szCs w:val="18"/>
          <w:i w:val="1"/>
          <w:iCs w:val="1"/>
          <w:color w:val="auto"/>
        </w:rPr>
        <w:t>Instructions</w:t>
      </w:r>
      <w:r>
        <w:rPr>
          <w:rFonts w:ascii="Times New Roman" w:cs="Times New Roman" w:eastAsia="Times New Roman" w:hAnsi="Times New Roman"/>
          <w:sz w:val="18"/>
          <w:szCs w:val="18"/>
          <w:color w:val="auto"/>
        </w:rPr>
        <w:t xml:space="preserve">”) given pursuant to this Indenture and delivered using Electronic Means;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and/or any Guarantor shall provide to the an incumbency certificate listing officers with the authority to provide such Instructions (“</w:t>
      </w:r>
      <w:r>
        <w:rPr>
          <w:rFonts w:ascii="Times New Roman" w:cs="Times New Roman" w:eastAsia="Times New Roman" w:hAnsi="Times New Roman"/>
          <w:sz w:val="18"/>
          <w:szCs w:val="18"/>
          <w:i w:val="1"/>
          <w:iCs w:val="1"/>
          <w:color w:val="auto"/>
        </w:rPr>
        <w:t>Authorized Officers</w:t>
      </w:r>
      <w:r>
        <w:rPr>
          <w:rFonts w:ascii="Times New Roman" w:cs="Times New Roman" w:eastAsia="Times New Roman" w:hAnsi="Times New Roman"/>
          <w:sz w:val="18"/>
          <w:szCs w:val="18"/>
          <w:color w:val="auto"/>
        </w:rPr>
        <w:t>”) and containing specimen signatures of such Authorized Officers, which incumbency certificate shall be amended by the Issuer and/or any Guarantor whenever a Person is to be added or deleted from the listing. If the Issuer and/or any Guarantor elects to give the Trustee Instructions using Electronic Means and the Trustee in its discretion elects to act upon such Instructions, the Trustee’s understanding of such Instructions shall be deemed controlling. The Issuer and the Guarantors understand and agree that the Trustee cannot determine the identity of the actual sender of such Instructions and that the Trustee shall conclusively presume that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19" w:name="page120"/>
    <w:bookmarkEnd w:id="11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directions that purport to have been sent by an Authorized Officer listed on the incumbency certificate provided to the Trustee have been sent by such Authorized Officer. The Issuer and the Guarantors shall be responsible for ensuring that only Authorized Officers transmit such Instructions to the Trustee and that the Issuer, the Guarantors and all Authorized Officers are solely responsible to safeguard the use and confidentiality of applicable user and authorization codes, passwords and/or authentication keys upon receipt by the Issuer and the Guarantors. The Trustee shall not be liable for any losses, costs or expenses arising directly or indirectly from the Trustee’s reliance upon and compliance with such Instructions notwithstanding such directions conflict or are inconsistent with a subsequent written instruction. The Issuer and the Guarantors agree: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Issuer or the Guarantors;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19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12.18 </w:t>
      </w:r>
      <w:r>
        <w:rPr>
          <w:rFonts w:ascii="Times New Roman" w:cs="Times New Roman" w:eastAsia="Times New Roman" w:hAnsi="Times New Roman"/>
          <w:sz w:val="18"/>
          <w:szCs w:val="18"/>
          <w:i w:val="1"/>
          <w:iCs w:val="1"/>
          <w:color w:val="auto"/>
        </w:rPr>
        <w:t>Language of Notices, Etc.</w:t>
      </w:r>
    </w:p>
    <w:p>
      <w:pPr>
        <w:spacing w:after="0" w:line="22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Act required or permitted under this Indenture shall be in the English language, except that any published notice may be in an official language of the country of publication.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60"/>
          </w:cols>
          <w:pgMar w:left="440" w:top="270" w:right="499" w:bottom="1440" w:gutter="0" w:footer="0" w:header="0"/>
        </w:sectPr>
      </w:pPr>
    </w:p>
    <w:bookmarkStart w:id="120" w:name="page121"/>
    <w:bookmarkEnd w:id="120"/>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June 5,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the Issuer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GUARANTORS: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LK</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ILLS</w:t>
      </w:r>
      <w:r>
        <w:rPr>
          <w:rFonts w:ascii="Times New Roman" w:cs="Times New Roman" w:eastAsia="Times New Roman" w:hAnsi="Times New Roman"/>
          <w:sz w:val="18"/>
          <w:szCs w:val="18"/>
          <w:b w:val="1"/>
          <w:bCs w:val="1"/>
          <w:color w:val="auto"/>
        </w:rPr>
        <w:t>,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STATE</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ENTURES</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OYALTY</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CRC C</w:t>
      </w:r>
      <w:r>
        <w:rPr>
          <w:rFonts w:ascii="Times New Roman" w:cs="Times New Roman" w:eastAsia="Times New Roman" w:hAnsi="Times New Roman"/>
          <w:sz w:val="14"/>
          <w:szCs w:val="14"/>
          <w:b w:val="1"/>
          <w:bCs w:val="1"/>
          <w:color w:val="auto"/>
        </w:rPr>
        <w:t>ONSTRUCTION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CRC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OCAL</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18"/>
          <w:szCs w:val="18"/>
          <w:b w:val="1"/>
          <w:bCs w:val="1"/>
          <w:color w:val="auto"/>
        </w:rPr>
        <w:t>, 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r>
        <w:rPr>
          <w:rFonts w:ascii="Times New Roman" w:cs="Times New Roman" w:eastAsia="Times New Roman" w:hAnsi="Times New Roman"/>
          <w:sz w:val="18"/>
          <w:szCs w:val="18"/>
          <w:color w:val="auto"/>
        </w:rPr>
        <w:t>, as sole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ILMINGTON</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IDELANDS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as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sole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EAVY</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IL</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10700"/>
          </w:cols>
          <w:pgMar w:left="440" w:top="270" w:right="759" w:bottom="1440" w:gutter="0" w:footer="0" w:header="0"/>
        </w:sectPr>
      </w:pPr>
    </w:p>
    <w:bookmarkStart w:id="121" w:name="page122"/>
    <w:bookmarkEnd w:id="12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ETROLEUM</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RODUCTION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CRC M</w:t>
      </w:r>
      <w:r>
        <w:rPr>
          <w:rFonts w:ascii="Times New Roman" w:cs="Times New Roman" w:eastAsia="Times New Roman" w:hAnsi="Times New Roman"/>
          <w:sz w:val="14"/>
          <w:szCs w:val="14"/>
          <w:b w:val="1"/>
          <w:bCs w:val="1"/>
          <w:color w:val="auto"/>
        </w:rPr>
        <w:t>ARKETING</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OUTHERN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AN</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OAQUIN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RODUCTION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EVEE</w:t>
      </w:r>
      <w:r>
        <w:rPr>
          <w:rFonts w:ascii="Times New Roman" w:cs="Times New Roman" w:eastAsia="Times New Roman" w:hAnsi="Times New Roman"/>
          <w:sz w:val="18"/>
          <w:szCs w:val="18"/>
          <w:b w:val="1"/>
          <w:bCs w:val="1"/>
          <w:color w:val="auto"/>
        </w:rPr>
        <w:t>,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EHP T</w:t>
      </w:r>
      <w:r>
        <w:rPr>
          <w:rFonts w:ascii="Times New Roman" w:cs="Times New Roman" w:eastAsia="Times New Roman" w:hAnsi="Times New Roman"/>
          <w:sz w:val="14"/>
          <w:szCs w:val="14"/>
          <w:b w:val="1"/>
          <w:bCs w:val="1"/>
          <w:color w:val="auto"/>
        </w:rPr>
        <w:t>OPCO</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LK</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ILLS</w:t>
      </w:r>
      <w:r>
        <w:rPr>
          <w:rFonts w:ascii="Times New Roman" w:cs="Times New Roman" w:eastAsia="Times New Roman" w:hAnsi="Times New Roman"/>
          <w:sz w:val="18"/>
          <w:szCs w:val="18"/>
          <w:color w:val="auto"/>
        </w:rPr>
        <w:t>, LLC, as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IDELANDS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9860"/>
          </w:cols>
          <w:pgMar w:left="1440" w:top="266" w:right="599" w:bottom="1440" w:gutter="0" w:footer="0" w:header="0"/>
        </w:sectPr>
      </w:pPr>
    </w:p>
    <w:bookmarkStart w:id="122" w:name="page123"/>
    <w:bookmarkEnd w:id="12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ALIFORNIA</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EVEE</w:t>
      </w:r>
      <w:r>
        <w:rPr>
          <w:rFonts w:ascii="Times New Roman" w:cs="Times New Roman" w:eastAsia="Times New Roman" w:hAnsi="Times New Roman"/>
          <w:sz w:val="18"/>
          <w:szCs w:val="18"/>
          <w:b w:val="1"/>
          <w:bCs w:val="1"/>
          <w:color w:val="auto"/>
        </w:rPr>
        <w:t>, L.P.</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C</w:t>
      </w:r>
      <w:r>
        <w:rPr>
          <w:rFonts w:ascii="Times New Roman" w:cs="Times New Roman" w:eastAsia="Times New Roman" w:hAnsi="Times New Roman"/>
          <w:sz w:val="14"/>
          <w:szCs w:val="14"/>
          <w:color w:val="auto"/>
        </w:rPr>
        <w:t>ALIFORNIA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ESOURCES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OLES</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EVEE</w:t>
      </w:r>
      <w:r>
        <w:rPr>
          <w:rFonts w:ascii="Times New Roman" w:cs="Times New Roman" w:eastAsia="Times New Roman" w:hAnsi="Times New Roman"/>
          <w:sz w:val="18"/>
          <w:szCs w:val="18"/>
          <w:color w:val="auto"/>
        </w:rPr>
        <w:t>, LLC, as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LK</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ILLS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OWER</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EHP M</w:t>
      </w:r>
      <w:r>
        <w:rPr>
          <w:rFonts w:ascii="Times New Roman" w:cs="Times New Roman" w:eastAsia="Times New Roman" w:hAnsi="Times New Roman"/>
          <w:sz w:val="14"/>
          <w:szCs w:val="14"/>
          <w:color w:val="auto"/>
        </w:rPr>
        <w:t>IDCO</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LLC, as sole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EHP M</w:t>
      </w:r>
      <w:r>
        <w:rPr>
          <w:rFonts w:ascii="Times New Roman" w:cs="Times New Roman" w:eastAsia="Times New Roman" w:hAnsi="Times New Roman"/>
          <w:sz w:val="14"/>
          <w:szCs w:val="14"/>
          <w:b w:val="1"/>
          <w:bCs w:val="1"/>
          <w:color w:val="auto"/>
        </w:rPr>
        <w:t>IDCO</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EHP T</w:t>
      </w:r>
      <w:r>
        <w:rPr>
          <w:rFonts w:ascii="Times New Roman" w:cs="Times New Roman" w:eastAsia="Times New Roman" w:hAnsi="Times New Roman"/>
          <w:sz w:val="14"/>
          <w:szCs w:val="14"/>
          <w:color w:val="auto"/>
        </w:rPr>
        <w:t>OPCO</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LLC, as sole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Francisco J. Leon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9580"/>
          </w:cols>
          <w:pgMar w:left="1440" w:top="266" w:right="879" w:bottom="1440" w:gutter="0" w:footer="0" w:header="0"/>
        </w:sectPr>
      </w:pPr>
    </w:p>
    <w:bookmarkStart w:id="123" w:name="page124"/>
    <w:bookmarkEnd w:id="12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WILMINGTON TRUST,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Barry D. Somrock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Barry D. Somrock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10020"/>
          </w:cols>
          <w:pgMar w:left="1440" w:top="266" w:right="4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ind w:left="5360" w:right="4560" w:hanging="5367"/>
        <w:spacing w:after="0" w:line="456" w:lineRule="auto"/>
        <w:rPr>
          <w:sz w:val="20"/>
          <w:szCs w:val="20"/>
          <w:color w:val="auto"/>
        </w:rPr>
      </w:pPr>
      <w:r>
        <w:rPr>
          <w:rFonts w:ascii="Times New Roman" w:cs="Times New Roman" w:eastAsia="Times New Roman" w:hAnsi="Times New Roman"/>
          <w:sz w:val="18"/>
          <w:szCs w:val="18"/>
          <w:i w:val="1"/>
          <w:iCs w:val="1"/>
          <w:color w:val="auto"/>
        </w:rPr>
        <w:t xml:space="preserve">[Insert the Regulation S Legend, if applicable pursuant to the provisions of the Indenture] </w:t>
      </w: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70" w:right="439" w:bottom="1440" w:gutter="0" w:footer="0" w:header="0"/>
        </w:sectPr>
      </w:pPr>
    </w:p>
    <w:bookmarkStart w:id="125" w:name="page126"/>
    <w:bookmarkEnd w:id="125"/>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740" w:type="dxa"/>
            <w:vAlign w:val="bottom"/>
          </w:tcPr>
          <w:p>
            <w:pPr>
              <w:jc w:val="center"/>
              <w:ind w:left="7908"/>
              <w:spacing w:after="0"/>
              <w:rPr>
                <w:sz w:val="20"/>
                <w:szCs w:val="20"/>
                <w:color w:val="auto"/>
              </w:rPr>
            </w:pPr>
            <w:r>
              <w:rPr>
                <w:rFonts w:ascii="Times New Roman" w:cs="Times New Roman" w:eastAsia="Times New Roman" w:hAnsi="Times New Roman"/>
                <w:sz w:val="18"/>
                <w:szCs w:val="18"/>
                <w:color w:val="auto"/>
                <w:w w:val="82"/>
              </w:rPr>
              <w:t>CUSIP [ 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0"/>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40" w:type="dxa"/>
            <w:vAlign w:val="bottom"/>
          </w:tcPr>
          <w:p>
            <w:pPr>
              <w:jc w:val="center"/>
              <w:ind w:left="7908"/>
              <w:spacing w:after="0"/>
              <w:rPr>
                <w:sz w:val="20"/>
                <w:szCs w:val="20"/>
                <w:color w:val="auto"/>
              </w:rPr>
            </w:pPr>
            <w:r>
              <w:rPr>
                <w:rFonts w:ascii="Times New Roman" w:cs="Times New Roman" w:eastAsia="Times New Roman" w:hAnsi="Times New Roman"/>
                <w:sz w:val="18"/>
                <w:szCs w:val="18"/>
                <w:color w:val="auto"/>
                <w:w w:val="78"/>
              </w:rPr>
              <w:t>ISIN [ 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r>
              <w:rPr>
                <w:rFonts w:ascii="Times New Roman" w:cs="Times New Roman" w:eastAsia="Times New Roman" w:hAnsi="Times New Roman"/>
                <w:sz w:val="26"/>
                <w:szCs w:val="26"/>
                <w:color w:val="auto"/>
                <w:w w:val="95"/>
                <w:vertAlign w:val="superscript"/>
              </w:rPr>
              <w:t>1</w:t>
            </w:r>
          </w:p>
        </w:tc>
      </w:tr>
      <w:tr>
        <w:trPr>
          <w:trHeight w:val="306"/>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40" w:type="dxa"/>
            <w:vAlign w:val="bottom"/>
          </w:tcPr>
          <w:p>
            <w:pPr>
              <w:jc w:val="center"/>
              <w:ind w:right="1888"/>
              <w:spacing w:after="0"/>
              <w:rPr>
                <w:sz w:val="20"/>
                <w:szCs w:val="20"/>
                <w:color w:val="auto"/>
              </w:rPr>
            </w:pPr>
            <w:r>
              <w:rPr>
                <w:rFonts w:ascii="Times New Roman" w:cs="Times New Roman" w:eastAsia="Times New Roman" w:hAnsi="Times New Roman"/>
                <w:sz w:val="18"/>
                <w:szCs w:val="18"/>
                <w:color w:val="auto"/>
                <w:w w:val="99"/>
              </w:rPr>
              <w:t>8.250% Senior Notes due 2029</w:t>
            </w:r>
          </w:p>
        </w:tc>
        <w:tc>
          <w:tcPr>
            <w:tcW w:w="160" w:type="dxa"/>
            <w:vAlign w:val="bottom"/>
          </w:tcPr>
          <w:p>
            <w:pPr>
              <w:spacing w:after="0"/>
              <w:rPr>
                <w:sz w:val="24"/>
                <w:szCs w:val="24"/>
                <w:color w:val="auto"/>
              </w:rPr>
            </w:pPr>
          </w:p>
        </w:tc>
      </w:tr>
      <w:tr>
        <w:trPr>
          <w:trHeight w:val="45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___</w:t>
            </w:r>
          </w:p>
        </w:tc>
        <w:tc>
          <w:tcPr>
            <w:tcW w:w="9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$____________</w:t>
            </w:r>
          </w:p>
        </w:tc>
      </w:tr>
      <w:tr>
        <w:trPr>
          <w:trHeight w:val="451"/>
        </w:trPr>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740" w:type="dxa"/>
            <w:vAlign w:val="bottom"/>
          </w:tcPr>
          <w:p>
            <w:pPr>
              <w:jc w:val="center"/>
              <w:ind w:right="1868"/>
              <w:spacing w:after="0"/>
              <w:rPr>
                <w:sz w:val="20"/>
                <w:szCs w:val="20"/>
                <w:color w:val="auto"/>
              </w:rPr>
            </w:pPr>
            <w:r>
              <w:rPr>
                <w:rFonts w:ascii="Times New Roman" w:cs="Times New Roman" w:eastAsia="Times New Roman" w:hAnsi="Times New Roman"/>
                <w:sz w:val="20"/>
                <w:szCs w:val="20"/>
                <w:color w:val="auto"/>
                <w:w w:val="98"/>
              </w:rPr>
              <w:t>CALIFORNIA RESOURCES CORPORATION</w:t>
            </w:r>
          </w:p>
        </w:tc>
        <w:tc>
          <w:tcPr>
            <w:tcW w:w="160" w:type="dxa"/>
            <w:vAlign w:val="bottom"/>
          </w:tcPr>
          <w:p>
            <w:pPr>
              <w:spacing w:after="0"/>
              <w:rPr>
                <w:sz w:val="24"/>
                <w:szCs w:val="24"/>
                <w:color w:val="auto"/>
              </w:rPr>
            </w:pPr>
          </w:p>
        </w:tc>
      </w:tr>
      <w:tr>
        <w:trPr>
          <w:trHeight w:val="38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promises to pay, to     </w:t>
            </w:r>
          </w:p>
        </w:tc>
        <w:tc>
          <w:tcPr>
            <w:tcW w:w="9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or registered assigns, the principal sum of _______________________ DOLLARS [(or such greater or lesser amount as</w:t>
            </w:r>
          </w:p>
        </w:tc>
        <w:tc>
          <w:tcPr>
            <w:tcW w:w="160" w:type="dxa"/>
            <w:vAlign w:val="bottom"/>
          </w:tcPr>
          <w:p>
            <w:pPr>
              <w:spacing w:after="0"/>
              <w:rPr>
                <w:sz w:val="24"/>
                <w:szCs w:val="24"/>
                <w:color w:val="auto"/>
              </w:rPr>
            </w:pPr>
          </w:p>
        </w:tc>
      </w:tr>
      <w:tr>
        <w:trPr>
          <w:trHeight w:val="20"/>
        </w:trPr>
        <w:tc>
          <w:tcPr>
            <w:tcW w:w="1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be indicated on the attached Schedule of Increases or Decreases of Interests in the Global Note)] on June 15, 2029.</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Interest Payment Dates: June 15 and December 15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Record Dates: June 1 and December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5364" w:right="1660" w:hanging="5364"/>
        <w:spacing w:after="0" w:line="334" w:lineRule="auto"/>
        <w:tabs>
          <w:tab w:leader="none" w:pos="428" w:val="left"/>
        </w:tabs>
        <w:numPr>
          <w:ilvl w:val="0"/>
          <w:numId w:val="1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144A CUSIP: 13057Q AK3 / 144A ISIN: US13057QAK31; REG S CUSIP: U1303A AF3 / REG S ISIN: USU1303AAF31 A-2</w:t>
      </w:r>
    </w:p>
    <w:p>
      <w:pPr>
        <w:sectPr>
          <w:pgSz w:w="11900" w:h="16838" w:orient="portrait"/>
          <w:cols w:equalWidth="0" w:num="1">
            <w:col w:w="11024"/>
          </w:cols>
          <w:pgMar w:left="436" w:top="270"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CALIFORNIA RESOURCES CORPORATION</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100"/>
          </w:cols>
          <w:pgMar w:left="440" w:top="270" w:right="1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 in the within-mentioned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17145</wp:posOffset>
            </wp:positionV>
            <wp:extent cx="25546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-7620</wp:posOffset>
            </wp:positionV>
            <wp:extent cx="25139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13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019"/>
          </w:cols>
          <w:pgMar w:left="440" w:top="270" w:right="1440" w:bottom="1440" w:gutter="0" w:footer="0" w:header="0"/>
        </w:sectPr>
      </w:pPr>
    </w:p>
    <w:bookmarkStart w:id="128" w:name="page129"/>
    <w:bookmarkEnd w:id="128"/>
    <w:p>
      <w:pPr>
        <w:jc w:val="center"/>
        <w:ind w:righ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Note]</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8.250% Senior Notes due 2029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115" w:lineRule="exact"/>
        <w:rPr>
          <w:sz w:val="20"/>
          <w:szCs w:val="20"/>
          <w:color w:val="auto"/>
        </w:rPr>
      </w:pPr>
    </w:p>
    <w:p>
      <w:pPr>
        <w:ind w:firstLine="419"/>
        <w:spacing w:after="0" w:line="254" w:lineRule="auto"/>
        <w:tabs>
          <w:tab w:leader="none" w:pos="67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NTEREST</w:t>
      </w:r>
      <w:r>
        <w:rPr>
          <w:rFonts w:ascii="Times New Roman" w:cs="Times New Roman" w:eastAsia="Times New Roman" w:hAnsi="Times New Roman"/>
          <w:sz w:val="18"/>
          <w:szCs w:val="18"/>
          <w:color w:val="auto"/>
        </w:rPr>
        <w:t>.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promises to pay or cause to be paid interest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this Note at a rate of 8.250% per annum. The Issuer will pay interest semi-annually in arrears on June 15 and December 15 of each year, or if any such day is not a Business Day, on the next succeeding Business Day (each, an “</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first Interest Payment Date shall be December 15, 2024. Interest on the Notes will accrue from the most recent date to which interest has been paid or, if no interest has been paid, from the date of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The Issuer will pay interest (including post-petition interest in any proceeding under any Bankruptcy Law) on overdue principal and premium, if any, from time to time on demand at a rate that is equal to the then applicable interest rate on the Notes to the extent lawful; the Issuer will pay interest (including post-petition interest in any proceeding under any Bankruptcy Law) on overdue installments of interest (without regard to any applicable grace period), from time to time on demand at the same rate to the extent lawful.</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will be computed on the basis of a 360-day year comprised of twelve 30-day months.</w:t>
      </w:r>
    </w:p>
    <w:p>
      <w:pPr>
        <w:spacing w:after="0" w:line="115" w:lineRule="exact"/>
        <w:rPr>
          <w:sz w:val="20"/>
          <w:szCs w:val="20"/>
          <w:color w:val="auto"/>
        </w:rPr>
      </w:pPr>
    </w:p>
    <w:p>
      <w:pPr>
        <w:jc w:val="both"/>
        <w:ind w:right="80" w:firstLine="419"/>
        <w:spacing w:after="0" w:line="273" w:lineRule="auto"/>
        <w:tabs>
          <w:tab w:leader="none" w:pos="678"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w:t>
      </w:r>
      <w:r>
        <w:rPr>
          <w:rFonts w:ascii="Times New Roman" w:cs="Times New Roman" w:eastAsia="Times New Roman" w:hAnsi="Times New Roman"/>
          <w:sz w:val="13"/>
          <w:szCs w:val="13"/>
          <w:i w:val="1"/>
          <w:iCs w:val="1"/>
          <w:color w:val="auto"/>
        </w:rPr>
        <w:t>ETHOD OF</w:t>
      </w:r>
      <w:r>
        <w:rPr>
          <w:rFonts w:ascii="Times New Roman" w:cs="Times New Roman" w:eastAsia="Times New Roman" w:hAnsi="Times New Roman"/>
          <w:sz w:val="17"/>
          <w:szCs w:val="17"/>
          <w:i w:val="1"/>
          <w:iCs w:val="1"/>
          <w:color w:val="auto"/>
        </w:rPr>
        <w:t xml:space="preserve"> P</w:t>
      </w:r>
      <w:r>
        <w:rPr>
          <w:rFonts w:ascii="Times New Roman" w:cs="Times New Roman" w:eastAsia="Times New Roman" w:hAnsi="Times New Roman"/>
          <w:sz w:val="13"/>
          <w:szCs w:val="13"/>
          <w:i w:val="1"/>
          <w:iCs w:val="1"/>
          <w:color w:val="auto"/>
        </w:rPr>
        <w:t>AYMENT</w:t>
      </w:r>
      <w:r>
        <w:rPr>
          <w:rFonts w:ascii="Times New Roman" w:cs="Times New Roman" w:eastAsia="Times New Roman" w:hAnsi="Times New Roman"/>
          <w:sz w:val="17"/>
          <w:szCs w:val="17"/>
          <w:color w:val="auto"/>
        </w:rPr>
        <w:t>. The Issuer will pay interest on the Notes (except defaulted interest) to the Persons who are registered Holders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Notes at the close of business on the June 1 and December 1 next preceding the Interest Payment Date, even if such Notes are canceled after such record date and on or before such Interest Payment Date, except as provided in Section 2.12 of the Indenture with respect to defaulted interest.</w:t>
      </w:r>
    </w:p>
    <w:p>
      <w:pPr>
        <w:spacing w:after="0" w:line="1" w:lineRule="exact"/>
        <w:rPr>
          <w:rFonts w:ascii="Times New Roman" w:cs="Times New Roman" w:eastAsia="Times New Roman" w:hAnsi="Times New Roman"/>
          <w:sz w:val="17"/>
          <w:szCs w:val="17"/>
          <w:color w:val="auto"/>
        </w:rPr>
      </w:pPr>
    </w:p>
    <w:p>
      <w:pPr>
        <w:ind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The Notes will be payable as to principal, interest and premium, if any, at the office or agency of the Issuer maintained for such purpose within the continental United States, or, at the option of the Issuer, payment of interest, may be made by check mailed to the Holders at their addresses set forth in the register of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by wire transfer of immediately available funds will be required with respect to principal of, and interest and premium, if any, on, all Global Notes and all other Notes the Holders of which will have provided wire transfer instructions to the Issuer or the Paying Agent. Such payment will be in such coin or currency of the United States of America as at the time of payment is legal tender for payment of public and private debts.</w:t>
      </w:r>
    </w:p>
    <w:p>
      <w:pPr>
        <w:spacing w:after="0" w:line="79" w:lineRule="exact"/>
        <w:rPr>
          <w:rFonts w:ascii="Times New Roman" w:cs="Times New Roman" w:eastAsia="Times New Roman" w:hAnsi="Times New Roman"/>
          <w:sz w:val="17"/>
          <w:szCs w:val="17"/>
          <w:color w:val="auto"/>
        </w:rPr>
      </w:pPr>
    </w:p>
    <w:p>
      <w:pPr>
        <w:ind w:right="40" w:firstLine="419"/>
        <w:spacing w:after="0" w:line="267" w:lineRule="auto"/>
        <w:tabs>
          <w:tab w:leader="none" w:pos="67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4"/>
          <w:szCs w:val="14"/>
          <w:i w:val="1"/>
          <w:iCs w:val="1"/>
          <w:color w:val="auto"/>
        </w:rPr>
        <w:t>AYING</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GENT AND</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EGISTRAR</w:t>
      </w:r>
      <w:r>
        <w:rPr>
          <w:rFonts w:ascii="Times New Roman" w:cs="Times New Roman" w:eastAsia="Times New Roman" w:hAnsi="Times New Roman"/>
          <w:sz w:val="18"/>
          <w:szCs w:val="18"/>
          <w:color w:val="auto"/>
        </w:rPr>
        <w:t>. Initially, Wilmington Trust, National Association, the Trustee under the Indenture, will act as Paying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and Registrar. The Issuer may change the Paying Agent or Registrar without notice to any Holder. The Issuer or any of its Subsidiaries may act as Paying Agent or Registrar.</w:t>
      </w:r>
    </w:p>
    <w:p>
      <w:pPr>
        <w:spacing w:after="0" w:line="65" w:lineRule="exact"/>
        <w:rPr>
          <w:rFonts w:ascii="Times New Roman" w:cs="Times New Roman" w:eastAsia="Times New Roman" w:hAnsi="Times New Roman"/>
          <w:sz w:val="18"/>
          <w:szCs w:val="18"/>
          <w:color w:val="auto"/>
        </w:rPr>
      </w:pPr>
    </w:p>
    <w:p>
      <w:pPr>
        <w:ind w:right="100" w:firstLine="419"/>
        <w:spacing w:after="0" w:line="258" w:lineRule="auto"/>
        <w:tabs>
          <w:tab w:leader="none" w:pos="67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NDENTURE</w:t>
      </w:r>
      <w:r>
        <w:rPr>
          <w:rFonts w:ascii="Times New Roman" w:cs="Times New Roman" w:eastAsia="Times New Roman" w:hAnsi="Times New Roman"/>
          <w:sz w:val="18"/>
          <w:szCs w:val="18"/>
          <w:color w:val="auto"/>
        </w:rPr>
        <w:t>. The Issuer issued the Notes under an Indenture dated as of June 5, 2024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the Issuer, the Guarantors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 The Indenture does not limit the aggregate principal amount of Notes that may be issued thereunder.</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560"/>
          </w:cols>
          <w:pgMar w:left="880" w:top="270" w:right="459" w:bottom="1440" w:gutter="0" w:footer="0" w:header="0"/>
        </w:sectPr>
      </w:pPr>
    </w:p>
    <w:bookmarkStart w:id="129" w:name="page130"/>
    <w:bookmarkEnd w:id="129"/>
    <w:p>
      <w:pPr>
        <w:ind w:left="680" w:hanging="261"/>
        <w:spacing w:after="0"/>
        <w:tabs>
          <w:tab w:leader="none" w:pos="6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t>
      </w:r>
      <w:r>
        <w:rPr>
          <w:rFonts w:ascii="Times New Roman" w:cs="Times New Roman" w:eastAsia="Times New Roman" w:hAnsi="Times New Roman"/>
          <w:sz w:val="14"/>
          <w:szCs w:val="14"/>
          <w:i w:val="1"/>
          <w:iCs w:val="1"/>
          <w:color w:val="auto"/>
        </w:rPr>
        <w:t>PTIONAL</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EDEMPTION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firstLine="948"/>
        <w:spacing w:after="0" w:line="254" w:lineRule="auto"/>
        <w:tabs>
          <w:tab w:leader="none" w:pos="119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June 15, 2026, the Issuer may on any one or more occasions redeem up to 35% of the aggregate principal amount of the Notes (including, without limitation, any Additional Notes) issued under the Indenture in an amount not greater than the net cash proceeds of one or more Equity Offerings by the Issuer, upon notice as provided in the Indenture, at a redemption price equal to 108.250% of the principal amount of the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to, but excluding, the date of redemption (subject to the rights of Holders of Notes on the relevant record date to receive interest due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at least 65% of the aggregate principal amount of Notes originally issued on the Issue Date (excluding Notes held by the Issuer and its Subsidiaries) remains outstanding immediately after the occurrence of such redemption; and (2) the redemption occurs within 180 days of the date of the closing of such Equity Offering.</w:t>
      </w:r>
    </w:p>
    <w:p>
      <w:pPr>
        <w:spacing w:after="0" w:line="83" w:lineRule="exact"/>
        <w:rPr>
          <w:rFonts w:ascii="Times New Roman" w:cs="Times New Roman" w:eastAsia="Times New Roman" w:hAnsi="Times New Roman"/>
          <w:sz w:val="18"/>
          <w:szCs w:val="18"/>
          <w:color w:val="auto"/>
        </w:rPr>
      </w:pPr>
    </w:p>
    <w:p>
      <w:pPr>
        <w:jc w:val="both"/>
        <w:ind w:firstLine="948"/>
        <w:spacing w:after="0" w:line="261" w:lineRule="auto"/>
        <w:tabs>
          <w:tab w:leader="none" w:pos="1207"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June 15, 2026, the Issuer may on any one or more occasions redeem all or a part of the Notes, upon notice as provided in the Indenture, at a redemption price equal to 100% of the principal amount of the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Premium as of, and accrued and unpaid interest to, but excluding, the date of redemption, subject to the rights of Holders of Notes on the relevant record date to receive interest due on the relevant Interest Payment Date.</w:t>
      </w:r>
    </w:p>
    <w:p>
      <w:pPr>
        <w:spacing w:after="0" w:line="71"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redeem all (but not a portion of) the Notes when permitted by, and pursuant to the conditions in, Section 4.15(f)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Indenture.</w:t>
      </w:r>
    </w:p>
    <w:p>
      <w:pPr>
        <w:spacing w:after="0" w:line="98"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preceding paragraphs, the Notes will not be redeemable at the Issuer’s option prior to June 15, 2026.</w:t>
      </w:r>
    </w:p>
    <w:p>
      <w:pPr>
        <w:spacing w:after="0" w:line="117" w:lineRule="exact"/>
        <w:rPr>
          <w:rFonts w:ascii="Times New Roman" w:cs="Times New Roman" w:eastAsia="Times New Roman" w:hAnsi="Times New Roman"/>
          <w:sz w:val="18"/>
          <w:szCs w:val="18"/>
          <w:color w:val="auto"/>
        </w:rPr>
      </w:pPr>
    </w:p>
    <w:p>
      <w:pPr>
        <w:ind w:right="120" w:firstLine="948"/>
        <w:spacing w:after="0" w:line="258" w:lineRule="auto"/>
        <w:tabs>
          <w:tab w:leader="none" w:pos="119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and after June 15, 2026, the Issuer may on any one or more occasions redeem all or a part of the Notes, upon notice as provided in the Indenture, at the redemption prices (expressed as percentages of principal amount) set forth below,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on the Notes redeemed, to, but excluding, the applicable redemption date, subject to the rights of Holders of Notes on the relevant record date to receive interest on the relevant Interest Payment Date, if redeemed during the twelve-month period beginning on June 15 of the years indicated below:</w:t>
      </w:r>
    </w:p>
    <w:p>
      <w:pPr>
        <w:spacing w:after="0" w:line="206"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Year</w:t>
            </w:r>
          </w:p>
        </w:tc>
        <w:tc>
          <w:tcPr>
            <w:tcW w:w="63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20"/>
        </w:trPr>
        <w:tc>
          <w:tcPr>
            <w:tcW w:w="6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104.125%</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102.063%</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40" w:firstLine="419"/>
        <w:spacing w:after="0" w:line="267" w:lineRule="auto"/>
        <w:tabs>
          <w:tab w:leader="none" w:pos="67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4"/>
          <w:szCs w:val="14"/>
          <w:i w:val="1"/>
          <w:iCs w:val="1"/>
          <w:color w:val="auto"/>
        </w:rPr>
        <w:t>PECIAL</w:t>
      </w:r>
      <w:r>
        <w:rPr>
          <w:rFonts w:ascii="Times New Roman" w:cs="Times New Roman" w:eastAsia="Times New Roman" w:hAnsi="Times New Roman"/>
          <w:sz w:val="18"/>
          <w:szCs w:val="18"/>
          <w:i w:val="1"/>
          <w:iCs w:val="1"/>
          <w:color w:val="auto"/>
        </w:rPr>
        <w:t xml:space="preserve"> M</w:t>
      </w:r>
      <w:r>
        <w:rPr>
          <w:rFonts w:ascii="Times New Roman" w:cs="Times New Roman" w:eastAsia="Times New Roman" w:hAnsi="Times New Roman"/>
          <w:sz w:val="14"/>
          <w:szCs w:val="14"/>
          <w:i w:val="1"/>
          <w:iCs w:val="1"/>
          <w:color w:val="auto"/>
        </w:rPr>
        <w:t>ANDATORY</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 Special Mandatory Redemption Trigger Date occurs, the Issuer will be required to redeem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as provided in Section 3.07 of the Indenture. Otherwise, the Issuer is not required to make mandatory redemption or sinking fund payments with respect to the Notes.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540"/>
          </w:cols>
          <w:pgMar w:left="880" w:top="268" w:right="479" w:bottom="1440" w:gutter="0" w:footer="0" w:header="0"/>
        </w:sectPr>
      </w:pPr>
    </w:p>
    <w:bookmarkStart w:id="130" w:name="page131"/>
    <w:bookmarkEnd w:id="130"/>
    <w:p>
      <w:pPr>
        <w:ind w:left="680" w:hanging="261"/>
        <w:spacing w:after="0"/>
        <w:tabs>
          <w:tab w:leader="none" w:pos="6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w:t>
      </w:r>
      <w:r>
        <w:rPr>
          <w:rFonts w:ascii="Times New Roman" w:cs="Times New Roman" w:eastAsia="Times New Roman" w:hAnsi="Times New Roman"/>
          <w:sz w:val="14"/>
          <w:szCs w:val="14"/>
          <w:i w:val="1"/>
          <w:iCs w:val="1"/>
          <w:color w:val="auto"/>
        </w:rPr>
        <w:t>EPURCHASE AT THE</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4"/>
          <w:szCs w:val="14"/>
          <w:i w:val="1"/>
          <w:iCs w:val="1"/>
          <w:color w:val="auto"/>
        </w:rPr>
        <w:t>PTION OF</w:t>
      </w:r>
      <w:r>
        <w:rPr>
          <w:rFonts w:ascii="Times New Roman" w:cs="Times New Roman" w:eastAsia="Times New Roman" w:hAnsi="Times New Roman"/>
          <w:sz w:val="18"/>
          <w:szCs w:val="18"/>
          <w:i w:val="1"/>
          <w:iCs w:val="1"/>
          <w:color w:val="auto"/>
        </w:rPr>
        <w:t xml:space="preserve"> H</w:t>
      </w:r>
      <w:r>
        <w:rPr>
          <w:rFonts w:ascii="Times New Roman" w:cs="Times New Roman" w:eastAsia="Times New Roman" w:hAnsi="Times New Roman"/>
          <w:sz w:val="14"/>
          <w:szCs w:val="14"/>
          <w:i w:val="1"/>
          <w:iCs w:val="1"/>
          <w:color w:val="auto"/>
        </w:rPr>
        <w:t>OLDER</w:t>
      </w:r>
      <w:r>
        <w:rPr>
          <w:rFonts w:ascii="Times New Roman" w:cs="Times New Roman" w:eastAsia="Times New Roman" w:hAnsi="Times New Roman"/>
          <w:sz w:val="18"/>
          <w:szCs w:val="18"/>
          <w:i w:val="1"/>
          <w:iCs w:val="1"/>
          <w:color w:val="auto"/>
        </w:rPr>
        <w:t>.</w:t>
      </w:r>
    </w:p>
    <w:p>
      <w:pPr>
        <w:spacing w:after="0" w:line="117" w:lineRule="exact"/>
        <w:rPr>
          <w:rFonts w:ascii="Times New Roman" w:cs="Times New Roman" w:eastAsia="Times New Roman" w:hAnsi="Times New Roman"/>
          <w:sz w:val="18"/>
          <w:szCs w:val="18"/>
          <w:color w:val="auto"/>
        </w:rPr>
      </w:pPr>
    </w:p>
    <w:p>
      <w:pPr>
        <w:ind w:right="80" w:firstLine="948"/>
        <w:spacing w:after="0" w:line="257" w:lineRule="auto"/>
        <w:tabs>
          <w:tab w:leader="none" w:pos="119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of Control Triggering Event, the Issuer will be required to make a cash tender offer (a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to each Holder to repurchase all or any part (equal to $2,000 or an integral multiple of $1,000 in excess thereof) of each Holder’s Notes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purchase price in cash equal to 101% of the aggregate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to, but excluding, the date of purchase, subject to the rights of Holders on the relevant record date to receive interest due on the relevant Interest Payment Date (the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Within 30 days following any Change of Control Triggering Event, the Issuer will mail a notice to each Holder (with a copy to the Trustee) setting forth the procedures governing the Change of Control Offer as required by the Indenture.</w:t>
      </w:r>
    </w:p>
    <w:p>
      <w:pPr>
        <w:spacing w:after="0" w:line="76" w:lineRule="exact"/>
        <w:rPr>
          <w:rFonts w:ascii="Times New Roman" w:cs="Times New Roman" w:eastAsia="Times New Roman" w:hAnsi="Times New Roman"/>
          <w:sz w:val="18"/>
          <w:szCs w:val="18"/>
          <w:color w:val="auto"/>
        </w:rPr>
      </w:pPr>
    </w:p>
    <w:p>
      <w:pPr>
        <w:ind w:right="60" w:firstLine="948"/>
        <w:spacing w:after="0" w:line="255" w:lineRule="auto"/>
        <w:tabs>
          <w:tab w:leader="none" w:pos="120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Issuer or a Restricted Subsidiary of the Issuer consummates any Asset Sales, the Issuer may, in certain circumstances described in the Indenture, be required to make an Asset Sale Offer to all Holders of Notes and all holders of other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containing provisions similar to those set forth in the Indenture with respect to offers to purchase with the proceeds of sales of assets to purchase,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the maximum principal amount of Notes and such other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Indebtedness that may be purchased, prepaid or redeemed out of the Excess Proceeds, as defined in the Indenture. Holders of Definitive Notes that are the subject of an offer to purchase will receive an Asset Sale Offer from the Issuer prior to any related purchase date and may elect to have such Notes purchased by completing the form entitled “Option of Holder to Elect Purchase” attached to the Notes.</w:t>
      </w:r>
    </w:p>
    <w:p>
      <w:pPr>
        <w:spacing w:after="0" w:line="78"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4"/>
          <w:szCs w:val="14"/>
          <w:i w:val="1"/>
          <w:iCs w:val="1"/>
          <w:color w:val="auto"/>
        </w:rPr>
        <w:t>OTICE OF</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EDEMPTION</w:t>
      </w:r>
      <w:r>
        <w:rPr>
          <w:rFonts w:ascii="Times New Roman" w:cs="Times New Roman" w:eastAsia="Times New Roman" w:hAnsi="Times New Roman"/>
          <w:sz w:val="18"/>
          <w:szCs w:val="18"/>
          <w:color w:val="auto"/>
        </w:rPr>
        <w:t>. At least 10 days but not more than 60 days before a redemption date, the Issuer will send or cause to be sent,</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by first class mail (or sent electronically if DTC is the recipient), a notice of redemption to each Holder whose Notes are to be redeemed at its registered address, except that redemption notices may be given more than 60 days prior to a redemption date if the notice is issued in connection with a defeasance of the Notes or a satisfaction and discharge of the Indenture pursuant to Article 8 or 11 thereof. Notes and portions of Notes selected will be in minimum amounts of $2,000 or integral multiples of $1,000 in excess thereof. Notice of redemption may be subject to satisfaction or waiver of conditions precedent, as more fully described in the Indenture.</w:t>
      </w:r>
    </w:p>
    <w:p>
      <w:pPr>
        <w:spacing w:after="0" w:line="77" w:lineRule="exact"/>
        <w:rPr>
          <w:sz w:val="20"/>
          <w:szCs w:val="20"/>
          <w:color w:val="auto"/>
        </w:rPr>
      </w:pPr>
    </w:p>
    <w:p>
      <w:pPr>
        <w:ind w:firstLine="419"/>
        <w:spacing w:after="0" w:line="256" w:lineRule="auto"/>
        <w:tabs>
          <w:tab w:leader="none" w:pos="67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4"/>
          <w:szCs w:val="14"/>
          <w:i w:val="1"/>
          <w:iCs w:val="1"/>
          <w:color w:val="auto"/>
        </w:rPr>
        <w:t>ENOMINATIONS</w:t>
      </w:r>
      <w:r>
        <w:rPr>
          <w:rFonts w:ascii="Times New Roman" w:cs="Times New Roman" w:eastAsia="Times New Roman" w:hAnsi="Times New Roman"/>
          <w:sz w:val="18"/>
          <w:szCs w:val="18"/>
          <w:i w:val="1"/>
          <w:iCs w:val="1"/>
          <w:color w:val="auto"/>
        </w:rPr>
        <w:t>, T</w:t>
      </w:r>
      <w:r>
        <w:rPr>
          <w:rFonts w:ascii="Times New Roman" w:cs="Times New Roman" w:eastAsia="Times New Roman" w:hAnsi="Times New Roman"/>
          <w:sz w:val="14"/>
          <w:szCs w:val="14"/>
          <w:i w:val="1"/>
          <w:iCs w:val="1"/>
          <w:color w:val="auto"/>
        </w:rPr>
        <w:t>RANSFER</w:t>
      </w:r>
      <w:r>
        <w:rPr>
          <w:rFonts w:ascii="Times New Roman" w:cs="Times New Roman" w:eastAsia="Times New Roman" w:hAnsi="Times New Roman"/>
          <w:sz w:val="18"/>
          <w:szCs w:val="18"/>
          <w:i w:val="1"/>
          <w:iCs w:val="1"/>
          <w:color w:val="auto"/>
        </w:rPr>
        <w:t>, E</w:t>
      </w:r>
      <w:r>
        <w:rPr>
          <w:rFonts w:ascii="Times New Roman" w:cs="Times New Roman" w:eastAsia="Times New Roman" w:hAnsi="Times New Roman"/>
          <w:sz w:val="14"/>
          <w:szCs w:val="14"/>
          <w:i w:val="1"/>
          <w:iCs w:val="1"/>
          <w:color w:val="auto"/>
        </w:rPr>
        <w:t>XCHANGE</w:t>
      </w:r>
      <w:r>
        <w:rPr>
          <w:rFonts w:ascii="Times New Roman" w:cs="Times New Roman" w:eastAsia="Times New Roman" w:hAnsi="Times New Roman"/>
          <w:sz w:val="18"/>
          <w:szCs w:val="18"/>
          <w:color w:val="auto"/>
        </w:rPr>
        <w:t>. The Notes are in registered form in minimum denominations of $2,000 and integral multiples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$1,000 in excess thereof. The transfer of Notes may be registered and Notes may be exchanged as provided in the Indenture. The Registrar and the Trustee may require a Holder, among other things, to furnish appropriate endorsements and transfer documents and the Issuer may require a Holder to pay any taxes or similar governmental charges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 15 days before a selection of Notes to be redeemed or during the period between a record date and the next succeeding Interest Payment Date.</w:t>
      </w:r>
    </w:p>
    <w:p>
      <w:pPr>
        <w:spacing w:after="0" w:line="74" w:lineRule="exact"/>
        <w:rPr>
          <w:rFonts w:ascii="Times New Roman" w:cs="Times New Roman" w:eastAsia="Times New Roman" w:hAnsi="Times New Roman"/>
          <w:sz w:val="18"/>
          <w:szCs w:val="18"/>
          <w:color w:val="auto"/>
        </w:rPr>
      </w:pPr>
    </w:p>
    <w:p>
      <w:pPr>
        <w:ind w:right="40" w:firstLine="419"/>
        <w:spacing w:after="0" w:line="284" w:lineRule="auto"/>
        <w:tabs>
          <w:tab w:leader="none" w:pos="76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4"/>
          <w:szCs w:val="14"/>
          <w:i w:val="1"/>
          <w:iCs w:val="1"/>
          <w:color w:val="auto"/>
        </w:rPr>
        <w:t>ERSONS</w:t>
      </w:r>
      <w:r>
        <w:rPr>
          <w:rFonts w:ascii="Times New Roman" w:cs="Times New Roman" w:eastAsia="Times New Roman" w:hAnsi="Times New Roman"/>
          <w:sz w:val="18"/>
          <w:szCs w:val="18"/>
          <w:i w:val="1"/>
          <w:iCs w:val="1"/>
          <w:color w:val="auto"/>
        </w:rPr>
        <w:t xml:space="preserve"> D</w:t>
      </w:r>
      <w:r>
        <w:rPr>
          <w:rFonts w:ascii="Times New Roman" w:cs="Times New Roman" w:eastAsia="Times New Roman" w:hAnsi="Times New Roman"/>
          <w:sz w:val="14"/>
          <w:szCs w:val="14"/>
          <w:i w:val="1"/>
          <w:iCs w:val="1"/>
          <w:color w:val="auto"/>
        </w:rPr>
        <w:t>EEMED</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4"/>
          <w:szCs w:val="14"/>
          <w:i w:val="1"/>
          <w:iCs w:val="1"/>
          <w:color w:val="auto"/>
        </w:rPr>
        <w:t>WNERS</w:t>
      </w:r>
      <w:r>
        <w:rPr>
          <w:rFonts w:ascii="Times New Roman" w:cs="Times New Roman" w:eastAsia="Times New Roman" w:hAnsi="Times New Roman"/>
          <w:sz w:val="18"/>
          <w:szCs w:val="18"/>
          <w:color w:val="auto"/>
        </w:rPr>
        <w:t>. The registered Holder of a Note may be treated as the owner of it for all purposes. Only registered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rights under the Indenture.</w:t>
      </w:r>
    </w:p>
    <w:p>
      <w:pPr>
        <w:spacing w:after="0" w:line="50" w:lineRule="exact"/>
        <w:rPr>
          <w:rFonts w:ascii="Times New Roman" w:cs="Times New Roman" w:eastAsia="Times New Roman" w:hAnsi="Times New Roman"/>
          <w:sz w:val="18"/>
          <w:szCs w:val="18"/>
          <w:color w:val="auto"/>
        </w:rPr>
      </w:pPr>
    </w:p>
    <w:p>
      <w:pPr>
        <w:ind w:right="120" w:firstLine="419"/>
        <w:spacing w:after="0" w:line="267" w:lineRule="auto"/>
        <w:tabs>
          <w:tab w:leader="none" w:pos="76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4"/>
          <w:szCs w:val="14"/>
          <w:i w:val="1"/>
          <w:iCs w:val="1"/>
          <w:color w:val="auto"/>
        </w:rPr>
        <w:t>MENDMENT</w:t>
      </w:r>
      <w:r>
        <w:rPr>
          <w:rFonts w:ascii="Times New Roman" w:cs="Times New Roman" w:eastAsia="Times New Roman" w:hAnsi="Times New Roman"/>
          <w:sz w:val="18"/>
          <w:szCs w:val="18"/>
          <w:i w:val="1"/>
          <w:iCs w:val="1"/>
          <w:color w:val="auto"/>
        </w:rPr>
        <w:t>, S</w:t>
      </w:r>
      <w:r>
        <w:rPr>
          <w:rFonts w:ascii="Times New Roman" w:cs="Times New Roman" w:eastAsia="Times New Roman" w:hAnsi="Times New Roman"/>
          <w:sz w:val="14"/>
          <w:szCs w:val="14"/>
          <w:i w:val="1"/>
          <w:iCs w:val="1"/>
          <w:color w:val="auto"/>
        </w:rPr>
        <w:t>UPPLEMENT AND</w:t>
      </w:r>
      <w:r>
        <w:rPr>
          <w:rFonts w:ascii="Times New Roman" w:cs="Times New Roman" w:eastAsia="Times New Roman" w:hAnsi="Times New Roman"/>
          <w:sz w:val="18"/>
          <w:szCs w:val="18"/>
          <w:i w:val="1"/>
          <w:iCs w:val="1"/>
          <w:color w:val="auto"/>
        </w:rPr>
        <w:t xml:space="preserve"> W</w:t>
      </w:r>
      <w:r>
        <w:rPr>
          <w:rFonts w:ascii="Times New Roman" w:cs="Times New Roman" w:eastAsia="Times New Roman" w:hAnsi="Times New Roman"/>
          <w:sz w:val="14"/>
          <w:szCs w:val="14"/>
          <w:i w:val="1"/>
          <w:iCs w:val="1"/>
          <w:color w:val="auto"/>
        </w:rPr>
        <w:t>AIVER</w:t>
      </w:r>
      <w:r>
        <w:rPr>
          <w:rFonts w:ascii="Times New Roman" w:cs="Times New Roman" w:eastAsia="Times New Roman" w:hAnsi="Times New Roman"/>
          <w:sz w:val="18"/>
          <w:szCs w:val="18"/>
          <w:color w:val="auto"/>
        </w:rPr>
        <w:t>. Subject to certain exceptions, the Indenture, the Notes or the Guarantees may be amended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supplemented with the consent of the Holders of a majority in aggregate principal amount of the then outstanding Notes including Additional Notes, if any, voting as a single class, and any existing Default or Event of Default or</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560"/>
          </w:cols>
          <w:pgMar w:left="880" w:top="268" w:right="459" w:bottom="1440" w:gutter="0" w:footer="0" w:header="0"/>
        </w:sectPr>
      </w:pPr>
    </w:p>
    <w:bookmarkStart w:id="131" w:name="page132"/>
    <w:bookmarkEnd w:id="131"/>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any provision of the Indenture or the Notes or the Guarantees may be waived with the consent of the Holders of a majority in aggregate principal amount of the then outstanding Notes voting as a single class. Without the consent of any Holder of Notes, the Indenture, the Notes or the Guarantees may be amended or supplemented as provided in the Indenture.</w:t>
      </w:r>
    </w:p>
    <w:p>
      <w:pPr>
        <w:spacing w:after="0" w:line="66" w:lineRule="exact"/>
        <w:rPr>
          <w:sz w:val="20"/>
          <w:szCs w:val="20"/>
          <w:color w:val="auto"/>
        </w:rPr>
      </w:pPr>
    </w:p>
    <w:p>
      <w:pPr>
        <w:ind w:firstLine="419"/>
        <w:spacing w:after="0" w:line="253" w:lineRule="auto"/>
        <w:tabs>
          <w:tab w:leader="none" w:pos="7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4"/>
          <w:szCs w:val="14"/>
          <w:i w:val="1"/>
          <w:iCs w:val="1"/>
          <w:color w:val="auto"/>
        </w:rPr>
        <w:t>EFAULTS AND</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EMEDIES</w:t>
      </w:r>
      <w:r>
        <w:rPr>
          <w:rFonts w:ascii="Times New Roman" w:cs="Times New Roman" w:eastAsia="Times New Roman" w:hAnsi="Times New Roman"/>
          <w:sz w:val="18"/>
          <w:szCs w:val="18"/>
          <w:color w:val="auto"/>
        </w:rPr>
        <w:t>. In the case of an Event of Default arising from certain events of bankruptcy or insolvency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as specified in the Indenture, any Restricted Subsidiary of the Issuer that is a Significant Subsidiary or any group of Restricted Subsidiaries of the Issuer that, taken together, would constitute a Significant Subsidiary, the outstanding principal of and accrued and unpaid interest, if any, on, all outstanding Notes will become due and payable immediately without further action or notice. If any other Event of Default occurs and is continuing, the Trustee or the Holders of at least 25% in aggregate principal amount of the then outstanding Notes may declare the outstanding principal of and accrued and unpaid interest, if any, on, all outstanding Notes to be due and payable immediately. Holders may not enforce the Indenture or the Notes except as provided in the Indenture. Subject to certain limitations, Holders of a majority in aggregate principal amount of the then outstanding Notes may direct the time, method and place of conducting any proceeding for exercising any remedy available to the Trustee or exercising any trust or power conferred on it. The Holders of a majority in aggregate principal amount of the then outstanding Notes by notice to the Trustee may, on behalf of all the Holders, rescind an acceleration or waive an existing Default or Event of Default and its consequences under the Indenture, if the rescission would not conflict with a judgment or decree, except a continuing Default or Event of Default in the payment of principal of, premium on, if any, or interest on, the Notes or as otherwise specified in the Indenture.</w:t>
      </w:r>
    </w:p>
    <w:p>
      <w:pPr>
        <w:spacing w:after="0" w:line="81" w:lineRule="exact"/>
        <w:rPr>
          <w:rFonts w:ascii="Times New Roman" w:cs="Times New Roman" w:eastAsia="Times New Roman" w:hAnsi="Times New Roman"/>
          <w:sz w:val="18"/>
          <w:szCs w:val="18"/>
          <w:color w:val="auto"/>
        </w:rPr>
      </w:pPr>
    </w:p>
    <w:p>
      <w:pPr>
        <w:ind w:right="340" w:firstLine="419"/>
        <w:spacing w:after="0" w:line="284" w:lineRule="auto"/>
        <w:tabs>
          <w:tab w:leader="none" w:pos="7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4"/>
          <w:szCs w:val="14"/>
          <w:i w:val="1"/>
          <w:iCs w:val="1"/>
          <w:color w:val="auto"/>
        </w:rPr>
        <w:t>RUSTEE</w:t>
      </w:r>
      <w:r>
        <w:rPr>
          <w:rFonts w:ascii="Times New Roman" w:cs="Times New Roman" w:eastAsia="Times New Roman" w:hAnsi="Times New Roman"/>
          <w:sz w:val="18"/>
          <w:szCs w:val="18"/>
          <w:i w:val="1"/>
          <w:iCs w:val="1"/>
          <w:color w:val="auto"/>
        </w:rPr>
        <w:t xml:space="preserve"> D</w:t>
      </w:r>
      <w:r>
        <w:rPr>
          <w:rFonts w:ascii="Times New Roman" w:cs="Times New Roman" w:eastAsia="Times New Roman" w:hAnsi="Times New Roman"/>
          <w:sz w:val="14"/>
          <w:szCs w:val="14"/>
          <w:i w:val="1"/>
          <w:iCs w:val="1"/>
          <w:color w:val="auto"/>
        </w:rPr>
        <w:t>EALINGS WITH</w:t>
      </w:r>
      <w:r>
        <w:rPr>
          <w:rFonts w:ascii="Times New Roman" w:cs="Times New Roman" w:eastAsia="Times New Roman" w:hAnsi="Times New Roman"/>
          <w:sz w:val="18"/>
          <w:szCs w:val="18"/>
          <w:i w:val="1"/>
          <w:iCs w:val="1"/>
          <w:color w:val="auto"/>
        </w:rPr>
        <w:t xml:space="preserve"> I</w:t>
      </w:r>
      <w:r>
        <w:rPr>
          <w:rFonts w:ascii="Times New Roman" w:cs="Times New Roman" w:eastAsia="Times New Roman" w:hAnsi="Times New Roman"/>
          <w:sz w:val="14"/>
          <w:szCs w:val="14"/>
          <w:i w:val="1"/>
          <w:iCs w:val="1"/>
          <w:color w:val="auto"/>
        </w:rPr>
        <w:t>SSUER</w:t>
      </w:r>
      <w:r>
        <w:rPr>
          <w:rFonts w:ascii="Times New Roman" w:cs="Times New Roman" w:eastAsia="Times New Roman" w:hAnsi="Times New Roman"/>
          <w:sz w:val="18"/>
          <w:szCs w:val="18"/>
          <w:color w:val="auto"/>
        </w:rPr>
        <w:t>. The Trustee, in its individual or any other capacity, may make loans to, accept deposits from,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 services for the Issuer or its Affiliates, and may otherwise deal with the Issuer or its Affiliates, as if it were not the Trustee.</w:t>
      </w:r>
    </w:p>
    <w:p>
      <w:pPr>
        <w:spacing w:after="0" w:line="50" w:lineRule="exact"/>
        <w:rPr>
          <w:rFonts w:ascii="Times New Roman" w:cs="Times New Roman" w:eastAsia="Times New Roman" w:hAnsi="Times New Roman"/>
          <w:sz w:val="18"/>
          <w:szCs w:val="18"/>
          <w:color w:val="auto"/>
        </w:rPr>
      </w:pPr>
    </w:p>
    <w:p>
      <w:pPr>
        <w:ind w:right="120" w:firstLine="419"/>
        <w:spacing w:after="0" w:line="258" w:lineRule="auto"/>
        <w:tabs>
          <w:tab w:leader="none" w:pos="7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4"/>
          <w:szCs w:val="14"/>
          <w:i w:val="1"/>
          <w:iCs w:val="1"/>
          <w:color w:val="auto"/>
        </w:rPr>
        <w:t>O</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ECOURSE</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GAINST</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4"/>
          <w:szCs w:val="14"/>
          <w:i w:val="1"/>
          <w:iCs w:val="1"/>
          <w:color w:val="auto"/>
        </w:rPr>
        <w:t>THERS</w:t>
      </w:r>
      <w:r>
        <w:rPr>
          <w:rFonts w:ascii="Times New Roman" w:cs="Times New Roman" w:eastAsia="Times New Roman" w:hAnsi="Times New Roman"/>
          <w:sz w:val="18"/>
          <w:szCs w:val="18"/>
          <w:color w:val="auto"/>
        </w:rPr>
        <w:t>. No past, present or future director, officer, partner, employee, incorporator, manager, stockholder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unitholder or other owner of Capital Stock of the Issuer or any Guarantor, as such, will have any liability for any obligations of the Issuer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75"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4"/>
          <w:szCs w:val="14"/>
          <w:i w:val="1"/>
          <w:iCs w:val="1"/>
          <w:color w:val="auto"/>
        </w:rPr>
        <w:t>UTHENTICATION</w:t>
      </w:r>
      <w:r>
        <w:rPr>
          <w:rFonts w:ascii="Times New Roman" w:cs="Times New Roman" w:eastAsia="Times New Roman" w:hAnsi="Times New Roman"/>
          <w:sz w:val="18"/>
          <w:szCs w:val="18"/>
          <w:color w:val="auto"/>
        </w:rPr>
        <w:t>. This Note will not be valid until authenticated by the manual signature of the Trustee or an authenticating agent.</w:t>
      </w:r>
    </w:p>
    <w:p>
      <w:pPr>
        <w:spacing w:after="0" w:line="117" w:lineRule="exact"/>
        <w:rPr>
          <w:rFonts w:ascii="Times New Roman" w:cs="Times New Roman" w:eastAsia="Times New Roman" w:hAnsi="Times New Roman"/>
          <w:sz w:val="18"/>
          <w:szCs w:val="18"/>
          <w:color w:val="auto"/>
        </w:rPr>
      </w:pPr>
    </w:p>
    <w:p>
      <w:pPr>
        <w:ind w:right="320" w:firstLine="419"/>
        <w:spacing w:after="0" w:line="267" w:lineRule="auto"/>
        <w:tabs>
          <w:tab w:leader="none" w:pos="7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4"/>
          <w:szCs w:val="14"/>
          <w:i w:val="1"/>
          <w:iCs w:val="1"/>
          <w:color w:val="auto"/>
        </w:rPr>
        <w:t>BBREVIATIONS</w:t>
      </w:r>
      <w:r>
        <w:rPr>
          <w:rFonts w:ascii="Times New Roman" w:cs="Times New Roman" w:eastAsia="Times New Roman" w:hAnsi="Times New Roman"/>
          <w:sz w:val="18"/>
          <w:szCs w:val="18"/>
          <w:color w:val="auto"/>
        </w:rPr>
        <w:t>. Customary abbreviations may be used in the name of a Holder or an assignee, such as: TEN COM (= tenants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TEN ENT (= tenants by the entireties), JT TEN (= joint tenants with right of survivorship and not as tenants in common), CUST (= Custodian), and U/G/M/A (= Uniform Gifts to Minors Act).</w:t>
      </w:r>
    </w:p>
    <w:p>
      <w:pPr>
        <w:spacing w:after="0" w:line="65" w:lineRule="exact"/>
        <w:rPr>
          <w:rFonts w:ascii="Times New Roman" w:cs="Times New Roman" w:eastAsia="Times New Roman" w:hAnsi="Times New Roman"/>
          <w:sz w:val="18"/>
          <w:szCs w:val="18"/>
          <w:color w:val="auto"/>
        </w:rPr>
      </w:pPr>
    </w:p>
    <w:p>
      <w:pPr>
        <w:ind w:right="80" w:firstLine="419"/>
        <w:spacing w:after="0" w:line="261" w:lineRule="auto"/>
        <w:tabs>
          <w:tab w:leader="none" w:pos="7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w:t>
      </w:r>
      <w:r>
        <w:rPr>
          <w:rFonts w:ascii="Times New Roman" w:cs="Times New Roman" w:eastAsia="Times New Roman" w:hAnsi="Times New Roman"/>
          <w:sz w:val="14"/>
          <w:szCs w:val="14"/>
          <w:i w:val="1"/>
          <w:iCs w:val="1"/>
          <w:color w:val="auto"/>
        </w:rPr>
        <w:t>UMBERS</w:t>
      </w:r>
      <w:r>
        <w:rPr>
          <w:rFonts w:ascii="Times New Roman" w:cs="Times New Roman" w:eastAsia="Times New Roman" w:hAnsi="Times New Roman"/>
          <w:sz w:val="18"/>
          <w:szCs w:val="18"/>
          <w:color w:val="auto"/>
        </w:rPr>
        <w:t>. Pursuant to a recommendation promulgated by the Committee on Uniform Security Identification Procedures,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560"/>
          </w:cols>
          <w:pgMar w:left="880" w:top="270" w:right="459" w:bottom="1440" w:gutter="0" w:footer="0" w:header="0"/>
        </w:sectPr>
      </w:pPr>
    </w:p>
    <w:bookmarkStart w:id="132" w:name="page133"/>
    <w:bookmarkEnd w:id="132"/>
    <w:p>
      <w:pPr>
        <w:ind w:firstLine="419"/>
        <w:spacing w:after="0" w:line="267" w:lineRule="auto"/>
        <w:tabs>
          <w:tab w:leader="none" w:pos="76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GOVERNING LAW. </w:t>
      </w:r>
      <w:r>
        <w:rPr>
          <w:rFonts w:ascii="Times New Roman" w:cs="Times New Roman" w:eastAsia="Times New Roman" w:hAnsi="Times New Roman"/>
          <w:sz w:val="18"/>
          <w:szCs w:val="18"/>
          <w:color w:val="auto"/>
        </w:rPr>
        <w:t>THE INDENTURE, THE NOTES AND THE GUARANTEES, AND ANY CLAIM, CONTROVERSY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DISPUTE ARISING UNDER OR RELATED TO THE INDENTURE, THE NOTES AND THE GUARANTEES, WILL BE GOVERNED BY, AND CONSTRUED IN ACCORDANCE WITH, THE LAWS OF THE STATE OF NEW YORK.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(818) 661-3750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380"/>
          </w:cols>
          <w:pgMar w:left="880" w:top="268" w:right="639" w:bottom="1440" w:gutter="0" w:footer="0" w:header="0"/>
        </w:sectPr>
      </w:pPr>
    </w:p>
    <w:bookmarkStart w:id="133" w:name="page134"/>
    <w:bookmarkEnd w:id="13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Times New Roman" w:cs="Times New Roman" w:eastAsia="Times New Roman" w:hAnsi="Times New Roman"/>
          <w:sz w:val="14"/>
          <w:szCs w:val="14"/>
          <w:color w:val="auto"/>
        </w:rPr>
        <w:t>SSIGNMENT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ORM</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 or (we) assign and transfer this Note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-7620</wp:posOffset>
            </wp:positionV>
            <wp:extent cx="49707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70780" cy="8890"/>
                    </a:xfrm>
                    <a:prstGeom prst="rect">
                      <a:avLst/>
                    </a:prstGeom>
                    <a:noFill/>
                  </pic:spPr>
                </pic:pic>
              </a:graphicData>
            </a:graphic>
          </wp:anchor>
        </w:drawing>
      </w:r>
    </w:p>
    <w:p>
      <w:pPr>
        <w:spacing w:after="0" w:line="7"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377190</wp:posOffset>
            </wp:positionV>
            <wp:extent cx="6995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574675</wp:posOffset>
            </wp:positionV>
            <wp:extent cx="6995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771525</wp:posOffset>
            </wp:positionV>
            <wp:extent cx="6995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5760" w:type="dxa"/>
            <w:vAlign w:val="bottom"/>
            <w:gridSpan w:val="5"/>
          </w:tcPr>
          <w:p>
            <w:pPr>
              <w:ind w:left="186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174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237"/>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transfer this Note on the books of the Issuer. The agent may substitute another to act for him.</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_______________</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740" w:type="dxa"/>
            <w:vAlign w:val="bottom"/>
          </w:tcPr>
          <w:p>
            <w:pPr>
              <w:spacing w:after="0"/>
              <w:rPr>
                <w:sz w:val="24"/>
                <w:szCs w:val="24"/>
                <w:color w:val="auto"/>
              </w:rPr>
            </w:pPr>
          </w:p>
        </w:tc>
        <w:tc>
          <w:tcPr>
            <w:tcW w:w="4660" w:type="dxa"/>
            <w:vAlign w:val="bottom"/>
            <w:gridSpan w:val="2"/>
          </w:tcPr>
          <w:p>
            <w:pPr>
              <w:ind w:left="3320"/>
              <w:spacing w:after="0"/>
              <w:rPr>
                <w:sz w:val="20"/>
                <w:szCs w:val="20"/>
                <w:color w:val="auto"/>
              </w:rPr>
            </w:pPr>
            <w:r>
              <w:rPr>
                <w:rFonts w:ascii="Times New Roman" w:cs="Times New Roman" w:eastAsia="Times New Roman" w:hAnsi="Times New Roman"/>
                <w:sz w:val="18"/>
                <w:szCs w:val="18"/>
                <w:color w:val="auto"/>
                <w:w w:val="95"/>
              </w:rPr>
              <w:t>Your Signature:  </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7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580" w:type="dxa"/>
            <w:vAlign w:val="bottom"/>
            <w:gridSpan w:val="11"/>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740" w:type="dxa"/>
            <w:vAlign w:val="bottom"/>
          </w:tcPr>
          <w:p>
            <w:pPr>
              <w:spacing w:after="0"/>
              <w:rPr>
                <w:sz w:val="20"/>
                <w:szCs w:val="20"/>
                <w:color w:val="auto"/>
              </w:rPr>
            </w:pPr>
          </w:p>
        </w:tc>
        <w:tc>
          <w:tcPr>
            <w:tcW w:w="8080" w:type="dxa"/>
            <w:vAlign w:val="bottom"/>
            <w:gridSpan w:val="12"/>
          </w:tcPr>
          <w:p>
            <w:pPr>
              <w:jc w:val="center"/>
              <w:ind w:left="3530"/>
              <w:spacing w:after="0"/>
              <w:rPr>
                <w:sz w:val="20"/>
                <w:szCs w:val="20"/>
                <w:color w:val="auto"/>
              </w:rPr>
            </w:pPr>
            <w:r>
              <w:rPr>
                <w:rFonts w:ascii="Times New Roman" w:cs="Times New Roman" w:eastAsia="Times New Roman" w:hAnsi="Times New Roman"/>
                <w:sz w:val="18"/>
                <w:szCs w:val="18"/>
                <w:color w:val="auto"/>
                <w:w w:val="99"/>
              </w:rPr>
              <w:t>(Sign exactly as your name appears on the face of this Note)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 _________________________</w:t>
      </w:r>
    </w:p>
    <w:p>
      <w:pPr>
        <w:spacing w:after="0" w:line="252" w:lineRule="exact"/>
        <w:rPr>
          <w:sz w:val="20"/>
          <w:szCs w:val="20"/>
          <w:color w:val="auto"/>
        </w:rPr>
      </w:pPr>
    </w:p>
    <w:p>
      <w:pPr>
        <w:ind w:left="5324" w:right="1640" w:hanging="5324"/>
        <w:spacing w:after="0" w:line="454" w:lineRule="auto"/>
        <w:tabs>
          <w:tab w:leader="none" w:pos="43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A-10</w:t>
      </w:r>
    </w:p>
    <w:p>
      <w:pPr>
        <w:sectPr>
          <w:pgSz w:w="11900" w:h="16838" w:orient="portrait"/>
          <w:cols w:equalWidth="0" w:num="1">
            <w:col w:w="11004"/>
          </w:cols>
          <w:pgMar w:left="436" w:top="270" w:right="459" w:bottom="1440" w:gutter="0" w:footer="0" w:header="0"/>
        </w:sectPr>
      </w:pPr>
    </w:p>
    <w:bookmarkStart w:id="134" w:name="page135"/>
    <w:bookmarkEnd w:id="134"/>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 TO</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LECT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URCHASE</w:t>
      </w:r>
    </w:p>
    <w:p>
      <w:pPr>
        <w:spacing w:after="0" w:line="225" w:lineRule="exact"/>
        <w:rPr>
          <w:sz w:val="20"/>
          <w:szCs w:val="20"/>
          <w:color w:val="auto"/>
        </w:rPr>
      </w:pPr>
    </w:p>
    <w:p>
      <w:pPr>
        <w:jc w:val="center"/>
        <w:ind w:right="-343"/>
        <w:spacing w:after="0"/>
        <w:rPr>
          <w:sz w:val="20"/>
          <w:szCs w:val="20"/>
          <w:color w:val="auto"/>
        </w:rPr>
      </w:pPr>
      <w:r>
        <w:rPr>
          <w:rFonts w:ascii="Times New Roman" w:cs="Times New Roman" w:eastAsia="Times New Roman" w:hAnsi="Times New Roman"/>
          <w:sz w:val="18"/>
          <w:szCs w:val="18"/>
          <w:color w:val="auto"/>
        </w:rPr>
        <w:t>If you want to elect to have this Note purchased by the Issuer pursuant to Section 4.10 or 4.15 of the Indenture, check the appropriate box below:</w:t>
      </w:r>
    </w:p>
    <w:p>
      <w:pPr>
        <w:spacing w:after="0" w:line="184" w:lineRule="exact"/>
        <w:rPr>
          <w:sz w:val="20"/>
          <w:szCs w:val="20"/>
          <w:color w:val="auto"/>
        </w:rPr>
      </w:pPr>
    </w:p>
    <w:p>
      <w:pPr>
        <w:jc w:val="center"/>
        <w:ind w:right="-23"/>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Section 4.10 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Section 4.15</w:t>
      </w:r>
    </w:p>
    <w:p>
      <w:pPr>
        <w:spacing w:after="0" w:line="266"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Issuer pursuant to Section 4.10 or Section 4.15 of the Indenture, state the amount you elect to have purchased:</w:t>
      </w:r>
    </w:p>
    <w:p>
      <w:pPr>
        <w:spacing w:after="0" w:line="16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100" w:type="dxa"/>
            <w:vAlign w:val="bottom"/>
            <w:gridSpan w:val="2"/>
          </w:tcPr>
          <w:p>
            <w:pPr>
              <w:ind w:left="5000"/>
              <w:spacing w:after="0"/>
              <w:rPr>
                <w:sz w:val="20"/>
                <w:szCs w:val="20"/>
                <w:color w:val="auto"/>
              </w:rPr>
            </w:pPr>
            <w:r>
              <w:rPr>
                <w:rFonts w:ascii="Times New Roman" w:cs="Times New Roman" w:eastAsia="Times New Roman" w:hAnsi="Times New Roman"/>
                <w:sz w:val="18"/>
                <w:szCs w:val="18"/>
                <w:color w:val="auto"/>
              </w:rPr>
              <w:t>$_______________</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_______________</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7200" w:type="dxa"/>
            <w:vAlign w:val="bottom"/>
            <w:gridSpan w:val="3"/>
          </w:tcPr>
          <w:p>
            <w:pPr>
              <w:ind w:left="5060"/>
              <w:spacing w:after="0"/>
              <w:rPr>
                <w:sz w:val="20"/>
                <w:szCs w:val="20"/>
                <w:color w:val="auto"/>
              </w:rPr>
            </w:pPr>
            <w:r>
              <w:rPr>
                <w:rFonts w:ascii="Times New Roman" w:cs="Times New Roman" w:eastAsia="Times New Roman" w:hAnsi="Times New Roman"/>
                <w:sz w:val="18"/>
                <w:szCs w:val="18"/>
                <w:color w:val="auto"/>
              </w:rPr>
              <w:t xml:space="preserve">Your Signature: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24"/>
                <w:szCs w:val="24"/>
                <w:color w:val="auto"/>
              </w:rPr>
            </w:pPr>
          </w:p>
        </w:tc>
      </w:tr>
      <w:tr>
        <w:trPr>
          <w:trHeight w:val="20"/>
        </w:trPr>
        <w:tc>
          <w:tcPr>
            <w:tcW w:w="6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720" w:type="dxa"/>
            <w:vAlign w:val="bottom"/>
            <w:gridSpan w:val="11"/>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820" w:type="dxa"/>
            <w:vAlign w:val="bottom"/>
            <w:gridSpan w:val="13"/>
          </w:tcPr>
          <w:p>
            <w:pPr>
              <w:ind w:left="542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7200" w:type="dxa"/>
            <w:vAlign w:val="bottom"/>
            <w:gridSpan w:val="3"/>
          </w:tcPr>
          <w:p>
            <w:pPr>
              <w:ind w:left="5420"/>
              <w:spacing w:after="0"/>
              <w:rPr>
                <w:sz w:val="20"/>
                <w:szCs w:val="20"/>
                <w:color w:val="auto"/>
              </w:rPr>
            </w:pPr>
            <w:r>
              <w:rPr>
                <w:rFonts w:ascii="Times New Roman" w:cs="Times New Roman" w:eastAsia="Times New Roman" w:hAnsi="Times New Roman"/>
                <w:sz w:val="18"/>
                <w:szCs w:val="18"/>
                <w:color w:val="auto"/>
                <w:w w:val="93"/>
              </w:rPr>
              <w:t>Tax Identification No.: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0" w:type="dxa"/>
            <w:vAlign w:val="bottom"/>
          </w:tcPr>
          <w:p>
            <w:pPr>
              <w:spacing w:after="0"/>
              <w:rPr>
                <w:sz w:val="24"/>
                <w:szCs w:val="24"/>
                <w:color w:val="auto"/>
              </w:rPr>
            </w:pPr>
          </w:p>
        </w:tc>
      </w:tr>
      <w:tr>
        <w:trPr>
          <w:trHeight w:val="453"/>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 _________________________</w:t>
            </w: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bl>
    <w:p>
      <w:pPr>
        <w:spacing w:after="0" w:line="225" w:lineRule="exact"/>
        <w:rPr>
          <w:sz w:val="20"/>
          <w:szCs w:val="20"/>
          <w:color w:val="auto"/>
        </w:rPr>
      </w:pPr>
    </w:p>
    <w:p>
      <w:pPr>
        <w:ind w:left="5324" w:right="1620" w:hanging="5324"/>
        <w:spacing w:after="0" w:line="454" w:lineRule="auto"/>
        <w:tabs>
          <w:tab w:leader="none" w:pos="43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A-11</w:t>
      </w:r>
    </w:p>
    <w:p>
      <w:pPr>
        <w:sectPr>
          <w:pgSz w:w="11900" w:h="16838" w:orient="portrait"/>
          <w:cols w:equalWidth="0" w:num="1">
            <w:col w:w="10984"/>
          </w:cols>
          <w:pgMar w:left="436" w:top="270" w:right="479" w:bottom="1440" w:gutter="0" w:footer="0" w:header="0"/>
        </w:sectPr>
      </w:pPr>
    </w:p>
    <w:bookmarkStart w:id="135" w:name="page136"/>
    <w:bookmarkEnd w:id="135"/>
    <w:p>
      <w:pPr>
        <w:ind w:left="25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color w:val="auto"/>
        </w:rPr>
        <w:t>CHEDULE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NCREASES OR</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ECREASES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NTERESTS IN THE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increases or decreases in principal amount of this Global Note have been made:</w:t>
      </w:r>
    </w:p>
    <w:p>
      <w:pPr>
        <w:spacing w:after="0" w:line="235" w:lineRule="exact"/>
        <w:rPr>
          <w:sz w:val="20"/>
          <w:szCs w:val="20"/>
          <w:color w:val="auto"/>
        </w:rPr>
      </w:pPr>
    </w:p>
    <w:tbl>
      <w:tblPr>
        <w:tblLayout w:type="fixed"/>
        <w:tblInd w:w="524"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Amount of</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Principal Amount</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2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increase in</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color w:val="auto"/>
              </w:rPr>
              <w:t>Date of Increase</w:t>
            </w: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 officer</w:t>
            </w:r>
          </w:p>
        </w:tc>
        <w:tc>
          <w:tcPr>
            <w:tcW w:w="0" w:type="dxa"/>
            <w:vAlign w:val="bottom"/>
          </w:tcPr>
          <w:p>
            <w:pPr>
              <w:spacing w:after="0"/>
              <w:rPr>
                <w:sz w:val="1"/>
                <w:szCs w:val="1"/>
                <w:color w:val="auto"/>
              </w:rPr>
            </w:pPr>
          </w:p>
        </w:tc>
      </w:tr>
      <w:tr>
        <w:trPr>
          <w:trHeight w:val="148"/>
        </w:trPr>
        <w:tc>
          <w:tcPr>
            <w:tcW w:w="1580" w:type="dxa"/>
            <w:vAlign w:val="bottom"/>
            <w:gridSpan w:val="3"/>
            <w:vMerge w:val="continue"/>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2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2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Trustee or</w:t>
            </w: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Decrease</w:t>
            </w:r>
          </w:p>
        </w:tc>
        <w:tc>
          <w:tcPr>
            <w:tcW w:w="76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12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increase)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right"/>
        <w:ind w:left="5324" w:right="5280" w:hanging="5324"/>
        <w:spacing w:after="0" w:line="497" w:lineRule="auto"/>
        <w:tabs>
          <w:tab w:leader="none" w:pos="433"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This schedule should be included only if the Note is issued in global form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A-12</w:t>
      </w:r>
    </w:p>
    <w:p>
      <w:pPr>
        <w:sectPr>
          <w:pgSz w:w="11900" w:h="16838" w:orient="portrait"/>
          <w:cols w:equalWidth="0" w:num="1">
            <w:col w:w="11024"/>
          </w:cols>
          <w:pgMar w:left="436" w:top="270" w:right="439" w:bottom="1440" w:gutter="0" w:footer="0" w:header="0"/>
        </w:sectPr>
      </w:pPr>
    </w:p>
    <w:bookmarkStart w:id="136" w:name="page137"/>
    <w:bookmarkEnd w:id="136"/>
    <w:p>
      <w:pPr>
        <w:ind w:left="10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(818) 661-3750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South Sixth Street, Suite 1290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(612) 217-5651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California Resources Corporation, Administrator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 California Resources Corporation 8.250% Senior Notes due 2029</w:t>
      </w:r>
    </w:p>
    <w:p>
      <w:pPr>
        <w:spacing w:after="0" w:line="223" w:lineRule="exact"/>
        <w:rPr>
          <w:sz w:val="20"/>
          <w:szCs w:val="20"/>
          <w:color w:val="auto"/>
        </w:rPr>
      </w:pPr>
    </w:p>
    <w:p>
      <w:pPr>
        <w:ind w:right="180" w:firstLine="440"/>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June 5, 2024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Guarantors party thereto and Wilmington Trust, National Association, as trustee. Capitalized terms used but not defined herein shall have the meanings given to them in the Indenture.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___________________ (the “</w:t>
      </w:r>
      <w:r>
        <w:rPr>
          <w:rFonts w:ascii="Times New Roman" w:cs="Times New Roman" w:eastAsia="Times New Roman" w:hAnsi="Times New Roman"/>
          <w:sz w:val="18"/>
          <w:szCs w:val="18"/>
          <w:i w:val="1"/>
          <w:iCs w:val="1"/>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amount of $___________ in such Note[s] or interests (the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to ___________________________ (the “</w:t>
      </w:r>
      <w:r>
        <w:rPr>
          <w:rFonts w:ascii="Times New Roman" w:cs="Times New Roman" w:eastAsia="Times New Roman" w:hAnsi="Times New Roman"/>
          <w:sz w:val="18"/>
          <w:szCs w:val="18"/>
          <w:i w:val="1"/>
          <w:iCs w:val="1"/>
          <w:color w:val="auto"/>
        </w:rPr>
        <w:t>Transferee</w:t>
      </w:r>
      <w:r>
        <w:rPr>
          <w:rFonts w:ascii="Times New Roman" w:cs="Times New Roman" w:eastAsia="Times New Roman" w:hAnsi="Times New Roman"/>
          <w:sz w:val="18"/>
          <w:szCs w:val="18"/>
          <w:color w:val="auto"/>
        </w:rPr>
        <w:t>”), as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in Annex A hereto. In connection with the Transfer, the Transferor hereby certifies that: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184" w:lineRule="exact"/>
        <w:rPr>
          <w:sz w:val="20"/>
          <w:szCs w:val="20"/>
          <w:color w:val="auto"/>
        </w:rPr>
      </w:pPr>
    </w:p>
    <w:p>
      <w:pPr>
        <w:ind w:firstLine="436"/>
        <w:spacing w:after="0" w:line="223" w:lineRule="exact"/>
        <w:tabs>
          <w:tab w:leader="none" w:pos="620" w:val="left"/>
        </w:tabs>
        <w:numPr>
          <w:ilvl w:val="0"/>
          <w:numId w:val="17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the 144A Global Note or a Restricted Definitive Note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Rule 144A</w:t>
      </w:r>
      <w:r>
        <w:rPr>
          <w:rFonts w:ascii="Times New Roman" w:cs="Times New Roman" w:eastAsia="Times New Roman" w:hAnsi="Times New Roman"/>
          <w:sz w:val="18"/>
          <w:szCs w:val="18"/>
          <w:color w:val="auto"/>
        </w:rPr>
        <w:t>. The Transfer is being effected pursuant to and in accordance with Rule 144A under the Securities Act of 1933, as amended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and, accordingly, the Transferor hereby further certifies that the beneficial interest or Definitive Note is being transferred to a Person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57" w:lineRule="exact"/>
        <w:rPr>
          <w:rFonts w:ascii="Times New Roman" w:cs="Times New Roman" w:eastAsia="Times New Roman" w:hAnsi="Times New Roman"/>
          <w:sz w:val="18"/>
          <w:szCs w:val="18"/>
          <w:color w:val="auto"/>
        </w:rPr>
      </w:pPr>
    </w:p>
    <w:p>
      <w:pPr>
        <w:ind w:right="380" w:firstLine="436"/>
        <w:spacing w:after="0" w:line="231" w:lineRule="exact"/>
        <w:tabs>
          <w:tab w:leader="none" w:pos="620" w:val="left"/>
        </w:tabs>
        <w:numPr>
          <w:ilvl w:val="0"/>
          <w:numId w:val="17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the Regulation S Global Note or a Restricted Definitive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pursuant to Regulation S</w:t>
      </w:r>
      <w:r>
        <w:rPr>
          <w:rFonts w:ascii="Times New Roman" w:cs="Times New Roman" w:eastAsia="Times New Roman" w:hAnsi="Times New Roman"/>
          <w:sz w:val="18"/>
          <w:szCs w:val="18"/>
          <w:color w:val="auto"/>
        </w:rPr>
        <w:t>. The Transfer is being effected pursuant to and in accordance with Rule 903 or Rule 904 under the Securities Act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accordingly, the Transferor hereby further certifies that (i) the Transfer is not being made to a Person in the United States and (x) at the time the buy order was originated, the Transferee was outside the United States or such Transferor and any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70" w:right="439" w:bottom="1440" w:gutter="0" w:footer="0" w:header="0"/>
        </w:sectPr>
      </w:pPr>
    </w:p>
    <w:bookmarkStart w:id="137" w:name="page138"/>
    <w:bookmarkEnd w:id="13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requirements of the Securities Act.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48" w:lineRule="exact"/>
        <w:rPr>
          <w:sz w:val="20"/>
          <w:szCs w:val="20"/>
          <w:color w:val="auto"/>
        </w:rPr>
      </w:pPr>
    </w:p>
    <w:p>
      <w:pPr>
        <w:ind w:right="100" w:firstLine="436"/>
        <w:spacing w:after="0" w:line="228" w:lineRule="exact"/>
        <w:tabs>
          <w:tab w:leader="none" w:pos="620" w:val="left"/>
        </w:tabs>
        <w:numPr>
          <w:ilvl w:val="0"/>
          <w:numId w:val="17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Check and complete if, among other things, Transferee will take delivery of a beneficial interest in a Restricted Definitive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pursuant to any provision of the Securities Act other than Rule 144A or Regulation S</w:t>
      </w:r>
      <w:r>
        <w:rPr>
          <w:rFonts w:ascii="Times New Roman" w:cs="Times New Roman" w:eastAsia="Times New Roman" w:hAnsi="Times New Roman"/>
          <w:sz w:val="18"/>
          <w:szCs w:val="18"/>
          <w:color w:val="auto"/>
        </w:rPr>
        <w:t>. The Transfer is being effected in compliance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49" w:lineRule="exact"/>
        <w:rPr>
          <w:rFonts w:ascii="Times New Roman" w:cs="Times New Roman" w:eastAsia="Times New Roman" w:hAnsi="Times New Roman"/>
          <w:sz w:val="18"/>
          <w:szCs w:val="18"/>
          <w:color w:val="auto"/>
        </w:rPr>
      </w:pPr>
    </w:p>
    <w:p>
      <w:pPr>
        <w:ind w:left="440" w:right="80" w:firstLine="419"/>
        <w:spacing w:after="0" w:line="245" w:lineRule="exact"/>
        <w:tabs>
          <w:tab w:leader="none" w:pos="1108" w:val="left"/>
        </w:tabs>
        <w:numPr>
          <w:ilvl w:val="1"/>
          <w:numId w:val="17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an exemption from the registration requirements of the Securities Act other than as provided by Rule 144 under the Securities Act;</w:t>
      </w:r>
    </w:p>
    <w:p>
      <w:pPr>
        <w:spacing w:after="0" w:line="19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or</w:t>
      </w:r>
    </w:p>
    <w:p>
      <w:pPr>
        <w:spacing w:after="0" w:line="76" w:lineRule="exact"/>
        <w:rPr>
          <w:sz w:val="20"/>
          <w:szCs w:val="20"/>
          <w:color w:val="auto"/>
        </w:rPr>
      </w:pPr>
    </w:p>
    <w:p>
      <w:pPr>
        <w:ind w:left="8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the Issuer or a subsidiary thereof;</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6" w:lineRule="exact"/>
        <w:rPr>
          <w:sz w:val="20"/>
          <w:szCs w:val="20"/>
          <w:color w:val="auto"/>
        </w:rPr>
      </w:pPr>
    </w:p>
    <w:p>
      <w:pPr>
        <w:ind w:left="440" w:right="320" w:firstLine="419"/>
        <w:spacing w:after="0" w:line="245" w:lineRule="exact"/>
        <w:tabs>
          <w:tab w:leader="none" w:pos="1108" w:val="left"/>
        </w:tabs>
        <w:numPr>
          <w:ilvl w:val="0"/>
          <w:numId w:val="17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6" w:lineRule="exact"/>
        <w:rPr>
          <w:sz w:val="20"/>
          <w:szCs w:val="20"/>
          <w:color w:val="auto"/>
        </w:rPr>
      </w:pPr>
    </w:p>
    <w:p>
      <w:pPr>
        <w:ind w:left="440" w:right="160" w:firstLine="419"/>
        <w:spacing w:after="0" w:line="224" w:lineRule="exact"/>
        <w:tabs>
          <w:tab w:leader="none" w:pos="1118" w:val="left"/>
        </w:tabs>
        <w:numPr>
          <w:ilvl w:val="0"/>
          <w:numId w:val="18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Restricted Definitive Notes and in the Indenture and the Securities Act.</w:t>
      </w:r>
    </w:p>
    <w:p>
      <w:pPr>
        <w:spacing w:after="0" w:line="90" w:lineRule="exact"/>
        <w:rPr>
          <w:sz w:val="20"/>
          <w:szCs w:val="20"/>
          <w:color w:val="auto"/>
        </w:rPr>
      </w:pPr>
    </w:p>
    <w:p>
      <w:pPr>
        <w:ind w:left="440" w:right="480" w:firstLine="423"/>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transfers pursuant to Rule 144 under the Securities Act will not be permitted, even if legally available.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00"/>
          </w:cols>
          <w:pgMar w:left="440" w:top="270" w:right="459" w:bottom="1440" w:gutter="0" w:footer="0" w:header="0"/>
        </w:sectPr>
      </w:pPr>
    </w:p>
    <w:bookmarkStart w:id="138" w:name="page139"/>
    <w:bookmarkEnd w:id="138"/>
    <w:p>
      <w:pPr>
        <w:ind w:left="624" w:hanging="184"/>
        <w:spacing w:after="0" w:line="207" w:lineRule="exact"/>
        <w:tabs>
          <w:tab w:leader="none" w:pos="624" w:val="left"/>
        </w:tabs>
        <w:numPr>
          <w:ilvl w:val="0"/>
          <w:numId w:val="18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an Unrestricted Global Note or an Unrestricted Definitive 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26" w:lineRule="exact"/>
        <w:tabs>
          <w:tab w:leader="none" w:pos="689" w:val="left"/>
        </w:tabs>
        <w:numPr>
          <w:ilvl w:val="0"/>
          <w:numId w:val="18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Check if Transfer is Pursuant to Regulation S</w:t>
      </w:r>
      <w:r>
        <w:rPr>
          <w:rFonts w:ascii="Times New Roman" w:cs="Times New Roman" w:eastAsia="Times New Roman" w:hAnsi="Times New Roman"/>
          <w:sz w:val="18"/>
          <w:szCs w:val="18"/>
          <w:color w:val="auto"/>
        </w:rPr>
        <w:t>.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61" w:lineRule="exact"/>
        <w:rPr>
          <w:sz w:val="20"/>
          <w:szCs w:val="20"/>
          <w:color w:val="auto"/>
        </w:rPr>
      </w:pPr>
    </w:p>
    <w:p>
      <w:pPr>
        <w:ind w:left="4" w:right="140" w:firstLine="436"/>
        <w:spacing w:after="0" w:line="225" w:lineRule="exact"/>
        <w:tabs>
          <w:tab w:leader="none" w:pos="689" w:val="left"/>
        </w:tabs>
        <w:numPr>
          <w:ilvl w:val="0"/>
          <w:numId w:val="18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Other Exemption</w:t>
      </w:r>
      <w:r>
        <w:rPr>
          <w:rFonts w:ascii="Times New Roman" w:cs="Times New Roman" w:eastAsia="Times New Roman" w:hAnsi="Times New Roman"/>
          <w:sz w:val="18"/>
          <w:szCs w:val="18"/>
          <w:color w:val="auto"/>
        </w:rPr>
        <w:t>. (i) The Transfer is being effected pursuant to and in compliance with an exemption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282"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724"/>
        <w:spacing w:after="0"/>
        <w:rPr>
          <w:sz w:val="20"/>
          <w:szCs w:val="20"/>
          <w:color w:val="auto"/>
        </w:rPr>
      </w:pPr>
      <w:r>
        <w:rPr>
          <w:rFonts w:ascii="Times New Roman" w:cs="Times New Roman" w:eastAsia="Times New Roman" w:hAnsi="Times New Roman"/>
          <w:sz w:val="18"/>
          <w:szCs w:val="18"/>
          <w:color w:val="auto"/>
        </w:rPr>
        <w:t>Dated: _______________________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 _________________________</w:t>
      </w:r>
    </w:p>
    <w:p>
      <w:pPr>
        <w:spacing w:after="0" w:line="252" w:lineRule="exact"/>
        <w:rPr>
          <w:sz w:val="20"/>
          <w:szCs w:val="20"/>
          <w:color w:val="auto"/>
        </w:rPr>
      </w:pPr>
    </w:p>
    <w:p>
      <w:pPr>
        <w:ind w:left="5364" w:right="1860" w:hanging="5364"/>
        <w:spacing w:after="0" w:line="454" w:lineRule="auto"/>
        <w:tabs>
          <w:tab w:leader="none" w:pos="20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B-3</w:t>
      </w:r>
    </w:p>
    <w:p>
      <w:pPr>
        <w:sectPr>
          <w:pgSz w:w="11900" w:h="16838" w:orient="portrait"/>
          <w:cols w:equalWidth="0" w:num="1">
            <w:col w:w="11004"/>
          </w:cols>
          <w:pgMar w:left="436" w:top="229" w:right="459" w:bottom="1440" w:gutter="0" w:footer="0" w:header="0"/>
        </w:sectPr>
      </w:pPr>
    </w:p>
    <w:bookmarkStart w:id="139" w:name="page140"/>
    <w:bookmarkEnd w:id="139"/>
    <w:p>
      <w:pPr>
        <w:jc w:val="right"/>
        <w:ind w:right="27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TO CERTIFICATE OF TRANSFER</w:t>
      </w:r>
    </w:p>
    <w:p>
      <w:pPr>
        <w:spacing w:after="0" w:line="252" w:lineRule="exact"/>
        <w:rPr>
          <w:sz w:val="20"/>
          <w:szCs w:val="20"/>
          <w:color w:val="auto"/>
        </w:rPr>
      </w:pPr>
    </w:p>
    <w:p>
      <w:pPr>
        <w:ind w:left="540" w:hanging="532"/>
        <w:spacing w:after="0"/>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[CHECK ONE OF (a) OR (b)]</w:t>
      </w:r>
    </w:p>
    <w:p>
      <w:pPr>
        <w:spacing w:after="0" w:line="90" w:lineRule="exact"/>
        <w:rPr>
          <w:sz w:val="20"/>
          <w:szCs w:val="20"/>
          <w:color w:val="auto"/>
        </w:rPr>
      </w:pPr>
    </w:p>
    <w:p>
      <w:pPr>
        <w:ind w:left="1000" w:hanging="439"/>
        <w:spacing w:after="0" w:line="207" w:lineRule="exact"/>
        <w:tabs>
          <w:tab w:leader="none" w:pos="1000" w:val="left"/>
        </w:tabs>
        <w:numPr>
          <w:ilvl w:val="1"/>
          <w:numId w:val="18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130" w:lineRule="exact"/>
        <w:rPr>
          <w:rFonts w:ascii="Times New Roman" w:cs="Times New Roman" w:eastAsia="Times New Roman" w:hAnsi="Times New Roman"/>
          <w:sz w:val="18"/>
          <w:szCs w:val="18"/>
          <w:color w:val="auto"/>
        </w:rPr>
      </w:pPr>
    </w:p>
    <w:p>
      <w:pPr>
        <w:ind w:left="1540" w:hanging="533"/>
        <w:spacing w:after="0" w:line="207" w:lineRule="exact"/>
        <w:tabs>
          <w:tab w:leader="none" w:pos="1540" w:val="left"/>
        </w:tabs>
        <w:numPr>
          <w:ilvl w:val="2"/>
          <w:numId w:val="18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__________), or</w:t>
      </w:r>
    </w:p>
    <w:p>
      <w:pPr>
        <w:spacing w:after="0" w:line="130" w:lineRule="exact"/>
        <w:rPr>
          <w:rFonts w:ascii="Times New Roman" w:cs="Times New Roman" w:eastAsia="Times New Roman" w:hAnsi="Times New Roman"/>
          <w:sz w:val="18"/>
          <w:szCs w:val="18"/>
          <w:color w:val="auto"/>
        </w:rPr>
      </w:pPr>
    </w:p>
    <w:p>
      <w:pPr>
        <w:ind w:left="1540" w:hanging="533"/>
        <w:spacing w:after="0" w:line="207" w:lineRule="exact"/>
        <w:tabs>
          <w:tab w:leader="none" w:pos="1540" w:val="left"/>
        </w:tabs>
        <w:numPr>
          <w:ilvl w:val="2"/>
          <w:numId w:val="18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__________); or</w:t>
      </w:r>
    </w:p>
    <w:p>
      <w:pPr>
        <w:spacing w:after="0" w:line="130" w:lineRule="exact"/>
        <w:rPr>
          <w:rFonts w:ascii="Times New Roman" w:cs="Times New Roman" w:eastAsia="Times New Roman" w:hAnsi="Times New Roman"/>
          <w:sz w:val="18"/>
          <w:szCs w:val="18"/>
          <w:color w:val="auto"/>
        </w:rPr>
      </w:pPr>
    </w:p>
    <w:p>
      <w:pPr>
        <w:ind w:left="1000" w:hanging="439"/>
        <w:spacing w:after="0" w:line="207" w:lineRule="exact"/>
        <w:tabs>
          <w:tab w:leader="none" w:pos="1000" w:val="left"/>
        </w:tabs>
        <w:numPr>
          <w:ilvl w:val="1"/>
          <w:numId w:val="18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w:t>
      </w:r>
    </w:p>
    <w:p>
      <w:pPr>
        <w:spacing w:after="0" w:line="17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[CHECK ONE]</w:t>
      </w:r>
    </w:p>
    <w:p>
      <w:pPr>
        <w:spacing w:after="0" w:line="76" w:lineRule="exact"/>
        <w:rPr>
          <w:sz w:val="20"/>
          <w:szCs w:val="20"/>
          <w:color w:val="auto"/>
        </w:rPr>
      </w:pPr>
    </w:p>
    <w:p>
      <w:pPr>
        <w:ind w:left="820" w:hanging="253"/>
        <w:spacing w:after="0" w:line="207" w:lineRule="exact"/>
        <w:tabs>
          <w:tab w:leader="none" w:pos="820" w:val="left"/>
        </w:tabs>
        <w:numPr>
          <w:ilvl w:val="0"/>
          <w:numId w:val="18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130" w:lineRule="exact"/>
        <w:rPr>
          <w:rFonts w:ascii="Times New Roman" w:cs="Times New Roman" w:eastAsia="Times New Roman" w:hAnsi="Times New Roman"/>
          <w:sz w:val="18"/>
          <w:szCs w:val="18"/>
          <w:color w:val="auto"/>
        </w:rPr>
      </w:pPr>
    </w:p>
    <w:p>
      <w:pPr>
        <w:ind w:left="1540" w:hanging="533"/>
        <w:spacing w:after="0" w:line="207" w:lineRule="exact"/>
        <w:tabs>
          <w:tab w:leader="none" w:pos="1540" w:val="left"/>
        </w:tabs>
        <w:numPr>
          <w:ilvl w:val="1"/>
          <w:numId w:val="18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__________), or</w:t>
      </w:r>
    </w:p>
    <w:p>
      <w:pPr>
        <w:spacing w:after="0" w:line="130" w:lineRule="exact"/>
        <w:rPr>
          <w:rFonts w:ascii="Times New Roman" w:cs="Times New Roman" w:eastAsia="Times New Roman" w:hAnsi="Times New Roman"/>
          <w:sz w:val="18"/>
          <w:szCs w:val="18"/>
          <w:color w:val="auto"/>
        </w:rPr>
      </w:pPr>
    </w:p>
    <w:p>
      <w:pPr>
        <w:ind w:left="1540" w:hanging="533"/>
        <w:spacing w:after="0" w:line="207" w:lineRule="exact"/>
        <w:tabs>
          <w:tab w:leader="none" w:pos="1540" w:val="left"/>
        </w:tabs>
        <w:numPr>
          <w:ilvl w:val="1"/>
          <w:numId w:val="18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_________), or</w:t>
      </w:r>
    </w:p>
    <w:p>
      <w:pPr>
        <w:spacing w:after="0" w:line="130" w:lineRule="exact"/>
        <w:rPr>
          <w:rFonts w:ascii="Times New Roman" w:cs="Times New Roman" w:eastAsia="Times New Roman" w:hAnsi="Times New Roman"/>
          <w:sz w:val="18"/>
          <w:szCs w:val="18"/>
          <w:color w:val="auto"/>
        </w:rPr>
      </w:pPr>
    </w:p>
    <w:p>
      <w:pPr>
        <w:ind w:left="1540" w:hanging="533"/>
        <w:spacing w:after="0" w:line="207" w:lineRule="exact"/>
        <w:tabs>
          <w:tab w:leader="none" w:pos="1540" w:val="left"/>
        </w:tabs>
        <w:numPr>
          <w:ilvl w:val="1"/>
          <w:numId w:val="18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Unrestricted Global Note (CUSIP _________); or</w:t>
      </w:r>
    </w:p>
    <w:p>
      <w:pPr>
        <w:spacing w:after="0" w:line="130" w:lineRule="exact"/>
        <w:rPr>
          <w:rFonts w:ascii="Times New Roman" w:cs="Times New Roman" w:eastAsia="Times New Roman" w:hAnsi="Times New Roman"/>
          <w:sz w:val="18"/>
          <w:szCs w:val="18"/>
          <w:color w:val="auto"/>
        </w:rPr>
      </w:pPr>
    </w:p>
    <w:p>
      <w:pPr>
        <w:ind w:left="1000" w:hanging="439"/>
        <w:spacing w:after="0" w:line="207" w:lineRule="exact"/>
        <w:tabs>
          <w:tab w:leader="none" w:pos="1000" w:val="left"/>
        </w:tabs>
        <w:numPr>
          <w:ilvl w:val="0"/>
          <w:numId w:val="18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 or</w:t>
      </w:r>
    </w:p>
    <w:p>
      <w:pPr>
        <w:spacing w:after="0" w:line="130" w:lineRule="exact"/>
        <w:rPr>
          <w:rFonts w:ascii="Times New Roman" w:cs="Times New Roman" w:eastAsia="Times New Roman" w:hAnsi="Times New Roman"/>
          <w:sz w:val="18"/>
          <w:szCs w:val="18"/>
          <w:color w:val="auto"/>
        </w:rPr>
      </w:pPr>
    </w:p>
    <w:p>
      <w:pPr>
        <w:ind w:left="1000" w:hanging="439"/>
        <w:spacing w:after="0" w:line="207" w:lineRule="exact"/>
        <w:tabs>
          <w:tab w:leader="none" w:pos="1000" w:val="left"/>
        </w:tabs>
        <w:numPr>
          <w:ilvl w:val="0"/>
          <w:numId w:val="18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Unrestricted Definitive Note,</w:t>
      </w:r>
    </w:p>
    <w:p>
      <w:pPr>
        <w:spacing w:after="0" w:line="15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the Indenture.</w:t>
      </w:r>
    </w:p>
    <w:p>
      <w:pPr>
        <w:spacing w:after="0" w:line="15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9599"/>
          </w:cols>
          <w:pgMar w:left="860" w:top="270" w:right="1440"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World Trade Center,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Beach, California 90831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(818) 661-3750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South Sixth Street, Suite 1290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612-217-5651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California Resources Corporation, Administrator</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tab/>
        <w:t>California Resources Corporation 8.250% Senior Notes due 2029</w:t>
      </w:r>
    </w:p>
    <w:p>
      <w:pPr>
        <w:spacing w:after="0" w:line="223" w:lineRule="exact"/>
        <w:rPr>
          <w:sz w:val="20"/>
          <w:szCs w:val="20"/>
          <w:color w:val="auto"/>
        </w:rPr>
      </w:pPr>
    </w:p>
    <w:p>
      <w:pPr>
        <w:ind w:right="180" w:firstLine="440"/>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June 5, 2024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Guarantors party thereto and Wilmington Trust, National Association, as trustee. Capitalized terms used but not defined herein shall have the meanings given to them in the Indenture.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__________________________ (the “</w:t>
      </w:r>
      <w:r>
        <w:rPr>
          <w:rFonts w:ascii="Times New Roman" w:cs="Times New Roman" w:eastAsia="Times New Roman" w:hAnsi="Times New Roman"/>
          <w:sz w:val="18"/>
          <w:szCs w:val="18"/>
          <w:i w:val="1"/>
          <w:iCs w:val="1"/>
          <w:color w:val="auto"/>
        </w:rPr>
        <w:t>Owner</w:t>
      </w:r>
      <w:r>
        <w:rPr>
          <w:rFonts w:ascii="Times New Roman" w:cs="Times New Roman" w:eastAsia="Times New Roman" w:hAnsi="Times New Roman"/>
          <w:sz w:val="18"/>
          <w:szCs w:val="18"/>
          <w:color w:val="auto"/>
        </w:rPr>
        <w:t>”) owns and proposes to exchange the Note[s] or interest in such Note[s] specified herein,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$____________ in such Note[s] or interests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203" w:lineRule="exact"/>
        <w:rPr>
          <w:sz w:val="20"/>
          <w:szCs w:val="20"/>
          <w:color w:val="auto"/>
        </w:rPr>
      </w:pPr>
    </w:p>
    <w:p>
      <w:pPr>
        <w:ind w:right="720" w:firstLine="436"/>
        <w:spacing w:after="0" w:line="286" w:lineRule="auto"/>
        <w:tabs>
          <w:tab w:leader="none" w:pos="6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18" w:lineRule="exact"/>
        <w:rPr>
          <w:sz w:val="20"/>
          <w:szCs w:val="20"/>
          <w:color w:val="auto"/>
        </w:rPr>
      </w:pPr>
    </w:p>
    <w:p>
      <w:pPr>
        <w:ind w:right="20" w:firstLine="436"/>
        <w:spacing w:after="0" w:line="225" w:lineRule="exact"/>
        <w:tabs>
          <w:tab w:leader="none" w:pos="685" w:val="left"/>
        </w:tabs>
        <w:numPr>
          <w:ilvl w:val="0"/>
          <w:numId w:val="19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beneficial interest in an Unrestricted Global Note</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other than Rule 144,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58" w:lineRule="exact"/>
        <w:rPr>
          <w:rFonts w:ascii="Times New Roman" w:cs="Times New Roman" w:eastAsia="Times New Roman" w:hAnsi="Times New Roman"/>
          <w:sz w:val="18"/>
          <w:szCs w:val="18"/>
          <w:color w:val="auto"/>
        </w:rPr>
      </w:pPr>
    </w:p>
    <w:p>
      <w:pPr>
        <w:ind w:right="20" w:firstLine="436"/>
        <w:spacing w:after="0" w:line="226" w:lineRule="exact"/>
        <w:tabs>
          <w:tab w:leader="none" w:pos="695" w:val="left"/>
        </w:tabs>
        <w:numPr>
          <w:ilvl w:val="0"/>
          <w:numId w:val="19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Unrestricted Definitive Note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other than Rule 144,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70" w:right="439" w:bottom="1440" w:gutter="0" w:footer="0" w:header="0"/>
        </w:sectPr>
      </w:pPr>
    </w:p>
    <w:bookmarkStart w:id="141" w:name="page142"/>
    <w:bookmarkEnd w:id="141"/>
    <w:p>
      <w:pPr>
        <w:ind w:left="4" w:firstLine="436"/>
        <w:spacing w:after="0" w:line="226" w:lineRule="exact"/>
        <w:tabs>
          <w:tab w:leader="none" w:pos="689" w:val="left"/>
        </w:tabs>
        <w:numPr>
          <w:ilvl w:val="0"/>
          <w:numId w:val="1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 xml:space="preserve"> Check if Exchange is from Restricted Definitive Note to beneficial interest in an Unrestricted Global Note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other than Rule 144,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61" w:lineRule="exact"/>
        <w:rPr>
          <w:rFonts w:ascii="Times New Roman" w:cs="Times New Roman" w:eastAsia="Times New Roman" w:hAnsi="Times New Roman"/>
          <w:sz w:val="18"/>
          <w:szCs w:val="18"/>
          <w:color w:val="auto"/>
        </w:rPr>
      </w:pPr>
    </w:p>
    <w:p>
      <w:pPr>
        <w:ind w:left="4" w:firstLine="436"/>
        <w:spacing w:after="0" w:line="226" w:lineRule="exact"/>
        <w:tabs>
          <w:tab w:leader="none" w:pos="699" w:val="left"/>
        </w:tabs>
        <w:numPr>
          <w:ilvl w:val="0"/>
          <w:numId w:val="19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Restricted Definitive Note to Unrestricted Definitive Note</w:t>
      </w:r>
      <w:r>
        <w:rPr>
          <w:rFonts w:ascii="Times New Roman" w:cs="Times New Roman" w:eastAsia="Times New Roman" w:hAnsi="Times New Roman"/>
          <w:sz w:val="18"/>
          <w:szCs w:val="18"/>
          <w:color w:val="auto"/>
        </w:rPr>
        <w:t>. In connection with the Owner’s Exchange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other than Rule 144,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98" w:lineRule="exact"/>
        <w:rPr>
          <w:sz w:val="20"/>
          <w:szCs w:val="20"/>
          <w:color w:val="auto"/>
        </w:rPr>
      </w:pPr>
    </w:p>
    <w:p>
      <w:pPr>
        <w:ind w:left="4" w:right="120" w:firstLine="436"/>
        <w:spacing w:after="0" w:line="286" w:lineRule="auto"/>
        <w:tabs>
          <w:tab w:leader="none" w:pos="6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18" w:lineRule="exact"/>
        <w:rPr>
          <w:sz w:val="20"/>
          <w:szCs w:val="20"/>
          <w:color w:val="auto"/>
        </w:rPr>
      </w:pPr>
    </w:p>
    <w:p>
      <w:pPr>
        <w:ind w:left="4" w:firstLine="436"/>
        <w:spacing w:after="0" w:line="228" w:lineRule="exact"/>
        <w:tabs>
          <w:tab w:leader="none" w:pos="689" w:val="left"/>
        </w:tabs>
        <w:numPr>
          <w:ilvl w:val="1"/>
          <w:numId w:val="19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Restricted Definitive Note. </w:t>
      </w:r>
      <w:r>
        <w:rPr>
          <w:rFonts w:ascii="Times New Roman" w:cs="Times New Roman" w:eastAsia="Times New Roman" w:hAnsi="Times New Roman"/>
          <w:sz w:val="18"/>
          <w:szCs w:val="18"/>
          <w:color w:val="auto"/>
        </w:rPr>
        <w:t>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57" w:lineRule="exact"/>
        <w:rPr>
          <w:rFonts w:ascii="Times New Roman" w:cs="Times New Roman" w:eastAsia="Times New Roman" w:hAnsi="Times New Roman"/>
          <w:sz w:val="18"/>
          <w:szCs w:val="18"/>
          <w:color w:val="auto"/>
        </w:rPr>
      </w:pPr>
    </w:p>
    <w:p>
      <w:pPr>
        <w:ind w:left="4" w:right="20" w:firstLine="436"/>
        <w:spacing w:after="0" w:line="236" w:lineRule="exact"/>
        <w:tabs>
          <w:tab w:leader="none" w:pos="699" w:val="left"/>
        </w:tabs>
        <w:numPr>
          <w:ilvl w:val="1"/>
          <w:numId w:val="193"/>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Check if Exchange is from Restricted Definitive Note to beneficial interest in a Restricted Global Note</w:t>
      </w:r>
      <w:r>
        <w:rPr>
          <w:rFonts w:ascii="Times New Roman" w:cs="Times New Roman" w:eastAsia="Times New Roman" w:hAnsi="Times New Roman"/>
          <w:sz w:val="17"/>
          <w:szCs w:val="17"/>
          <w:color w:val="auto"/>
        </w:rPr>
        <w:t>. In connection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Exchange of the Owner’s Restricted Definitive Note for a beneficial interest in the [CHECK ONE]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144A Global Note,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Regulation S Global Note with an equal principal amount, the Owner hereby certifies (i) the beneficial interest is being acquired for the Owner’s own account without transfer and</w:t>
      </w:r>
    </w:p>
    <w:p>
      <w:pPr>
        <w:ind w:left="4" w:right="20" w:hanging="4"/>
        <w:spacing w:after="0" w:line="253" w:lineRule="auto"/>
        <w:tabs>
          <w:tab w:leader="none" w:pos="26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has been effected in compliance with the transfer restrictions applicable to the Restricted Global Notes and pursuant to and in accordance with the Securities Act other than Rule 144,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28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______________________</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0984"/>
          </w:cols>
          <w:pgMar w:left="436" w:top="229" w:right="47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DELIVERED BY SUBSEQUENT GUARANTORS]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________________, among __________________ (the “</w:t>
      </w:r>
      <w:r>
        <w:rPr>
          <w:rFonts w:ascii="Times New Roman" w:cs="Times New Roman" w:eastAsia="Times New Roman" w:hAnsi="Times New Roman"/>
          <w:sz w:val="18"/>
          <w:szCs w:val="18"/>
          <w:i w:val="1"/>
          <w:iCs w:val="1"/>
          <w:color w:val="auto"/>
        </w:rPr>
        <w:t>Guaranteeing</w:t>
      </w:r>
    </w:p>
    <w:p>
      <w:pPr>
        <w:spacing w:after="0" w:line="2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a subsidiary of California Resources Corporation, a Delaware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other Guarantors (as defined in the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herein) and Wilmington Trust, National Association,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June 5, 2024 providing for the issuance of 8.250% Senior Notes due 2029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the other Guarantors, the Issuer and the Trustee mutually covenant and agree for the equal and ratable benefit of the Holders of the Notes as follows:</w:t>
      </w:r>
    </w:p>
    <w:p>
      <w:pPr>
        <w:spacing w:after="0" w:line="176" w:lineRule="exact"/>
        <w:rPr>
          <w:sz w:val="20"/>
          <w:szCs w:val="20"/>
          <w:color w:val="auto"/>
        </w:rPr>
      </w:pPr>
    </w:p>
    <w:p>
      <w:pPr>
        <w:ind w:left="620" w:hanging="184"/>
        <w:spacing w:after="0"/>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APITALIZED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ERMS</w:t>
      </w:r>
      <w:r>
        <w:rPr>
          <w:rFonts w:ascii="Times New Roman" w:cs="Times New Roman" w:eastAsia="Times New Roman" w:hAnsi="Times New Roman"/>
          <w:sz w:val="18"/>
          <w:szCs w:val="18"/>
          <w:color w:val="auto"/>
        </w:rPr>
        <w:t>.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ind w:right="40" w:firstLine="436"/>
        <w:spacing w:after="0" w:line="282" w:lineRule="auto"/>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UARANTEE</w:t>
      </w:r>
      <w:r>
        <w:rPr>
          <w:rFonts w:ascii="Times New Roman" w:cs="Times New Roman" w:eastAsia="Times New Roman" w:hAnsi="Times New Roman"/>
          <w:sz w:val="18"/>
          <w:szCs w:val="18"/>
          <w:color w:val="auto"/>
        </w:rPr>
        <w:t>. The Guaranteeing Subsidiary hereby unconditionally Guarantees all of the Issuer’s Obligations under the Notes and the Indenture on the terms and subject to the conditions set forth in the Indenture, including, but not limited to, Article 10 thereof.</w:t>
      </w:r>
    </w:p>
    <w:p>
      <w:pPr>
        <w:spacing w:after="0" w:line="161" w:lineRule="exact"/>
        <w:rPr>
          <w:rFonts w:ascii="Times New Roman" w:cs="Times New Roman" w:eastAsia="Times New Roman" w:hAnsi="Times New Roman"/>
          <w:sz w:val="18"/>
          <w:szCs w:val="18"/>
          <w:color w:val="auto"/>
        </w:rPr>
      </w:pPr>
    </w:p>
    <w:p>
      <w:pPr>
        <w:ind w:right="220" w:firstLine="436"/>
        <w:spacing w:after="0" w:line="261" w:lineRule="auto"/>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ECOURSE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GAINST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THERS</w:t>
      </w:r>
      <w:r>
        <w:rPr>
          <w:rFonts w:ascii="Times New Roman" w:cs="Times New Roman" w:eastAsia="Times New Roman" w:hAnsi="Times New Roman"/>
          <w:sz w:val="18"/>
          <w:szCs w:val="18"/>
          <w:color w:val="auto"/>
        </w:rPr>
        <w:t>. No director, officer, partner, employee, incorporator, manager, stockholder or unitholder or other owner of Capital Stock of the Issuer or any Guarantor, as such, will have any liability for any obligations of the Issuer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79"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THIS SUPPLEMENTAL INDENTURE, AND ANY CLAIM, CONTROVERSY OR DISPUTE ARISING UNDER OR RELATED TO THIS SUPPLEMENTAL INDENTURE, SHALL BE GOVERNED BY AND CONSTRUED IN ACCORDANCE WITH THE LAWS OF THE STATE OF NEW YORK.</w:t>
      </w:r>
    </w:p>
    <w:p>
      <w:pPr>
        <w:spacing w:after="0" w:line="175" w:lineRule="exact"/>
        <w:rPr>
          <w:rFonts w:ascii="Times New Roman" w:cs="Times New Roman" w:eastAsia="Times New Roman" w:hAnsi="Times New Roman"/>
          <w:sz w:val="18"/>
          <w:szCs w:val="18"/>
          <w:color w:val="auto"/>
        </w:rPr>
      </w:pPr>
    </w:p>
    <w:p>
      <w:pPr>
        <w:ind w:right="260" w:firstLine="436"/>
        <w:spacing w:after="0" w:line="266" w:lineRule="auto"/>
        <w:tabs>
          <w:tab w:leader="none" w:pos="6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OUNTERPARTS</w:t>
      </w:r>
      <w:r>
        <w:rPr>
          <w:rFonts w:ascii="Times New Roman" w:cs="Times New Roman" w:eastAsia="Times New Roman" w:hAnsi="Times New Roman"/>
          <w:sz w:val="18"/>
          <w:szCs w:val="18"/>
          <w:color w:val="auto"/>
        </w:rPr>
        <w:t>. The parties may sign any number of copies of this Supplemental Indenture. Each signed copy shall be an original, but all of them together represent the same agreement. Delivery of an executed counterpart of a signature page to this Supplemental Indenture by telecopier, facsimile or other electronic transmission (i.e., a “pdf” or “tif”) shall be effective as delivery of a manually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020"/>
          </w:cols>
          <w:pgMar w:left="440" w:top="270" w:right="439" w:bottom="1440" w:gutter="0" w:footer="0" w:header="0"/>
        </w:sectPr>
      </w:pPr>
    </w:p>
    <w:bookmarkStart w:id="143" w:name="page144"/>
    <w:bookmarkEnd w:id="14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executed counterpart thereof.  The words “execution,” “signed,” “signature,” and words of like import in this Supplemental Indenture or in any other certificate, agreement or document related to this Supplemental Indenture or the transactions contemplated hereby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88" w:lineRule="exact"/>
        <w:rPr>
          <w:sz w:val="20"/>
          <w:szCs w:val="20"/>
          <w:color w:val="auto"/>
        </w:rPr>
      </w:pPr>
    </w:p>
    <w:p>
      <w:pPr>
        <w:ind w:left="620" w:hanging="184"/>
        <w:spacing w:after="0"/>
        <w:tabs>
          <w:tab w:leader="none" w:pos="6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FFECT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r>
        <w:rPr>
          <w:rFonts w:ascii="Times New Roman" w:cs="Times New Roman" w:eastAsia="Times New Roman" w:hAnsi="Times New Roman"/>
          <w:sz w:val="18"/>
          <w:szCs w:val="18"/>
          <w:color w:val="auto"/>
        </w:rPr>
        <w:t>. The Trustee shall not be responsible in any manner whatsoever for or in respect of the validity or sufficiency of this</w:t>
      </w:r>
    </w:p>
    <w:p>
      <w:pPr>
        <w:spacing w:after="0" w:line="27" w:lineRule="exact"/>
        <w:rPr>
          <w:rFonts w:ascii="Times New Roman" w:cs="Times New Roman" w:eastAsia="Times New Roman" w:hAnsi="Times New Roman"/>
          <w:sz w:val="18"/>
          <w:szCs w:val="18"/>
          <w:color w:val="auto"/>
        </w:rPr>
      </w:pPr>
    </w:p>
    <w:p>
      <w:pPr>
        <w:ind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Indenture or for or in respect of the recitals contained herein, all of which recitals are made solely by the Guaranteeing Subsidiary, the other Guarantors and the Issuer.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000"/>
          </w:cols>
          <w:pgMar w:left="440" w:top="270" w:right="459" w:bottom="1440" w:gutter="0" w:footer="0" w:header="0"/>
        </w:sectPr>
      </w:pPr>
    </w:p>
    <w:bookmarkStart w:id="144" w:name="page145"/>
    <w:bookmarkEnd w:id="144"/>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 _______________</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UARANTEEING</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UBSIDIARY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WILMINGTON TRUST, NATIONAL ASSOCIATION,</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D-3</w:t>
      </w:r>
    </w:p>
    <w:sectPr>
      <w:pgSz w:w="11900" w:h="16838" w:orient="portrait"/>
      <w:cols w:equalWidth="0" w:num="1">
        <w:col w:w="10660"/>
      </w:cols>
      <w:pgMar w:left="440" w:top="27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1"/>
      <w:numFmt w:val="decimal"/>
      <w:start w:val="104"/>
    </w:lvl>
  </w:abstractNum>
  <w:abstractNum w:abstractNumId="2">
    <w:nsid w:val="6FC75AF8"/>
    <w:multiLevelType w:val="hybridMultilevel"/>
    <w:lvl w:ilvl="0">
      <w:lvlJc w:val="left"/>
      <w:lvlText w:val="(%1)"/>
      <w:numFmt w:val="decimal"/>
      <w:start w:val="1"/>
    </w:lvl>
  </w:abstractNum>
  <w:abstractNum w:abstractNumId="3">
    <w:nsid w:val="6A5F7029"/>
    <w:multiLevelType w:val="hybridMultilevel"/>
    <w:lvl w:ilvl="0">
      <w:lvlJc w:val="left"/>
      <w:lvlText w:val="(%1)"/>
      <w:numFmt w:val="decimal"/>
      <w:start w:val="1"/>
    </w:lvl>
  </w:abstractNum>
  <w:abstractNum w:abstractNumId="4">
    <w:nsid w:val="7D5E18F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
    <w:nsid w:val="5F3534A4"/>
    <w:multiLevelType w:val="hybridMultilevel"/>
    <w:lvl w:ilvl="0">
      <w:lvlJc w:val="left"/>
      <w:lvlText w:val="(%1)"/>
      <w:numFmt w:val="upperLetter"/>
      <w:start w:val="3"/>
    </w:lvl>
  </w:abstractNum>
  <w:abstractNum w:abstractNumId="6">
    <w:nsid w:val="73A1821B"/>
    <w:multiLevelType w:val="hybridMultilevel"/>
    <w:lvl w:ilvl="0">
      <w:lvlJc w:val="left"/>
      <w:lvlText w:val="(%1)"/>
      <w:numFmt w:val="lowerRoman"/>
      <w:start w:val="2"/>
    </w:lvl>
  </w:abstractNum>
  <w:abstractNum w:abstractNumId="7">
    <w:nsid w:val="7DE67713"/>
    <w:multiLevelType w:val="hybridMultilevel"/>
    <w:lvl w:ilvl="0">
      <w:lvlJc w:val="left"/>
      <w:lvlText w:val="(%1)"/>
      <w:numFmt w:val="lowerRoman"/>
      <w:start w:val="3"/>
    </w:lvl>
    <w:lvl w:ilvl="1">
      <w:lvlJc w:val="left"/>
      <w:lvlText w:val="(%2)"/>
      <w:numFmt w:val="upperLetter"/>
      <w:start w:val="1"/>
    </w:lvl>
  </w:abstractNum>
  <w:abstractNum w:abstractNumId="8">
    <w:nsid w:val="555C55B5"/>
    <w:multiLevelType w:val="hybridMultilevel"/>
    <w:lvl w:ilvl="0">
      <w:lvlJc w:val="left"/>
      <w:lvlText w:val="(%1)"/>
      <w:numFmt w:val="lowerLetter"/>
      <w:start w:val="2"/>
    </w:lvl>
    <w:lvl w:ilvl="1">
      <w:lvlJc w:val="left"/>
      <w:lvlText w:val="(%2)"/>
      <w:numFmt w:val="lowerRoman"/>
      <w:start w:val="1"/>
    </w:lvl>
  </w:abstractNum>
  <w:abstractNum w:abstractNumId="9">
    <w:nsid w:val="3FA62ACA"/>
    <w:multiLevelType w:val="hybridMultilevel"/>
    <w:lvl w:ilvl="0">
      <w:lvlJc w:val="left"/>
      <w:lvlText w:val="(%1)"/>
      <w:numFmt w:val="decimal"/>
      <w:start w:val="1"/>
    </w:lvl>
    <w:lvl w:ilvl="1">
      <w:lvlJc w:val="left"/>
      <w:lvlText w:val="(%2)"/>
      <w:numFmt w:val="lowerLetter"/>
      <w:start w:val="1"/>
    </w:lvl>
  </w:abstractNum>
  <w:abstractNum w:abstractNumId="10">
    <w:nsid w:val="14FCE74E"/>
    <w:multiLevelType w:val="hybridMultilevel"/>
    <w:lvl w:ilvl="0">
      <w:lvlJc w:val="left"/>
      <w:lvlText w:val="(%1)"/>
      <w:numFmt w:val="decimal"/>
      <w:start w:val="1"/>
    </w:lvl>
  </w:abstractNum>
  <w:abstractNum w:abstractNumId="11">
    <w:nsid w:val="6A3DD3E8"/>
    <w:multiLevelType w:val="hybridMultilevel"/>
    <w:lvl w:ilvl="0">
      <w:lvlJc w:val="left"/>
      <w:lvlText w:val="(%1)"/>
      <w:numFmt w:val="decimal"/>
      <w:start w:val="1"/>
    </w:lvl>
  </w:abstractNum>
  <w:abstractNum w:abstractNumId="12">
    <w:nsid w:val="71C91298"/>
    <w:multiLevelType w:val="hybridMultilevel"/>
    <w:lvl w:ilvl="0">
      <w:lvlJc w:val="left"/>
      <w:lvlText w:val="(%1)"/>
      <w:numFmt w:val="decimal"/>
      <w:start w:val="15"/>
    </w:lvl>
  </w:abstractNum>
  <w:abstractNum w:abstractNumId="13">
    <w:nsid w:val="9DAF632"/>
    <w:multiLevelType w:val="hybridMultilevel"/>
    <w:lvl w:ilvl="0">
      <w:lvlJc w:val="left"/>
      <w:lvlText w:val="(%1)"/>
      <w:numFmt w:val="decimal"/>
      <w:start w:val="1"/>
    </w:lvl>
  </w:abstractNum>
  <w:abstractNum w:abstractNumId="14">
    <w:nsid w:val="53299938"/>
    <w:multiLevelType w:val="hybridMultilevel"/>
    <w:lvl w:ilvl="0">
      <w:lvlJc w:val="left"/>
      <w:lvlText w:val="(%1)"/>
      <w:numFmt w:val="decimal"/>
      <w:start w:val="1"/>
    </w:lvl>
  </w:abstractNum>
  <w:abstractNum w:abstractNumId="15">
    <w:nsid w:val="1FBFE8E0"/>
    <w:multiLevelType w:val="hybridMultilevel"/>
    <w:lvl w:ilvl="0">
      <w:lvlJc w:val="left"/>
      <w:lvlText w:val="(%1)"/>
      <w:numFmt w:val="decimal"/>
      <w:start w:val="1"/>
    </w:lvl>
  </w:abstractNum>
  <w:abstractNum w:abstractNumId="16">
    <w:nsid w:val="5092CA79"/>
    <w:multiLevelType w:val="hybridMultilevel"/>
    <w:lvl w:ilvl="0">
      <w:lvlJc w:val="left"/>
      <w:lvlText w:val="%1"/>
      <w:numFmt w:val="decimal"/>
      <w:start w:val="1"/>
    </w:lvl>
    <w:lvl w:ilvl="1">
      <w:lvlJc w:val="left"/>
      <w:lvlText w:val="(%2)"/>
      <w:numFmt w:val="decimal"/>
      <w:start w:val="5"/>
    </w:lvl>
  </w:abstractNum>
  <w:abstractNum w:abstractNumId="17">
    <w:nsid w:val="1D545C4D"/>
    <w:multiLevelType w:val="hybridMultilevel"/>
    <w:lvl w:ilvl="0">
      <w:lvlJc w:val="left"/>
      <w:lvlText w:val="(%1)"/>
      <w:numFmt w:val="decimal"/>
      <w:start w:val="4"/>
    </w:lvl>
    <w:lvl w:ilvl="1">
      <w:lvlJc w:val="left"/>
      <w:lvlText w:val="(%2)"/>
      <w:numFmt w:val="decimal"/>
      <w:start w:val="6"/>
    </w:lvl>
  </w:abstractNum>
  <w:abstractNum w:abstractNumId="18">
    <w:nsid w:val="59ADEA3D"/>
    <w:multiLevelType w:val="hybridMultilevel"/>
    <w:lvl w:ilvl="0">
      <w:lvlJc w:val="left"/>
      <w:lvlText w:val="(%1)"/>
      <w:numFmt w:val="decimal"/>
      <w:start w:val="1"/>
    </w:lvl>
  </w:abstractNum>
  <w:abstractNum w:abstractNumId="19">
    <w:nsid w:val="288F1A34"/>
    <w:multiLevelType w:val="hybridMultilevel"/>
    <w:lvl w:ilvl="0">
      <w:lvlJc w:val="left"/>
      <w:lvlText w:val="(%1)"/>
      <w:numFmt w:val="decimal"/>
      <w:start w:val="1"/>
    </w:lvl>
  </w:abstractNum>
  <w:abstractNum w:abstractNumId="20">
    <w:nsid w:val="2A155DBC"/>
    <w:multiLevelType w:val="hybridMultilevel"/>
    <w:lvl w:ilvl="0">
      <w:lvlJc w:val="left"/>
      <w:lvlText w:val="(%1)"/>
      <w:numFmt w:val="decimal"/>
      <w:start w:val="1"/>
    </w:lvl>
  </w:abstractNum>
  <w:abstractNum w:abstractNumId="21">
    <w:nsid w:val="1D9F6E5F"/>
    <w:multiLevelType w:val="hybridMultilevel"/>
    <w:lvl w:ilvl="0">
      <w:lvlJc w:val="left"/>
      <w:lvlText w:val="(%1)"/>
      <w:numFmt w:val="lowerRoman"/>
      <w:start w:val="2"/>
    </w:lvl>
  </w:abstractNum>
  <w:abstractNum w:abstractNumId="22">
    <w:nsid w:val="97E1B4E"/>
    <w:multiLevelType w:val="hybridMultilevel"/>
    <w:lvl w:ilvl="0">
      <w:lvlJc w:val="left"/>
      <w:lvlText w:val="(%1)"/>
      <w:numFmt w:val="decimal"/>
      <w:start w:val="1"/>
    </w:lvl>
  </w:abstractNum>
  <w:abstractNum w:abstractNumId="23">
    <w:nsid w:val="51088277"/>
    <w:multiLevelType w:val="hybridMultilevel"/>
    <w:lvl w:ilvl="0">
      <w:lvlJc w:val="left"/>
      <w:lvlText w:val="(%1)"/>
      <w:numFmt w:val="decimal"/>
      <w:start w:val="7"/>
    </w:lvl>
  </w:abstractNum>
  <w:abstractNum w:abstractNumId="24">
    <w:nsid w:val="1CA0C5FA"/>
    <w:multiLevelType w:val="hybridMultilevel"/>
    <w:lvl w:ilvl="0">
      <w:lvlJc w:val="left"/>
      <w:lvlText w:val="%1"/>
      <w:numFmt w:val="lowerRoman"/>
      <w:start w:val="1"/>
    </w:lvl>
    <w:lvl w:ilvl="1">
      <w:lvlJc w:val="left"/>
      <w:lvlText w:val="(%2)"/>
      <w:numFmt w:val="decimal"/>
      <w:start w:val="1"/>
    </w:lvl>
  </w:abstractNum>
  <w:abstractNum w:abstractNumId="25">
    <w:nsid w:val="53584BCB"/>
    <w:multiLevelType w:val="hybridMultilevel"/>
    <w:lvl w:ilvl="0">
      <w:lvlJc w:val="left"/>
      <w:lvlText w:val="(%1)"/>
      <w:numFmt w:val="lowerRoman"/>
      <w:start w:val="3"/>
    </w:lvl>
    <w:lvl w:ilvl="1">
      <w:lvlJc w:val="left"/>
      <w:lvlText w:val="(%2)"/>
      <w:numFmt w:val="decimal"/>
      <w:start w:val="2"/>
    </w:lvl>
  </w:abstractNum>
  <w:abstractNum w:abstractNumId="26">
    <w:nsid w:val="415E286C"/>
    <w:multiLevelType w:val="hybridMultilevel"/>
    <w:lvl w:ilvl="0">
      <w:lvlJc w:val="left"/>
      <w:lvlText w:val="(%1)"/>
      <w:numFmt w:val="decimal"/>
      <w:start w:val="2"/>
    </w:lvl>
  </w:abstractNum>
  <w:abstractNum w:abstractNumId="27">
    <w:nsid w:val="7C58FD05"/>
    <w:multiLevelType w:val="hybridMultilevel"/>
    <w:lvl w:ilvl="0">
      <w:lvlJc w:val="left"/>
      <w:lvlText w:val="(%1)"/>
      <w:numFmt w:val="decimal"/>
      <w:start w:val="1"/>
    </w:lvl>
    <w:lvl w:ilvl="1">
      <w:lvlJc w:val="left"/>
      <w:lvlText w:val="(%2)"/>
      <w:numFmt w:val="lowerLetter"/>
      <w:start w:val="1"/>
    </w:lvl>
  </w:abstractNum>
  <w:abstractNum w:abstractNumId="28">
    <w:nsid w:val="23D86AAC"/>
    <w:multiLevelType w:val="hybridMultilevel"/>
    <w:lvl w:ilvl="0">
      <w:lvlJc w:val="left"/>
      <w:lvlText w:val="(%1)"/>
      <w:numFmt w:val="decimal"/>
      <w:start w:val="1"/>
    </w:lvl>
  </w:abstractNum>
  <w:abstractNum w:abstractNumId="29">
    <w:nsid w:val="45E6D486"/>
    <w:multiLevelType w:val="hybridMultilevel"/>
    <w:lvl w:ilvl="0">
      <w:lvlJc w:val="left"/>
      <w:lvlText w:val="(%1)"/>
      <w:numFmt w:val="decimal"/>
      <w:start w:val="1"/>
    </w:lvl>
  </w:abstractNum>
  <w:abstractNum w:abstractNumId="30">
    <w:nsid w:val="5C10FE21"/>
    <w:multiLevelType w:val="hybridMultilevel"/>
    <w:lvl w:ilvl="0">
      <w:lvlJc w:val="left"/>
      <w:lvlText w:val="(%1)"/>
      <w:numFmt w:val="decimal"/>
      <w:start w:val="1"/>
    </w:lvl>
  </w:abstractNum>
  <w:abstractNum w:abstractNumId="31">
    <w:nsid w:val="E7FFA2B"/>
    <w:multiLevelType w:val="hybridMultilevel"/>
    <w:lvl w:ilvl="0">
      <w:lvlJc w:val="left"/>
      <w:lvlText w:val="(%1)"/>
      <w:numFmt w:val="decimal"/>
      <w:start w:val="1"/>
    </w:lvl>
    <w:lvl w:ilvl="1">
      <w:lvlJc w:val="left"/>
      <w:lvlText w:val="(%2)"/>
      <w:numFmt w:val="lowerLetter"/>
      <w:start w:val="1"/>
    </w:lvl>
  </w:abstractNum>
  <w:abstractNum w:abstractNumId="32">
    <w:nsid w:val="3C5991AA"/>
    <w:multiLevelType w:val="hybridMultilevel"/>
    <w:lvl w:ilvl="0">
      <w:lvlJc w:val="left"/>
      <w:lvlText w:val="%1"/>
      <w:numFmt w:val="lowerLetter"/>
      <w:start w:val="1"/>
    </w:lvl>
    <w:lvl w:ilvl="1">
      <w:lvlJc w:val="left"/>
      <w:lvlText w:val="(%2)"/>
      <w:numFmt w:val="decimal"/>
      <w:start w:val="12"/>
    </w:lvl>
  </w:abstractNum>
  <w:abstractNum w:abstractNumId="33">
    <w:nsid w:val="4BD8591A"/>
    <w:multiLevelType w:val="hybridMultilevel"/>
    <w:lvl w:ilvl="0">
      <w:lvlJc w:val="left"/>
      <w:lvlText w:val="(%1)"/>
      <w:numFmt w:val="lowerLetter"/>
      <w:start w:val="2"/>
    </w:lvl>
    <w:lvl w:ilvl="1">
      <w:lvlJc w:val="left"/>
      <w:lvlText w:val="(%2)"/>
      <w:numFmt w:val="decimal"/>
      <w:start w:val="13"/>
    </w:lvl>
  </w:abstractNum>
  <w:abstractNum w:abstractNumId="34">
    <w:nsid w:val="78DF6A55"/>
    <w:multiLevelType w:val="hybridMultilevel"/>
    <w:lvl w:ilvl="0">
      <w:lvlJc w:val="left"/>
      <w:lvlText w:val="%1"/>
      <w:numFmt w:val="lowerLetter"/>
      <w:start w:val="1"/>
    </w:lvl>
    <w:lvl w:ilvl="1">
      <w:lvlJc w:val="left"/>
      <w:lvlText w:val="(%2)"/>
      <w:numFmt w:val="decimal"/>
      <w:start w:val="1"/>
    </w:lvl>
  </w:abstractNum>
  <w:abstractNum w:abstractNumId="35">
    <w:nsid w:val="39B7AAA2"/>
    <w:multiLevelType w:val="hybridMultilevel"/>
    <w:lvl w:ilvl="0">
      <w:lvlJc w:val="left"/>
      <w:lvlText w:val="(%1)"/>
      <w:numFmt w:val="lowerLetter"/>
      <w:start w:val="25"/>
    </w:lvl>
    <w:lvl w:ilvl="1">
      <w:lvlJc w:val="left"/>
      <w:lvlText w:val="%2"/>
      <w:numFmt w:val="decimal"/>
      <w:start w:val="1"/>
    </w:lvl>
  </w:abstractNum>
  <w:abstractNum w:abstractNumId="36">
    <w:nsid w:val="2B0D8DBE"/>
    <w:multiLevelType w:val="hybridMultilevel"/>
    <w:lvl w:ilvl="0">
      <w:lvlJc w:val="left"/>
      <w:lvlText w:val="(%1)"/>
      <w:numFmt w:val="lowerLetter"/>
      <w:start w:val="3"/>
    </w:lvl>
    <w:lvl w:ilvl="1">
      <w:lvlJc w:val="left"/>
      <w:lvlText w:val="%2"/>
      <w:numFmt w:val="decimal"/>
      <w:start w:val="1"/>
    </w:lvl>
  </w:abstractNum>
  <w:abstractNum w:abstractNumId="37">
    <w:nsid w:val="6C80EC70"/>
    <w:multiLevelType w:val="hybridMultilevel"/>
    <w:lvl w:ilvl="0">
      <w:lvlJc w:val="left"/>
      <w:lvlText w:val="(%1)"/>
      <w:numFmt w:val="decimal"/>
      <w:start w:val="7"/>
    </w:lvl>
    <w:lvl w:ilvl="1">
      <w:lvlJc w:val="left"/>
      <w:lvlText w:val="(%2)"/>
      <w:numFmt w:val="lowerLetter"/>
      <w:start w:val="1"/>
    </w:lvl>
  </w:abstractNum>
  <w:abstractNum w:abstractNumId="38">
    <w:nsid w:val="379E21B5"/>
    <w:multiLevelType w:val="hybridMultilevel"/>
    <w:lvl w:ilvl="0">
      <w:lvlJc w:val="left"/>
      <w:lvlText w:val="(%1)"/>
      <w:numFmt w:val="decimal"/>
      <w:start w:val="18"/>
    </w:lvl>
    <w:lvl w:ilvl="1">
      <w:lvlJc w:val="left"/>
      <w:lvlText w:val="(%2)"/>
      <w:numFmt w:val="lowerLetter"/>
      <w:start w:val="1"/>
    </w:lvl>
  </w:abstractNum>
  <w:abstractNum w:abstractNumId="39">
    <w:nsid w:val="69E373"/>
    <w:multiLevelType w:val="hybridMultilevel"/>
    <w:lvl w:ilvl="0">
      <w:lvlJc w:val="left"/>
      <w:lvlText w:val="%1"/>
      <w:numFmt w:val="decimal"/>
      <w:start w:val="1"/>
    </w:lvl>
    <w:lvl w:ilvl="1">
      <w:lvlJc w:val="left"/>
      <w:lvlText w:val="(%2)"/>
      <w:numFmt w:val="lowerLetter"/>
      <w:start w:val="3"/>
    </w:lvl>
  </w:abstractNum>
  <w:abstractNum w:abstractNumId="40">
    <w:nsid w:val="2C27173B"/>
    <w:multiLevelType w:val="hybridMultilevel"/>
    <w:lvl w:ilvl="0">
      <w:lvlJc w:val="left"/>
      <w:lvlText w:val="(%1)"/>
      <w:numFmt w:val="decimal"/>
      <w:start w:val="25"/>
    </w:lvl>
    <w:lvl w:ilvl="1">
      <w:lvlJc w:val="left"/>
      <w:lvlText w:val="%2"/>
      <w:numFmt w:val="lowerLetter"/>
      <w:start w:val="1"/>
    </w:lvl>
  </w:abstractNum>
  <w:abstractNum w:abstractNumId="41">
    <w:nsid w:val="4C9B0904"/>
    <w:multiLevelType w:val="hybridMultilevel"/>
    <w:lvl w:ilvl="0">
      <w:lvlJc w:val="left"/>
      <w:lvlText w:val="%1"/>
      <w:numFmt w:val="lowerLetter"/>
      <w:start w:val="1"/>
    </w:lvl>
    <w:lvl w:ilvl="1">
      <w:lvlJc w:val="left"/>
      <w:lvlText w:val="(%2)"/>
      <w:numFmt w:val="decimal"/>
      <w:start w:val="1"/>
    </w:lvl>
  </w:abstractNum>
  <w:abstractNum w:abstractNumId="42">
    <w:nsid w:val="6AA7B75C"/>
    <w:multiLevelType w:val="hybridMultilevel"/>
    <w:lvl w:ilvl="0">
      <w:lvlJc w:val="left"/>
      <w:lvlText w:val="(%1)"/>
      <w:numFmt w:val="lowerLetter"/>
      <w:start w:val="2"/>
    </w:lvl>
    <w:lvl w:ilvl="1">
      <w:lvlJc w:val="left"/>
      <w:lvlText w:val="%2"/>
      <w:numFmt w:val="decimal"/>
      <w:start w:val="1"/>
    </w:lvl>
  </w:abstractNum>
  <w:abstractNum w:abstractNumId="43">
    <w:nsid w:val="1DF029D3"/>
    <w:multiLevelType w:val="hybridMultilevel"/>
    <w:lvl w:ilvl="0">
      <w:lvlJc w:val="left"/>
      <w:lvlText w:val="(%1)"/>
      <w:numFmt w:val="decimal"/>
      <w:start w:val="1"/>
    </w:lvl>
  </w:abstractNum>
  <w:abstractNum w:abstractNumId="44">
    <w:nsid w:val="5675FF36"/>
    <w:multiLevelType w:val="hybridMultilevel"/>
    <w:lvl w:ilvl="0">
      <w:lvlJc w:val="left"/>
      <w:lvlText w:val="(%1)"/>
      <w:numFmt w:val="decimal"/>
      <w:start w:val="1"/>
    </w:lvl>
  </w:abstractNum>
  <w:abstractNum w:abstractNumId="45">
    <w:nsid w:val="3DD15094"/>
    <w:multiLevelType w:val="hybridMultilevel"/>
    <w:lvl w:ilvl="0">
      <w:lvlJc w:val="left"/>
      <w:lvlText w:val="(%1)"/>
      <w:numFmt w:val="decimal"/>
      <w:start w:val="1"/>
    </w:lvl>
  </w:abstractNum>
  <w:abstractNum w:abstractNumId="46">
    <w:nsid w:val="3DB012B3"/>
    <w:multiLevelType w:val="hybridMultilevel"/>
    <w:lvl w:ilvl="0">
      <w:lvlJc w:val="left"/>
      <w:lvlText w:val="(%1)"/>
      <w:numFmt w:val="decimal"/>
      <w:start w:val="1"/>
    </w:lvl>
  </w:abstractNum>
  <w:abstractNum w:abstractNumId="47">
    <w:nsid w:val="2708C9AF"/>
    <w:multiLevelType w:val="hybridMultilevel"/>
    <w:lvl w:ilvl="0">
      <w:lvlJc w:val="left"/>
      <w:lvlText w:val="(%1)"/>
      <w:numFmt w:val="decimal"/>
      <w:start w:val="1"/>
    </w:lvl>
  </w:abstractNum>
  <w:abstractNum w:abstractNumId="48">
    <w:nsid w:val="5B25ACE2"/>
    <w:multiLevelType w:val="hybridMultilevel"/>
    <w:lvl w:ilvl="0">
      <w:lvlJc w:val="left"/>
      <w:lvlText w:val="(%1)"/>
      <w:numFmt w:val="decimal"/>
      <w:start w:val="1"/>
    </w:lvl>
  </w:abstractNum>
  <w:abstractNum w:abstractNumId="49">
    <w:nsid w:val="175DFCF0"/>
    <w:multiLevelType w:val="hybridMultilevel"/>
    <w:lvl w:ilvl="0">
      <w:lvlJc w:val="left"/>
      <w:lvlText w:val="%1"/>
      <w:numFmt w:val="lowerLetter"/>
      <w:start w:val="1"/>
    </w:lvl>
    <w:lvl w:ilvl="1">
      <w:lvlJc w:val="left"/>
      <w:lvlText w:val="(%2)"/>
      <w:numFmt w:val="decimal"/>
      <w:start w:val="3"/>
    </w:lvl>
  </w:abstractNum>
  <w:abstractNum w:abstractNumId="50">
    <w:nsid w:val="4F97E3E4"/>
    <w:multiLevelType w:val="hybridMultilevel"/>
    <w:lvl w:ilvl="0">
      <w:lvlJc w:val="left"/>
      <w:lvlText w:val="(%1)"/>
      <w:numFmt w:val="lowerLetter"/>
      <w:start w:val="25"/>
    </w:lvl>
    <w:lvl w:ilvl="1">
      <w:lvlJc w:val="left"/>
      <w:lvlText w:val="%2"/>
      <w:numFmt w:val="decimal"/>
      <w:start w:val="1"/>
    </w:lvl>
  </w:abstractNum>
  <w:abstractNum w:abstractNumId="51">
    <w:nsid w:val="53B0A9E"/>
    <w:multiLevelType w:val="hybridMultilevel"/>
    <w:lvl w:ilvl="0">
      <w:lvlJc w:val="left"/>
      <w:lvlText w:val="(%1)"/>
      <w:numFmt w:val="decimal"/>
      <w:start w:val="1"/>
    </w:lvl>
  </w:abstractNum>
  <w:abstractNum w:abstractNumId="52">
    <w:nsid w:val="34FD6B4F"/>
    <w:multiLevelType w:val="hybridMultilevel"/>
    <w:lvl w:ilvl="0">
      <w:lvlJc w:val="left"/>
      <w:lvlText w:val="(%1)"/>
      <w:numFmt w:val="decimal"/>
      <w:start w:val="2"/>
    </w:lvl>
  </w:abstractNum>
  <w:abstractNum w:abstractNumId="53">
    <w:nsid w:val="5915FF32"/>
    <w:multiLevelType w:val="hybridMultilevel"/>
    <w:lvl w:ilvl="0">
      <w:lvlJc w:val="left"/>
      <w:lvlText w:val="(%1)"/>
      <w:numFmt w:val="lowerLetter"/>
      <w:start w:val="1"/>
    </w:lvl>
  </w:abstractNum>
  <w:abstractNum w:abstractNumId="54">
    <w:nsid w:val="56438D15"/>
    <w:multiLevelType w:val="hybridMultilevel"/>
    <w:lvl w:ilvl="0">
      <w:lvlJc w:val="left"/>
      <w:lvlText w:val="(%1)"/>
      <w:numFmt w:val="lowerLetter"/>
      <w:start w:val="1"/>
    </w:lvl>
  </w:abstractNum>
  <w:abstractNum w:abstractNumId="55">
    <w:nsid w:val="519E3149"/>
    <w:multiLevelType w:val="hybridMultilevel"/>
    <w:lvl w:ilvl="0">
      <w:lvlJc w:val="left"/>
      <w:lvlText w:val="%1"/>
      <w:numFmt w:val="lowerLetter"/>
      <w:start w:val="1"/>
    </w:lvl>
    <w:lvl w:ilvl="1">
      <w:lvlJc w:val="left"/>
      <w:lvlText w:val="(%2)"/>
      <w:numFmt w:val="lowerLetter"/>
      <w:start w:val="2"/>
    </w:lvl>
  </w:abstractNum>
  <w:abstractNum w:abstractNumId="56">
    <w:nsid w:val="2C6E4AFD"/>
    <w:multiLevelType w:val="hybridMultilevel"/>
    <w:lvl w:ilvl="0">
      <w:lvlJc w:val="left"/>
      <w:lvlText w:val="(%1)"/>
      <w:numFmt w:val="lowerLetter"/>
      <w:start w:val="9"/>
    </w:lvl>
    <w:lvl w:ilvl="1">
      <w:lvlJc w:val="left"/>
      <w:lvlText w:val="(%2)"/>
      <w:numFmt w:val="lowerLetter"/>
      <w:start w:val="3"/>
    </w:lvl>
  </w:abstractNum>
  <w:abstractNum w:abstractNumId="57">
    <w:nsid w:val="17A1B582"/>
    <w:multiLevelType w:val="hybridMultilevel"/>
    <w:lvl w:ilvl="0">
      <w:lvlJc w:val="left"/>
      <w:lvlText w:val="(%1)"/>
      <w:numFmt w:val="lowerLetter"/>
      <w:start w:val="1"/>
    </w:lvl>
    <w:lvl w:ilvl="1">
      <w:lvlJc w:val="left"/>
      <w:lvlText w:val="(%2)"/>
      <w:numFmt w:val="decimal"/>
      <w:start w:val="1"/>
    </w:lvl>
  </w:abstractNum>
  <w:abstractNum w:abstractNumId="58">
    <w:nsid w:val="4DF72E4E"/>
    <w:multiLevelType w:val="hybridMultilevel"/>
    <w:lvl w:ilvl="0">
      <w:lvlJc w:val="left"/>
      <w:lvlText w:val="(%1)"/>
      <w:numFmt w:val="decimal"/>
      <w:start w:val="2"/>
    </w:lvl>
  </w:abstractNum>
  <w:abstractNum w:abstractNumId="59">
    <w:nsid w:val="5046B5A9"/>
    <w:multiLevelType w:val="hybridMultilevel"/>
    <w:lvl w:ilvl="0">
      <w:lvlJc w:val="left"/>
      <w:lvlText w:val="(%1)"/>
      <w:numFmt w:val="lowerLetter"/>
      <w:start w:val="2"/>
    </w:lvl>
    <w:lvl w:ilvl="1">
      <w:lvlJc w:val="left"/>
      <w:lvlText w:val="(%2)"/>
      <w:numFmt w:val="decimal"/>
      <w:start w:val="1"/>
    </w:lvl>
  </w:abstractNum>
  <w:abstractNum w:abstractNumId="60">
    <w:nsid w:val="5D888A08"/>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61">
    <w:nsid w:val="2A082C70"/>
    <w:multiLevelType w:val="hybridMultilevel"/>
    <w:lvl w:ilvl="0">
      <w:lvlJc w:val="left"/>
      <w:lvlText w:val="(%1)"/>
      <w:numFmt w:val="decimal"/>
      <w:start w:val="3"/>
    </w:lvl>
    <w:lvl w:ilvl="1">
      <w:lvlJc w:val="left"/>
      <w:lvlText w:val="(%2)"/>
      <w:numFmt w:val="upperLetter"/>
      <w:start w:val="1"/>
    </w:lvl>
  </w:abstractNum>
  <w:abstractNum w:abstractNumId="62">
    <w:nsid w:val="5EC6AFD4"/>
    <w:multiLevelType w:val="hybridMultilevel"/>
    <w:lvl w:ilvl="0">
      <w:lvlJc w:val="left"/>
      <w:lvlText w:val="(%1)"/>
      <w:numFmt w:val="upperLetter"/>
      <w:start w:val="2"/>
    </w:lvl>
    <w:lvl w:ilvl="1">
      <w:lvlJc w:val="left"/>
      <w:lvlText w:val="(%2)"/>
      <w:numFmt w:val="lowerRoman"/>
      <w:start w:val="1"/>
    </w:lvl>
  </w:abstractNum>
  <w:abstractNum w:abstractNumId="63">
    <w:nsid w:val="19E21BB2"/>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64">
    <w:nsid w:val="75E0858A"/>
    <w:multiLevelType w:val="hybridMultilevel"/>
    <w:lvl w:ilvl="0">
      <w:lvlJc w:val="left"/>
      <w:lvlText w:val="(%1)"/>
      <w:numFmt w:val="upperLetter"/>
      <w:start w:val="3"/>
    </w:lvl>
  </w:abstractNum>
  <w:abstractNum w:abstractNumId="65">
    <w:nsid w:val="57A61A29"/>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lvl w:ilvl="3">
      <w:lvlJc w:val="left"/>
      <w:lvlText w:val="(%4)"/>
      <w:numFmt w:val="lowerLetter"/>
      <w:start w:val="9"/>
    </w:lvl>
  </w:abstractNum>
  <w:abstractNum w:abstractNumId="66">
    <w:nsid w:val="5399C654"/>
    <w:multiLevelType w:val="hybridMultilevel"/>
    <w:lvl w:ilvl="0">
      <w:lvlJc w:val="left"/>
      <w:lvlText w:val="(%1)"/>
      <w:numFmt w:val="lowerRoman"/>
      <w:start w:val="2"/>
    </w:lvl>
  </w:abstractNum>
  <w:abstractNum w:abstractNumId="67">
    <w:nsid w:val="20EE1348"/>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68">
    <w:nsid w:val="4427069A"/>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69">
    <w:nsid w:val="B37E80A"/>
    <w:multiLevelType w:val="hybridMultilevel"/>
    <w:lvl w:ilvl="0">
      <w:lvlJc w:val="left"/>
      <w:lvlText w:val="(%1)"/>
      <w:numFmt w:val="upperLetter"/>
      <w:start w:val="4"/>
    </w:lvl>
  </w:abstractNum>
  <w:abstractNum w:abstractNumId="70">
    <w:nsid w:val="2157F6BC"/>
    <w:multiLevelType w:val="hybridMultilevel"/>
    <w:lvl w:ilvl="0">
      <w:lvlJc w:val="left"/>
      <w:lvlText w:val="(%1)"/>
      <w:numFmt w:val="upperLetter"/>
      <w:start w:val="3"/>
    </w:lvl>
    <w:lvl w:ilvl="1">
      <w:lvlJc w:val="left"/>
      <w:lvlText w:val="(%2)"/>
      <w:numFmt w:val="decimal"/>
      <w:start w:val="2"/>
    </w:lvl>
    <w:lvl w:ilvl="2">
      <w:lvlJc w:val="left"/>
      <w:lvlText w:val="(%3)"/>
      <w:numFmt w:val="upperLetter"/>
      <w:start w:val="1"/>
    </w:lvl>
    <w:lvl w:ilvl="3">
      <w:lvlJc w:val="left"/>
      <w:lvlText w:val="(%4)"/>
      <w:numFmt w:val="lowerRoman"/>
      <w:start w:val="1"/>
    </w:lvl>
  </w:abstractNum>
  <w:abstractNum w:abstractNumId="71">
    <w:nsid w:val="704E1DD5"/>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upperLetter"/>
      <w:start w:val="1"/>
    </w:lvl>
  </w:abstractNum>
  <w:abstractNum w:abstractNumId="72">
    <w:nsid w:val="57D2F10E"/>
    <w:multiLevelType w:val="hybridMultilevel"/>
    <w:lvl w:ilvl="0">
      <w:lvlJc w:val="left"/>
      <w:lvlText w:val="(%1)"/>
      <w:numFmt w:val="decimal"/>
      <w:start w:val="3"/>
    </w:lvl>
    <w:lvl w:ilvl="1">
      <w:lvlJc w:val="left"/>
      <w:lvlText w:val="(%2)"/>
      <w:numFmt w:val="lowerLetter"/>
      <w:start w:val="5"/>
    </w:lvl>
    <w:lvl w:ilvl="2">
      <w:lvlJc w:val="left"/>
      <w:lvlText w:val="(%3)"/>
      <w:numFmt w:val="decimal"/>
      <w:start w:val="1"/>
    </w:lvl>
    <w:lvl w:ilvl="3">
      <w:lvlJc w:val="left"/>
      <w:lvlText w:val="(%4)"/>
      <w:numFmt w:val="upperLetter"/>
      <w:start w:val="1"/>
    </w:lvl>
  </w:abstractNum>
  <w:abstractNum w:abstractNumId="73">
    <w:nsid w:val="BFFAE18"/>
    <w:multiLevelType w:val="hybridMultilevel"/>
    <w:lvl w:ilvl="0">
      <w:lvlJc w:val="left"/>
      <w:lvlText w:val="(%1)"/>
      <w:numFmt w:val="upperLetter"/>
      <w:start w:val="2"/>
    </w:lvl>
    <w:lvl w:ilvl="1">
      <w:lvlJc w:val="left"/>
      <w:lvlText w:val="(%2)"/>
      <w:numFmt w:val="lowerRoman"/>
      <w:start w:val="1"/>
    </w:lvl>
  </w:abstractNum>
  <w:abstractNum w:abstractNumId="74">
    <w:nsid w:val="E3E47A8"/>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75">
    <w:nsid w:val="2E48F044"/>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76">
    <w:nsid w:val="49D0FEAC"/>
    <w:multiLevelType w:val="hybridMultilevel"/>
    <w:lvl w:ilvl="0">
      <w:lvlJc w:val="left"/>
      <w:lvlText w:val="(%1)"/>
      <w:numFmt w:val="upperLetter"/>
      <w:start w:val="2"/>
    </w:lvl>
  </w:abstractNum>
  <w:abstractNum w:abstractNumId="77">
    <w:nsid w:val="4BEE5A5B"/>
    <w:multiLevelType w:val="hybridMultilevel"/>
    <w:lvl w:ilvl="0">
      <w:lvlJc w:val="left"/>
      <w:lvlText w:val="(%1)"/>
      <w:numFmt w:val="lowerRoman"/>
      <w:start w:val="2"/>
    </w:lvl>
  </w:abstractNum>
  <w:abstractNum w:abstractNumId="78">
    <w:nsid w:val="5551B9F3"/>
    <w:multiLevelType w:val="hybridMultilevel"/>
    <w:lvl w:ilvl="0">
      <w:lvlJc w:val="left"/>
      <w:lvlText w:val="(%1)"/>
      <w:numFmt w:val="lowerLetter"/>
      <w:start w:val="8"/>
    </w:lvl>
  </w:abstractNum>
  <w:abstractNum w:abstractNumId="79">
    <w:nsid w:val="24F6AB8E"/>
    <w:multiLevelType w:val="hybridMultilevel"/>
    <w:lvl w:ilvl="0">
      <w:lvlJc w:val="left"/>
      <w:lvlText w:val="(%1)"/>
      <w:numFmt w:val="decimal"/>
      <w:start w:val="1"/>
    </w:lvl>
    <w:lvl w:ilvl="1">
      <w:lvlJc w:val="left"/>
      <w:lvlText w:val="(%2)"/>
      <w:numFmt w:val="upperLetter"/>
      <w:start w:val="1"/>
    </w:lvl>
  </w:abstractNum>
  <w:abstractNum w:abstractNumId="80">
    <w:nsid w:val="634C574C"/>
    <w:multiLevelType w:val="hybridMultilevel"/>
    <w:lvl w:ilvl="0">
      <w:lvlJc w:val="left"/>
      <w:lvlText w:val="(%1)"/>
      <w:numFmt w:val="lowerLetter"/>
      <w:start w:val="1"/>
    </w:lvl>
  </w:abstractNum>
  <w:abstractNum w:abstractNumId="81">
    <w:nsid w:val="24E99DD7"/>
    <w:multiLevelType w:val="hybridMultilevel"/>
    <w:lvl w:ilvl="0">
      <w:lvlJc w:val="left"/>
      <w:lvlText w:val="(%1)"/>
      <w:numFmt w:val="lowerLetter"/>
      <w:start w:val="2"/>
    </w:lvl>
    <w:lvl w:ilvl="1">
      <w:lvlJc w:val="left"/>
      <w:lvlText w:val="(%2)"/>
      <w:numFmt w:val="decimal"/>
      <w:start w:val="1"/>
    </w:lvl>
  </w:abstractNum>
  <w:abstractNum w:abstractNumId="82">
    <w:nsid w:val="2A31B62D"/>
    <w:multiLevelType w:val="hybridMultilevel"/>
    <w:lvl w:ilvl="0">
      <w:lvlJc w:val="left"/>
      <w:lvlText w:val="(%1)"/>
      <w:numFmt w:val="lowerLetter"/>
      <w:start w:val="1"/>
    </w:lvl>
  </w:abstractNum>
  <w:abstractNum w:abstractNumId="83">
    <w:nsid w:val="1849C29B"/>
    <w:multiLevelType w:val="hybridMultilevel"/>
    <w:lvl w:ilvl="0">
      <w:lvlJc w:val="left"/>
      <w:lvlText w:val="(%1)"/>
      <w:numFmt w:val="lowerLetter"/>
      <w:start w:val="1"/>
    </w:lvl>
  </w:abstractNum>
  <w:abstractNum w:abstractNumId="84">
    <w:nsid w:val="7DFF9D09"/>
    <w:multiLevelType w:val="hybridMultilevel"/>
    <w:lvl w:ilvl="0">
      <w:lvlJc w:val="left"/>
      <w:lvlText w:val="(%1)"/>
      <w:numFmt w:val="lowerLetter"/>
      <w:start w:val="1"/>
    </w:lvl>
  </w:abstractNum>
  <w:abstractNum w:abstractNumId="85">
    <w:nsid w:val="754342"/>
    <w:multiLevelType w:val="hybridMultilevel"/>
    <w:lvl w:ilvl="0">
      <w:lvlJc w:val="left"/>
      <w:lvlText w:val="(%1)"/>
      <w:numFmt w:val="lowerLetter"/>
      <w:start w:val="1"/>
    </w:lvl>
  </w:abstractNum>
  <w:abstractNum w:abstractNumId="86">
    <w:nsid w:val="69E7F3E5"/>
    <w:multiLevelType w:val="hybridMultilevel"/>
    <w:lvl w:ilvl="0">
      <w:lvlJc w:val="left"/>
      <w:lvlText w:val="(%1)"/>
      <w:numFmt w:val="lowerLetter"/>
      <w:start w:val="4"/>
    </w:lvl>
  </w:abstractNum>
  <w:abstractNum w:abstractNumId="87">
    <w:nsid w:val="2A6DE806"/>
    <w:multiLevelType w:val="hybridMultilevel"/>
    <w:lvl w:ilvl="0">
      <w:lvlJc w:val="left"/>
      <w:lvlText w:val="(%1)"/>
      <w:numFmt w:val="lowerLetter"/>
      <w:start w:val="5"/>
    </w:lvl>
  </w:abstractNum>
  <w:abstractNum w:abstractNumId="88">
    <w:nsid w:val="1816F8C4"/>
    <w:multiLevelType w:val="hybridMultilevel"/>
    <w:lvl w:ilvl="0">
      <w:lvlJc w:val="left"/>
      <w:lvlText w:val="(%1)"/>
      <w:numFmt w:val="lowerLetter"/>
      <w:start w:val="2"/>
    </w:lvl>
  </w:abstractNum>
  <w:abstractNum w:abstractNumId="89">
    <w:nsid w:val="37DF2233"/>
    <w:multiLevelType w:val="hybridMultilevel"/>
    <w:lvl w:ilvl="0">
      <w:lvlJc w:val="left"/>
      <w:lvlText w:val="(%1)"/>
      <w:numFmt w:val="lowerLetter"/>
      <w:start w:val="1"/>
    </w:lvl>
    <w:lvl w:ilvl="1">
      <w:lvlJc w:val="left"/>
      <w:lvlText w:val="(%2)"/>
      <w:numFmt w:val="decimal"/>
      <w:start w:val="1"/>
    </w:lvl>
  </w:abstractNum>
  <w:abstractNum w:abstractNumId="90">
    <w:nsid w:val="7AB49DAF"/>
    <w:multiLevelType w:val="hybridMultilevel"/>
    <w:lvl w:ilvl="0">
      <w:lvlJc w:val="left"/>
      <w:lvlText w:val="(%1)"/>
      <w:numFmt w:val="lowerLetter"/>
      <w:start w:val="2"/>
    </w:lvl>
  </w:abstractNum>
  <w:abstractNum w:abstractNumId="91">
    <w:nsid w:val="759F82CD"/>
    <w:multiLevelType w:val="hybridMultilevel"/>
    <w:lvl w:ilvl="0">
      <w:lvlJc w:val="left"/>
      <w:lvlText w:val="(%1)"/>
      <w:numFmt w:val="lowerLetter"/>
      <w:start w:val="5"/>
    </w:lvl>
  </w:abstractNum>
  <w:abstractNum w:abstractNumId="92">
    <w:nsid w:val="61E74EA3"/>
    <w:multiLevelType w:val="hybridMultilevel"/>
    <w:lvl w:ilvl="0">
      <w:lvlJc w:val="left"/>
      <w:lvlText w:val="(%1)"/>
      <w:numFmt w:val="lowerLetter"/>
      <w:start w:val="1"/>
    </w:lvl>
  </w:abstractNum>
  <w:abstractNum w:abstractNumId="93">
    <w:nsid w:val="597B4D84"/>
    <w:multiLevelType w:val="hybridMultilevel"/>
    <w:lvl w:ilvl="0">
      <w:lvlJc w:val="left"/>
      <w:lvlText w:val="(%1)"/>
      <w:numFmt w:val="lowerLetter"/>
      <w:start w:val="1"/>
    </w:lvl>
    <w:lvl w:ilvl="1">
      <w:lvlJc w:val="left"/>
      <w:lvlText w:val="(%2)"/>
      <w:numFmt w:val="decimal"/>
      <w:start w:val="1"/>
    </w:lvl>
  </w:abstractNum>
  <w:abstractNum w:abstractNumId="94">
    <w:nsid w:val="F819E7F"/>
    <w:multiLevelType w:val="hybridMultilevel"/>
    <w:lvl w:ilvl="0">
      <w:lvlJc w:val="left"/>
      <w:lvlText w:val="(%1)"/>
      <w:numFmt w:val="upperLetter"/>
      <w:start w:val="2"/>
    </w:lvl>
    <w:lvl w:ilvl="1">
      <w:lvlJc w:val="left"/>
      <w:lvlText w:val="(%2)"/>
      <w:numFmt w:val="lowerRoman"/>
      <w:start w:val="1"/>
    </w:lvl>
  </w:abstractNum>
  <w:abstractNum w:abstractNumId="95">
    <w:nsid w:val="57C7D42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96">
    <w:nsid w:val="312167A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7">
    <w:nsid w:val="631B64D4"/>
    <w:multiLevelType w:val="hybridMultilevel"/>
    <w:lvl w:ilvl="0">
      <w:lvlJc w:val="left"/>
      <w:lvlText w:val="%1"/>
      <w:numFmt w:val="lowerLetter"/>
      <w:start w:val="1"/>
    </w:lvl>
    <w:lvl w:ilvl="1">
      <w:lvlJc w:val="left"/>
      <w:lvlText w:val="(%2)"/>
      <w:numFmt w:val="decimal"/>
      <w:start w:val="3"/>
    </w:lvl>
  </w:abstractNum>
  <w:abstractNum w:abstractNumId="98">
    <w:nsid w:val="78B5E776"/>
    <w:multiLevelType w:val="hybridMultilevel"/>
    <w:lvl w:ilvl="0">
      <w:lvlJc w:val="left"/>
      <w:lvlText w:val="(%1)"/>
      <w:numFmt w:val="lowerLetter"/>
      <w:start w:val="1"/>
    </w:lvl>
    <w:lvl w:ilvl="1">
      <w:lvlJc w:val="left"/>
      <w:lvlText w:val="(%2)"/>
      <w:numFmt w:val="decimal"/>
      <w:start w:val="6"/>
    </w:lvl>
  </w:abstractNum>
  <w:abstractNum w:abstractNumId="99">
    <w:nsid w:val="75486E47"/>
    <w:multiLevelType w:val="hybridMultilevel"/>
    <w:lvl w:ilvl="0">
      <w:lvlJc w:val="left"/>
      <w:lvlText w:val="(%1)"/>
      <w:numFmt w:val="decimal"/>
      <w:start w:val="9"/>
    </w:lvl>
  </w:abstractNum>
  <w:abstractNum w:abstractNumId="100">
    <w:nsid w:val="6E534CDE"/>
    <w:multiLevelType w:val="hybridMultilevel"/>
    <w:lvl w:ilvl="0">
      <w:lvlJc w:val="left"/>
      <w:lvlText w:val="(%1)"/>
      <w:numFmt w:val="lowerLetter"/>
      <w:start w:val="1"/>
    </w:lvl>
    <w:lvl w:ilvl="1">
      <w:lvlJc w:val="left"/>
      <w:lvlText w:val="(%2)"/>
      <w:numFmt w:val="decimal"/>
      <w:start w:val="1"/>
    </w:lvl>
  </w:abstractNum>
  <w:abstractNum w:abstractNumId="101">
    <w:nsid w:val="1A0DDE32"/>
    <w:multiLevelType w:val="hybridMultilevel"/>
    <w:lvl w:ilvl="0">
      <w:lvlJc w:val="left"/>
      <w:lvlText w:val="(%1)"/>
      <w:numFmt w:val="decimal"/>
      <w:start w:val="3"/>
    </w:lvl>
  </w:abstractNum>
  <w:abstractNum w:abstractNumId="102">
    <w:nsid w:val="65968C1C"/>
    <w:multiLevelType w:val="hybridMultilevel"/>
    <w:lvl w:ilvl="0">
      <w:lvlJc w:val="left"/>
      <w:lvlText w:val="(%1)"/>
      <w:numFmt w:val="decimal"/>
      <w:start w:val="13"/>
    </w:lvl>
  </w:abstractNum>
  <w:abstractNum w:abstractNumId="103">
    <w:nsid w:val="46263DEC"/>
    <w:multiLevelType w:val="hybridMultilevel"/>
    <w:lvl w:ilvl="0">
      <w:lvlJc w:val="left"/>
      <w:lvlText w:val="(%1)"/>
      <w:numFmt w:val="lowerLetter"/>
      <w:start w:val="1"/>
    </w:lvl>
  </w:abstractNum>
  <w:abstractNum w:abstractNumId="104">
    <w:nsid w:val="260D8C4A"/>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105">
    <w:nsid w:val="73D4D3C4"/>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4"/>
    </w:lvl>
  </w:abstractNum>
  <w:abstractNum w:abstractNumId="106">
    <w:nsid w:val="746F2E30"/>
    <w:multiLevelType w:val="hybridMultilevel"/>
    <w:lvl w:ilvl="0">
      <w:lvlJc w:val="left"/>
      <w:lvlText w:val="(%1)"/>
      <w:numFmt w:val="decimal"/>
      <w:start w:val="6"/>
    </w:lvl>
    <w:lvl w:ilvl="1">
      <w:lvlJc w:val="left"/>
      <w:lvlText w:val="(%2)"/>
      <w:numFmt w:val="upperLetter"/>
      <w:start w:val="1"/>
    </w:lvl>
  </w:abstractNum>
  <w:abstractNum w:abstractNumId="107">
    <w:nsid w:val="6FDE8AF6"/>
    <w:multiLevelType w:val="hybridMultilevel"/>
    <w:lvl w:ilvl="0">
      <w:lvlJc w:val="left"/>
      <w:lvlText w:val="(%1)"/>
      <w:numFmt w:val="decimal"/>
      <w:start w:val="7"/>
    </w:lvl>
    <w:lvl w:ilvl="1">
      <w:lvlJc w:val="left"/>
      <w:lvlText w:val="(%2)"/>
      <w:numFmt w:val="upperLetter"/>
      <w:start w:val="1"/>
    </w:lvl>
  </w:abstractNum>
  <w:abstractNum w:abstractNumId="108">
    <w:nsid w:val="3FC32E20"/>
    <w:multiLevelType w:val="hybridMultilevel"/>
    <w:lvl w:ilvl="0">
      <w:lvlJc w:val="left"/>
      <w:lvlText w:val="(%1)"/>
      <w:numFmt w:val="decimal"/>
      <w:start w:val="8"/>
    </w:lvl>
  </w:abstractNum>
  <w:abstractNum w:abstractNumId="109">
    <w:nsid w:val="49C0E823"/>
    <w:multiLevelType w:val="hybridMultilevel"/>
    <w:lvl w:ilvl="0">
      <w:lvlJc w:val="left"/>
      <w:lvlText w:val="%1"/>
      <w:numFmt w:val="lowerRoman"/>
      <w:start w:val="1"/>
    </w:lvl>
    <w:lvl w:ilvl="1">
      <w:lvlJc w:val="left"/>
      <w:lvlText w:val="(%2)"/>
      <w:numFmt w:val="decimal"/>
      <w:start w:val="11"/>
    </w:lvl>
  </w:abstractNum>
  <w:abstractNum w:abstractNumId="110">
    <w:nsid w:val="14D53685"/>
    <w:multiLevelType w:val="hybridMultilevel"/>
    <w:lvl w:ilvl="0">
      <w:lvlJc w:val="left"/>
      <w:lvlText w:val="(%1)"/>
      <w:numFmt w:val="lowerRoman"/>
      <w:start w:val="1"/>
    </w:lvl>
    <w:lvl w:ilvl="1">
      <w:lvlJc w:val="left"/>
      <w:lvlText w:val="%2"/>
      <w:numFmt w:val="decimal"/>
      <w:start w:val="1"/>
    </w:lvl>
  </w:abstractNum>
  <w:abstractNum w:abstractNumId="111">
    <w:nsid w:val="230F856C"/>
    <w:multiLevelType w:val="hybridMultilevel"/>
    <w:lvl w:ilvl="0">
      <w:lvlJc w:val="left"/>
      <w:lvlText w:val="(%1)"/>
      <w:numFmt w:val="upperLetter"/>
      <w:start w:val="1"/>
    </w:lvl>
    <w:lvl w:ilvl="1">
      <w:lvlJc w:val="left"/>
      <w:lvlText w:val="(%2)"/>
      <w:numFmt w:val="lowerRoman"/>
      <w:start w:val="1"/>
    </w:lvl>
  </w:abstractNum>
  <w:abstractNum w:abstractNumId="112">
    <w:nsid w:val="6EAA85FB"/>
    <w:multiLevelType w:val="hybridMultilevel"/>
    <w:lvl w:ilvl="0">
      <w:lvlJc w:val="left"/>
      <w:lvlText w:val="(%1)"/>
      <w:numFmt w:val="upperLetter"/>
      <w:start w:val="4"/>
    </w:lvl>
  </w:abstractNum>
  <w:abstractNum w:abstractNumId="113">
    <w:nsid w:val="3F06ECB2"/>
    <w:multiLevelType w:val="hybridMultilevel"/>
    <w:lvl w:ilvl="0">
      <w:lvlJc w:val="left"/>
      <w:lvlText w:val="(%1)"/>
      <w:numFmt w:val="lowerLetter"/>
      <w:start w:val="1"/>
    </w:lvl>
  </w:abstractNum>
  <w:abstractNum w:abstractNumId="114">
    <w:nsid w:val="3B594807"/>
    <w:multiLevelType w:val="hybridMultilevel"/>
    <w:lvl w:ilvl="0">
      <w:lvlJc w:val="left"/>
      <w:lvlText w:val="(%1)"/>
      <w:numFmt w:val="decimal"/>
      <w:start w:val="1"/>
    </w:lvl>
  </w:abstractNum>
  <w:abstractNum w:abstractNumId="115">
    <w:nsid w:val="6CAA2304"/>
    <w:multiLevelType w:val="hybridMultilevel"/>
    <w:lvl w:ilvl="0">
      <w:lvlJc w:val="left"/>
      <w:lvlText w:val="%1"/>
      <w:numFmt w:val="lowerLetter"/>
      <w:start w:val="1"/>
    </w:lvl>
    <w:lvl w:ilvl="1">
      <w:lvlJc w:val="left"/>
      <w:lvlText w:val="(%2)"/>
      <w:numFmt w:val="decimal"/>
      <w:start w:val="2"/>
    </w:lvl>
  </w:abstractNum>
  <w:abstractNum w:abstractNumId="116">
    <w:nsid w:val="3F7C2FF4"/>
    <w:multiLevelType w:val="hybridMultilevel"/>
    <w:lvl w:ilvl="0">
      <w:lvlJc w:val="left"/>
      <w:lvlText w:val="(%1)"/>
      <w:numFmt w:val="lowerLetter"/>
      <w:start w:val="3"/>
    </w:lvl>
    <w:lvl w:ilvl="1">
      <w:lvlJc w:val="left"/>
      <w:lvlText w:val="(%2)"/>
      <w:numFmt w:val="decimal"/>
      <w:start w:val="1"/>
    </w:lvl>
  </w:abstractNum>
  <w:abstractNum w:abstractNumId="117">
    <w:nsid w:val="25413BEC"/>
    <w:multiLevelType w:val="hybridMultilevel"/>
    <w:lvl w:ilvl="0">
      <w:lvlJc w:val="left"/>
      <w:lvlText w:val="(%1)"/>
      <w:numFmt w:val="lowerLetter"/>
      <w:start w:val="7"/>
    </w:lvl>
  </w:abstractNum>
  <w:abstractNum w:abstractNumId="118">
    <w:nsid w:val="17180B0B"/>
    <w:multiLevelType w:val="hybridMultilevel"/>
    <w:lvl w:ilvl="0">
      <w:lvlJc w:val="left"/>
      <w:lvlText w:val="(%1)"/>
      <w:numFmt w:val="lowerLetter"/>
      <w:start w:val="1"/>
    </w:lvl>
    <w:lvl w:ilvl="1">
      <w:lvlJc w:val="left"/>
      <w:lvlText w:val="(%2)"/>
      <w:numFmt w:val="decimal"/>
      <w:start w:val="1"/>
    </w:lvl>
  </w:abstractNum>
  <w:abstractNum w:abstractNumId="119">
    <w:nsid w:val="579328B9"/>
    <w:multiLevelType w:val="hybridMultilevel"/>
    <w:lvl w:ilvl="0">
      <w:lvlJc w:val="left"/>
      <w:lvlText w:val="(%1)"/>
      <w:numFmt w:val="lowerLetter"/>
      <w:start w:val="2"/>
    </w:lvl>
    <w:lvl w:ilvl="1">
      <w:lvlJc w:val="left"/>
      <w:lvlText w:val="(%2)"/>
      <w:numFmt w:val="decimal"/>
      <w:start w:val="1"/>
    </w:lvl>
  </w:abstractNum>
  <w:abstractNum w:abstractNumId="120">
    <w:nsid w:val="5D205E20"/>
    <w:multiLevelType w:val="hybridMultilevel"/>
    <w:lvl w:ilvl="0">
      <w:lvlJc w:val="left"/>
      <w:lvlText w:val="(%1)"/>
      <w:numFmt w:val="decimal"/>
      <w:start w:val="11"/>
    </w:lvl>
  </w:abstractNum>
  <w:abstractNum w:abstractNumId="121">
    <w:nsid w:val="11CCA8BA"/>
    <w:multiLevelType w:val="hybridMultilevel"/>
    <w:lvl w:ilvl="0">
      <w:lvlJc w:val="left"/>
      <w:lvlText w:val="(%1)"/>
      <w:numFmt w:val="lowerLetter"/>
      <w:start w:val="1"/>
    </w:lvl>
  </w:abstractNum>
  <w:abstractNum w:abstractNumId="122">
    <w:nsid w:val="4D32AB86"/>
    <w:multiLevelType w:val="hybridMultilevel"/>
    <w:lvl w:ilvl="0">
      <w:lvlJc w:val="left"/>
      <w:lvlText w:val="(%1)"/>
      <w:numFmt w:val="lowerLetter"/>
      <w:start w:val="2"/>
    </w:lvl>
    <w:lvl w:ilvl="1">
      <w:lvlJc w:val="left"/>
      <w:lvlText w:val="(%2)"/>
      <w:numFmt w:val="decimal"/>
      <w:start w:val="1"/>
    </w:lvl>
  </w:abstractNum>
  <w:abstractNum w:abstractNumId="123">
    <w:nsid w:val="3F07ACC3"/>
    <w:multiLevelType w:val="hybridMultilevel"/>
    <w:lvl w:ilvl="0">
      <w:lvlJc w:val="left"/>
      <w:lvlText w:val="(%1)"/>
      <w:numFmt w:val="lowerLetter"/>
      <w:start w:val="3"/>
    </w:lvl>
  </w:abstractNum>
  <w:abstractNum w:abstractNumId="124">
    <w:nsid w:val="6B47F63E"/>
    <w:multiLevelType w:val="hybridMultilevel"/>
    <w:lvl w:ilvl="0">
      <w:lvlJc w:val="left"/>
      <w:lvlText w:val="(%1)"/>
      <w:numFmt w:val="lowerLetter"/>
      <w:start w:val="4"/>
    </w:lvl>
  </w:abstractNum>
  <w:abstractNum w:abstractNumId="125">
    <w:nsid w:val="5CB44A05"/>
    <w:multiLevelType w:val="hybridMultilevel"/>
    <w:lvl w:ilvl="0">
      <w:lvlJc w:val="left"/>
      <w:lvlText w:val="(%1)"/>
      <w:numFmt w:val="lowerLetter"/>
      <w:start w:val="1"/>
    </w:lvl>
    <w:lvl w:ilvl="1">
      <w:lvlJc w:val="left"/>
      <w:lvlText w:val="(%2)"/>
      <w:numFmt w:val="decimal"/>
      <w:start w:val="1"/>
    </w:lvl>
  </w:abstractNum>
  <w:abstractNum w:abstractNumId="126">
    <w:nsid w:val="16CF80F1"/>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27">
    <w:nsid w:val="1C695DEC"/>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28">
    <w:nsid w:val="3FCFAED9"/>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29">
    <w:nsid w:val="F856867"/>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30">
    <w:nsid w:val="11B1CC33"/>
    <w:multiLevelType w:val="hybridMultilevel"/>
    <w:lvl w:ilvl="0">
      <w:lvlJc w:val="left"/>
      <w:lvlText w:val="(%1)"/>
      <w:numFmt w:val="lowerLetter"/>
      <w:start w:val="5"/>
    </w:lvl>
  </w:abstractNum>
  <w:abstractNum w:abstractNumId="131">
    <w:nsid w:val="2E22FBB7"/>
    <w:multiLevelType w:val="hybridMultilevel"/>
    <w:lvl w:ilvl="0">
      <w:lvlJc w:val="left"/>
      <w:lvlText w:val="(%1)"/>
      <w:numFmt w:val="lowerLetter"/>
      <w:start w:val="1"/>
    </w:lvl>
  </w:abstractNum>
  <w:abstractNum w:abstractNumId="132">
    <w:nsid w:val="29934699"/>
    <w:multiLevelType w:val="hybridMultilevel"/>
    <w:lvl w:ilvl="0">
      <w:lvlJc w:val="left"/>
      <w:lvlText w:val="(%1)"/>
      <w:numFmt w:val="lowerLetter"/>
      <w:start w:val="3"/>
    </w:lvl>
  </w:abstractNum>
  <w:abstractNum w:abstractNumId="133">
    <w:nsid w:val="77485850"/>
    <w:multiLevelType w:val="hybridMultilevel"/>
    <w:lvl w:ilvl="0">
      <w:lvlJc w:val="left"/>
      <w:lvlText w:val="(%1)"/>
      <w:numFmt w:val="lowerLetter"/>
      <w:start w:val="7"/>
    </w:lvl>
    <w:lvl w:ilvl="1">
      <w:lvlJc w:val="left"/>
      <w:lvlText w:val="(%2)"/>
      <w:numFmt w:val="decimal"/>
      <w:start w:val="1"/>
    </w:lvl>
  </w:abstractNum>
  <w:abstractNum w:abstractNumId="134">
    <w:nsid w:val="744939A3"/>
    <w:multiLevelType w:val="hybridMultilevel"/>
    <w:lvl w:ilvl="0">
      <w:lvlJc w:val="left"/>
      <w:lvlText w:val="(%1)"/>
      <w:numFmt w:val="lowerLetter"/>
      <w:start w:val="8"/>
    </w:lvl>
    <w:lvl w:ilvl="1">
      <w:lvlJc w:val="left"/>
      <w:lvlText w:val="(%2)"/>
      <w:numFmt w:val="decimal"/>
      <w:start w:val="1"/>
    </w:lvl>
  </w:abstractNum>
  <w:abstractNum w:abstractNumId="135">
    <w:nsid w:val="4FA0D2E3"/>
    <w:multiLevelType w:val="hybridMultilevel"/>
    <w:lvl w:ilvl="0">
      <w:lvlJc w:val="left"/>
      <w:lvlText w:val="(%1)"/>
      <w:numFmt w:val="decimal"/>
      <w:start w:val="3"/>
    </w:lvl>
  </w:abstractNum>
  <w:abstractNum w:abstractNumId="136">
    <w:nsid w:val="6B1D2C14"/>
    <w:multiLevelType w:val="hybridMultilevel"/>
    <w:lvl w:ilvl="0">
      <w:lvlJc w:val="left"/>
      <w:lvlText w:val="(%1)"/>
      <w:numFmt w:val="lowerLetter"/>
      <w:start w:val="11"/>
    </w:lvl>
  </w:abstractNum>
  <w:abstractNum w:abstractNumId="137">
    <w:nsid w:val="68B867D3"/>
    <w:multiLevelType w:val="hybridMultilevel"/>
    <w:lvl w:ilvl="0">
      <w:lvlJc w:val="left"/>
      <w:lvlText w:val="(%1)"/>
      <w:numFmt w:val="lowerLetter"/>
      <w:start w:val="1"/>
    </w:lvl>
  </w:abstractNum>
  <w:abstractNum w:abstractNumId="138">
    <w:nsid w:val="3F7F5DD9"/>
    <w:multiLevelType w:val="hybridMultilevel"/>
    <w:lvl w:ilvl="0">
      <w:lvlJc w:val="left"/>
      <w:lvlText w:val="(%1)"/>
      <w:numFmt w:val="lowerLetter"/>
      <w:start w:val="3"/>
    </w:lvl>
  </w:abstractNum>
  <w:abstractNum w:abstractNumId="139">
    <w:nsid w:val="2AE05A34"/>
    <w:multiLevelType w:val="hybridMultilevel"/>
    <w:lvl w:ilvl="0">
      <w:lvlJc w:val="left"/>
      <w:lvlText w:val="(%1)"/>
      <w:numFmt w:val="lowerLetter"/>
      <w:start w:val="1"/>
    </w:lvl>
    <w:lvl w:ilvl="1">
      <w:lvlJc w:val="left"/>
      <w:lvlText w:val="(%2)"/>
      <w:numFmt w:val="decimal"/>
      <w:start w:val="1"/>
    </w:lvl>
  </w:abstractNum>
  <w:abstractNum w:abstractNumId="140">
    <w:nsid w:val="32794FF7"/>
    <w:multiLevelType w:val="hybridMultilevel"/>
    <w:lvl w:ilvl="0">
      <w:lvlJc w:val="left"/>
      <w:lvlText w:val="(%1)"/>
      <w:numFmt w:val="lowerLetter"/>
      <w:start w:val="1"/>
    </w:lvl>
  </w:abstractNum>
  <w:abstractNum w:abstractNumId="141">
    <w:nsid w:val="5454945E"/>
    <w:multiLevelType w:val="hybridMultilevel"/>
    <w:lvl w:ilvl="0">
      <w:lvlJc w:val="left"/>
      <w:lvlText w:val="(%1)"/>
      <w:numFmt w:val="lowerLetter"/>
      <w:start w:val="12"/>
    </w:lvl>
  </w:abstractNum>
  <w:abstractNum w:abstractNumId="142">
    <w:nsid w:val="4DEFDFA0"/>
    <w:multiLevelType w:val="hybridMultilevel"/>
    <w:lvl w:ilvl="0">
      <w:lvlJc w:val="left"/>
      <w:lvlText w:val="(%1)"/>
      <w:numFmt w:val="lowerLetter"/>
      <w:start w:val="1"/>
    </w:lvl>
  </w:abstractNum>
  <w:abstractNum w:abstractNumId="143">
    <w:nsid w:val="2123D5F2"/>
    <w:multiLevelType w:val="hybridMultilevel"/>
    <w:lvl w:ilvl="0">
      <w:lvlJc w:val="left"/>
      <w:lvlText w:val="(%1)"/>
      <w:numFmt w:val="lowerLetter"/>
      <w:start w:val="1"/>
    </w:lvl>
    <w:lvl w:ilvl="1">
      <w:lvlJc w:val="left"/>
      <w:lvlText w:val="(%2)"/>
      <w:numFmt w:val="decimal"/>
      <w:start w:val="1"/>
    </w:lvl>
  </w:abstractNum>
  <w:abstractNum w:abstractNumId="144">
    <w:nsid w:val="135B8110"/>
    <w:multiLevelType w:val="hybridMultilevel"/>
    <w:lvl w:ilvl="0">
      <w:lvlJc w:val="left"/>
      <w:lvlText w:val="%1"/>
      <w:numFmt w:val="lowerLetter"/>
      <w:start w:val="1"/>
    </w:lvl>
    <w:lvl w:ilvl="1">
      <w:lvlJc w:val="left"/>
      <w:lvlText w:val="(%2)"/>
      <w:numFmt w:val="decimal"/>
      <w:start w:val="4"/>
    </w:lvl>
  </w:abstractNum>
  <w:abstractNum w:abstractNumId="145">
    <w:nsid w:val="94927A8"/>
    <w:multiLevelType w:val="hybridMultilevel"/>
    <w:lvl w:ilvl="0">
      <w:lvlJc w:val="left"/>
      <w:lvlText w:val="(%1)"/>
      <w:numFmt w:val="lowerLetter"/>
      <w:start w:val="3"/>
    </w:lvl>
    <w:lvl w:ilvl="1">
      <w:lvlJc w:val="left"/>
      <w:lvlText w:val="%2"/>
      <w:numFmt w:val="decimal"/>
      <w:start w:val="1"/>
    </w:lvl>
  </w:abstractNum>
  <w:abstractNum w:abstractNumId="146">
    <w:nsid w:val="DCDF8F6"/>
    <w:multiLevelType w:val="hybridMultilevel"/>
    <w:lvl w:ilvl="0">
      <w:lvlJc w:val="left"/>
      <w:lvlText w:val="(%1)"/>
      <w:numFmt w:val="lowerLetter"/>
      <w:start w:val="1"/>
    </w:lvl>
  </w:abstractNum>
  <w:abstractNum w:abstractNumId="147">
    <w:nsid w:val="52D7B105"/>
    <w:multiLevelType w:val="hybridMultilevel"/>
    <w:lvl w:ilvl="0">
      <w:lvlJc w:val="left"/>
      <w:lvlText w:val="(%1)"/>
      <w:numFmt w:val="lowerLetter"/>
      <w:start w:val="1"/>
    </w:lvl>
    <w:lvl w:ilvl="1">
      <w:lvlJc w:val="left"/>
      <w:lvlText w:val="(%2)"/>
      <w:numFmt w:val="decimal"/>
      <w:start w:val="1"/>
    </w:lvl>
  </w:abstractNum>
  <w:abstractNum w:abstractNumId="148">
    <w:nsid w:val="2E8A6394"/>
    <w:multiLevelType w:val="hybridMultilevel"/>
    <w:lvl w:ilvl="0">
      <w:lvlJc w:val="left"/>
      <w:lvlText w:val="(%1)"/>
      <w:numFmt w:val="lowerLetter"/>
      <w:start w:val="5"/>
    </w:lvl>
  </w:abstractNum>
  <w:abstractNum w:abstractNumId="149">
    <w:nsid w:val="24E60401"/>
    <w:multiLevelType w:val="hybridMultilevel"/>
    <w:lvl w:ilvl="0">
      <w:lvlJc w:val="left"/>
      <w:lvlText w:val="(%1)"/>
      <w:numFmt w:val="lowerLetter"/>
      <w:start w:val="1"/>
    </w:lvl>
  </w:abstractNum>
  <w:abstractNum w:abstractNumId="150">
    <w:nsid w:val="2A6AD9BE"/>
    <w:multiLevelType w:val="hybridMultilevel"/>
    <w:lvl w:ilvl="0">
      <w:lvlJc w:val="left"/>
      <w:lvlText w:val="(%1)"/>
      <w:numFmt w:val="lowerLetter"/>
      <w:start w:val="1"/>
    </w:lvl>
  </w:abstractNum>
  <w:abstractNum w:abstractNumId="151">
    <w:nsid w:val="BAAC1B4"/>
    <w:multiLevelType w:val="hybridMultilevel"/>
    <w:lvl w:ilvl="0">
      <w:lvlJc w:val="left"/>
      <w:lvlText w:val="(%1)"/>
      <w:numFmt w:val="lowerLetter"/>
      <w:start w:val="1"/>
    </w:lvl>
  </w:abstractNum>
  <w:abstractNum w:abstractNumId="152">
    <w:nsid w:val="36B2ACBC"/>
    <w:multiLevelType w:val="hybridMultilevel"/>
    <w:lvl w:ilvl="0">
      <w:lvlJc w:val="left"/>
      <w:lvlText w:val="(%1)"/>
      <w:numFmt w:val="lowerLetter"/>
      <w:start w:val="1"/>
    </w:lvl>
    <w:lvl w:ilvl="1">
      <w:lvlJc w:val="left"/>
      <w:lvlText w:val="(%2)"/>
      <w:numFmt w:val="decimal"/>
      <w:start w:val="1"/>
    </w:lvl>
  </w:abstractNum>
  <w:abstractNum w:abstractNumId="153">
    <w:nsid w:val="779D8544"/>
    <w:multiLevelType w:val="hybridMultilevel"/>
    <w:lvl w:ilvl="0">
      <w:lvlJc w:val="left"/>
      <w:lvlText w:val="(%1)"/>
      <w:numFmt w:val="lowerLetter"/>
      <w:start w:val="2"/>
    </w:lvl>
  </w:abstractNum>
  <w:abstractNum w:abstractNumId="154">
    <w:nsid w:val="4AB26E78"/>
    <w:multiLevelType w:val="hybridMultilevel"/>
    <w:lvl w:ilvl="0">
      <w:lvlJc w:val="left"/>
      <w:lvlText w:val="(%1)"/>
      <w:numFmt w:val="lowerLetter"/>
      <w:start w:val="1"/>
    </w:lvl>
  </w:abstractNum>
  <w:abstractNum w:abstractNumId="155">
    <w:nsid w:val="21FAA2FA"/>
    <w:multiLevelType w:val="hybridMultilevel"/>
    <w:lvl w:ilvl="0">
      <w:lvlJc w:val="left"/>
      <w:lvlText w:val="(%1)"/>
      <w:numFmt w:val="lowerLetter"/>
      <w:start w:val="3"/>
    </w:lvl>
  </w:abstractNum>
  <w:abstractNum w:abstractNumId="156">
    <w:nsid w:val="5451CF49"/>
    <w:multiLevelType w:val="hybridMultilevel"/>
    <w:lvl w:ilvl="0">
      <w:lvlJc w:val="left"/>
      <w:lvlText w:val="(%1)"/>
      <w:numFmt w:val="lowerLetter"/>
      <w:start w:val="1"/>
    </w:lvl>
    <w:lvl w:ilvl="1">
      <w:lvlJc w:val="left"/>
      <w:lvlText w:val="(%2)"/>
      <w:numFmt w:val="decimal"/>
      <w:start w:val="1"/>
    </w:lvl>
  </w:abstractNum>
  <w:abstractNum w:abstractNumId="157">
    <w:nsid w:val="6181EF69"/>
    <w:multiLevelType w:val="hybridMultilevel"/>
    <w:lvl w:ilvl="0">
      <w:lvlJc w:val="left"/>
      <w:lvlText w:val="(%1)"/>
      <w:numFmt w:val="lowerLetter"/>
      <w:start w:val="2"/>
    </w:lvl>
  </w:abstractNum>
  <w:abstractNum w:abstractNumId="158">
    <w:nsid w:val="3E6400E6"/>
    <w:multiLevelType w:val="hybridMultilevel"/>
    <w:lvl w:ilvl="0">
      <w:lvlJc w:val="left"/>
      <w:lvlText w:val="(%1)"/>
      <w:numFmt w:val="lowerLetter"/>
      <w:start w:val="1"/>
    </w:lvl>
  </w:abstractNum>
  <w:abstractNum w:abstractNumId="159">
    <w:nsid w:val="14217E23"/>
    <w:multiLevelType w:val="hybridMultilevel"/>
    <w:lvl w:ilvl="0">
      <w:lvlJc w:val="left"/>
      <w:lvlText w:val="(%1)"/>
      <w:numFmt w:val="lowerLetter"/>
      <w:start w:val="1"/>
    </w:lvl>
  </w:abstractNum>
  <w:abstractNum w:abstractNumId="160">
    <w:nsid w:val="710757D0"/>
    <w:multiLevelType w:val="hybridMultilevel"/>
    <w:lvl w:ilvl="0">
      <w:lvlJc w:val="left"/>
      <w:lvlText w:val="(%1)"/>
      <w:numFmt w:val="lowerLetter"/>
      <w:start w:val="2"/>
    </w:lvl>
  </w:abstractNum>
  <w:abstractNum w:abstractNumId="161">
    <w:nsid w:val="5015CD1A"/>
    <w:multiLevelType w:val="hybridMultilevel"/>
    <w:lvl w:ilvl="0">
      <w:lvlJc w:val="left"/>
      <w:lvlText w:val="(%1)"/>
      <w:numFmt w:val="lowerLetter"/>
      <w:start w:val="1"/>
    </w:lvl>
  </w:abstractNum>
  <w:abstractNum w:abstractNumId="162">
    <w:nsid w:val="424479DA"/>
    <w:multiLevelType w:val="hybridMultilevel"/>
    <w:lvl w:ilvl="0">
      <w:lvlJc w:val="left"/>
      <w:lvlText w:val="(%1)"/>
      <w:numFmt w:val="lowerLetter"/>
      <w:start w:val="2"/>
    </w:lvl>
  </w:abstractNum>
  <w:abstractNum w:abstractNumId="163">
    <w:nsid w:val="1A9A9E69"/>
    <w:multiLevelType w:val="hybridMultilevel"/>
    <w:lvl w:ilvl="0">
      <w:lvlJc w:val="left"/>
      <w:lvlText w:val="(%1)"/>
      <w:numFmt w:val="lowerLetter"/>
      <w:start w:val="4"/>
    </w:lvl>
  </w:abstractNum>
  <w:abstractNum w:abstractNumId="164">
    <w:nsid w:val="475E256A"/>
    <w:multiLevelType w:val="hybridMultilevel"/>
    <w:lvl w:ilvl="0">
      <w:lvlJc w:val="left"/>
      <w:lvlText w:val="1"/>
      <w:numFmt w:val="bullet"/>
      <w:start w:val="1"/>
    </w:lvl>
  </w:abstractNum>
  <w:abstractNum w:abstractNumId="165">
    <w:nsid w:val="368DB37E"/>
    <w:multiLevelType w:val="hybridMultilevel"/>
    <w:lvl w:ilvl="0">
      <w:lvlJc w:val="left"/>
      <w:lvlText w:val="(%1)"/>
      <w:numFmt w:val="decimal"/>
      <w:start w:val="1"/>
    </w:lvl>
  </w:abstractNum>
  <w:abstractNum w:abstractNumId="166">
    <w:nsid w:val="6A3B714C"/>
    <w:multiLevelType w:val="hybridMultilevel"/>
    <w:lvl w:ilvl="0">
      <w:lvlJc w:val="left"/>
      <w:lvlText w:val="(%1)"/>
      <w:numFmt w:val="decimal"/>
      <w:start w:val="2"/>
    </w:lvl>
  </w:abstractNum>
  <w:abstractNum w:abstractNumId="167">
    <w:nsid w:val="327B517E"/>
    <w:multiLevelType w:val="hybridMultilevel"/>
    <w:lvl w:ilvl="0">
      <w:lvlJc w:val="left"/>
      <w:lvlText w:val="(%1)"/>
      <w:numFmt w:val="decimal"/>
      <w:start w:val="5"/>
    </w:lvl>
    <w:lvl w:ilvl="1">
      <w:lvlJc w:val="left"/>
      <w:lvlText w:val="(%2)"/>
      <w:numFmt w:val="lowerLetter"/>
      <w:start w:val="1"/>
    </w:lvl>
  </w:abstractNum>
  <w:abstractNum w:abstractNumId="168">
    <w:nsid w:val="1F461B51"/>
    <w:multiLevelType w:val="hybridMultilevel"/>
    <w:lvl w:ilvl="0">
      <w:lvlJc w:val="left"/>
      <w:lvlText w:val="(%1)"/>
      <w:numFmt w:val="decimal"/>
      <w:start w:val="6"/>
    </w:lvl>
  </w:abstractNum>
  <w:abstractNum w:abstractNumId="169">
    <w:nsid w:val="29BACF25"/>
    <w:multiLevelType w:val="hybridMultilevel"/>
    <w:lvl w:ilvl="0">
      <w:lvlJc w:val="left"/>
      <w:lvlText w:val="(%1)"/>
      <w:numFmt w:val="decimal"/>
      <w:start w:val="7"/>
    </w:lvl>
    <w:lvl w:ilvl="1">
      <w:lvlJc w:val="left"/>
      <w:lvlText w:val="(%2)"/>
      <w:numFmt w:val="lowerLetter"/>
      <w:start w:val="1"/>
    </w:lvl>
  </w:abstractNum>
  <w:abstractNum w:abstractNumId="170">
    <w:nsid w:val="5D5BABB3"/>
    <w:multiLevelType w:val="hybridMultilevel"/>
    <w:lvl w:ilvl="0">
      <w:lvlJc w:val="left"/>
      <w:lvlText w:val="(%1)"/>
      <w:numFmt w:val="decimal"/>
      <w:start w:val="9"/>
    </w:lvl>
  </w:abstractNum>
  <w:abstractNum w:abstractNumId="171">
    <w:nsid w:val="51BF6B48"/>
    <w:multiLevelType w:val="hybridMultilevel"/>
    <w:lvl w:ilvl="0">
      <w:lvlJc w:val="left"/>
      <w:lvlText w:val="(%1)"/>
      <w:numFmt w:val="decimal"/>
      <w:start w:val="12"/>
    </w:lvl>
  </w:abstractNum>
  <w:abstractNum w:abstractNumId="172">
    <w:nsid w:val="7E0F6384"/>
    <w:multiLevelType w:val="hybridMultilevel"/>
    <w:lvl w:ilvl="0">
      <w:lvlJc w:val="left"/>
      <w:lvlText w:val="(%1)"/>
      <w:numFmt w:val="decimal"/>
      <w:start w:val="18"/>
    </w:lvl>
  </w:abstractNum>
  <w:abstractNum w:abstractNumId="173">
    <w:nsid w:val="2B4B8B53"/>
    <w:multiLevelType w:val="hybridMultilevel"/>
    <w:lvl w:ilvl="0">
      <w:lvlJc w:val="left"/>
      <w:lvlText w:val="*"/>
      <w:numFmt w:val="bullet"/>
      <w:start w:val="1"/>
    </w:lvl>
  </w:abstractNum>
  <w:abstractNum w:abstractNumId="174">
    <w:nsid w:val="72E3413A"/>
    <w:multiLevelType w:val="hybridMultilevel"/>
    <w:lvl w:ilvl="0">
      <w:lvlJc w:val="left"/>
      <w:lvlText w:val="*"/>
      <w:numFmt w:val="bullet"/>
      <w:start w:val="1"/>
    </w:lvl>
  </w:abstractNum>
  <w:abstractNum w:abstractNumId="175">
    <w:nsid w:val="116AE494"/>
    <w:multiLevelType w:val="hybridMultilevel"/>
    <w:lvl w:ilvl="0">
      <w:lvlJc w:val="left"/>
      <w:lvlText w:val="*"/>
      <w:numFmt w:val="bullet"/>
      <w:start w:val="1"/>
    </w:lvl>
  </w:abstractNum>
  <w:abstractNum w:abstractNumId="176">
    <w:nsid w:val="3494B2FB"/>
    <w:multiLevelType w:val="hybridMultilevel"/>
    <w:lvl w:ilvl="0">
      <w:lvlJc w:val="left"/>
      <w:lvlText w:val="%1."/>
      <w:numFmt w:val="decimal"/>
      <w:start w:val="1"/>
    </w:lvl>
  </w:abstractNum>
  <w:abstractNum w:abstractNumId="177">
    <w:nsid w:val="B13A31"/>
    <w:multiLevelType w:val="hybridMultilevel"/>
    <w:lvl w:ilvl="0">
      <w:lvlJc w:val="left"/>
      <w:lvlText w:val="%1."/>
      <w:numFmt w:val="decimal"/>
      <w:start w:val="3"/>
    </w:lvl>
    <w:lvl w:ilvl="1">
      <w:lvlJc w:val="left"/>
      <w:lvlText w:val="(%2)"/>
      <w:numFmt w:val="lowerLetter"/>
      <w:start w:val="1"/>
    </w:lvl>
  </w:abstractNum>
  <w:abstractNum w:abstractNumId="178">
    <w:nsid w:val="64429599"/>
    <w:multiLevelType w:val="hybridMultilevel"/>
    <w:lvl w:ilvl="0">
      <w:lvlJc w:val="left"/>
      <w:lvlText w:val="(%1)"/>
      <w:numFmt w:val="lowerLetter"/>
      <w:start w:val="3"/>
    </w:lvl>
  </w:abstractNum>
  <w:abstractNum w:abstractNumId="179">
    <w:nsid w:val="631F1690"/>
    <w:multiLevelType w:val="hybridMultilevel"/>
    <w:lvl w:ilvl="0">
      <w:lvlJc w:val="left"/>
      <w:lvlText w:val="(%1)"/>
      <w:numFmt w:val="lowerLetter"/>
      <w:start w:val="4"/>
    </w:lvl>
  </w:abstractNum>
  <w:abstractNum w:abstractNumId="180">
    <w:nsid w:val="25973E32"/>
    <w:multiLevelType w:val="hybridMultilevel"/>
    <w:lvl w:ilvl="0">
      <w:lvlJc w:val="left"/>
      <w:lvlText w:val="%1."/>
      <w:numFmt w:val="decimal"/>
      <w:start w:val="4"/>
    </w:lvl>
  </w:abstractNum>
  <w:abstractNum w:abstractNumId="181">
    <w:nsid w:val="EAD6F57"/>
    <w:multiLevelType w:val="hybridMultilevel"/>
    <w:lvl w:ilvl="0">
      <w:lvlJc w:val="left"/>
      <w:lvlText w:val="(%1)"/>
      <w:numFmt w:val="lowerLetter"/>
      <w:start w:val="1"/>
    </w:lvl>
  </w:abstractNum>
  <w:abstractNum w:abstractNumId="182">
    <w:nsid w:val="6EC9D844"/>
    <w:multiLevelType w:val="hybridMultilevel"/>
    <w:lvl w:ilvl="0">
      <w:lvlJc w:val="left"/>
      <w:lvlText w:val="(%1)"/>
      <w:numFmt w:val="lowerLetter"/>
      <w:start w:val="3"/>
    </w:lvl>
  </w:abstractNum>
  <w:abstractNum w:abstractNumId="183">
    <w:nsid w:val="5C49EAEE"/>
    <w:multiLevelType w:val="hybridMultilevel"/>
    <w:lvl w:ilvl="0">
      <w:lvlJc w:val="left"/>
      <w:lvlText w:val="*"/>
      <w:numFmt w:val="bullet"/>
      <w:start w:val="1"/>
    </w:lvl>
  </w:abstractNum>
  <w:abstractNum w:abstractNumId="184">
    <w:nsid w:val="64AF49B"/>
    <w:multiLevelType w:val="hybridMultilevel"/>
    <w:lvl w:ilvl="0">
      <w:lvlJc w:val="left"/>
      <w:lvlText w:val="%1."/>
      <w:numFmt w:val="decimal"/>
      <w:start w:val="1"/>
    </w:lvl>
  </w:abstractNum>
  <w:abstractNum w:abstractNumId="185">
    <w:nsid w:val="397C46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6">
    <w:nsid w:val="7E448D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7">
    <w:nsid w:val="5A9CC3E5"/>
    <w:multiLevelType w:val="hybridMultilevel"/>
    <w:lvl w:ilvl="0">
      <w:lvlJc w:val="left"/>
      <w:lvlText w:val="(%1)"/>
      <w:numFmt w:val="lowerLetter"/>
      <w:start w:val="1"/>
    </w:lvl>
    <w:lvl w:ilvl="1">
      <w:lvlJc w:val="left"/>
      <w:lvlText w:val="(%2)"/>
      <w:numFmt w:val="lowerRoman"/>
      <w:start w:val="1"/>
    </w:lvl>
  </w:abstractNum>
  <w:abstractNum w:abstractNumId="188">
    <w:nsid w:val="1AFE3625"/>
    <w:multiLevelType w:val="hybridMultilevel"/>
    <w:lvl w:ilvl="0">
      <w:lvlJc w:val="left"/>
      <w:lvlText w:val="%1."/>
      <w:numFmt w:val="decimal"/>
      <w:start w:val="1"/>
    </w:lvl>
  </w:abstractNum>
  <w:abstractNum w:abstractNumId="189">
    <w:nsid w:val="3CA88ECF"/>
    <w:multiLevelType w:val="hybridMultilevel"/>
    <w:lvl w:ilvl="0">
      <w:lvlJc w:val="left"/>
      <w:lvlText w:val="(%1)"/>
      <w:numFmt w:val="lowerLetter"/>
      <w:start w:val="1"/>
    </w:lvl>
  </w:abstractNum>
  <w:abstractNum w:abstractNumId="190">
    <w:nsid w:val="6EBE4208"/>
    <w:multiLevelType w:val="hybridMultilevel"/>
    <w:lvl w:ilvl="0">
      <w:lvlJc w:val="left"/>
      <w:lvlText w:val="(%1)"/>
      <w:numFmt w:val="lowerLetter"/>
      <w:start w:val="3"/>
    </w:lvl>
  </w:abstractNum>
  <w:abstractNum w:abstractNumId="191">
    <w:nsid w:val="C058DF5"/>
    <w:multiLevelType w:val="hybridMultilevel"/>
    <w:lvl w:ilvl="0">
      <w:lvlJc w:val="left"/>
      <w:lvlText w:val="%1."/>
      <w:numFmt w:val="decimal"/>
      <w:start w:val="2"/>
    </w:lvl>
  </w:abstractNum>
  <w:abstractNum w:abstractNumId="192">
    <w:nsid w:val="CBE5BE9"/>
    <w:multiLevelType w:val="hybridMultilevel"/>
    <w:lvl w:ilvl="0">
      <w:lvlJc w:val="left"/>
      <w:lvlText w:val="%1"/>
      <w:numFmt w:val="lowerLetter"/>
      <w:start w:val="1"/>
    </w:lvl>
    <w:lvl w:ilvl="1">
      <w:lvlJc w:val="left"/>
      <w:lvlText w:val="(%2)"/>
      <w:numFmt w:val="lowerLetter"/>
      <w:start w:val="1"/>
    </w:lvl>
  </w:abstractNum>
  <w:abstractNum w:abstractNumId="193">
    <w:nsid w:val="3102BBE2"/>
    <w:multiLevelType w:val="hybridMultilevel"/>
    <w:lvl w:ilvl="0">
      <w:lvlJc w:val="left"/>
      <w:lvlText w:val="(%1)"/>
      <w:numFmt w:val="lowerLetter"/>
      <w:start w:val="35"/>
    </w:lvl>
    <w:lvl w:ilvl="1">
      <w:lvlJc w:val="left"/>
      <w:lvlText w:val="%2"/>
      <w:numFmt w:val="lowerLetter"/>
      <w:start w:val="1"/>
    </w:lvl>
  </w:abstractNum>
  <w:abstractNum w:abstractNumId="194">
    <w:nsid w:val="26A02C5E"/>
    <w:multiLevelType w:val="hybridMultilevel"/>
    <w:lvl w:ilvl="0">
      <w:lvlJc w:val="left"/>
      <w:lvlText w:val="%1."/>
      <w:numFmt w:val="decimal"/>
      <w:start w:val="1"/>
    </w:lvl>
  </w:abstractNum>
  <w:abstractNum w:abstractNumId="195">
    <w:nsid w:val="541C815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2024-06-05T15:36:21Z</dcterms:created>
  <dcterms:modified xsi:type="dcterms:W3CDTF">2024-06-05T15:36:21Z</dcterms:modified>
</cp:coreProperties>
</file>