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crc-defa14a_20210506.htm"/>
      <w:bookmarkStart w:id="1" w:name="kscrcdefa14a_20210506"/>
      <w:bookmarkEnd w:id="0"/>
      <w:bookmarkEnd w:id="1"/>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UNITED STATES</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SECURITIES AND EXCHANGE COMMISSION</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Washington, D.C. 20549</w:t>
      </w:r>
    </w:p>
    <w:p>
      <w:pPr>
        <w:pStyle w:val="TextBody"/>
        <w:spacing w:before="200" w:after="0"/>
        <w:jc w:val="center"/>
        <w:rPr>
          <w:rFonts w:ascii="Arial" w:hAnsi="Arial"/>
          <w:b/>
          <w:i w:val="false"/>
          <w:caps w:val="false"/>
          <w:smallCaps w:val="false"/>
          <w:sz w:val="28"/>
        </w:rPr>
      </w:pPr>
      <w:r>
        <w:rPr>
          <w:rFonts w:ascii="Arial" w:hAnsi="Arial"/>
          <w:b/>
          <w:i w:val="false"/>
          <w:caps w:val="false"/>
          <w:smallCaps w:val="false"/>
          <w:sz w:val="28"/>
        </w:rPr>
        <w:t>SCHEDULE 14A INFORMATION</w:t>
      </w:r>
    </w:p>
    <w:p>
      <w:pPr>
        <w:pStyle w:val="TextBody"/>
        <w:spacing w:before="200" w:after="0"/>
        <w:jc w:val="center"/>
        <w:rPr>
          <w:rFonts w:ascii="Arial" w:hAnsi="Arial"/>
          <w:b w:val="false"/>
          <w:i w:val="false"/>
          <w:caps w:val="false"/>
          <w:smallCaps w:val="false"/>
          <w:sz w:val="20"/>
        </w:rPr>
      </w:pPr>
      <w:r>
        <w:rPr>
          <w:rFonts w:ascii="Arial" w:hAnsi="Arial"/>
          <w:b w:val="false"/>
          <w:i w:val="false"/>
          <w:caps w:val="false"/>
          <w:smallCaps w:val="false"/>
          <w:sz w:val="20"/>
        </w:rPr>
        <w:t>Proxy Statement Pursuant to Section 14(a) of</w:t>
      </w:r>
    </w:p>
    <w:p>
      <w:pPr>
        <w:pStyle w:val="TextBody"/>
        <w:spacing w:before="0" w:after="0"/>
        <w:jc w:val="center"/>
        <w:rPr>
          <w:rFonts w:ascii="Arial" w:hAnsi="Arial"/>
          <w:b w:val="false"/>
          <w:i w:val="false"/>
          <w:caps w:val="false"/>
          <w:smallCaps w:val="false"/>
          <w:sz w:val="20"/>
        </w:rPr>
      </w:pPr>
      <w:r>
        <w:rPr>
          <w:rFonts w:ascii="Arial" w:hAnsi="Arial"/>
          <w:b w:val="false"/>
          <w:i w:val="false"/>
          <w:caps w:val="false"/>
          <w:smallCaps w:val="false"/>
          <w:sz w:val="20"/>
        </w:rPr>
        <w:t>the Securities Exchange Act of 1934 (Amendment No.         )</w:t>
      </w:r>
    </w:p>
    <w:p>
      <w:pPr>
        <w:pStyle w:val="TextBody"/>
        <w:spacing w:before="200" w:after="0"/>
        <w:rPr>
          <w:rFonts w:ascii="Arial" w:hAnsi="Arial"/>
          <w:b w:val="false"/>
          <w:i w:val="false"/>
          <w:caps w:val="false"/>
          <w:smallCaps w:val="false"/>
          <w:sz w:val="20"/>
        </w:rPr>
      </w:pPr>
      <w:r>
        <w:rPr>
          <w:rFonts w:ascii="Arial" w:hAnsi="Arial"/>
          <w:b w:val="false"/>
          <w:i w:val="false"/>
          <w:caps w:val="false"/>
          <w:smallCaps w:val="false"/>
          <w:sz w:val="20"/>
        </w:rPr>
        <w:t>Filed by the Registrant ☒</w:t>
      </w:r>
    </w:p>
    <w:p>
      <w:pPr>
        <w:pStyle w:val="TextBody"/>
        <w:spacing w:before="200" w:after="0"/>
        <w:rPr>
          <w:rFonts w:ascii="Arial" w:hAnsi="Arial"/>
          <w:b w:val="false"/>
          <w:i w:val="false"/>
          <w:caps w:val="false"/>
          <w:smallCaps w:val="false"/>
          <w:sz w:val="20"/>
        </w:rPr>
      </w:pPr>
      <w:r>
        <w:rPr>
          <w:rFonts w:ascii="Arial" w:hAnsi="Arial"/>
          <w:b w:val="false"/>
          <w:i w:val="false"/>
          <w:caps w:val="false"/>
          <w:smallCaps w:val="false"/>
          <w:sz w:val="20"/>
        </w:rPr>
        <w:t>Filed by a Party other than the Registrant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Check the appropriate box:</w:t>
      </w:r>
    </w:p>
    <w:tbl>
      <w:tblPr>
        <w:tblW w:w="2755" w:type="dxa"/>
        <w:jc w:val="left"/>
        <w:tblInd w:w="0" w:type="dxa"/>
        <w:tblCellMar>
          <w:top w:w="0" w:type="dxa"/>
          <w:left w:w="0" w:type="dxa"/>
          <w:bottom w:w="0" w:type="dxa"/>
          <w:right w:w="0" w:type="dxa"/>
        </w:tblCellMar>
      </w:tblPr>
      <w:tblGrid>
        <w:gridCol w:w="230"/>
        <w:gridCol w:w="252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252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Preliminary Proxy Statement</w:t>
            </w:r>
          </w:p>
        </w:tc>
      </w:tr>
    </w:tbl>
    <w:tbl>
      <w:tblPr>
        <w:tblW w:w="7570" w:type="dxa"/>
        <w:jc w:val="left"/>
        <w:tblInd w:w="0" w:type="dxa"/>
        <w:tblCellMar>
          <w:top w:w="0" w:type="dxa"/>
          <w:left w:w="0" w:type="dxa"/>
          <w:bottom w:w="0" w:type="dxa"/>
          <w:right w:w="0" w:type="dxa"/>
        </w:tblCellMar>
      </w:tblPr>
      <w:tblGrid>
        <w:gridCol w:w="230"/>
        <w:gridCol w:w="7340"/>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7340" w:type="dxa"/>
            <w:tcBorders/>
            <w:shd w:fill="auto" w:val="clear"/>
          </w:tcPr>
          <w:p>
            <w:pPr>
              <w:pStyle w:val="TableContents"/>
              <w:spacing w:before="0" w:after="0"/>
              <w:rPr>
                <w:rFonts w:ascii="Arial" w:hAnsi="Arial"/>
                <w:b/>
                <w:i w:val="false"/>
                <w:caps w:val="false"/>
                <w:smallCaps w:val="false"/>
                <w:sz w:val="20"/>
              </w:rPr>
            </w:pPr>
            <w:r>
              <w:rPr>
                <w:rFonts w:ascii="Arial" w:hAnsi="Arial"/>
                <w:b/>
                <w:i w:val="false"/>
                <w:caps w:val="false"/>
                <w:smallCaps w:val="false"/>
                <w:sz w:val="20"/>
              </w:rPr>
              <w:t>Confidential, for Use of the Commission Only (as permitted by Rule 14a-6(e)(2))</w:t>
            </w:r>
          </w:p>
        </w:tc>
      </w:tr>
    </w:tbl>
    <w:tbl>
      <w:tblPr>
        <w:tblW w:w="2590" w:type="dxa"/>
        <w:jc w:val="left"/>
        <w:tblInd w:w="0" w:type="dxa"/>
        <w:tblCellMar>
          <w:top w:w="0" w:type="dxa"/>
          <w:left w:w="0" w:type="dxa"/>
          <w:bottom w:w="0" w:type="dxa"/>
          <w:right w:w="0" w:type="dxa"/>
        </w:tblCellMar>
      </w:tblPr>
      <w:tblGrid>
        <w:gridCol w:w="230"/>
        <w:gridCol w:w="2360"/>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236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Definitive Proxy Statement</w:t>
            </w:r>
          </w:p>
        </w:tc>
      </w:tr>
    </w:tbl>
    <w:tbl>
      <w:tblPr>
        <w:tblW w:w="2830" w:type="dxa"/>
        <w:jc w:val="left"/>
        <w:tblInd w:w="0" w:type="dxa"/>
        <w:tblCellMar>
          <w:top w:w="0" w:type="dxa"/>
          <w:left w:w="0" w:type="dxa"/>
          <w:bottom w:w="0" w:type="dxa"/>
          <w:right w:w="0" w:type="dxa"/>
        </w:tblCellMar>
      </w:tblPr>
      <w:tblGrid>
        <w:gridCol w:w="230"/>
        <w:gridCol w:w="2600"/>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260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Definitive Additional Materials</w:t>
            </w:r>
          </w:p>
        </w:tc>
      </w:tr>
    </w:tbl>
    <w:tbl>
      <w:tblPr>
        <w:tblW w:w="3460" w:type="dxa"/>
        <w:jc w:val="left"/>
        <w:tblInd w:w="0" w:type="dxa"/>
        <w:tblCellMar>
          <w:top w:w="0" w:type="dxa"/>
          <w:left w:w="0" w:type="dxa"/>
          <w:bottom w:w="0" w:type="dxa"/>
          <w:right w:w="0" w:type="dxa"/>
        </w:tblCellMar>
      </w:tblPr>
      <w:tblGrid>
        <w:gridCol w:w="230"/>
        <w:gridCol w:w="3230"/>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323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Soliciting Material under §240.14a-12</w:t>
            </w:r>
          </w:p>
        </w:tc>
      </w:tr>
    </w:tbl>
    <w:p>
      <w:pPr>
        <w:pStyle w:val="TextBody"/>
        <w:pBdr>
          <w:bottom w:val="single" w:sz="6" w:space="1" w:color="000000"/>
        </w:pBdr>
        <w:spacing w:before="200" w:after="0"/>
        <w:jc w:val="center"/>
        <w:rPr>
          <w:rFonts w:ascii="Arial" w:hAnsi="Arial"/>
          <w:b/>
          <w:i w:val="false"/>
          <w:caps w:val="false"/>
          <w:smallCaps w:val="false"/>
          <w:sz w:val="20"/>
        </w:rPr>
      </w:pPr>
      <w:r>
        <w:rPr>
          <w:rFonts w:ascii="Arial" w:hAnsi="Arial"/>
          <w:b/>
          <w:i w:val="false"/>
          <w:caps w:val="false"/>
          <w:smallCaps w:val="false"/>
          <w:sz w:val="20"/>
        </w:rPr>
        <w:t>CALIFORNIA RESOURCES CORPORATION</w:t>
      </w:r>
    </w:p>
    <w:p>
      <w:pPr>
        <w:pStyle w:val="TextBody"/>
        <w:spacing w:before="0" w:after="200"/>
        <w:jc w:val="center"/>
        <w:rPr>
          <w:rFonts w:ascii="Arial" w:hAnsi="Arial"/>
          <w:b w:val="false"/>
          <w:i w:val="false"/>
          <w:caps w:val="false"/>
          <w:smallCaps w:val="false"/>
          <w:sz w:val="20"/>
        </w:rPr>
      </w:pPr>
      <w:r>
        <w:rPr>
          <w:rFonts w:ascii="Arial" w:hAnsi="Arial"/>
          <w:b w:val="false"/>
          <w:i w:val="false"/>
          <w:caps w:val="false"/>
          <w:smallCaps w:val="false"/>
          <w:sz w:val="20"/>
        </w:rPr>
        <w:t>(Name of Registrant as Specified In Its Charter)</w:t>
      </w:r>
    </w:p>
    <w:p>
      <w:pPr>
        <w:pStyle w:val="TextBody"/>
        <w:pBdr>
          <w:top w:val="single" w:sz="6" w:space="1" w:color="000000"/>
        </w:pBdr>
        <w:spacing w:before="0" w:after="0"/>
        <w:jc w:val="center"/>
        <w:rPr>
          <w:rFonts w:ascii="Arial" w:hAnsi="Arial"/>
          <w:b w:val="false"/>
          <w:i w:val="false"/>
          <w:caps w:val="false"/>
          <w:smallCaps w:val="false"/>
          <w:sz w:val="20"/>
        </w:rPr>
      </w:pPr>
      <w:r>
        <w:rPr>
          <w:rFonts w:ascii="Arial" w:hAnsi="Arial"/>
          <w:b w:val="false"/>
          <w:i w:val="false"/>
          <w:caps w:val="false"/>
          <w:smallCaps w:val="false"/>
          <w:sz w:val="20"/>
        </w:rPr>
        <w:t>(Name of Person(s) Filing Proxy Statement, if other than the Registrant)</w:t>
      </w:r>
    </w:p>
    <w:p>
      <w:pPr>
        <w:pStyle w:val="TextBody"/>
        <w:spacing w:before="200" w:after="0"/>
        <w:rPr>
          <w:rFonts w:ascii="Arial" w:hAnsi="Arial"/>
          <w:b w:val="false"/>
          <w:i w:val="false"/>
          <w:caps w:val="false"/>
          <w:smallCaps w:val="false"/>
          <w:sz w:val="20"/>
        </w:rPr>
      </w:pPr>
      <w:r>
        <w:rPr>
          <w:rFonts w:ascii="Arial" w:hAnsi="Arial"/>
          <w:b w:val="false"/>
          <w:i w:val="false"/>
          <w:caps w:val="false"/>
          <w:smallCaps w:val="false"/>
          <w:sz w:val="20"/>
        </w:rPr>
        <w:t>Payment of Filing Fee (Check the appropriate box):</w:t>
      </w:r>
    </w:p>
    <w:p>
      <w:pPr>
        <w:pStyle w:val="TextBody"/>
        <w:spacing w:before="0" w:after="0"/>
        <w:rPr/>
      </w:pPr>
      <w:r>
        <w:rPr/>
        <w:t> </w:t>
      </w:r>
    </w:p>
    <w:tbl>
      <w:tblPr>
        <w:tblW w:w="1630" w:type="dxa"/>
        <w:jc w:val="left"/>
        <w:tblInd w:w="0" w:type="dxa"/>
        <w:tblCellMar>
          <w:top w:w="0" w:type="dxa"/>
          <w:left w:w="0" w:type="dxa"/>
          <w:bottom w:w="0" w:type="dxa"/>
          <w:right w:w="0" w:type="dxa"/>
        </w:tblCellMar>
      </w:tblPr>
      <w:tblGrid>
        <w:gridCol w:w="230"/>
        <w:gridCol w:w="1400"/>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140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No fee required.</w:t>
            </w:r>
          </w:p>
        </w:tc>
      </w:tr>
    </w:tbl>
    <w:p>
      <w:pPr>
        <w:pStyle w:val="TextBody"/>
        <w:spacing w:before="0" w:after="0"/>
        <w:rPr/>
      </w:pPr>
      <w:r>
        <w:rPr/>
        <w:t> </w:t>
      </w:r>
    </w:p>
    <w:tbl>
      <w:tblPr>
        <w:tblW w:w="6775" w:type="dxa"/>
        <w:jc w:val="left"/>
        <w:tblInd w:w="0" w:type="dxa"/>
        <w:tblCellMar>
          <w:top w:w="0" w:type="dxa"/>
          <w:left w:w="0" w:type="dxa"/>
          <w:bottom w:w="0" w:type="dxa"/>
          <w:right w:w="0" w:type="dxa"/>
        </w:tblCellMar>
      </w:tblPr>
      <w:tblGrid>
        <w:gridCol w:w="230"/>
        <w:gridCol w:w="654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654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Fee computed on table below per Exchange Act Rules 14a-6(i)(1) and 0-11.</w:t>
            </w:r>
          </w:p>
        </w:tc>
      </w:tr>
    </w:tbl>
    <w:tbl>
      <w:tblPr>
        <w:tblW w:w="5590" w:type="dxa"/>
        <w:jc w:val="left"/>
        <w:tblInd w:w="0" w:type="dxa"/>
        <w:tblCellMar>
          <w:top w:w="0" w:type="dxa"/>
          <w:left w:w="0" w:type="dxa"/>
          <w:bottom w:w="0" w:type="dxa"/>
          <w:right w:w="0" w:type="dxa"/>
        </w:tblCellMar>
      </w:tblPr>
      <w:tblGrid>
        <w:gridCol w:w="60"/>
        <w:gridCol w:w="245"/>
        <w:gridCol w:w="528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245" w:type="dxa"/>
            <w:tcBorders/>
            <w:shd w:fill="auto" w:val="clear"/>
          </w:tcPr>
          <w:p>
            <w:pPr>
              <w:pStyle w:val="TableContents"/>
              <w:spacing w:before="8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5285" w:type="dxa"/>
            <w:tcBorders/>
            <w:shd w:fill="auto" w:val="clear"/>
          </w:tcPr>
          <w:p>
            <w:pPr>
              <w:pStyle w:val="TableContents"/>
              <w:spacing w:before="80" w:after="0"/>
              <w:rPr>
                <w:rFonts w:ascii="Arial" w:hAnsi="Arial"/>
                <w:b w:val="false"/>
                <w:i w:val="false"/>
                <w:caps w:val="false"/>
                <w:smallCaps w:val="false"/>
                <w:sz w:val="20"/>
              </w:rPr>
            </w:pPr>
            <w:r>
              <w:rPr>
                <w:rFonts w:ascii="Arial" w:hAnsi="Arial"/>
                <w:b w:val="false"/>
                <w:i w:val="false"/>
                <w:caps w:val="false"/>
                <w:smallCaps w:val="false"/>
                <w:sz w:val="20"/>
              </w:rPr>
              <w:t>Title of each class of securities to which transaction applies:</w:t>
            </w:r>
          </w:p>
        </w:tc>
      </w:tr>
    </w:tbl>
    <w:p>
      <w:pPr>
        <w:pStyle w:val="TextBody"/>
        <w:pBdr>
          <w:bottom w:val="single" w:sz="6" w:space="1" w:color="000000"/>
        </w:pBdr>
        <w:spacing w:before="0" w:after="0"/>
        <w:rPr/>
      </w:pPr>
      <w:r>
        <w:rPr/>
        <w:t> </w:t>
      </w:r>
    </w:p>
    <w:tbl>
      <w:tblPr>
        <w:tblW w:w="5575" w:type="dxa"/>
        <w:jc w:val="left"/>
        <w:tblInd w:w="0" w:type="dxa"/>
        <w:tblCellMar>
          <w:top w:w="0" w:type="dxa"/>
          <w:left w:w="0" w:type="dxa"/>
          <w:bottom w:w="0" w:type="dxa"/>
          <w:right w:w="0" w:type="dxa"/>
        </w:tblCellMar>
      </w:tblPr>
      <w:tblGrid>
        <w:gridCol w:w="60"/>
        <w:gridCol w:w="245"/>
        <w:gridCol w:w="527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4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527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Aggregate number of securities to which transaction applies:</w:t>
            </w:r>
          </w:p>
        </w:tc>
      </w:tr>
    </w:tbl>
    <w:p>
      <w:pPr>
        <w:pStyle w:val="TextBody"/>
        <w:pBdr>
          <w:bottom w:val="single" w:sz="6"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60"/>
        <w:gridCol w:w="219"/>
        <w:gridCol w:w="9926"/>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19"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(3)</w:t>
            </w:r>
          </w:p>
        </w:tc>
        <w:tc>
          <w:tcPr>
            <w:tcW w:w="9926"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Per unit price or other underlying value of transaction computed pursuant to Exchange Act Rule 0-11 (set forth the amount on which the filing fee is calculated and state how it was determined):</w:t>
            </w:r>
          </w:p>
        </w:tc>
      </w:tr>
    </w:tbl>
    <w:p>
      <w:pPr>
        <w:pStyle w:val="TextBody"/>
        <w:pBdr>
          <w:bottom w:val="single" w:sz="6" w:space="1" w:color="000000"/>
        </w:pBdr>
        <w:spacing w:before="0" w:after="0"/>
        <w:rPr/>
      </w:pPr>
      <w:r>
        <w:rPr/>
        <w:t> </w:t>
      </w:r>
    </w:p>
    <w:tbl>
      <w:tblPr>
        <w:tblW w:w="4810" w:type="dxa"/>
        <w:jc w:val="left"/>
        <w:tblInd w:w="0" w:type="dxa"/>
        <w:tblCellMar>
          <w:top w:w="0" w:type="dxa"/>
          <w:left w:w="0" w:type="dxa"/>
          <w:bottom w:w="0" w:type="dxa"/>
          <w:right w:w="0" w:type="dxa"/>
        </w:tblCellMar>
      </w:tblPr>
      <w:tblGrid>
        <w:gridCol w:w="60"/>
        <w:gridCol w:w="245"/>
        <w:gridCol w:w="450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4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(4)</w:t>
            </w:r>
          </w:p>
        </w:tc>
        <w:tc>
          <w:tcPr>
            <w:tcW w:w="450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Proposed maximum aggregate value of transaction:</w:t>
            </w:r>
          </w:p>
        </w:tc>
      </w:tr>
    </w:tbl>
    <w:p>
      <w:pPr>
        <w:pStyle w:val="TextBody"/>
        <w:pBdr>
          <w:bottom w:val="single" w:sz="6" w:space="1" w:color="000000"/>
        </w:pBdr>
        <w:spacing w:before="0" w:after="0"/>
        <w:rPr/>
      </w:pPr>
      <w:r>
        <w:rPr/>
        <w:t> </w:t>
      </w:r>
    </w:p>
    <w:tbl>
      <w:tblPr>
        <w:tblW w:w="1570" w:type="dxa"/>
        <w:jc w:val="left"/>
        <w:tblInd w:w="0" w:type="dxa"/>
        <w:tblCellMar>
          <w:top w:w="0" w:type="dxa"/>
          <w:left w:w="0" w:type="dxa"/>
          <w:bottom w:w="0" w:type="dxa"/>
          <w:right w:w="0" w:type="dxa"/>
        </w:tblCellMar>
      </w:tblPr>
      <w:tblGrid>
        <w:gridCol w:w="60"/>
        <w:gridCol w:w="245"/>
        <w:gridCol w:w="126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4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(5)</w:t>
            </w:r>
          </w:p>
        </w:tc>
        <w:tc>
          <w:tcPr>
            <w:tcW w:w="126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Total fee paid:</w:t>
            </w:r>
          </w:p>
        </w:tc>
      </w:tr>
    </w:tbl>
    <w:p>
      <w:pPr>
        <w:pStyle w:val="TextBody"/>
        <w:pBdr>
          <w:bottom w:val="single" w:sz="6" w:space="1" w:color="000000"/>
        </w:pBdr>
        <w:spacing w:before="0" w:after="0"/>
        <w:rPr/>
      </w:pPr>
      <w:r>
        <w:rPr/>
        <w:t> </w:t>
      </w:r>
    </w:p>
    <w:p>
      <w:pPr>
        <w:pStyle w:val="TextBody"/>
        <w:spacing w:before="0" w:after="0"/>
        <w:rPr/>
      </w:pPr>
      <w:r>
        <w:rPr/>
        <w:t> </w:t>
      </w:r>
    </w:p>
    <w:tbl>
      <w:tblPr>
        <w:tblW w:w="4270" w:type="dxa"/>
        <w:jc w:val="left"/>
        <w:tblInd w:w="0" w:type="dxa"/>
        <w:tblCellMar>
          <w:top w:w="0" w:type="dxa"/>
          <w:left w:w="0" w:type="dxa"/>
          <w:bottom w:w="0" w:type="dxa"/>
          <w:right w:w="0" w:type="dxa"/>
        </w:tblCellMar>
      </w:tblPr>
      <w:tblGrid>
        <w:gridCol w:w="230"/>
        <w:gridCol w:w="4040"/>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404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Fee paid previously with preliminary materials.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997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tbl>
      <w:tblPr>
        <w:tblW w:w="2485" w:type="dxa"/>
        <w:jc w:val="left"/>
        <w:tblInd w:w="0" w:type="dxa"/>
        <w:tblCellMar>
          <w:top w:w="0" w:type="dxa"/>
          <w:left w:w="0" w:type="dxa"/>
          <w:bottom w:w="0" w:type="dxa"/>
          <w:right w:w="0" w:type="dxa"/>
        </w:tblCellMar>
      </w:tblPr>
      <w:tblGrid>
        <w:gridCol w:w="60"/>
        <w:gridCol w:w="245"/>
        <w:gridCol w:w="2180"/>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245" w:type="dxa"/>
            <w:tcBorders/>
            <w:shd w:fill="auto" w:val="clear"/>
          </w:tcPr>
          <w:p>
            <w:pPr>
              <w:pStyle w:val="TableContents"/>
              <w:spacing w:before="8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2180" w:type="dxa"/>
            <w:tcBorders/>
            <w:shd w:fill="auto" w:val="clear"/>
          </w:tcPr>
          <w:p>
            <w:pPr>
              <w:pStyle w:val="TableContents"/>
              <w:spacing w:before="80" w:after="0"/>
              <w:rPr>
                <w:rFonts w:ascii="Arial" w:hAnsi="Arial"/>
                <w:b w:val="false"/>
                <w:i w:val="false"/>
                <w:caps w:val="false"/>
                <w:smallCaps w:val="false"/>
                <w:sz w:val="20"/>
              </w:rPr>
            </w:pPr>
            <w:r>
              <w:rPr>
                <w:rFonts w:ascii="Arial" w:hAnsi="Arial"/>
                <w:b w:val="false"/>
                <w:i w:val="false"/>
                <w:caps w:val="false"/>
                <w:smallCaps w:val="false"/>
                <w:sz w:val="20"/>
              </w:rPr>
              <w:t>Amount Previously Paid:</w:t>
            </w:r>
          </w:p>
        </w:tc>
      </w:tr>
    </w:tbl>
    <w:p>
      <w:pPr>
        <w:pStyle w:val="TextBody"/>
        <w:pBdr>
          <w:bottom w:val="single" w:sz="6" w:space="1" w:color="000000"/>
        </w:pBdr>
        <w:spacing w:before="0" w:after="0"/>
        <w:rPr/>
      </w:pPr>
      <w:r>
        <w:rPr/>
        <w:t> </w:t>
      </w:r>
    </w:p>
    <w:tbl>
      <w:tblPr>
        <w:tblW w:w="4405" w:type="dxa"/>
        <w:jc w:val="left"/>
        <w:tblInd w:w="0" w:type="dxa"/>
        <w:tblCellMar>
          <w:top w:w="0" w:type="dxa"/>
          <w:left w:w="0" w:type="dxa"/>
          <w:bottom w:w="0" w:type="dxa"/>
          <w:right w:w="0" w:type="dxa"/>
        </w:tblCellMar>
      </w:tblPr>
      <w:tblGrid>
        <w:gridCol w:w="60"/>
        <w:gridCol w:w="245"/>
        <w:gridCol w:w="410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4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410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Form, Schedule or Registration Statement No.:</w:t>
            </w:r>
          </w:p>
        </w:tc>
      </w:tr>
    </w:tbl>
    <w:p>
      <w:pPr>
        <w:pStyle w:val="TextBody"/>
        <w:pBdr>
          <w:bottom w:val="single" w:sz="6" w:space="1" w:color="000000"/>
        </w:pBdr>
        <w:spacing w:before="0" w:after="0"/>
        <w:rPr/>
      </w:pPr>
      <w:r>
        <w:rPr/>
        <w:t> </w:t>
      </w:r>
    </w:p>
    <w:tbl>
      <w:tblPr>
        <w:tblW w:w="1375" w:type="dxa"/>
        <w:jc w:val="left"/>
        <w:tblInd w:w="0" w:type="dxa"/>
        <w:tblCellMar>
          <w:top w:w="0" w:type="dxa"/>
          <w:left w:w="0" w:type="dxa"/>
          <w:bottom w:w="0" w:type="dxa"/>
          <w:right w:w="0" w:type="dxa"/>
        </w:tblCellMar>
      </w:tblPr>
      <w:tblGrid>
        <w:gridCol w:w="60"/>
        <w:gridCol w:w="245"/>
        <w:gridCol w:w="107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4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(3)</w:t>
            </w:r>
          </w:p>
        </w:tc>
        <w:tc>
          <w:tcPr>
            <w:tcW w:w="107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Filing Party:</w:t>
            </w:r>
          </w:p>
        </w:tc>
      </w:tr>
    </w:tbl>
    <w:p>
      <w:pPr>
        <w:pStyle w:val="TextBody"/>
        <w:pBdr>
          <w:bottom w:val="single" w:sz="6" w:space="1" w:color="000000"/>
        </w:pBdr>
        <w:spacing w:before="0" w:after="0"/>
        <w:rPr/>
      </w:pPr>
      <w:r>
        <w:rPr/>
        <w:t> </w:t>
      </w:r>
    </w:p>
    <w:tbl>
      <w:tblPr>
        <w:tblW w:w="1270" w:type="dxa"/>
        <w:jc w:val="left"/>
        <w:tblInd w:w="0" w:type="dxa"/>
        <w:tblCellMar>
          <w:top w:w="0" w:type="dxa"/>
          <w:left w:w="0" w:type="dxa"/>
          <w:bottom w:w="0" w:type="dxa"/>
          <w:right w:w="0" w:type="dxa"/>
        </w:tblCellMar>
      </w:tblPr>
      <w:tblGrid>
        <w:gridCol w:w="60"/>
        <w:gridCol w:w="245"/>
        <w:gridCol w:w="96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4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(4)</w:t>
            </w:r>
          </w:p>
        </w:tc>
        <w:tc>
          <w:tcPr>
            <w:tcW w:w="96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Date Filed:</w:t>
            </w:r>
          </w:p>
        </w:tc>
      </w:tr>
    </w:tbl>
    <w:p>
      <w:pPr>
        <w:pStyle w:val="TextBody"/>
        <w:pBdr>
          <w:bottom w:val="single" w:sz="6" w:space="1" w:color="000000"/>
        </w:pBdr>
        <w:spacing w:before="0" w:after="0"/>
        <w:rPr/>
      </w:pPr>
      <w:r>
        <w:rPr/>
        <w:t> </w:t>
      </w:r>
    </w:p>
    <w:p>
      <w:pPr>
        <w:pStyle w:val="TextBody"/>
        <w:pBdr>
          <w:bottom w:val="single" w:sz="18" w:space="1" w:color="000000"/>
        </w:pBdr>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191250" cy="802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8029575"/>
                    </a:xfrm>
                    <a:prstGeom prst="rect">
                      <a:avLst/>
                    </a:prstGeom>
                  </pic:spPr>
                </pic:pic>
              </a:graphicData>
            </a:graphic>
          </wp:inline>
        </w:drawing>
      </w:r>
    </w:p>
    <w:p>
      <w:pPr>
        <w:pStyle w:val="TextBody"/>
        <w:spacing w:before="0" w:after="0"/>
        <w:rPr>
          <w:rFonts w:ascii="Arial" w:hAnsi="Arial"/>
          <w:b w:val="false"/>
          <w:i w:val="false"/>
          <w:caps w:val="false"/>
          <w:smallCaps w:val="false"/>
          <w:color w:val="FFFFFF"/>
          <w:sz w:val="2"/>
        </w:rPr>
      </w:pPr>
      <w:r>
        <w:rPr>
          <w:rFonts w:ascii="Arial" w:hAnsi="Arial"/>
          <w:b w:val="false"/>
          <w:i w:val="false"/>
          <w:caps w:val="false"/>
          <w:smallCaps w:val="false"/>
          <w:color w:val="FFFFFF"/>
          <w:sz w:val="2"/>
        </w:rPr>
        <w:t>CALIFORNIA RESOURCES CORPORATION 27200 Tourney Road, Suite 200 Santa Clarita, CA 91355 Your Vote Counts! California Resources Corporation 2021 Annual Meeting Vote by Mail 11, 2021 11:59 PM ET D44391-P52724 You invested in CALIFORNIA RESOURCES CORPORATION and it’s time to vote! You have the right to vote on proposals being presented at the Annual Meeting. This is an important notice regarding the availability of proxy materials for the shareholder meeting to be held on May 12, 2021. Get informed before you vote View the Notice and Proxy Statement and 10K Wrap online OR you can receive a free paper or email copy of the material(s) by requesting prior to April 28, 2021.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May 12, 2021 11:00 AM PT Virtually at: www.virtualshareholdermeeting.com/CRC2021 *Please check the meeting materials for any special requirements for meeting attendance. V1</w:t>
      </w:r>
    </w:p>
    <w:p>
      <w:pPr>
        <w:pStyle w:val="TextBody"/>
        <w:spacing w:before="0" w:after="200"/>
        <w:rPr/>
      </w:pPr>
      <w:r>
        <w:rPr/>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191250" cy="802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8029575"/>
                    </a:xfrm>
                    <a:prstGeom prst="rect">
                      <a:avLst/>
                    </a:prstGeom>
                  </pic:spPr>
                </pic:pic>
              </a:graphicData>
            </a:graphic>
          </wp:inline>
        </w:drawing>
      </w:r>
    </w:p>
    <w:p>
      <w:pPr>
        <w:pStyle w:val="TextBody"/>
        <w:spacing w:before="0" w:after="0"/>
        <w:rPr>
          <w:rFonts w:ascii="Arial" w:hAnsi="Arial"/>
          <w:b w:val="false"/>
          <w:i w:val="false"/>
          <w:caps w:val="false"/>
          <w:smallCaps w:val="false"/>
          <w:color w:val="FFFFFF"/>
          <w:sz w:val="2"/>
        </w:rPr>
      </w:pPr>
      <w:r>
        <w:rPr>
          <w:rFonts w:ascii="Arial" w:hAnsi="Arial"/>
          <w:b w:val="false"/>
          <w:i w:val="false"/>
          <w:caps w:val="false"/>
          <w:smallCaps w:val="false"/>
          <w:color w:val="FFFFFF"/>
          <w:sz w:val="2"/>
        </w:rPr>
        <w:t>Vote at www.ProxyVote.com THIS IS NOT A VOTABLE BALLOT This is an overview of the proposals being presented at the upcoming shareholder meeting. Please follow the instructions on the reverse side to vote these important matters. Voting Items Board Recommends 1. Election of Directors Nominees: 01) Douglas E. Brooks 02) Tiffany (TJ) Thom Cepak 03) James N. Chapman 04) Mark A. (Mac) McFarland 05) Julio M. Quintana 06) William B. Roby 07) Brian Steck For 2. Ratification of the appointment of KPMG LLP as our independent registered public accounting firm for our fiscal year ending December 31, 2021. For 3. To approve, by non-binding vote, named executive officer compensation. For 4. To recommend, by non-binding vote, the frequency of future advisory votes to approve named officer compensation. 1 Year Prefer to receive an email instead? While voting on www.ProxyVote.com, be sure to click “Sign up for E-delivery”. D44392-P52724</w:t>
      </w:r>
    </w:p>
    <w:p>
      <w:pPr>
        <w:pStyle w:val="TextBody"/>
        <w:spacing w:before="0" w:after="0"/>
        <w:rPr/>
      </w:pPr>
      <w:r>
        <w:rPr/>
        <w:t> </w:t>
      </w:r>
    </w:p>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630</Words>
  <CharactersWithSpaces>3989</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