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2536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53619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20" w:type="dxa"/>
            <w:vAlign w:val="bottom"/>
            <w:gridSpan w:val="2"/>
            <w:vMerge w:val="restart"/>
          </w:tcPr>
          <w:p>
            <w:pPr>
              <w:spacing w:after="0" w:line="181" w:lineRule="exact"/>
              <w:rPr>
                <w:rFonts w:ascii="Arial" w:cs="Arial" w:eastAsia="Arial" w:hAnsi="Arial"/>
                <w:sz w:val="16"/>
                <w:szCs w:val="16"/>
                <w:color w:val="0000EE"/>
                <w:w w:val="89"/>
              </w:rPr>
            </w:pPr>
            <w:hyperlink r:id="rId11">
              <w:r>
                <w:rPr>
                  <w:rFonts w:ascii="Arial" w:cs="Arial" w:eastAsia="Arial" w:hAnsi="Arial"/>
                  <w:sz w:val="16"/>
                  <w:szCs w:val="16"/>
                  <w:color w:val="0000EE"/>
                  <w:w w:val="89"/>
                </w:rPr>
                <w:t>Neeman Brady Nicole Elana</w:t>
              </w:r>
            </w:hyperlink>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20" w:type="dxa"/>
            <w:vAlign w:val="bottom"/>
            <w:tcBorders>
              <w:bottom w:val="single" w:sz="8" w:color="0000EE"/>
            </w:tcBorders>
            <w:gridSpan w:val="2"/>
            <w:vMerge w:val="continue"/>
          </w:tcPr>
          <w:p>
            <w:pPr>
              <w:spacing w:after="0"/>
              <w:rPr>
                <w:sz w:val="9"/>
                <w:szCs w:val="9"/>
                <w:color w:val="auto"/>
              </w:rPr>
            </w:pPr>
          </w:p>
        </w:tc>
        <w:tc>
          <w:tcPr>
            <w:tcW w:w="18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08/05/2021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20" w:type="dxa"/>
            <w:vAlign w:val="bottom"/>
            <w:gridSpan w:val="2"/>
          </w:tcPr>
          <w:p>
            <w:pPr>
              <w:spacing w:after="0"/>
              <w:rPr>
                <w:sz w:val="3"/>
                <w:szCs w:val="3"/>
                <w:color w:val="auto"/>
              </w:rPr>
            </w:pPr>
          </w:p>
        </w:tc>
        <w:tc>
          <w:tcPr>
            <w:tcW w:w="18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0"/>
                <w:szCs w:val="10"/>
                <w:color w:val="auto"/>
              </w:rPr>
              <w:t>(Last)</w:t>
            </w:r>
          </w:p>
        </w:tc>
        <w:tc>
          <w:tcPr>
            <w:tcW w:w="1360" w:type="dxa"/>
            <w:vAlign w:val="bottom"/>
            <w:gridSpan w:val="2"/>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4"/>
          <w:szCs w:val="14"/>
          <w:color w:val="0000EE"/>
        </w:rPr>
      </w:pPr>
      <w:hyperlink r:id="rId12">
        <w:r>
          <w:rPr>
            <w:rFonts w:ascii="Arial" w:cs="Arial" w:eastAsia="Arial" w:hAnsi="Arial"/>
            <w:sz w:val="14"/>
            <w:szCs w:val="14"/>
            <w:u w:val="single" w:color="auto"/>
            <w:color w:val="0000EE"/>
          </w:rPr>
          <w:t>California Resources Corp</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CRC</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372"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114" w:lineRule="exact"/>
        <w:rPr>
          <w:sz w:val="24"/>
          <w:szCs w:val="24"/>
          <w:color w:val="auto"/>
        </w:rPr>
      </w:pPr>
    </w:p>
    <w:tbl>
      <w:tblPr>
        <w:tblLayout w:type="fixed"/>
        <w:tblInd w:w="60" w:type="dxa"/>
        <w:tblCellMar>
          <w:top w:w="0" w:type="dxa"/>
          <w:left w:w="0" w:type="dxa"/>
          <w:bottom w:w="0" w:type="dxa"/>
          <w:right w:w="0" w:type="dxa"/>
        </w:tblCellMar>
      </w:tblPr>
      <w:tr>
        <w:trPr>
          <w:trHeight w:val="164"/>
        </w:trPr>
        <w:tc>
          <w:tcPr>
            <w:tcW w:w="2100" w:type="dxa"/>
            <w:vAlign w:val="bottom"/>
          </w:tcPr>
          <w:p>
            <w:pPr>
              <w:ind w:left="40"/>
              <w:spacing w:after="0"/>
              <w:rPr>
                <w:sz w:val="20"/>
                <w:szCs w:val="20"/>
                <w:color w:val="auto"/>
              </w:rPr>
            </w:pPr>
            <w:r>
              <w:rPr>
                <w:rFonts w:ascii="Arial" w:cs="Arial" w:eastAsia="Arial" w:hAnsi="Arial"/>
                <w:sz w:val="13"/>
                <w:szCs w:val="13"/>
                <w:color w:val="0000FF"/>
                <w:w w:val="94"/>
              </w:rPr>
              <w:t>27200 TOURNEY ROAD, SUITE 200</w:t>
            </w:r>
          </w:p>
        </w:tc>
        <w:tc>
          <w:tcPr>
            <w:tcW w:w="360" w:type="dxa"/>
            <w:vAlign w:val="bottom"/>
          </w:tcPr>
          <w:p>
            <w:pPr>
              <w:spacing w:after="0"/>
              <w:rPr>
                <w:sz w:val="14"/>
                <w:szCs w:val="14"/>
                <w:color w:val="auto"/>
              </w:rPr>
            </w:pPr>
          </w:p>
        </w:tc>
      </w:tr>
      <w:tr>
        <w:trPr>
          <w:trHeight w:val="372"/>
        </w:trPr>
        <w:tc>
          <w:tcPr>
            <w:tcW w:w="2100" w:type="dxa"/>
            <w:vAlign w:val="bottom"/>
          </w:tcPr>
          <w:p>
            <w:pPr>
              <w:spacing w:after="0"/>
              <w:rPr>
                <w:sz w:val="20"/>
                <w:szCs w:val="20"/>
                <w:color w:val="auto"/>
              </w:rPr>
            </w:pPr>
            <w:r>
              <w:rPr>
                <w:rFonts w:ascii="Arial" w:cs="Arial" w:eastAsia="Arial" w:hAnsi="Arial"/>
                <w:sz w:val="10"/>
                <w:szCs w:val="10"/>
                <w:color w:val="auto"/>
              </w:rPr>
              <w:t>(Street)</w:t>
            </w:r>
          </w:p>
        </w:tc>
        <w:tc>
          <w:tcPr>
            <w:tcW w:w="360" w:type="dxa"/>
            <w:vAlign w:val="bottom"/>
          </w:tcPr>
          <w:p>
            <w:pPr>
              <w:spacing w:after="0"/>
              <w:rPr>
                <w:sz w:val="24"/>
                <w:szCs w:val="24"/>
                <w:color w:val="auto"/>
              </w:rPr>
            </w:pPr>
          </w:p>
        </w:tc>
      </w:tr>
      <w:tr>
        <w:trPr>
          <w:trHeight w:val="178"/>
        </w:trPr>
        <w:tc>
          <w:tcPr>
            <w:tcW w:w="2100" w:type="dxa"/>
            <w:vAlign w:val="bottom"/>
          </w:tcPr>
          <w:p>
            <w:pPr>
              <w:ind w:left="40"/>
              <w:spacing w:after="0"/>
              <w:rPr>
                <w:sz w:val="20"/>
                <w:szCs w:val="20"/>
                <w:color w:val="auto"/>
              </w:rPr>
            </w:pPr>
            <w:r>
              <w:rPr>
                <w:rFonts w:ascii="Arial" w:cs="Arial" w:eastAsia="Arial" w:hAnsi="Arial"/>
                <w:sz w:val="13"/>
                <w:szCs w:val="13"/>
                <w:color w:val="0000FF"/>
              </w:rPr>
              <w:t>SANTA CLARITA CA</w:t>
            </w:r>
          </w:p>
        </w:tc>
        <w:tc>
          <w:tcPr>
            <w:tcW w:w="360" w:type="dxa"/>
            <w:vAlign w:val="bottom"/>
          </w:tcPr>
          <w:p>
            <w:pPr>
              <w:jc w:val="right"/>
              <w:spacing w:after="0"/>
              <w:rPr>
                <w:sz w:val="20"/>
                <w:szCs w:val="20"/>
                <w:color w:val="auto"/>
              </w:rPr>
            </w:pPr>
            <w:r>
              <w:rPr>
                <w:rFonts w:ascii="Arial" w:cs="Arial" w:eastAsia="Arial" w:hAnsi="Arial"/>
                <w:sz w:val="13"/>
                <w:szCs w:val="13"/>
                <w:color w:val="0000FF"/>
                <w:w w:val="93"/>
              </w:rPr>
              <w:t>91355</w:t>
            </w:r>
          </w:p>
        </w:tc>
      </w:tr>
    </w:tbl>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8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3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223"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1" w:lineRule="exact"/>
        <w:rPr>
          <w:sz w:val="24"/>
          <w:szCs w:val="24"/>
          <w:color w:val="auto"/>
        </w:rPr>
      </w:pPr>
    </w:p>
    <w:tbl>
      <w:tblPr>
        <w:tblLayout w:type="fixed"/>
        <w:tblInd w:w="60" w:type="dxa"/>
        <w:tblCellMar>
          <w:top w:w="0" w:type="dxa"/>
          <w:left w:w="0" w:type="dxa"/>
          <w:bottom w:w="0" w:type="dxa"/>
          <w:right w:w="0" w:type="dxa"/>
        </w:tblCellMar>
      </w:tblPr>
      <w:tr>
        <w:trPr>
          <w:trHeight w:val="115"/>
        </w:trPr>
        <w:tc>
          <w:tcPr>
            <w:tcW w:w="3680" w:type="dxa"/>
            <w:vAlign w:val="bottom"/>
          </w:tcPr>
          <w:p>
            <w:pPr>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w w:val="98"/>
              </w:rPr>
              <w:t>6. Nature of Indirect Beneficial</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5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6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3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6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5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260" w:type="dxa"/>
            <w:vAlign w:val="bottom"/>
          </w:tcPr>
          <w:p>
            <w:pPr>
              <w:ind w:left="6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520" w:type="dxa"/>
            <w:vAlign w:val="bottom"/>
            <w:vMerge w:val="continue"/>
          </w:tcPr>
          <w:p>
            <w:pPr>
              <w:spacing w:after="0"/>
              <w:rPr>
                <w:sz w:val="11"/>
                <w:szCs w:val="11"/>
                <w:color w:val="auto"/>
              </w:rPr>
            </w:pPr>
          </w:p>
        </w:tc>
        <w:tc>
          <w:tcPr>
            <w:tcW w:w="1260" w:type="dxa"/>
            <w:vAlign w:val="bottom"/>
          </w:tcPr>
          <w:p>
            <w:pPr>
              <w:ind w:left="6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82"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No securities are beneficially owned.</w:t>
      </w:r>
    </w:p>
    <w:p>
      <w:pPr>
        <w:sectPr>
          <w:pgSz w:w="11900" w:h="16838" w:orient="portrait"/>
          <w:cols w:equalWidth="0" w:num="1">
            <w:col w:w="11020"/>
          </w:cols>
          <w:pgMar w:left="440" w:top="203" w:right="439" w:bottom="1440" w:gutter="0" w:footer="0" w:header="0"/>
          <w:type w:val="continuous"/>
        </w:sectPr>
      </w:pPr>
    </w:p>
    <w:p>
      <w:pPr>
        <w:spacing w:after="0" w:line="62" w:lineRule="exact"/>
        <w:rPr>
          <w:sz w:val="24"/>
          <w:szCs w:val="24"/>
          <w:color w:val="auto"/>
        </w:rPr>
      </w:pPr>
    </w:p>
    <w:p>
      <w:pPr>
        <w:ind w:left="6620"/>
        <w:spacing w:after="0"/>
        <w:rPr>
          <w:sz w:val="20"/>
          <w:szCs w:val="20"/>
          <w:color w:val="auto"/>
        </w:rPr>
      </w:pPr>
      <w:r>
        <w:rPr>
          <w:rFonts w:ascii="Arial" w:cs="Arial" w:eastAsia="Arial" w:hAnsi="Arial"/>
          <w:sz w:val="12"/>
          <w:szCs w:val="12"/>
          <w:color w:val="0000FF"/>
        </w:rPr>
        <w:t>/s/ Ulrik Damborg, Attorney-in-Fact 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-635</wp:posOffset>
            </wp:positionV>
            <wp:extent cx="131762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17625" cy="6350"/>
                    </a:xfrm>
                    <a:prstGeom prst="rect">
                      <a:avLst/>
                    </a:prstGeom>
                    <a:noFill/>
                  </pic:spPr>
                </pic:pic>
              </a:graphicData>
            </a:graphic>
          </wp:anchor>
        </w:drawing>
      </w:r>
    </w:p>
    <w:p>
      <w:pPr>
        <w:spacing w:after="0" w:line="6" w:lineRule="exact"/>
        <w:rPr>
          <w:sz w:val="24"/>
          <w:szCs w:val="24"/>
          <w:color w:val="auto"/>
        </w:rPr>
      </w:pPr>
    </w:p>
    <w:p>
      <w:pPr>
        <w:ind w:left="6620"/>
        <w:spacing w:after="0"/>
        <w:rPr>
          <w:sz w:val="20"/>
          <w:szCs w:val="20"/>
          <w:color w:val="auto"/>
        </w:rPr>
      </w:pPr>
      <w:r>
        <w:rPr>
          <w:rFonts w:ascii="Arial" w:cs="Arial" w:eastAsia="Arial" w:hAnsi="Arial"/>
          <w:sz w:val="13"/>
          <w:szCs w:val="13"/>
          <w:color w:val="0000FF"/>
        </w:rPr>
        <w:t>Nicole Elana Neeman Brady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-10160</wp:posOffset>
            </wp:positionV>
            <wp:extent cx="94742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47420" cy="6350"/>
                    </a:xfrm>
                    <a:prstGeom prst="rect">
                      <a:avLst/>
                    </a:prstGeom>
                    <a:noFill/>
                  </pic:spPr>
                </pic:pic>
              </a:graphicData>
            </a:graphic>
          </wp:anchor>
        </w:drawing>
      </w:r>
    </w:p>
    <w:p>
      <w:pPr>
        <w:spacing w:after="0" w:line="32"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290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Arial" w:cs="Arial" w:eastAsia="Arial" w:hAnsi="Arial"/>
          <w:sz w:val="11"/>
          <w:szCs w:val="11"/>
          <w:color w:val="0000FF"/>
        </w:rPr>
        <w:t>08/09/2021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139"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700" w:space="120"/>
            <w:col w:w="220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Know all by those present that the undersigned hereby constitutes and appoints each of Michael L. Preston, Jody L. Johnson, and Ulrik Damborg</w:t>
      </w:r>
    </w:p>
    <w:p>
      <w:pPr>
        <w:spacing w:after="0" w:line="4" w:lineRule="exact"/>
        <w:rPr>
          <w:sz w:val="20"/>
          <w:szCs w:val="20"/>
          <w:color w:val="auto"/>
        </w:rPr>
      </w:pPr>
    </w:p>
    <w:p>
      <w:pPr>
        <w:ind w:left="240" w:hanging="240"/>
        <w:spacing w:after="0"/>
        <w:tabs>
          <w:tab w:leader="none" w:pos="2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and/or director of California Resources Corporati</w:t>
      </w:r>
    </w:p>
    <w:p>
      <w:pPr>
        <w:spacing w:after="0" w:line="1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any such F</w:t>
      </w:r>
    </w:p>
    <w:p>
      <w:pPr>
        <w:spacing w:after="0" w:line="13"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a Form ID (including amendments thereto), or any other forms prescribed by the Securities and</w:t>
      </w:r>
    </w:p>
    <w:p>
      <w:pPr>
        <w:spacing w:after="0" w:line="3" w:lineRule="exact"/>
        <w:rPr>
          <w:rFonts w:ascii="Courier New" w:cs="Courier New" w:eastAsia="Courier New" w:hAnsi="Courier New"/>
          <w:sz w:val="13"/>
          <w:szCs w:val="13"/>
          <w:color w:val="auto"/>
        </w:rPr>
      </w:pPr>
    </w:p>
    <w:p>
      <w:pPr>
        <w:spacing w:after="0" w:line="244" w:lineRule="auto"/>
        <w:tabs>
          <w:tab w:leader="none" w:pos="234"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ben The undersigned hereby grants to each such attorney-in-fact full power and authority to do and perform any and every act and thing whatsoever The undersigned agrees that the attorney-in-fact may rely entirely on information furnished orally or in writing by or at the direction of the This Power of Attorney shall remain in full force and effect until the undersigned is no longer required to file Forms 3, 4 and 5 or Form 144 IN WITNESS WHEREOF, the undersigned has caused this Power of Attorney to be executed as of this 21st day of July, 2021.</w:t>
      </w:r>
    </w:p>
    <w:p>
      <w:pPr>
        <w:spacing w:after="0" w:line="2" w:lineRule="exact"/>
        <w:rPr>
          <w:rFonts w:ascii="Courier New" w:cs="Courier New" w:eastAsia="Courier New" w:hAnsi="Courier New"/>
          <w:sz w:val="13"/>
          <w:szCs w:val="13"/>
          <w:color w:val="auto"/>
        </w:rPr>
      </w:pPr>
    </w:p>
    <w:p>
      <w:pPr>
        <w:ind w:right="9280"/>
        <w:spacing w:after="0" w:line="243"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/s/ Nicole Neeman Brady Nicole Neeman Brady</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840954" TargetMode="External"/><Relationship Id="rId12"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2021-08-09T16:08:35Z</dcterms:created>
  <dcterms:modified xsi:type="dcterms:W3CDTF">2021-08-09T16:08:35Z</dcterms:modified>
</cp:coreProperties>
</file>