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579755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605155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6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November 5, 2024</w:t>
      </w:r>
    </w:p>
    <w:p>
      <w:pPr>
        <w:spacing w:after="0" w:line="18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8"/>
          <w:szCs w:val="28"/>
          <w:b w:val="1"/>
          <w:bCs w:val="1"/>
          <w:color w:val="auto"/>
        </w:rPr>
        <w:t>California Resources Corporation</w:t>
      </w:r>
    </w:p>
    <w:p>
      <w:pPr>
        <w:spacing w:after="0" w:line="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60"/>
          </w:cols>
          <w:pgMar w:left="320" w:top="1399" w:right="419" w:bottom="1440" w:gutter="0" w:footer="0" w:header="0"/>
        </w:sectPr>
      </w:pPr>
    </w:p>
    <w:p>
      <w:pPr>
        <w:spacing w:after="0" w:line="11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5"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001-36478</w:t>
      </w:r>
    </w:p>
    <w:p>
      <w:pPr>
        <w:spacing w:after="0" w:line="2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color w:val="auto"/>
        </w:rPr>
        <w:t>(Commission</w:t>
      </w:r>
    </w:p>
    <w:p>
      <w:pPr>
        <w:jc w:val="center"/>
        <w:ind w:right="190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46-5670947</w:t>
      </w:r>
    </w:p>
    <w:p>
      <w:pPr>
        <w:spacing w:after="0" w:line="2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2" w:lineRule="exact"/>
        <w:rPr>
          <w:sz w:val="24"/>
          <w:szCs w:val="24"/>
          <w:color w:val="auto"/>
        </w:rPr>
      </w:pPr>
    </w:p>
    <w:p>
      <w:pPr>
        <w:sectPr>
          <w:pgSz w:w="11900" w:h="16838" w:orient="portrait"/>
          <w:cols w:equalWidth="0" w:num="3">
            <w:col w:w="4380" w:space="720"/>
            <w:col w:w="2880" w:space="720"/>
            <w:col w:w="2460"/>
          </w:cols>
          <w:pgMar w:left="320" w:top="1399" w:right="419" w:bottom="1440" w:gutter="0" w:footer="0" w:header="0"/>
          <w:type w:val="continuous"/>
        </w:sect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1 World Trade Center</w:t>
      </w:r>
    </w:p>
    <w:p>
      <w:pPr>
        <w:spacing w:after="0" w:line="27"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Suite 1500</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Long Beach</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90831</w:t>
      </w:r>
    </w:p>
    <w:p>
      <w:pPr>
        <w:spacing w:after="0" w:line="27"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170" w:lineRule="exact"/>
        <w:rPr>
          <w:sz w:val="24"/>
          <w:szCs w:val="24"/>
          <w:color w:val="auto"/>
        </w:rPr>
      </w:pPr>
    </w:p>
    <w:p>
      <w:pPr>
        <w:sectPr>
          <w:pgSz w:w="11900" w:h="16838" w:orient="portrait"/>
          <w:cols w:equalWidth="0" w:num="2">
            <w:col w:w="7300" w:space="720"/>
            <w:col w:w="3140"/>
          </w:cols>
          <w:pgMar w:left="320" w:top="1399" w:right="41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68"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66" w:lineRule="exact"/>
        <w:rPr>
          <w:sz w:val="24"/>
          <w:szCs w:val="24"/>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70" w:lineRule="exact"/>
        <w:rPr>
          <w:sz w:val="24"/>
          <w:szCs w:val="24"/>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5"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2"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5"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60"/>
          </w:cols>
          <w:pgMar w:left="320" w:top="1399" w:right="419" w:bottom="1440" w:gutter="0" w:footer="0" w:header="0"/>
          <w:type w:val="continuous"/>
        </w:sectPr>
      </w:pPr>
    </w:p>
    <w:p>
      <w:pPr>
        <w:spacing w:after="0" w:line="12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3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3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CRC</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39"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60" w:lineRule="exact"/>
        <w:rPr>
          <w:sz w:val="24"/>
          <w:szCs w:val="24"/>
          <w:color w:val="auto"/>
        </w:rPr>
      </w:pPr>
    </w:p>
    <w:p>
      <w:pPr>
        <w:sectPr>
          <w:pgSz w:w="11900" w:h="16838" w:orient="portrait"/>
          <w:cols w:equalWidth="0" w:num="3">
            <w:col w:w="3480" w:space="720"/>
            <w:col w:w="2280" w:space="720"/>
            <w:col w:w="3960"/>
          </w:cols>
          <w:pgMar w:left="320" w:top="1399" w:right="419" w:bottom="1440" w:gutter="0" w:footer="0" w:header="0"/>
          <w:type w:val="continuous"/>
        </w:sectPr>
      </w:pPr>
    </w:p>
    <w:p>
      <w:pPr>
        <w:ind w:right="220"/>
        <w:spacing w:after="0" w:line="27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63"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29" w:lineRule="exact"/>
        <w:rPr>
          <w:sz w:val="24"/>
          <w:szCs w:val="24"/>
          <w:color w:val="auto"/>
        </w:rPr>
      </w:pPr>
    </w:p>
    <w:p>
      <w:pPr>
        <w:ind w:right="40"/>
        <w:spacing w:after="0" w:line="24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759460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205105</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230505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1399" w:right="419" w:bottom="1440" w:gutter="0" w:footer="0" w:header="0"/>
          <w:type w:val="continuous"/>
        </w:sectPr>
      </w:pPr>
    </w:p>
    <w:bookmarkStart w:id="1" w:name="page2"/>
    <w:bookmarkEnd w:id="1"/>
    <w:p>
      <w:pPr>
        <w:spacing w:after="0" w:line="30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November 5, 2024, California Resources Corporation (the “Company”) issued a press release announcing its financial condition and results of operations for the three and nine months ended September 30, 2024. A copy of the press release is furnished as Exhibit 99.1 to this report on Form 8-K, and is incorporated herein by reference.</w:t>
      </w:r>
    </w:p>
    <w:p>
      <w:pPr>
        <w:spacing w:after="0" w:line="17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2.02 and the exhibit hereto shall not be deemed to be “filed” for purposes of Section 18 of the Securities Exchange Act of 1934, as amended (the “Exchange Act”), and shall not be incorporated by reference into any filings made by the Company under the Securities Act of 1933, as amended, or the Exchange Act, except as may be expressly set forth by specific reference in such filing.</w:t>
      </w:r>
    </w:p>
    <w:p>
      <w:pPr>
        <w:spacing w:after="0" w:line="38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82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506"/>
        </w:trPr>
        <w:tc>
          <w:tcPr>
            <w:tcW w:w="244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820" w:type="dxa"/>
            <w:vAlign w:val="bottom"/>
          </w:tcPr>
          <w:p>
            <w:pPr>
              <w:spacing w:after="0"/>
              <w:rPr>
                <w:sz w:val="24"/>
                <w:szCs w:val="24"/>
                <w:color w:val="auto"/>
              </w:rPr>
            </w:pPr>
          </w:p>
        </w:tc>
        <w:tc>
          <w:tcPr>
            <w:tcW w:w="292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6"/>
        </w:trPr>
        <w:tc>
          <w:tcPr>
            <w:tcW w:w="2440" w:type="dxa"/>
            <w:vAlign w:val="bottom"/>
          </w:tcPr>
          <w:p>
            <w:pPr>
              <w:jc w:val="right"/>
              <w:ind w:right="971"/>
              <w:spacing w:after="0"/>
              <w:rPr>
                <w:sz w:val="20"/>
                <w:szCs w:val="20"/>
                <w:color w:val="auto"/>
              </w:rPr>
            </w:pPr>
            <w:r>
              <w:rPr>
                <w:rFonts w:ascii="Times New Roman" w:cs="Times New Roman" w:eastAsia="Times New Roman" w:hAnsi="Times New Roman"/>
                <w:sz w:val="18"/>
                <w:szCs w:val="18"/>
                <w:color w:val="auto"/>
              </w:rPr>
              <w:t>99.1</w:t>
            </w:r>
          </w:p>
        </w:tc>
        <w:tc>
          <w:tcPr>
            <w:tcW w:w="28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Press Release dated November 5, 2024.</w:t>
            </w:r>
          </w:p>
        </w:tc>
        <w:tc>
          <w:tcPr>
            <w:tcW w:w="2920" w:type="dxa"/>
            <w:vAlign w:val="bottom"/>
          </w:tcPr>
          <w:p>
            <w:pPr>
              <w:spacing w:after="0"/>
              <w:rPr>
                <w:sz w:val="19"/>
                <w:szCs w:val="19"/>
                <w:color w:val="auto"/>
              </w:rPr>
            </w:pPr>
          </w:p>
        </w:tc>
      </w:tr>
      <w:tr>
        <w:trPr>
          <w:trHeight w:val="287"/>
        </w:trPr>
        <w:tc>
          <w:tcPr>
            <w:tcW w:w="2440" w:type="dxa"/>
            <w:vAlign w:val="bottom"/>
          </w:tcPr>
          <w:p>
            <w:pPr>
              <w:jc w:val="right"/>
              <w:ind w:right="991"/>
              <w:spacing w:after="0"/>
              <w:rPr>
                <w:sz w:val="20"/>
                <w:szCs w:val="20"/>
                <w:color w:val="auto"/>
              </w:rPr>
            </w:pPr>
            <w:r>
              <w:rPr>
                <w:rFonts w:ascii="Times New Roman" w:cs="Times New Roman" w:eastAsia="Times New Roman" w:hAnsi="Times New Roman"/>
                <w:sz w:val="18"/>
                <w:szCs w:val="18"/>
                <w:color w:val="auto"/>
              </w:rPr>
              <w:t>104</w:t>
            </w: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1" w:lineRule="exact"/>
        <w:rPr>
          <w:sz w:val="20"/>
          <w:szCs w:val="20"/>
          <w:color w:val="auto"/>
        </w:rPr>
      </w:pPr>
    </w:p>
    <w:p>
      <w:pPr>
        <w:ind w:right="460" w:firstLine="640"/>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Michael L. Preston</w:t>
      </w:r>
    </w:p>
    <w:p>
      <w:pPr>
        <w:spacing w:after="0" w:line="25" w:lineRule="exact"/>
        <w:rPr>
          <w:sz w:val="20"/>
          <w:szCs w:val="20"/>
          <w:color w:val="auto"/>
        </w:rPr>
      </w:pPr>
    </w:p>
    <w:tbl>
      <w:tblPr>
        <w:tblLayout w:type="fixed"/>
        <w:tblInd w:w="4800" w:type="dxa"/>
        <w:tblCellMar>
          <w:top w:w="0" w:type="dxa"/>
          <w:left w:w="0" w:type="dxa"/>
          <w:bottom w:w="0" w:type="dxa"/>
          <w:right w:w="0" w:type="dxa"/>
        </w:tblCellMar>
      </w:tblPr>
      <w:tr>
        <w:trPr>
          <w:trHeight w:val="215"/>
        </w:trPr>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Michael L. Preston</w:t>
            </w:r>
          </w:p>
        </w:tc>
      </w:tr>
      <w:tr>
        <w:trPr>
          <w:trHeight w:val="246"/>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Strategy 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5, 2024</w:t>
      </w:r>
    </w:p>
    <w:p>
      <w:pPr>
        <w:sectPr>
          <w:pgSz w:w="11900" w:h="16838" w:orient="portrait"/>
          <w:cols w:equalWidth="0" w:num="1">
            <w:col w:w="11240"/>
          </w:cols>
          <w:pgMar w:left="320" w:top="1399"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4514850</wp:posOffset>
            </wp:positionH>
            <wp:positionV relativeFrom="page">
              <wp:posOffset>723900</wp:posOffset>
            </wp:positionV>
            <wp:extent cx="1624965" cy="4737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624965" cy="473710"/>
                    </a:xfrm>
                    <a:prstGeom prst="rect">
                      <a:avLst/>
                    </a:prstGeom>
                    <a:noFill/>
                  </pic:spPr>
                </pic:pic>
              </a:graphicData>
            </a:graphic>
          </wp:anchor>
        </w:drawing>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California Resources Reports Third Quarter 2024 Financial and Operating Results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Delivering Improved Capital Efficiencies and Advancing Leading Carbon Management Platform</w:t>
      </w:r>
    </w:p>
    <w:p>
      <w:pPr>
        <w:spacing w:after="0" w:line="21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b w:val="1"/>
          <w:bCs w:val="1"/>
          <w:color w:val="auto"/>
        </w:rPr>
        <w:t xml:space="preserve">LONG BEACH, California, November 5, 2024 </w:t>
      </w:r>
      <w:r>
        <w:rPr>
          <w:rFonts w:ascii="Arial" w:cs="Arial" w:eastAsia="Arial" w:hAnsi="Arial"/>
          <w:sz w:val="21"/>
          <w:szCs w:val="21"/>
          <w:color w:val="auto"/>
        </w:rPr>
        <w:t>- California Resources Corporation (NYSE: CRC) today reported</w:t>
      </w:r>
      <w:r>
        <w:rPr>
          <w:rFonts w:ascii="Arial" w:cs="Arial" w:eastAsia="Arial" w:hAnsi="Arial"/>
          <w:sz w:val="21"/>
          <w:szCs w:val="21"/>
          <w:b w:val="1"/>
          <w:bCs w:val="1"/>
          <w:color w:val="auto"/>
        </w:rPr>
        <w:t xml:space="preserve"> </w:t>
      </w:r>
      <w:r>
        <w:rPr>
          <w:rFonts w:ascii="Arial" w:cs="Arial" w:eastAsia="Arial" w:hAnsi="Arial"/>
          <w:sz w:val="21"/>
          <w:szCs w:val="21"/>
          <w:color w:val="auto"/>
        </w:rPr>
        <w:t>financial and operating results for the third quarter of 2024. The Company plans to host a conference call and webcast at 1 p.m. ET (10 a.m. PT) on Wednesday, November 6, 2024. Participation details can be found within this release. In addition, supplemental slides are available on CRC’s website at www.crc.com.</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Highlights</w:t>
      </w:r>
    </w:p>
    <w:p>
      <w:pPr>
        <w:spacing w:after="0" w:line="270" w:lineRule="exact"/>
        <w:rPr>
          <w:sz w:val="20"/>
          <w:szCs w:val="20"/>
          <w:color w:val="auto"/>
        </w:rPr>
      </w:pPr>
    </w:p>
    <w:p>
      <w:pPr>
        <w:ind w:left="640" w:hanging="314"/>
        <w:spacing w:after="0"/>
        <w:tabs>
          <w:tab w:leader="none" w:pos="640" w:val="left"/>
        </w:tabs>
        <w:numPr>
          <w:ilvl w:val="0"/>
          <w:numId w:val="2"/>
        </w:numPr>
        <w:rPr>
          <w:rFonts w:ascii="Arial" w:cs="Arial" w:eastAsia="Arial" w:hAnsi="Arial"/>
          <w:sz w:val="21"/>
          <w:szCs w:val="21"/>
          <w:color w:val="auto"/>
        </w:rPr>
      </w:pPr>
      <w:r>
        <w:rPr>
          <w:rFonts w:ascii="Arial" w:cs="Arial" w:eastAsia="Arial" w:hAnsi="Arial"/>
          <w:sz w:val="21"/>
          <w:szCs w:val="21"/>
          <w:color w:val="auto"/>
        </w:rPr>
        <w:t>Generated $345 million of net income, $137 million of adjusted net income</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and $402 million of adjusted</w:t>
      </w:r>
    </w:p>
    <w:p>
      <w:pPr>
        <w:ind w:left="640"/>
        <w:spacing w:after="0" w:line="206" w:lineRule="auto"/>
        <w:rPr>
          <w:rFonts w:ascii="Arial" w:cs="Arial" w:eastAsia="Arial" w:hAnsi="Arial"/>
          <w:sz w:val="21"/>
          <w:szCs w:val="21"/>
          <w:color w:val="auto"/>
        </w:rPr>
      </w:pPr>
      <w:r>
        <w:rPr>
          <w:rFonts w:ascii="Arial" w:cs="Arial" w:eastAsia="Arial" w:hAnsi="Arial"/>
          <w:sz w:val="21"/>
          <w:szCs w:val="21"/>
          <w:color w:val="auto"/>
        </w:rPr>
        <w:t>EBITDAX</w:t>
      </w:r>
      <w:r>
        <w:rPr>
          <w:rFonts w:ascii="Arial" w:cs="Arial" w:eastAsia="Arial" w:hAnsi="Arial"/>
          <w:sz w:val="27"/>
          <w:szCs w:val="27"/>
          <w:color w:val="auto"/>
          <w:vertAlign w:val="superscript"/>
        </w:rPr>
        <w:t>1</w:t>
      </w:r>
    </w:p>
    <w:p>
      <w:pPr>
        <w:ind w:left="640" w:right="20" w:hanging="314"/>
        <w:spacing w:after="0" w:line="243" w:lineRule="auto"/>
        <w:tabs>
          <w:tab w:leader="none" w:pos="635" w:val="left"/>
        </w:tabs>
        <w:numPr>
          <w:ilvl w:val="0"/>
          <w:numId w:val="2"/>
        </w:numPr>
        <w:rPr>
          <w:rFonts w:ascii="Arial" w:cs="Arial" w:eastAsia="Arial" w:hAnsi="Arial"/>
          <w:sz w:val="21"/>
          <w:szCs w:val="21"/>
          <w:color w:val="auto"/>
        </w:rPr>
      </w:pPr>
      <w:r>
        <w:rPr>
          <w:rFonts w:ascii="Arial" w:cs="Arial" w:eastAsia="Arial" w:hAnsi="Arial"/>
          <w:sz w:val="21"/>
          <w:szCs w:val="21"/>
          <w:color w:val="auto"/>
        </w:rPr>
        <w:t>Generated $220 million of net cash provided by operating activities, $249 million of net cash provided by operating activities before changes in operating assets and liabilities</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and $141 million of free cash flow</w:t>
      </w:r>
      <w:r>
        <w:rPr>
          <w:rFonts w:ascii="Arial" w:cs="Arial" w:eastAsia="Arial" w:hAnsi="Arial"/>
          <w:sz w:val="27"/>
          <w:szCs w:val="27"/>
          <w:color w:val="auto"/>
          <w:vertAlign w:val="superscript"/>
        </w:rPr>
        <w:t>1</w:t>
      </w:r>
    </w:p>
    <w:p>
      <w:pPr>
        <w:jc w:val="both"/>
        <w:ind w:left="640" w:hanging="314"/>
        <w:spacing w:after="0" w:line="271" w:lineRule="auto"/>
        <w:tabs>
          <w:tab w:leader="none" w:pos="635" w:val="left"/>
        </w:tabs>
        <w:numPr>
          <w:ilvl w:val="0"/>
          <w:numId w:val="2"/>
        </w:numPr>
        <w:rPr>
          <w:rFonts w:ascii="Arial" w:cs="Arial" w:eastAsia="Arial" w:hAnsi="Arial"/>
          <w:sz w:val="21"/>
          <w:szCs w:val="21"/>
          <w:color w:val="auto"/>
        </w:rPr>
      </w:pPr>
      <w:r>
        <w:rPr>
          <w:rFonts w:ascii="Arial" w:cs="Arial" w:eastAsia="Arial" w:hAnsi="Arial"/>
          <w:sz w:val="21"/>
          <w:szCs w:val="21"/>
          <w:color w:val="auto"/>
        </w:rPr>
        <w:t>Strong third quarter 2024 average net production sold of 145 thousand barrels of oil equivalent per day (MBoe/d) and average net oil production sold of 113 thousand barrels of oil per day (MBo/d). Drilling and workover capital investments were $38 million</w:t>
      </w:r>
    </w:p>
    <w:p>
      <w:pPr>
        <w:spacing w:after="0" w:line="2" w:lineRule="exact"/>
        <w:rPr>
          <w:rFonts w:ascii="Arial" w:cs="Arial" w:eastAsia="Arial" w:hAnsi="Arial"/>
          <w:sz w:val="21"/>
          <w:szCs w:val="21"/>
          <w:color w:val="auto"/>
        </w:rPr>
      </w:pPr>
    </w:p>
    <w:p>
      <w:pPr>
        <w:jc w:val="both"/>
        <w:ind w:left="640" w:hanging="314"/>
        <w:spacing w:after="0" w:line="249" w:lineRule="auto"/>
        <w:tabs>
          <w:tab w:leader="none" w:pos="635" w:val="left"/>
        </w:tabs>
        <w:numPr>
          <w:ilvl w:val="0"/>
          <w:numId w:val="2"/>
        </w:numPr>
        <w:rPr>
          <w:rFonts w:ascii="Arial" w:cs="Arial" w:eastAsia="Arial" w:hAnsi="Arial"/>
          <w:sz w:val="21"/>
          <w:szCs w:val="21"/>
          <w:color w:val="auto"/>
        </w:rPr>
      </w:pPr>
      <w:r>
        <w:rPr>
          <w:rFonts w:ascii="Arial" w:cs="Arial" w:eastAsia="Arial" w:hAnsi="Arial"/>
          <w:sz w:val="21"/>
          <w:szCs w:val="21"/>
          <w:color w:val="auto"/>
        </w:rPr>
        <w:t>On-track to deliver approximately $235 million in targeted Aera merger-related synergies by the third quarter of 2025 with $135 million of synergies actioned to date including a reduction of $60 million</w:t>
      </w:r>
      <w:r>
        <w:rPr>
          <w:rFonts w:ascii="Arial" w:cs="Arial" w:eastAsia="Arial" w:hAnsi="Arial"/>
          <w:sz w:val="27"/>
          <w:szCs w:val="27"/>
          <w:color w:val="auto"/>
          <w:vertAlign w:val="superscript"/>
        </w:rPr>
        <w:t>2</w:t>
      </w:r>
      <w:r>
        <w:rPr>
          <w:rFonts w:ascii="Arial" w:cs="Arial" w:eastAsia="Arial" w:hAnsi="Arial"/>
          <w:sz w:val="21"/>
          <w:szCs w:val="21"/>
          <w:color w:val="auto"/>
        </w:rPr>
        <w:t xml:space="preserve"> in annual interest expense</w:t>
      </w:r>
    </w:p>
    <w:p>
      <w:pPr>
        <w:spacing w:after="0" w:line="3" w:lineRule="exact"/>
        <w:rPr>
          <w:rFonts w:ascii="Arial" w:cs="Arial" w:eastAsia="Arial" w:hAnsi="Arial"/>
          <w:sz w:val="21"/>
          <w:szCs w:val="21"/>
          <w:color w:val="auto"/>
        </w:rPr>
      </w:pPr>
    </w:p>
    <w:p>
      <w:pPr>
        <w:ind w:left="640" w:hanging="314"/>
        <w:spacing w:after="0" w:line="243" w:lineRule="auto"/>
        <w:tabs>
          <w:tab w:leader="none" w:pos="635" w:val="left"/>
        </w:tabs>
        <w:numPr>
          <w:ilvl w:val="0"/>
          <w:numId w:val="2"/>
        </w:numPr>
        <w:rPr>
          <w:rFonts w:ascii="Arial" w:cs="Arial" w:eastAsia="Arial" w:hAnsi="Arial"/>
          <w:sz w:val="21"/>
          <w:szCs w:val="21"/>
          <w:color w:val="auto"/>
        </w:rPr>
      </w:pPr>
      <w:r>
        <w:rPr>
          <w:rFonts w:ascii="Arial" w:cs="Arial" w:eastAsia="Arial" w:hAnsi="Arial"/>
          <w:sz w:val="21"/>
          <w:szCs w:val="21"/>
          <w:color w:val="auto"/>
        </w:rPr>
        <w:t>Returned 54% of quarterly free cash flow</w:t>
      </w:r>
      <w:r>
        <w:rPr>
          <w:rFonts w:ascii="Arial" w:cs="Arial" w:eastAsia="Arial" w:hAnsi="Arial"/>
          <w:sz w:val="27"/>
          <w:szCs w:val="27"/>
          <w:color w:val="auto"/>
          <w:vertAlign w:val="superscript"/>
        </w:rPr>
        <w:t>1</w:t>
      </w:r>
      <w:r>
        <w:rPr>
          <w:rFonts w:ascii="Arial" w:cs="Arial" w:eastAsia="Arial" w:hAnsi="Arial"/>
          <w:sz w:val="21"/>
          <w:szCs w:val="21"/>
          <w:color w:val="auto"/>
        </w:rPr>
        <w:t>, or $76 million, to shareholders including $42 million in share repurchases and $34 million in dividends</w:t>
      </w:r>
    </w:p>
    <w:p>
      <w:pPr>
        <w:jc w:val="both"/>
        <w:ind w:left="640" w:hanging="314"/>
        <w:spacing w:after="0" w:line="273" w:lineRule="auto"/>
        <w:tabs>
          <w:tab w:leader="none" w:pos="635" w:val="left"/>
        </w:tabs>
        <w:numPr>
          <w:ilvl w:val="0"/>
          <w:numId w:val="2"/>
        </w:numPr>
        <w:rPr>
          <w:rFonts w:ascii="Arial" w:cs="Arial" w:eastAsia="Arial" w:hAnsi="Arial"/>
          <w:sz w:val="21"/>
          <w:szCs w:val="21"/>
          <w:color w:val="auto"/>
        </w:rPr>
      </w:pPr>
      <w:r>
        <w:rPr>
          <w:rFonts w:ascii="Arial" w:cs="Arial" w:eastAsia="Arial" w:hAnsi="Arial"/>
          <w:sz w:val="21"/>
          <w:szCs w:val="21"/>
          <w:color w:val="auto"/>
        </w:rPr>
        <w:t>Optimized capital structure and extended maturities through recent $300 million follow-on offering of 8.250% senior notes due 2029 (2029 Senior Notes) and subsequent tender of $300 million 7.125% senior notes due 2026 (2026 Senior Notes)</w:t>
      </w:r>
    </w:p>
    <w:p>
      <w:pPr>
        <w:spacing w:after="0" w:line="2" w:lineRule="exact"/>
        <w:rPr>
          <w:rFonts w:ascii="Arial" w:cs="Arial" w:eastAsia="Arial" w:hAnsi="Arial"/>
          <w:sz w:val="21"/>
          <w:szCs w:val="21"/>
          <w:color w:val="auto"/>
        </w:rPr>
      </w:pPr>
    </w:p>
    <w:p>
      <w:pPr>
        <w:ind w:left="640" w:hanging="314"/>
        <w:spacing w:after="0" w:line="230" w:lineRule="auto"/>
        <w:tabs>
          <w:tab w:leader="none" w:pos="640" w:val="left"/>
        </w:tabs>
        <w:numPr>
          <w:ilvl w:val="0"/>
          <w:numId w:val="2"/>
        </w:numPr>
        <w:rPr>
          <w:rFonts w:ascii="Arial" w:cs="Arial" w:eastAsia="Arial" w:hAnsi="Arial"/>
          <w:sz w:val="21"/>
          <w:szCs w:val="21"/>
          <w:color w:val="auto"/>
        </w:rPr>
      </w:pPr>
      <w:r>
        <w:rPr>
          <w:rFonts w:ascii="Arial" w:cs="Arial" w:eastAsia="Arial" w:hAnsi="Arial"/>
          <w:sz w:val="21"/>
          <w:szCs w:val="21"/>
          <w:color w:val="auto"/>
        </w:rPr>
        <w:t>Exited the quarter with $213 million in cash and cash equivalents and $1,138 million of liquidity</w:t>
      </w:r>
      <w:r>
        <w:rPr>
          <w:rFonts w:ascii="Arial" w:cs="Arial" w:eastAsia="Arial" w:hAnsi="Arial"/>
          <w:sz w:val="27"/>
          <w:szCs w:val="27"/>
          <w:color w:val="auto"/>
          <w:vertAlign w:val="superscript"/>
        </w:rPr>
        <w:t>3</w:t>
      </w:r>
    </w:p>
    <w:p>
      <w:pPr>
        <w:spacing w:after="0" w:line="1" w:lineRule="exact"/>
        <w:rPr>
          <w:rFonts w:ascii="Arial" w:cs="Arial" w:eastAsia="Arial" w:hAnsi="Arial"/>
          <w:sz w:val="21"/>
          <w:szCs w:val="21"/>
          <w:color w:val="auto"/>
        </w:rPr>
      </w:pPr>
    </w:p>
    <w:p>
      <w:pPr>
        <w:jc w:val="both"/>
        <w:ind w:left="640" w:hanging="314"/>
        <w:spacing w:after="0" w:line="255" w:lineRule="auto"/>
        <w:tabs>
          <w:tab w:leader="none" w:pos="635" w:val="left"/>
        </w:tabs>
        <w:numPr>
          <w:ilvl w:val="0"/>
          <w:numId w:val="2"/>
        </w:numPr>
        <w:rPr>
          <w:rFonts w:ascii="Arial" w:cs="Arial" w:eastAsia="Arial" w:hAnsi="Arial"/>
          <w:sz w:val="21"/>
          <w:szCs w:val="21"/>
          <w:color w:val="auto"/>
        </w:rPr>
      </w:pPr>
      <w:r>
        <w:rPr>
          <w:rFonts w:ascii="Arial" w:cs="Arial" w:eastAsia="Arial" w:hAnsi="Arial"/>
          <w:sz w:val="21"/>
          <w:szCs w:val="21"/>
          <w:color w:val="auto"/>
        </w:rPr>
        <w:t>Received California's first conditional use permits for Carbon TerraVault I CCS project in Kern County and signed a memorandum of understanding</w:t>
      </w:r>
      <w:r>
        <w:rPr>
          <w:rFonts w:ascii="Arial" w:cs="Arial" w:eastAsia="Arial" w:hAnsi="Arial"/>
          <w:sz w:val="27"/>
          <w:szCs w:val="27"/>
          <w:color w:val="auto"/>
          <w:vertAlign w:val="superscript"/>
        </w:rPr>
        <w:t>4</w:t>
      </w:r>
      <w:r>
        <w:rPr>
          <w:rFonts w:ascii="Arial" w:cs="Arial" w:eastAsia="Arial" w:hAnsi="Arial"/>
          <w:sz w:val="21"/>
          <w:szCs w:val="21"/>
          <w:color w:val="auto"/>
        </w:rPr>
        <w:t xml:space="preserve"> (MOU) to develop carbon capture and storage (CCS) solutions with Hull Street Energy LLC, a leading California power partner. </w:t>
      </w:r>
      <w:r>
        <w:rPr>
          <w:rFonts w:ascii="Arial" w:cs="Arial" w:eastAsia="Arial" w:hAnsi="Arial"/>
          <w:sz w:val="21"/>
          <w:szCs w:val="21"/>
          <w:i w:val="1"/>
          <w:iCs w:val="1"/>
          <w:color w:val="auto"/>
        </w:rPr>
        <w:t>See Carbon TerraVault's Third Quarter 2024 Update</w:t>
      </w:r>
      <w:r>
        <w:rPr>
          <w:rFonts w:ascii="Arial" w:cs="Arial" w:eastAsia="Arial" w:hAnsi="Arial"/>
          <w:sz w:val="21"/>
          <w:szCs w:val="21"/>
          <w:color w:val="auto"/>
        </w:rPr>
        <w:t xml:space="preserve"> </w:t>
      </w:r>
      <w:r>
        <w:rPr>
          <w:rFonts w:ascii="Arial" w:cs="Arial" w:eastAsia="Arial" w:hAnsi="Arial"/>
          <w:sz w:val="21"/>
          <w:szCs w:val="21"/>
          <w:i w:val="1"/>
          <w:iCs w:val="1"/>
          <w:color w:val="auto"/>
        </w:rPr>
        <w:t>for additional information</w:t>
      </w:r>
    </w:p>
    <w:p>
      <w:pPr>
        <w:spacing w:after="0" w:line="213"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"Our performance this year has been strong and we have positioned CRC for long term value creation into the future," said Francisco Leon, CRC's President and Chief Executive Officer. "Today, CRC is bigger, stronger, and more sustainable. We continue to demonstrate that we are a different kind of energy company. I am really proud of our teams and the Aera integration. We are capturing meaningful synergies, enhancing operating efficiencies and advancing new growth opportunities. The Kern County Board of Supervisors’ approval of the conditional use permits for our CTV I project and a recent MOU with a leading power partner are a testament to our team's relentless pursuit of growing our carbon business. As we look to 2025, our hedge positions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240"/>
          </w:cols>
          <w:pgMar w:left="320" w:top="1440" w:right="339" w:bottom="1440" w:gutter="0" w:footer="0" w:header="0"/>
        </w:sectPr>
      </w:pPr>
    </w:p>
    <w:bookmarkStart w:id="4" w:name="page5"/>
    <w:bookmarkEnd w:id="4"/>
    <w:p>
      <w:pPr>
        <w:ind w:right="1040"/>
        <w:spacing w:after="0" w:line="476" w:lineRule="auto"/>
        <w:rPr>
          <w:sz w:val="20"/>
          <w:szCs w:val="20"/>
          <w:color w:val="auto"/>
        </w:rPr>
      </w:pPr>
      <w:r>
        <w:rPr>
          <w:rFonts w:ascii="Arial" w:cs="Arial" w:eastAsia="Arial" w:hAnsi="Arial"/>
          <w:sz w:val="21"/>
          <w:szCs w:val="21"/>
          <w:color w:val="auto"/>
        </w:rPr>
        <w:t xml:space="preserve">underpin near-term cash flows and will allow for continued debt reduction and cash returns to shareholders." </w:t>
      </w:r>
      <w:r>
        <w:rPr>
          <w:rFonts w:ascii="Arial" w:cs="Arial" w:eastAsia="Arial" w:hAnsi="Arial"/>
          <w:sz w:val="21"/>
          <w:szCs w:val="21"/>
          <w:b w:val="1"/>
          <w:bCs w:val="1"/>
          <w:u w:val="single" w:color="auto"/>
          <w:color w:val="auto"/>
        </w:rPr>
        <w:t>Third Quarter 2024 Financial and Operating Summary</w:t>
      </w:r>
    </w:p>
    <w:p>
      <w:pPr>
        <w:spacing w:after="0" w:line="2" w:lineRule="exact"/>
        <w:rPr>
          <w:sz w:val="20"/>
          <w:szCs w:val="20"/>
          <w:color w:val="auto"/>
        </w:rPr>
      </w:pPr>
    </w:p>
    <w:p>
      <w:pPr>
        <w:jc w:val="both"/>
        <w:ind w:firstLine="320"/>
        <w:spacing w:after="0" w:line="292" w:lineRule="auto"/>
        <w:rPr>
          <w:sz w:val="20"/>
          <w:szCs w:val="20"/>
          <w:color w:val="auto"/>
        </w:rPr>
      </w:pPr>
      <w:r>
        <w:rPr>
          <w:rFonts w:ascii="Arial" w:cs="Arial" w:eastAsia="Arial" w:hAnsi="Arial"/>
          <w:sz w:val="21"/>
          <w:szCs w:val="21"/>
          <w:color w:val="auto"/>
        </w:rPr>
        <w:t>CRC reported net income of $345 million, or $3.78 per fully diluted share of common stock, and adjusted net income</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of $137 million, or $1.50 per fully diluted share. Net cash provided by operating activities was $220 million.</w:t>
      </w:r>
    </w:p>
    <w:p>
      <w:pPr>
        <w:spacing w:after="0" w:line="48"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21"/>
          <w:szCs w:val="21"/>
          <w:color w:val="auto"/>
        </w:rPr>
        <w:t>Transaction and integration costs related to the Aera merger decreased third quarter 2024 cash flow from operations by $57 million. Employee severance and related costs during the three months ended September 30, 2024 were $27 million. CRC expects to pay severance costs of approximately $25 million in the fourth quarter of 2024 and the remaining amounts throughout 2025 as the workforce reduction will be achieved in stages due to transition periods.</w:t>
      </w:r>
    </w:p>
    <w:p>
      <w:pPr>
        <w:spacing w:after="0" w:line="192"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21"/>
          <w:szCs w:val="21"/>
          <w:color w:val="auto"/>
        </w:rPr>
        <w:t>Gross production averaged 165 MBoe/d and net production sold averaged 145 MBoe/d, including net oil production sold of 113 MBo/d. Net oil production was positively impacted by approximately 1 MBo/d, as compared to the second quarter of 2024, a result CRC's production-sharing contracts (PSCs). Average realized oil prices were 98% of Brent.</w:t>
      </w:r>
    </w:p>
    <w:p>
      <w:pPr>
        <w:spacing w:after="0" w:line="181" w:lineRule="exact"/>
        <w:rPr>
          <w:sz w:val="20"/>
          <w:szCs w:val="20"/>
          <w:color w:val="auto"/>
        </w:rPr>
      </w:pPr>
    </w:p>
    <w:p>
      <w:pPr>
        <w:jc w:val="both"/>
        <w:ind w:firstLine="320"/>
        <w:spacing w:after="0" w:line="277" w:lineRule="auto"/>
        <w:rPr>
          <w:sz w:val="20"/>
          <w:szCs w:val="20"/>
          <w:color w:val="auto"/>
        </w:rPr>
      </w:pPr>
      <w:r>
        <w:rPr>
          <w:rFonts w:ascii="Arial" w:cs="Arial" w:eastAsia="Arial" w:hAnsi="Arial"/>
          <w:sz w:val="21"/>
          <w:szCs w:val="21"/>
          <w:color w:val="auto"/>
        </w:rPr>
        <w:t>Operating costs of $311 million reflected reduced activity levels, lower natural gas prices and the early realization of Aera merger-related synergies.</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21"/>
          <w:szCs w:val="21"/>
          <w:color w:val="auto"/>
        </w:rPr>
        <w:t>Capital investments of $79 million were lower than guidance primarily due to high-grading of workover capital.</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Selected Production, Price Information and Results of Operations</w:t>
            </w:r>
          </w:p>
        </w:tc>
        <w:tc>
          <w:tcPr>
            <w:tcW w:w="2480" w:type="dxa"/>
            <w:vAlign w:val="bottom"/>
            <w:tcBorders>
              <w:top w:val="single" w:sz="8" w:color="DBDBDB"/>
            </w:tcBorders>
            <w:shd w:val="clear" w:color="auto" w:fill="DBDBDB"/>
          </w:tcPr>
          <w:p>
            <w:pPr>
              <w:spacing w:after="0"/>
              <w:rPr>
                <w:sz w:val="17"/>
                <w:szCs w:val="17"/>
                <w:color w:val="auto"/>
              </w:rPr>
            </w:pPr>
          </w:p>
        </w:tc>
        <w:tc>
          <w:tcPr>
            <w:tcW w:w="140" w:type="dxa"/>
            <w:vAlign w:val="bottom"/>
            <w:tcBorders>
              <w:top w:val="single" w:sz="8" w:color="auto"/>
            </w:tcBorders>
            <w:shd w:val="clear" w:color="auto" w:fill="DBDBDB"/>
          </w:tcPr>
          <w:p>
            <w:pPr>
              <w:spacing w:after="0"/>
              <w:rPr>
                <w:sz w:val="17"/>
                <w:szCs w:val="17"/>
                <w:color w:val="auto"/>
              </w:rPr>
            </w:pPr>
          </w:p>
        </w:tc>
        <w:tc>
          <w:tcPr>
            <w:tcW w:w="1020" w:type="dxa"/>
            <w:vAlign w:val="bottom"/>
            <w:tcBorders>
              <w:top w:val="single" w:sz="8" w:color="auto"/>
            </w:tcBorders>
            <w:shd w:val="clear" w:color="auto" w:fill="DBDBDB"/>
          </w:tcPr>
          <w:p>
            <w:pPr>
              <w:jc w:val="right"/>
              <w:ind w:right="129"/>
              <w:spacing w:after="0"/>
              <w:rPr>
                <w:sz w:val="20"/>
                <w:szCs w:val="20"/>
                <w:color w:val="auto"/>
              </w:rPr>
            </w:pPr>
            <w:r>
              <w:rPr>
                <w:rFonts w:ascii="Arial" w:cs="Arial" w:eastAsia="Arial" w:hAnsi="Arial"/>
                <w:sz w:val="14"/>
                <w:szCs w:val="14"/>
                <w:b w:val="1"/>
                <w:bCs w:val="1"/>
                <w:color w:val="auto"/>
              </w:rPr>
              <w:t>3rd Quarter</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shd w:val="clear" w:color="auto" w:fill="DBDBDB"/>
          </w:tcPr>
          <w:p>
            <w:pPr>
              <w:spacing w:after="0"/>
              <w:rPr>
                <w:sz w:val="17"/>
                <w:szCs w:val="17"/>
                <w:color w:val="auto"/>
              </w:rPr>
            </w:pPr>
          </w:p>
        </w:tc>
        <w:tc>
          <w:tcPr>
            <w:tcW w:w="1000" w:type="dxa"/>
            <w:vAlign w:val="bottom"/>
            <w:tcBorders>
              <w:top w:val="single" w:sz="8" w:color="auto"/>
            </w:tcBorders>
            <w:shd w:val="clear" w:color="auto" w:fill="DBDBDB"/>
          </w:tcPr>
          <w:p>
            <w:pPr>
              <w:jc w:val="right"/>
              <w:ind w:right="129"/>
              <w:spacing w:after="0"/>
              <w:rPr>
                <w:sz w:val="20"/>
                <w:szCs w:val="20"/>
                <w:color w:val="auto"/>
              </w:rPr>
            </w:pPr>
            <w:r>
              <w:rPr>
                <w:rFonts w:ascii="Arial" w:cs="Arial" w:eastAsia="Arial" w:hAnsi="Arial"/>
                <w:sz w:val="14"/>
                <w:szCs w:val="14"/>
                <w:color w:val="auto"/>
              </w:rPr>
              <w:t>2nd Quarter</w:t>
            </w:r>
          </w:p>
        </w:tc>
      </w:tr>
      <w:tr>
        <w:trPr>
          <w:trHeight w:val="201"/>
        </w:trPr>
        <w:tc>
          <w:tcPr>
            <w:tcW w:w="61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 in millions)</w:t>
            </w:r>
          </w:p>
        </w:tc>
        <w:tc>
          <w:tcPr>
            <w:tcW w:w="2480" w:type="dxa"/>
            <w:vAlign w:val="bottom"/>
            <w:tcBorders>
              <w:bottom w:val="single" w:sz="8" w:color="auto"/>
            </w:tcBorders>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ind w:right="349"/>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ind w:right="349"/>
              <w:spacing w:after="0"/>
              <w:rPr>
                <w:sz w:val="20"/>
                <w:szCs w:val="20"/>
                <w:color w:val="auto"/>
              </w:rPr>
            </w:pPr>
            <w:r>
              <w:rPr>
                <w:rFonts w:ascii="Arial" w:cs="Arial" w:eastAsia="Arial" w:hAnsi="Arial"/>
                <w:sz w:val="14"/>
                <w:szCs w:val="14"/>
                <w:color w:val="auto"/>
              </w:rPr>
              <w:t>2024</w:t>
            </w:r>
          </w:p>
        </w:tc>
      </w:tr>
      <w:tr>
        <w:trPr>
          <w:trHeight w:val="326"/>
        </w:trPr>
        <w:tc>
          <w:tcPr>
            <w:tcW w:w="6160" w:type="dxa"/>
            <w:vAlign w:val="bottom"/>
          </w:tcPr>
          <w:p>
            <w:pPr>
              <w:ind w:left="20"/>
              <w:spacing w:after="0"/>
              <w:rPr>
                <w:sz w:val="20"/>
                <w:szCs w:val="20"/>
                <w:color w:val="auto"/>
              </w:rPr>
            </w:pPr>
            <w:r>
              <w:rPr>
                <w:rFonts w:ascii="Arial" w:cs="Arial" w:eastAsia="Arial" w:hAnsi="Arial"/>
                <w:sz w:val="14"/>
                <w:szCs w:val="14"/>
                <w:color w:val="auto"/>
              </w:rPr>
              <w:t>Net oil production sold per day (MBbl/d)</w:t>
            </w:r>
          </w:p>
        </w:tc>
        <w:tc>
          <w:tcPr>
            <w:tcW w:w="2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113</w:t>
            </w: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200"/>
        </w:trPr>
        <w:tc>
          <w:tcPr>
            <w:tcW w:w="6160" w:type="dxa"/>
            <w:vAlign w:val="bottom"/>
          </w:tcPr>
          <w:p>
            <w:pPr>
              <w:ind w:left="240"/>
              <w:spacing w:after="0"/>
              <w:rPr>
                <w:sz w:val="20"/>
                <w:szCs w:val="20"/>
                <w:color w:val="auto"/>
              </w:rPr>
            </w:pPr>
            <w:r>
              <w:rPr>
                <w:rFonts w:ascii="Arial" w:cs="Arial" w:eastAsia="Arial" w:hAnsi="Arial"/>
                <w:sz w:val="14"/>
                <w:szCs w:val="14"/>
                <w:color w:val="auto"/>
              </w:rPr>
              <w:t>Realized oil price with derivative settlements ($ per Bbl)</w:t>
            </w:r>
          </w:p>
        </w:tc>
        <w:tc>
          <w:tcPr>
            <w:tcW w:w="26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75.38</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81.29</w:t>
            </w:r>
          </w:p>
        </w:tc>
      </w:tr>
      <w:tr>
        <w:trPr>
          <w:trHeight w:val="200"/>
        </w:trPr>
        <w:tc>
          <w:tcPr>
            <w:tcW w:w="6160" w:type="dxa"/>
            <w:vAlign w:val="bottom"/>
          </w:tcPr>
          <w:p>
            <w:pPr>
              <w:ind w:left="20"/>
              <w:spacing w:after="0"/>
              <w:rPr>
                <w:sz w:val="20"/>
                <w:szCs w:val="20"/>
                <w:color w:val="auto"/>
              </w:rPr>
            </w:pPr>
            <w:r>
              <w:rPr>
                <w:rFonts w:ascii="Arial" w:cs="Arial" w:eastAsia="Arial" w:hAnsi="Arial"/>
                <w:sz w:val="14"/>
                <w:szCs w:val="14"/>
                <w:color w:val="auto"/>
              </w:rPr>
              <w:t>Net NGL production sold per day (MBbl/d)</w:t>
            </w:r>
          </w:p>
        </w:tc>
        <w:tc>
          <w:tcPr>
            <w:tcW w:w="2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00"/>
        </w:trPr>
        <w:tc>
          <w:tcPr>
            <w:tcW w:w="6160" w:type="dxa"/>
            <w:vAlign w:val="bottom"/>
          </w:tcPr>
          <w:p>
            <w:pPr>
              <w:ind w:left="240"/>
              <w:spacing w:after="0"/>
              <w:rPr>
                <w:sz w:val="20"/>
                <w:szCs w:val="20"/>
                <w:color w:val="auto"/>
              </w:rPr>
            </w:pPr>
            <w:r>
              <w:rPr>
                <w:rFonts w:ascii="Arial" w:cs="Arial" w:eastAsia="Arial" w:hAnsi="Arial"/>
                <w:sz w:val="14"/>
                <w:szCs w:val="14"/>
                <w:color w:val="auto"/>
              </w:rPr>
              <w:t>Realized NGL price ($ per Bbl)</w:t>
            </w:r>
          </w:p>
        </w:tc>
        <w:tc>
          <w:tcPr>
            <w:tcW w:w="26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45.77</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46.96</w:t>
            </w:r>
          </w:p>
        </w:tc>
      </w:tr>
      <w:tr>
        <w:trPr>
          <w:trHeight w:val="200"/>
        </w:trPr>
        <w:tc>
          <w:tcPr>
            <w:tcW w:w="6160" w:type="dxa"/>
            <w:vAlign w:val="bottom"/>
          </w:tcPr>
          <w:p>
            <w:pPr>
              <w:ind w:left="20"/>
              <w:spacing w:after="0"/>
              <w:rPr>
                <w:sz w:val="20"/>
                <w:szCs w:val="20"/>
                <w:color w:val="auto"/>
              </w:rPr>
            </w:pPr>
            <w:r>
              <w:rPr>
                <w:rFonts w:ascii="Arial" w:cs="Arial" w:eastAsia="Arial" w:hAnsi="Arial"/>
                <w:sz w:val="14"/>
                <w:szCs w:val="14"/>
                <w:color w:val="auto"/>
              </w:rPr>
              <w:t>Net natural gas production sold per day (Mmcf/d)</w:t>
            </w:r>
          </w:p>
        </w:tc>
        <w:tc>
          <w:tcPr>
            <w:tcW w:w="2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126</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114</w:t>
            </w:r>
          </w:p>
        </w:tc>
      </w:tr>
      <w:tr>
        <w:trPr>
          <w:trHeight w:val="200"/>
        </w:trPr>
        <w:tc>
          <w:tcPr>
            <w:tcW w:w="6160" w:type="dxa"/>
            <w:vAlign w:val="bottom"/>
          </w:tcPr>
          <w:p>
            <w:pPr>
              <w:ind w:left="240"/>
              <w:spacing w:after="0"/>
              <w:rPr>
                <w:sz w:val="20"/>
                <w:szCs w:val="20"/>
                <w:color w:val="auto"/>
              </w:rPr>
            </w:pPr>
            <w:r>
              <w:rPr>
                <w:rFonts w:ascii="Arial" w:cs="Arial" w:eastAsia="Arial" w:hAnsi="Arial"/>
                <w:sz w:val="14"/>
                <w:szCs w:val="14"/>
                <w:color w:val="auto"/>
              </w:rPr>
              <w:t>Realized natural gas price with derivative settlements ($ per Mcf)</w:t>
            </w:r>
          </w:p>
        </w:tc>
        <w:tc>
          <w:tcPr>
            <w:tcW w:w="26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2.68</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1.78</w:t>
            </w:r>
          </w:p>
        </w:tc>
      </w:tr>
      <w:tr>
        <w:trPr>
          <w:trHeight w:val="200"/>
        </w:trPr>
        <w:tc>
          <w:tcPr>
            <w:tcW w:w="6160" w:type="dxa"/>
            <w:vAlign w:val="bottom"/>
          </w:tcPr>
          <w:p>
            <w:pPr>
              <w:ind w:left="20"/>
              <w:spacing w:after="0"/>
              <w:rPr>
                <w:sz w:val="20"/>
                <w:szCs w:val="20"/>
                <w:color w:val="auto"/>
              </w:rPr>
            </w:pPr>
            <w:r>
              <w:rPr>
                <w:rFonts w:ascii="Arial" w:cs="Arial" w:eastAsia="Arial" w:hAnsi="Arial"/>
                <w:sz w:val="14"/>
                <w:szCs w:val="14"/>
                <w:color w:val="auto"/>
              </w:rPr>
              <w:t>Net total production sold per day (MBoe/d)</w:t>
            </w:r>
          </w:p>
        </w:tc>
        <w:tc>
          <w:tcPr>
            <w:tcW w:w="2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145</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76</w:t>
            </w:r>
          </w:p>
        </w:tc>
      </w:tr>
      <w:tr>
        <w:trPr>
          <w:trHeight w:val="296"/>
        </w:trPr>
        <w:tc>
          <w:tcPr>
            <w:tcW w:w="6160" w:type="dxa"/>
            <w:vAlign w:val="bottom"/>
          </w:tcPr>
          <w:p>
            <w:pPr>
              <w:ind w:left="20"/>
              <w:spacing w:after="0"/>
              <w:rPr>
                <w:sz w:val="20"/>
                <w:szCs w:val="20"/>
                <w:color w:val="auto"/>
              </w:rPr>
            </w:pPr>
            <w:r>
              <w:rPr>
                <w:rFonts w:ascii="Arial" w:cs="Arial" w:eastAsia="Arial" w:hAnsi="Arial"/>
                <w:sz w:val="14"/>
                <w:szCs w:val="14"/>
                <w:color w:val="auto"/>
              </w:rPr>
              <w:t>Margin from marketing of purchased commodities</w:t>
            </w:r>
            <w:r>
              <w:rPr>
                <w:rFonts w:ascii="Arial" w:cs="Arial" w:eastAsia="Arial" w:hAnsi="Arial"/>
                <w:sz w:val="18"/>
                <w:szCs w:val="18"/>
                <w:color w:val="auto"/>
                <w:vertAlign w:val="superscript"/>
              </w:rPr>
              <w:t>5</w:t>
            </w:r>
            <w:r>
              <w:rPr>
                <w:rFonts w:ascii="Arial" w:cs="Arial" w:eastAsia="Arial" w:hAnsi="Arial"/>
                <w:sz w:val="14"/>
                <w:szCs w:val="14"/>
                <w:color w:val="auto"/>
              </w:rPr>
              <w:t xml:space="preserve"> ($ millions)</w:t>
            </w:r>
          </w:p>
        </w:tc>
        <w:tc>
          <w:tcPr>
            <w:tcW w:w="26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20" w:type="dxa"/>
            <w:vAlign w:val="bottom"/>
            <w:tcBorders>
              <w:right w:val="single" w:sz="8" w:color="auto"/>
            </w:tcBorders>
          </w:tcPr>
          <w:p>
            <w:pPr>
              <w:spacing w:after="0"/>
              <w:rPr>
                <w:sz w:val="24"/>
                <w:szCs w:val="24"/>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02"/>
        </w:trPr>
        <w:tc>
          <w:tcPr>
            <w:tcW w:w="6160" w:type="dxa"/>
            <w:vAlign w:val="bottom"/>
          </w:tcPr>
          <w:p>
            <w:pPr>
              <w:ind w:left="20"/>
              <w:spacing w:after="0" w:line="202" w:lineRule="exact"/>
              <w:rPr>
                <w:sz w:val="20"/>
                <w:szCs w:val="20"/>
                <w:color w:val="auto"/>
              </w:rPr>
            </w:pPr>
            <w:r>
              <w:rPr>
                <w:rFonts w:ascii="Arial" w:cs="Arial" w:eastAsia="Arial" w:hAnsi="Arial"/>
                <w:sz w:val="14"/>
                <w:szCs w:val="14"/>
                <w:color w:val="auto"/>
              </w:rPr>
              <w:t>Margin from electricity sales</w:t>
            </w:r>
            <w:r>
              <w:rPr>
                <w:rFonts w:ascii="Arial" w:cs="Arial" w:eastAsia="Arial" w:hAnsi="Arial"/>
                <w:sz w:val="18"/>
                <w:szCs w:val="18"/>
                <w:color w:val="auto"/>
                <w:vertAlign w:val="superscript"/>
              </w:rPr>
              <w:t>6</w:t>
            </w:r>
            <w:r>
              <w:rPr>
                <w:rFonts w:ascii="Arial" w:cs="Arial" w:eastAsia="Arial" w:hAnsi="Arial"/>
                <w:sz w:val="14"/>
                <w:szCs w:val="14"/>
                <w:color w:val="auto"/>
              </w:rPr>
              <w:t xml:space="preserve"> ($ millions)</w:t>
            </w:r>
          </w:p>
        </w:tc>
        <w:tc>
          <w:tcPr>
            <w:tcW w:w="26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60</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96"/>
        </w:trPr>
        <w:tc>
          <w:tcPr>
            <w:tcW w:w="6160" w:type="dxa"/>
            <w:vAlign w:val="bottom"/>
          </w:tcPr>
          <w:p>
            <w:pPr>
              <w:ind w:left="20"/>
              <w:spacing w:after="0"/>
              <w:rPr>
                <w:sz w:val="20"/>
                <w:szCs w:val="20"/>
                <w:color w:val="auto"/>
              </w:rPr>
            </w:pPr>
            <w:r>
              <w:rPr>
                <w:rFonts w:ascii="Arial" w:cs="Arial" w:eastAsia="Arial" w:hAnsi="Arial"/>
                <w:sz w:val="14"/>
                <w:szCs w:val="14"/>
                <w:color w:val="auto"/>
              </w:rPr>
              <w:t>Net gain from commodity derivatives ($ millions)</w:t>
            </w:r>
          </w:p>
        </w:tc>
        <w:tc>
          <w:tcPr>
            <w:tcW w:w="26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356</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w:t>
            </w: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240"/>
          </w:cols>
          <w:pgMar w:left="320" w:top="87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2"/>
        </w:trPr>
        <w:tc>
          <w:tcPr>
            <w:tcW w:w="20" w:type="dxa"/>
            <w:vAlign w:val="bottom"/>
            <w:tcBorders>
              <w:top w:val="single" w:sz="8" w:color="DBDBDB"/>
            </w:tcBorders>
            <w:shd w:val="clear" w:color="auto" w:fill="DBDBDB"/>
          </w:tcPr>
          <w:p>
            <w:pPr>
              <w:spacing w:after="0"/>
              <w:rPr>
                <w:sz w:val="18"/>
                <w:szCs w:val="18"/>
                <w:color w:val="auto"/>
              </w:rPr>
            </w:pPr>
          </w:p>
        </w:tc>
        <w:tc>
          <w:tcPr>
            <w:tcW w:w="6160" w:type="dxa"/>
            <w:vAlign w:val="bottom"/>
            <w:tcBorders>
              <w:top w:val="single" w:sz="8" w:color="DBDBDB"/>
            </w:tcBorders>
            <w:gridSpan w:val="4"/>
            <w:shd w:val="clear" w:color="auto" w:fill="DBDBDB"/>
          </w:tcPr>
          <w:p>
            <w:pPr>
              <w:spacing w:after="0"/>
              <w:rPr>
                <w:sz w:val="20"/>
                <w:szCs w:val="20"/>
                <w:color w:val="auto"/>
              </w:rPr>
            </w:pPr>
            <w:r>
              <w:rPr>
                <w:rFonts w:ascii="Arial" w:cs="Arial" w:eastAsia="Arial" w:hAnsi="Arial"/>
                <w:sz w:val="14"/>
                <w:szCs w:val="14"/>
                <w:b w:val="1"/>
                <w:bCs w:val="1"/>
                <w:color w:val="auto"/>
              </w:rPr>
              <w:t>Selected Financial Statement Data and non-GAAP measures:</w:t>
            </w:r>
          </w:p>
        </w:tc>
        <w:tc>
          <w:tcPr>
            <w:tcW w:w="246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spacing w:after="0"/>
              <w:rPr>
                <w:sz w:val="18"/>
                <w:szCs w:val="18"/>
                <w:color w:val="auto"/>
              </w:rPr>
            </w:pPr>
          </w:p>
        </w:tc>
        <w:tc>
          <w:tcPr>
            <w:tcW w:w="1020" w:type="dxa"/>
            <w:vAlign w:val="bottom"/>
            <w:tcBorders>
              <w:top w:val="single" w:sz="8" w:color="auto"/>
            </w:tcBorders>
            <w:shd w:val="clear" w:color="auto" w:fill="DBDBDB"/>
          </w:tcPr>
          <w:p>
            <w:pPr>
              <w:jc w:val="right"/>
              <w:ind w:right="129"/>
              <w:spacing w:after="0"/>
              <w:rPr>
                <w:sz w:val="20"/>
                <w:szCs w:val="20"/>
                <w:color w:val="auto"/>
              </w:rPr>
            </w:pPr>
            <w:r>
              <w:rPr>
                <w:rFonts w:ascii="Arial" w:cs="Arial" w:eastAsia="Arial" w:hAnsi="Arial"/>
                <w:sz w:val="14"/>
                <w:szCs w:val="14"/>
                <w:b w:val="1"/>
                <w:bCs w:val="1"/>
                <w:color w:val="auto"/>
              </w:rPr>
              <w:t>3rd Quarter</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shd w:val="clear" w:color="auto" w:fill="DBDBDB"/>
          </w:tcPr>
          <w:p>
            <w:pPr>
              <w:spacing w:after="0"/>
              <w:rPr>
                <w:sz w:val="18"/>
                <w:szCs w:val="18"/>
                <w:color w:val="auto"/>
              </w:rPr>
            </w:pPr>
          </w:p>
        </w:tc>
        <w:tc>
          <w:tcPr>
            <w:tcW w:w="1000" w:type="dxa"/>
            <w:vAlign w:val="bottom"/>
            <w:tcBorders>
              <w:top w:val="single" w:sz="8" w:color="auto"/>
            </w:tcBorders>
            <w:shd w:val="clear" w:color="auto" w:fill="DBDBDB"/>
          </w:tcPr>
          <w:p>
            <w:pPr>
              <w:jc w:val="right"/>
              <w:ind w:right="129"/>
              <w:spacing w:after="0"/>
              <w:rPr>
                <w:sz w:val="20"/>
                <w:szCs w:val="20"/>
                <w:color w:val="auto"/>
              </w:rPr>
            </w:pPr>
            <w:r>
              <w:rPr>
                <w:rFonts w:ascii="Arial" w:cs="Arial" w:eastAsia="Arial" w:hAnsi="Arial"/>
                <w:sz w:val="14"/>
                <w:szCs w:val="14"/>
                <w:color w:val="auto"/>
              </w:rPr>
              <w:t>2nd Quarter</w:t>
            </w:r>
          </w:p>
        </w:tc>
      </w:tr>
      <w:tr>
        <w:trPr>
          <w:trHeight w:val="201"/>
        </w:trPr>
        <w:tc>
          <w:tcPr>
            <w:tcW w:w="20" w:type="dxa"/>
            <w:vAlign w:val="bottom"/>
            <w:tcBorders>
              <w:bottom w:val="single" w:sz="8" w:color="auto"/>
            </w:tcBorders>
            <w:shd w:val="clear" w:color="auto" w:fill="DBDBDB"/>
          </w:tcPr>
          <w:p>
            <w:pPr>
              <w:spacing w:after="0"/>
              <w:rPr>
                <w:sz w:val="17"/>
                <w:szCs w:val="17"/>
                <w:color w:val="auto"/>
              </w:rPr>
            </w:pPr>
          </w:p>
        </w:tc>
        <w:tc>
          <w:tcPr>
            <w:tcW w:w="6160" w:type="dxa"/>
            <w:vAlign w:val="bottom"/>
            <w:tcBorders>
              <w:bottom w:val="single" w:sz="8" w:color="auto"/>
            </w:tcBorders>
            <w:gridSpan w:val="4"/>
            <w:shd w:val="clear" w:color="auto" w:fill="DBDBDB"/>
          </w:tcPr>
          <w:p>
            <w:pPr>
              <w:spacing w:after="0"/>
              <w:rPr>
                <w:sz w:val="20"/>
                <w:szCs w:val="20"/>
                <w:color w:val="auto"/>
              </w:rPr>
            </w:pPr>
            <w:r>
              <w:rPr>
                <w:rFonts w:ascii="Arial" w:cs="Arial" w:eastAsia="Arial" w:hAnsi="Arial"/>
                <w:sz w:val="14"/>
                <w:szCs w:val="14"/>
                <w:color w:val="auto"/>
              </w:rPr>
              <w:t>($ and shares in millions, except per share amounts)</w:t>
            </w:r>
          </w:p>
        </w:tc>
        <w:tc>
          <w:tcPr>
            <w:tcW w:w="2460" w:type="dxa"/>
            <w:vAlign w:val="bottom"/>
            <w:tcBorders>
              <w:bottom w:val="single" w:sz="8" w:color="auto"/>
            </w:tcBorders>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ind w:right="349"/>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ind w:right="349"/>
              <w:spacing w:after="0"/>
              <w:rPr>
                <w:sz w:val="20"/>
                <w:szCs w:val="20"/>
                <w:color w:val="auto"/>
              </w:rPr>
            </w:pPr>
            <w:r>
              <w:rPr>
                <w:rFonts w:ascii="Arial" w:cs="Arial" w:eastAsia="Arial" w:hAnsi="Arial"/>
                <w:sz w:val="14"/>
                <w:szCs w:val="14"/>
                <w:color w:val="auto"/>
              </w:rPr>
              <w:t>2024</w:t>
            </w:r>
          </w:p>
        </w:tc>
      </w:tr>
      <w:tr>
        <w:trPr>
          <w:trHeight w:val="287"/>
        </w:trPr>
        <w:tc>
          <w:tcPr>
            <w:tcW w:w="20" w:type="dxa"/>
            <w:vAlign w:val="bottom"/>
          </w:tcPr>
          <w:p>
            <w:pPr>
              <w:spacing w:after="0"/>
              <w:rPr>
                <w:sz w:val="24"/>
                <w:szCs w:val="24"/>
                <w:color w:val="auto"/>
              </w:rPr>
            </w:pPr>
          </w:p>
        </w:tc>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Statements of Operations:</w:t>
            </w:r>
          </w:p>
        </w:tc>
        <w:tc>
          <w:tcPr>
            <w:tcW w:w="4380" w:type="dxa"/>
            <w:vAlign w:val="bottom"/>
            <w:gridSpan w:val="2"/>
          </w:tcPr>
          <w:p>
            <w:pPr>
              <w:spacing w:after="0"/>
              <w:rPr>
                <w:sz w:val="24"/>
                <w:szCs w:val="24"/>
                <w:color w:val="auto"/>
              </w:rPr>
            </w:pPr>
          </w:p>
        </w:tc>
        <w:tc>
          <w:tcPr>
            <w:tcW w:w="2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6160" w:type="dxa"/>
            <w:vAlign w:val="bottom"/>
            <w:gridSpan w:val="4"/>
          </w:tcPr>
          <w:p>
            <w:pPr>
              <w:spacing w:after="0"/>
              <w:rPr>
                <w:sz w:val="20"/>
                <w:szCs w:val="20"/>
                <w:color w:val="auto"/>
              </w:rPr>
            </w:pPr>
            <w:r>
              <w:rPr>
                <w:rFonts w:ascii="Arial" w:cs="Arial" w:eastAsia="Arial" w:hAnsi="Arial"/>
                <w:sz w:val="14"/>
                <w:szCs w:val="14"/>
                <w:b w:val="1"/>
                <w:bCs w:val="1"/>
                <w:color w:val="auto"/>
              </w:rPr>
              <w:t>Revenues</w:t>
            </w:r>
          </w:p>
        </w:tc>
        <w:tc>
          <w:tcPr>
            <w:tcW w:w="2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193"/>
        </w:trPr>
        <w:tc>
          <w:tcPr>
            <w:tcW w:w="20" w:type="dxa"/>
            <w:vAlign w:val="bottom"/>
          </w:tcPr>
          <w:p>
            <w:pPr>
              <w:spacing w:after="0"/>
              <w:rPr>
                <w:sz w:val="16"/>
                <w:szCs w:val="16"/>
                <w:color w:val="auto"/>
              </w:rPr>
            </w:pPr>
          </w:p>
        </w:tc>
        <w:tc>
          <w:tcPr>
            <w:tcW w:w="6160" w:type="dxa"/>
            <w:vAlign w:val="bottom"/>
            <w:gridSpan w:val="4"/>
          </w:tcPr>
          <w:p>
            <w:pPr>
              <w:ind w:left="200"/>
              <w:spacing w:after="0"/>
              <w:rPr>
                <w:sz w:val="20"/>
                <w:szCs w:val="20"/>
                <w:color w:val="auto"/>
              </w:rPr>
            </w:pPr>
            <w:r>
              <w:rPr>
                <w:rFonts w:ascii="Arial" w:cs="Arial" w:eastAsia="Arial" w:hAnsi="Arial"/>
                <w:sz w:val="14"/>
                <w:szCs w:val="14"/>
                <w:color w:val="auto"/>
              </w:rPr>
              <w:t>Total operating revenues</w:t>
            </w:r>
          </w:p>
        </w:tc>
        <w:tc>
          <w:tcPr>
            <w:tcW w:w="26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1,353</w:t>
            </w:r>
          </w:p>
        </w:tc>
        <w:tc>
          <w:tcPr>
            <w:tcW w:w="120" w:type="dxa"/>
            <w:vAlign w:val="bottom"/>
            <w:tcBorders>
              <w:right w:val="single" w:sz="8" w:color="auto"/>
            </w:tcBorders>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514</w:t>
            </w:r>
          </w:p>
        </w:tc>
      </w:tr>
      <w:tr>
        <w:trPr>
          <w:trHeight w:val="248"/>
        </w:trPr>
        <w:tc>
          <w:tcPr>
            <w:tcW w:w="20" w:type="dxa"/>
            <w:vAlign w:val="bottom"/>
          </w:tcPr>
          <w:p>
            <w:pPr>
              <w:spacing w:after="0"/>
              <w:rPr>
                <w:sz w:val="21"/>
                <w:szCs w:val="21"/>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Selected Expenses</w:t>
            </w:r>
          </w:p>
        </w:tc>
        <w:tc>
          <w:tcPr>
            <w:tcW w:w="4860" w:type="dxa"/>
            <w:vAlign w:val="bottom"/>
            <w:gridSpan w:val="3"/>
          </w:tcPr>
          <w:p>
            <w:pPr>
              <w:spacing w:after="0"/>
              <w:rPr>
                <w:sz w:val="21"/>
                <w:szCs w:val="21"/>
                <w:color w:val="auto"/>
              </w:rPr>
            </w:pPr>
          </w:p>
        </w:tc>
        <w:tc>
          <w:tcPr>
            <w:tcW w:w="24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r>
      <w:tr>
        <w:trPr>
          <w:trHeight w:val="219"/>
        </w:trPr>
        <w:tc>
          <w:tcPr>
            <w:tcW w:w="20" w:type="dxa"/>
            <w:vAlign w:val="bottom"/>
          </w:tcPr>
          <w:p>
            <w:pPr>
              <w:spacing w:after="0"/>
              <w:rPr>
                <w:sz w:val="19"/>
                <w:szCs w:val="19"/>
                <w:color w:val="auto"/>
              </w:rPr>
            </w:pPr>
          </w:p>
        </w:tc>
        <w:tc>
          <w:tcPr>
            <w:tcW w:w="6160" w:type="dxa"/>
            <w:vAlign w:val="bottom"/>
            <w:gridSpan w:val="4"/>
          </w:tcPr>
          <w:p>
            <w:pPr>
              <w:spacing w:after="0"/>
              <w:rPr>
                <w:sz w:val="20"/>
                <w:szCs w:val="20"/>
                <w:color w:val="auto"/>
              </w:rPr>
            </w:pPr>
            <w:r>
              <w:rPr>
                <w:rFonts w:ascii="Arial" w:cs="Arial" w:eastAsia="Arial" w:hAnsi="Arial"/>
                <w:sz w:val="14"/>
                <w:szCs w:val="14"/>
                <w:color w:val="auto"/>
              </w:rPr>
              <w:t>Operating costs</w:t>
            </w:r>
          </w:p>
        </w:tc>
        <w:tc>
          <w:tcPr>
            <w:tcW w:w="26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311</w:t>
            </w:r>
          </w:p>
        </w:tc>
        <w:tc>
          <w:tcPr>
            <w:tcW w:w="120" w:type="dxa"/>
            <w:vAlign w:val="bottom"/>
            <w:tcBorders>
              <w:right w:val="single" w:sz="8" w:color="auto"/>
            </w:tcBorders>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156</w:t>
            </w:r>
          </w:p>
        </w:tc>
      </w:tr>
      <w:tr>
        <w:trPr>
          <w:trHeight w:val="200"/>
        </w:trPr>
        <w:tc>
          <w:tcPr>
            <w:tcW w:w="20" w:type="dxa"/>
            <w:vAlign w:val="bottom"/>
          </w:tcPr>
          <w:p>
            <w:pPr>
              <w:spacing w:after="0"/>
              <w:rPr>
                <w:sz w:val="17"/>
                <w:szCs w:val="17"/>
                <w:color w:val="auto"/>
              </w:rPr>
            </w:pPr>
          </w:p>
        </w:tc>
        <w:tc>
          <w:tcPr>
            <w:tcW w:w="6160" w:type="dxa"/>
            <w:vAlign w:val="bottom"/>
            <w:gridSpan w:val="4"/>
          </w:tcPr>
          <w:p>
            <w:pPr>
              <w:spacing w:after="0"/>
              <w:rPr>
                <w:sz w:val="20"/>
                <w:szCs w:val="20"/>
                <w:color w:val="auto"/>
              </w:rPr>
            </w:pPr>
            <w:r>
              <w:rPr>
                <w:rFonts w:ascii="Arial" w:cs="Arial" w:eastAsia="Arial" w:hAnsi="Arial"/>
                <w:sz w:val="14"/>
                <w:szCs w:val="14"/>
                <w:color w:val="auto"/>
              </w:rPr>
              <w:t>General and administrative expenses</w:t>
            </w:r>
          </w:p>
        </w:tc>
        <w:tc>
          <w:tcPr>
            <w:tcW w:w="26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106</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205"/>
        </w:trPr>
        <w:tc>
          <w:tcPr>
            <w:tcW w:w="20" w:type="dxa"/>
            <w:vAlign w:val="bottom"/>
          </w:tcPr>
          <w:p>
            <w:pPr>
              <w:spacing w:after="0"/>
              <w:rPr>
                <w:sz w:val="17"/>
                <w:szCs w:val="17"/>
                <w:color w:val="auto"/>
              </w:rPr>
            </w:pPr>
          </w:p>
        </w:tc>
        <w:tc>
          <w:tcPr>
            <w:tcW w:w="6160" w:type="dxa"/>
            <w:vAlign w:val="bottom"/>
            <w:gridSpan w:val="4"/>
          </w:tcPr>
          <w:p>
            <w:pPr>
              <w:ind w:left="120"/>
              <w:spacing w:after="0" w:line="205" w:lineRule="exact"/>
              <w:rPr>
                <w:sz w:val="20"/>
                <w:szCs w:val="20"/>
                <w:color w:val="auto"/>
              </w:rPr>
            </w:pPr>
            <w:r>
              <w:rPr>
                <w:rFonts w:ascii="Arial" w:cs="Arial" w:eastAsia="Arial" w:hAnsi="Arial"/>
                <w:sz w:val="14"/>
                <w:szCs w:val="14"/>
                <w:i w:val="1"/>
                <w:iCs w:val="1"/>
                <w:color w:val="auto"/>
              </w:rPr>
              <w:t>Adjusted general and administrative expenses</w:t>
            </w:r>
            <w:r>
              <w:rPr>
                <w:rFonts w:ascii="Arial" w:cs="Arial" w:eastAsia="Arial" w:hAnsi="Arial"/>
                <w:sz w:val="18"/>
                <w:szCs w:val="18"/>
                <w:i w:val="1"/>
                <w:iCs w:val="1"/>
                <w:color w:val="auto"/>
                <w:vertAlign w:val="superscript"/>
              </w:rPr>
              <w:t>1</w:t>
            </w:r>
          </w:p>
        </w:tc>
        <w:tc>
          <w:tcPr>
            <w:tcW w:w="260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89</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i w:val="1"/>
                <w:i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i w:val="1"/>
                <w:iCs w:val="1"/>
                <w:color w:val="auto"/>
              </w:rPr>
              <w:t>56</w:t>
            </w:r>
          </w:p>
        </w:tc>
      </w:tr>
      <w:tr>
        <w:trPr>
          <w:trHeight w:val="195"/>
        </w:trPr>
        <w:tc>
          <w:tcPr>
            <w:tcW w:w="20" w:type="dxa"/>
            <w:vAlign w:val="bottom"/>
          </w:tcPr>
          <w:p>
            <w:pPr>
              <w:spacing w:after="0"/>
              <w:rPr>
                <w:sz w:val="16"/>
                <w:szCs w:val="16"/>
                <w:color w:val="auto"/>
              </w:rPr>
            </w:pPr>
          </w:p>
        </w:tc>
        <w:tc>
          <w:tcPr>
            <w:tcW w:w="6160" w:type="dxa"/>
            <w:vAlign w:val="bottom"/>
            <w:gridSpan w:val="4"/>
          </w:tcPr>
          <w:p>
            <w:pPr>
              <w:spacing w:after="0"/>
              <w:rPr>
                <w:sz w:val="20"/>
                <w:szCs w:val="20"/>
                <w:color w:val="auto"/>
              </w:rPr>
            </w:pPr>
            <w:r>
              <w:rPr>
                <w:rFonts w:ascii="Arial" w:cs="Arial" w:eastAsia="Arial" w:hAnsi="Arial"/>
                <w:sz w:val="14"/>
                <w:szCs w:val="14"/>
                <w:color w:val="auto"/>
              </w:rPr>
              <w:t>Taxes other than on income</w:t>
            </w:r>
          </w:p>
        </w:tc>
        <w:tc>
          <w:tcPr>
            <w:tcW w:w="26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85</w:t>
            </w:r>
          </w:p>
        </w:tc>
        <w:tc>
          <w:tcPr>
            <w:tcW w:w="120" w:type="dxa"/>
            <w:vAlign w:val="bottom"/>
            <w:tcBorders>
              <w:right w:val="single" w:sz="8" w:color="auto"/>
            </w:tcBorders>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00"/>
        </w:trPr>
        <w:tc>
          <w:tcPr>
            <w:tcW w:w="20" w:type="dxa"/>
            <w:vAlign w:val="bottom"/>
          </w:tcPr>
          <w:p>
            <w:pPr>
              <w:spacing w:after="0"/>
              <w:rPr>
                <w:sz w:val="17"/>
                <w:szCs w:val="17"/>
                <w:color w:val="auto"/>
              </w:rPr>
            </w:pPr>
          </w:p>
        </w:tc>
        <w:tc>
          <w:tcPr>
            <w:tcW w:w="6160" w:type="dxa"/>
            <w:vAlign w:val="bottom"/>
            <w:gridSpan w:val="4"/>
          </w:tcPr>
          <w:p>
            <w:pPr>
              <w:spacing w:after="0"/>
              <w:rPr>
                <w:sz w:val="20"/>
                <w:szCs w:val="20"/>
                <w:color w:val="auto"/>
              </w:rPr>
            </w:pPr>
            <w:r>
              <w:rPr>
                <w:rFonts w:ascii="Arial" w:cs="Arial" w:eastAsia="Arial" w:hAnsi="Arial"/>
                <w:sz w:val="14"/>
                <w:szCs w:val="14"/>
                <w:color w:val="auto"/>
              </w:rPr>
              <w:t>Transportation costs</w:t>
            </w:r>
          </w:p>
        </w:tc>
        <w:tc>
          <w:tcPr>
            <w:tcW w:w="26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00"/>
        </w:trPr>
        <w:tc>
          <w:tcPr>
            <w:tcW w:w="20" w:type="dxa"/>
            <w:vAlign w:val="bottom"/>
          </w:tcPr>
          <w:p>
            <w:pPr>
              <w:spacing w:after="0"/>
              <w:rPr>
                <w:sz w:val="17"/>
                <w:szCs w:val="17"/>
                <w:color w:val="auto"/>
              </w:rPr>
            </w:pPr>
          </w:p>
        </w:tc>
        <w:tc>
          <w:tcPr>
            <w:tcW w:w="6160" w:type="dxa"/>
            <w:vAlign w:val="bottom"/>
            <w:gridSpan w:val="4"/>
          </w:tcPr>
          <w:p>
            <w:pPr>
              <w:spacing w:after="0"/>
              <w:rPr>
                <w:sz w:val="20"/>
                <w:szCs w:val="20"/>
                <w:color w:val="auto"/>
              </w:rPr>
            </w:pPr>
            <w:r>
              <w:rPr>
                <w:rFonts w:ascii="Arial" w:cs="Arial" w:eastAsia="Arial" w:hAnsi="Arial"/>
                <w:sz w:val="14"/>
                <w:szCs w:val="14"/>
                <w:b w:val="1"/>
                <w:bCs w:val="1"/>
                <w:color w:val="auto"/>
              </w:rPr>
              <w:t>Operating Income (loss)</w:t>
            </w:r>
          </w:p>
        </w:tc>
        <w:tc>
          <w:tcPr>
            <w:tcW w:w="26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518</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200"/>
        </w:trPr>
        <w:tc>
          <w:tcPr>
            <w:tcW w:w="20" w:type="dxa"/>
            <w:vAlign w:val="bottom"/>
          </w:tcPr>
          <w:p>
            <w:pPr>
              <w:spacing w:after="0"/>
              <w:rPr>
                <w:sz w:val="17"/>
                <w:szCs w:val="17"/>
                <w:color w:val="auto"/>
              </w:rPr>
            </w:pPr>
          </w:p>
        </w:tc>
        <w:tc>
          <w:tcPr>
            <w:tcW w:w="6160" w:type="dxa"/>
            <w:vAlign w:val="bottom"/>
            <w:gridSpan w:val="4"/>
          </w:tcPr>
          <w:p>
            <w:pPr>
              <w:spacing w:after="0"/>
              <w:rPr>
                <w:sz w:val="20"/>
                <w:szCs w:val="20"/>
                <w:color w:val="auto"/>
              </w:rPr>
            </w:pPr>
            <w:r>
              <w:rPr>
                <w:rFonts w:ascii="Arial" w:cs="Arial" w:eastAsia="Arial" w:hAnsi="Arial"/>
                <w:sz w:val="14"/>
                <w:szCs w:val="14"/>
                <w:color w:val="auto"/>
              </w:rPr>
              <w:t>Interest and debt expense</w:t>
            </w:r>
          </w:p>
        </w:tc>
        <w:tc>
          <w:tcPr>
            <w:tcW w:w="26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00"/>
        </w:trPr>
        <w:tc>
          <w:tcPr>
            <w:tcW w:w="20" w:type="dxa"/>
            <w:vAlign w:val="bottom"/>
          </w:tcPr>
          <w:p>
            <w:pPr>
              <w:spacing w:after="0"/>
              <w:rPr>
                <w:sz w:val="17"/>
                <w:szCs w:val="17"/>
                <w:color w:val="auto"/>
              </w:rPr>
            </w:pPr>
          </w:p>
        </w:tc>
        <w:tc>
          <w:tcPr>
            <w:tcW w:w="6160" w:type="dxa"/>
            <w:vAlign w:val="bottom"/>
            <w:gridSpan w:val="4"/>
          </w:tcPr>
          <w:p>
            <w:pPr>
              <w:spacing w:after="0"/>
              <w:rPr>
                <w:sz w:val="20"/>
                <w:szCs w:val="20"/>
                <w:color w:val="auto"/>
              </w:rPr>
            </w:pPr>
            <w:r>
              <w:rPr>
                <w:rFonts w:ascii="Arial" w:cs="Arial" w:eastAsia="Arial" w:hAnsi="Arial"/>
                <w:sz w:val="14"/>
                <w:szCs w:val="14"/>
                <w:color w:val="auto"/>
              </w:rPr>
              <w:t>Income tax benefit (provision)</w:t>
            </w:r>
          </w:p>
        </w:tc>
        <w:tc>
          <w:tcPr>
            <w:tcW w:w="24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(138)</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193"/>
        </w:trPr>
        <w:tc>
          <w:tcPr>
            <w:tcW w:w="20" w:type="dxa"/>
            <w:vAlign w:val="bottom"/>
          </w:tcPr>
          <w:p>
            <w:pPr>
              <w:spacing w:after="0"/>
              <w:rPr>
                <w:sz w:val="16"/>
                <w:szCs w:val="16"/>
                <w:color w:val="auto"/>
              </w:rPr>
            </w:pPr>
          </w:p>
        </w:tc>
        <w:tc>
          <w:tcPr>
            <w:tcW w:w="6160" w:type="dxa"/>
            <w:vAlign w:val="bottom"/>
            <w:gridSpan w:val="4"/>
          </w:tcPr>
          <w:p>
            <w:pPr>
              <w:spacing w:after="0"/>
              <w:rPr>
                <w:sz w:val="20"/>
                <w:szCs w:val="20"/>
                <w:color w:val="auto"/>
              </w:rPr>
            </w:pPr>
            <w:r>
              <w:rPr>
                <w:rFonts w:ascii="Arial" w:cs="Arial" w:eastAsia="Arial" w:hAnsi="Arial"/>
                <w:sz w:val="14"/>
                <w:szCs w:val="14"/>
                <w:b w:val="1"/>
                <w:bCs w:val="1"/>
                <w:color w:val="auto"/>
              </w:rPr>
              <w:t>Net (loss) Income</w:t>
            </w:r>
          </w:p>
        </w:tc>
        <w:tc>
          <w:tcPr>
            <w:tcW w:w="26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345</w:t>
            </w:r>
          </w:p>
        </w:tc>
        <w:tc>
          <w:tcPr>
            <w:tcW w:w="120" w:type="dxa"/>
            <w:vAlign w:val="bottom"/>
            <w:tcBorders>
              <w:right w:val="single" w:sz="8" w:color="auto"/>
            </w:tcBorders>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48"/>
        </w:trPr>
        <w:tc>
          <w:tcPr>
            <w:tcW w:w="20" w:type="dxa"/>
            <w:vAlign w:val="bottom"/>
          </w:tcPr>
          <w:p>
            <w:pPr>
              <w:spacing w:after="0"/>
              <w:rPr>
                <w:sz w:val="21"/>
                <w:szCs w:val="21"/>
                <w:color w:val="auto"/>
              </w:rPr>
            </w:pPr>
          </w:p>
        </w:tc>
        <w:tc>
          <w:tcPr>
            <w:tcW w:w="6160" w:type="dxa"/>
            <w:vAlign w:val="bottom"/>
            <w:gridSpan w:val="4"/>
          </w:tcPr>
          <w:p>
            <w:pPr>
              <w:spacing w:after="0"/>
              <w:rPr>
                <w:sz w:val="20"/>
                <w:szCs w:val="20"/>
                <w:color w:val="auto"/>
              </w:rPr>
            </w:pPr>
            <w:r>
              <w:rPr>
                <w:rFonts w:ascii="Arial" w:cs="Arial" w:eastAsia="Arial" w:hAnsi="Arial"/>
                <w:sz w:val="14"/>
                <w:szCs w:val="14"/>
                <w:b w:val="1"/>
                <w:bCs w:val="1"/>
                <w:color w:val="auto"/>
              </w:rPr>
              <w:t>EPS, Non-GAAP Measures and Select Balance Sheet Data</w:t>
            </w:r>
          </w:p>
        </w:tc>
        <w:tc>
          <w:tcPr>
            <w:tcW w:w="24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390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Adjusted net income</w:t>
            </w:r>
            <w:r>
              <w:rPr>
                <w:rFonts w:ascii="Arial" w:cs="Arial" w:eastAsia="Arial" w:hAnsi="Arial"/>
                <w:sz w:val="18"/>
                <w:szCs w:val="18"/>
                <w:color w:val="auto"/>
                <w:vertAlign w:val="superscript"/>
              </w:rPr>
              <w:t>1</w:t>
            </w:r>
          </w:p>
        </w:tc>
        <w:tc>
          <w:tcPr>
            <w:tcW w:w="2260" w:type="dxa"/>
            <w:vAlign w:val="bottom"/>
          </w:tcPr>
          <w:p>
            <w:pPr>
              <w:spacing w:after="0"/>
              <w:rPr>
                <w:sz w:val="19"/>
                <w:szCs w:val="19"/>
                <w:color w:val="auto"/>
              </w:rPr>
            </w:pPr>
          </w:p>
        </w:tc>
        <w:tc>
          <w:tcPr>
            <w:tcW w:w="26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137</w:t>
            </w:r>
          </w:p>
        </w:tc>
        <w:tc>
          <w:tcPr>
            <w:tcW w:w="120" w:type="dxa"/>
            <w:vAlign w:val="bottom"/>
            <w:tcBorders>
              <w:right w:val="single" w:sz="8" w:color="auto"/>
            </w:tcBorders>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195"/>
        </w:trPr>
        <w:tc>
          <w:tcPr>
            <w:tcW w:w="20" w:type="dxa"/>
            <w:vAlign w:val="bottom"/>
          </w:tcPr>
          <w:p>
            <w:pPr>
              <w:spacing w:after="0"/>
              <w:rPr>
                <w:sz w:val="16"/>
                <w:szCs w:val="16"/>
                <w:color w:val="auto"/>
              </w:rPr>
            </w:pPr>
          </w:p>
        </w:tc>
        <w:tc>
          <w:tcPr>
            <w:tcW w:w="6160" w:type="dxa"/>
            <w:vAlign w:val="bottom"/>
            <w:gridSpan w:val="4"/>
          </w:tcPr>
          <w:p>
            <w:pPr>
              <w:spacing w:after="0"/>
              <w:rPr>
                <w:sz w:val="20"/>
                <w:szCs w:val="20"/>
                <w:color w:val="auto"/>
              </w:rPr>
            </w:pPr>
            <w:r>
              <w:rPr>
                <w:rFonts w:ascii="Arial" w:cs="Arial" w:eastAsia="Arial" w:hAnsi="Arial"/>
                <w:sz w:val="14"/>
                <w:szCs w:val="14"/>
                <w:color w:val="auto"/>
              </w:rPr>
              <w:t>Weighted-average common shares outstanding - diluted</w:t>
            </w:r>
          </w:p>
        </w:tc>
        <w:tc>
          <w:tcPr>
            <w:tcW w:w="2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91.2</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70.0</w:t>
            </w:r>
          </w:p>
        </w:tc>
      </w:tr>
      <w:tr>
        <w:trPr>
          <w:trHeight w:val="200"/>
        </w:trPr>
        <w:tc>
          <w:tcPr>
            <w:tcW w:w="20" w:type="dxa"/>
            <w:vAlign w:val="bottom"/>
          </w:tcPr>
          <w:p>
            <w:pPr>
              <w:spacing w:after="0"/>
              <w:rPr>
                <w:sz w:val="17"/>
                <w:szCs w:val="17"/>
                <w:color w:val="auto"/>
              </w:rPr>
            </w:pPr>
          </w:p>
        </w:tc>
        <w:tc>
          <w:tcPr>
            <w:tcW w:w="6160" w:type="dxa"/>
            <w:vAlign w:val="bottom"/>
            <w:gridSpan w:val="4"/>
          </w:tcPr>
          <w:p>
            <w:pPr>
              <w:spacing w:after="0"/>
              <w:rPr>
                <w:sz w:val="20"/>
                <w:szCs w:val="20"/>
                <w:color w:val="auto"/>
              </w:rPr>
            </w:pPr>
            <w:r>
              <w:rPr>
                <w:rFonts w:ascii="Arial" w:cs="Arial" w:eastAsia="Arial" w:hAnsi="Arial"/>
                <w:sz w:val="14"/>
                <w:szCs w:val="14"/>
                <w:color w:val="auto"/>
              </w:rPr>
              <w:t>Net loss (income) per share - diluted</w:t>
            </w:r>
          </w:p>
        </w:tc>
        <w:tc>
          <w:tcPr>
            <w:tcW w:w="26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3.78</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0.11</w:t>
            </w:r>
          </w:p>
        </w:tc>
      </w:tr>
      <w:tr>
        <w:trPr>
          <w:trHeight w:val="203"/>
        </w:trPr>
        <w:tc>
          <w:tcPr>
            <w:tcW w:w="20" w:type="dxa"/>
            <w:vAlign w:val="bottom"/>
          </w:tcPr>
          <w:p>
            <w:pPr>
              <w:spacing w:after="0"/>
              <w:rPr>
                <w:sz w:val="17"/>
                <w:szCs w:val="17"/>
                <w:color w:val="auto"/>
              </w:rPr>
            </w:pPr>
          </w:p>
        </w:tc>
        <w:tc>
          <w:tcPr>
            <w:tcW w:w="6160" w:type="dxa"/>
            <w:vAlign w:val="bottom"/>
            <w:gridSpan w:val="4"/>
          </w:tcPr>
          <w:p>
            <w:pPr>
              <w:spacing w:after="0" w:line="203" w:lineRule="exact"/>
              <w:rPr>
                <w:sz w:val="20"/>
                <w:szCs w:val="20"/>
                <w:color w:val="auto"/>
              </w:rPr>
            </w:pPr>
            <w:r>
              <w:rPr>
                <w:rFonts w:ascii="Arial" w:cs="Arial" w:eastAsia="Arial" w:hAnsi="Arial"/>
                <w:sz w:val="14"/>
                <w:szCs w:val="14"/>
                <w:color w:val="auto"/>
              </w:rPr>
              <w:t>Adjusted net income</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per share - diluted</w:t>
            </w:r>
          </w:p>
        </w:tc>
        <w:tc>
          <w:tcPr>
            <w:tcW w:w="26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1.50</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0.60</w:t>
            </w:r>
          </w:p>
        </w:tc>
      </w:tr>
      <w:tr>
        <w:trPr>
          <w:trHeight w:val="202"/>
        </w:trPr>
        <w:tc>
          <w:tcPr>
            <w:tcW w:w="20" w:type="dxa"/>
            <w:vAlign w:val="bottom"/>
          </w:tcPr>
          <w:p>
            <w:pPr>
              <w:spacing w:after="0"/>
              <w:rPr>
                <w:sz w:val="17"/>
                <w:szCs w:val="17"/>
                <w:color w:val="auto"/>
              </w:rPr>
            </w:pPr>
          </w:p>
        </w:tc>
        <w:tc>
          <w:tcPr>
            <w:tcW w:w="6160" w:type="dxa"/>
            <w:vAlign w:val="bottom"/>
            <w:gridSpan w:val="4"/>
          </w:tcPr>
          <w:p>
            <w:pPr>
              <w:spacing w:after="0" w:line="202" w:lineRule="exact"/>
              <w:rPr>
                <w:sz w:val="20"/>
                <w:szCs w:val="20"/>
                <w:color w:val="auto"/>
              </w:rPr>
            </w:pPr>
            <w:r>
              <w:rPr>
                <w:rFonts w:ascii="Arial" w:cs="Arial" w:eastAsia="Arial" w:hAnsi="Arial"/>
                <w:sz w:val="14"/>
                <w:szCs w:val="14"/>
                <w:color w:val="auto"/>
              </w:rPr>
              <w:t>Adjusted EBITDAX</w:t>
            </w:r>
            <w:r>
              <w:rPr>
                <w:rFonts w:ascii="Arial" w:cs="Arial" w:eastAsia="Arial" w:hAnsi="Arial"/>
                <w:sz w:val="18"/>
                <w:szCs w:val="18"/>
                <w:color w:val="auto"/>
                <w:vertAlign w:val="superscript"/>
              </w:rPr>
              <w:t>1</w:t>
            </w:r>
          </w:p>
        </w:tc>
        <w:tc>
          <w:tcPr>
            <w:tcW w:w="26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402</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139</w:t>
            </w:r>
          </w:p>
        </w:tc>
      </w:tr>
      <w:tr>
        <w:trPr>
          <w:trHeight w:val="195"/>
        </w:trPr>
        <w:tc>
          <w:tcPr>
            <w:tcW w:w="20" w:type="dxa"/>
            <w:vAlign w:val="bottom"/>
          </w:tcPr>
          <w:p>
            <w:pPr>
              <w:spacing w:after="0"/>
              <w:rPr>
                <w:sz w:val="16"/>
                <w:szCs w:val="16"/>
                <w:color w:val="auto"/>
              </w:rPr>
            </w:pPr>
          </w:p>
        </w:tc>
        <w:tc>
          <w:tcPr>
            <w:tcW w:w="6160" w:type="dxa"/>
            <w:vAlign w:val="bottom"/>
            <w:gridSpan w:val="4"/>
          </w:tcPr>
          <w:p>
            <w:pPr>
              <w:spacing w:after="0"/>
              <w:rPr>
                <w:sz w:val="20"/>
                <w:szCs w:val="20"/>
                <w:color w:val="auto"/>
              </w:rPr>
            </w:pPr>
            <w:r>
              <w:rPr>
                <w:rFonts w:ascii="Arial" w:cs="Arial" w:eastAsia="Arial" w:hAnsi="Arial"/>
                <w:sz w:val="14"/>
                <w:szCs w:val="14"/>
                <w:color w:val="auto"/>
              </w:rPr>
              <w:t>Net cash provided by operating activities</w:t>
            </w:r>
          </w:p>
        </w:tc>
        <w:tc>
          <w:tcPr>
            <w:tcW w:w="26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220</w:t>
            </w:r>
          </w:p>
        </w:tc>
        <w:tc>
          <w:tcPr>
            <w:tcW w:w="120" w:type="dxa"/>
            <w:vAlign w:val="bottom"/>
            <w:tcBorders>
              <w:right w:val="single" w:sz="8" w:color="auto"/>
            </w:tcBorders>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97</w:t>
            </w:r>
          </w:p>
        </w:tc>
      </w:tr>
      <w:tr>
        <w:trPr>
          <w:trHeight w:val="205"/>
        </w:trPr>
        <w:tc>
          <w:tcPr>
            <w:tcW w:w="20" w:type="dxa"/>
            <w:vAlign w:val="bottom"/>
          </w:tcPr>
          <w:p>
            <w:pPr>
              <w:spacing w:after="0"/>
              <w:rPr>
                <w:sz w:val="17"/>
                <w:szCs w:val="17"/>
                <w:color w:val="auto"/>
              </w:rPr>
            </w:pPr>
          </w:p>
        </w:tc>
        <w:tc>
          <w:tcPr>
            <w:tcW w:w="6160" w:type="dxa"/>
            <w:vAlign w:val="bottom"/>
            <w:gridSpan w:val="4"/>
          </w:tcPr>
          <w:p>
            <w:pPr>
              <w:spacing w:after="0" w:line="205" w:lineRule="exact"/>
              <w:rPr>
                <w:sz w:val="20"/>
                <w:szCs w:val="20"/>
                <w:color w:val="auto"/>
              </w:rPr>
            </w:pPr>
            <w:r>
              <w:rPr>
                <w:rFonts w:ascii="Arial" w:cs="Arial" w:eastAsia="Arial" w:hAnsi="Arial"/>
                <w:sz w:val="14"/>
                <w:szCs w:val="14"/>
                <w:color w:val="auto"/>
              </w:rPr>
              <w:t>Net cash provided by operating activities before changes in operating assets and liabilities, net</w:t>
            </w:r>
            <w:r>
              <w:rPr>
                <w:rFonts w:ascii="Arial" w:cs="Arial" w:eastAsia="Arial" w:hAnsi="Arial"/>
                <w:sz w:val="18"/>
                <w:szCs w:val="18"/>
                <w:color w:val="auto"/>
                <w:vertAlign w:val="superscript"/>
              </w:rPr>
              <w:t>1</w:t>
            </w:r>
          </w:p>
        </w:tc>
        <w:tc>
          <w:tcPr>
            <w:tcW w:w="26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249</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108</w:t>
            </w:r>
          </w:p>
        </w:tc>
      </w:tr>
      <w:tr>
        <w:trPr>
          <w:trHeight w:val="195"/>
        </w:trPr>
        <w:tc>
          <w:tcPr>
            <w:tcW w:w="20" w:type="dxa"/>
            <w:vAlign w:val="bottom"/>
          </w:tcPr>
          <w:p>
            <w:pPr>
              <w:spacing w:after="0"/>
              <w:rPr>
                <w:sz w:val="16"/>
                <w:szCs w:val="16"/>
                <w:color w:val="auto"/>
              </w:rPr>
            </w:pPr>
          </w:p>
        </w:tc>
        <w:tc>
          <w:tcPr>
            <w:tcW w:w="6160" w:type="dxa"/>
            <w:vAlign w:val="bottom"/>
            <w:gridSpan w:val="4"/>
          </w:tcPr>
          <w:p>
            <w:pPr>
              <w:spacing w:after="0"/>
              <w:rPr>
                <w:sz w:val="20"/>
                <w:szCs w:val="20"/>
                <w:color w:val="auto"/>
              </w:rPr>
            </w:pPr>
            <w:r>
              <w:rPr>
                <w:rFonts w:ascii="Arial" w:cs="Arial" w:eastAsia="Arial" w:hAnsi="Arial"/>
                <w:sz w:val="14"/>
                <w:szCs w:val="14"/>
                <w:color w:val="auto"/>
              </w:rPr>
              <w:t>Capital investments</w:t>
            </w:r>
          </w:p>
        </w:tc>
        <w:tc>
          <w:tcPr>
            <w:tcW w:w="26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79</w:t>
            </w:r>
          </w:p>
        </w:tc>
        <w:tc>
          <w:tcPr>
            <w:tcW w:w="120" w:type="dxa"/>
            <w:vAlign w:val="bottom"/>
            <w:tcBorders>
              <w:right w:val="single" w:sz="8" w:color="auto"/>
            </w:tcBorders>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05"/>
        </w:trPr>
        <w:tc>
          <w:tcPr>
            <w:tcW w:w="20" w:type="dxa"/>
            <w:vAlign w:val="bottom"/>
          </w:tcPr>
          <w:p>
            <w:pPr>
              <w:spacing w:after="0"/>
              <w:rPr>
                <w:sz w:val="17"/>
                <w:szCs w:val="17"/>
                <w:color w:val="auto"/>
              </w:rPr>
            </w:pPr>
          </w:p>
        </w:tc>
        <w:tc>
          <w:tcPr>
            <w:tcW w:w="6160" w:type="dxa"/>
            <w:vAlign w:val="bottom"/>
            <w:gridSpan w:val="4"/>
          </w:tcPr>
          <w:p>
            <w:pPr>
              <w:spacing w:after="0" w:line="205" w:lineRule="exact"/>
              <w:rPr>
                <w:sz w:val="20"/>
                <w:szCs w:val="20"/>
                <w:color w:val="auto"/>
              </w:rPr>
            </w:pPr>
            <w:r>
              <w:rPr>
                <w:rFonts w:ascii="Arial" w:cs="Arial" w:eastAsia="Arial" w:hAnsi="Arial"/>
                <w:sz w:val="14"/>
                <w:szCs w:val="14"/>
                <w:color w:val="auto"/>
              </w:rPr>
              <w:t>Free cash flow</w:t>
            </w:r>
            <w:r>
              <w:rPr>
                <w:rFonts w:ascii="Arial" w:cs="Arial" w:eastAsia="Arial" w:hAnsi="Arial"/>
                <w:sz w:val="18"/>
                <w:szCs w:val="18"/>
                <w:color w:val="auto"/>
                <w:vertAlign w:val="superscript"/>
              </w:rPr>
              <w:t>1</w:t>
            </w:r>
          </w:p>
        </w:tc>
        <w:tc>
          <w:tcPr>
            <w:tcW w:w="26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141</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196"/>
        </w:trPr>
        <w:tc>
          <w:tcPr>
            <w:tcW w:w="20" w:type="dxa"/>
            <w:vAlign w:val="bottom"/>
          </w:tcPr>
          <w:p>
            <w:pPr>
              <w:spacing w:after="0"/>
              <w:rPr>
                <w:sz w:val="17"/>
                <w:szCs w:val="17"/>
                <w:color w:val="auto"/>
              </w:rPr>
            </w:pPr>
          </w:p>
        </w:tc>
        <w:tc>
          <w:tcPr>
            <w:tcW w:w="6160" w:type="dxa"/>
            <w:vAlign w:val="bottom"/>
            <w:gridSpan w:val="4"/>
          </w:tcPr>
          <w:p>
            <w:pPr>
              <w:spacing w:after="0"/>
              <w:rPr>
                <w:sz w:val="20"/>
                <w:szCs w:val="20"/>
                <w:color w:val="auto"/>
              </w:rPr>
            </w:pPr>
            <w:r>
              <w:rPr>
                <w:rFonts w:ascii="Arial" w:cs="Arial" w:eastAsia="Arial" w:hAnsi="Arial"/>
                <w:sz w:val="14"/>
                <w:szCs w:val="14"/>
                <w:color w:val="auto"/>
              </w:rPr>
              <w:t>Cash and cash equivalents</w:t>
            </w:r>
          </w:p>
        </w:tc>
        <w:tc>
          <w:tcPr>
            <w:tcW w:w="26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241</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1,031</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Guidance</w:t>
      </w:r>
    </w:p>
    <w:p>
      <w:pPr>
        <w:spacing w:after="0" w:line="240" w:lineRule="exact"/>
        <w:rPr>
          <w:sz w:val="20"/>
          <w:szCs w:val="20"/>
          <w:color w:val="auto"/>
        </w:rPr>
      </w:pPr>
    </w:p>
    <w:p>
      <w:pPr>
        <w:jc w:val="both"/>
        <w:ind w:firstLine="320"/>
        <w:spacing w:after="0" w:line="264" w:lineRule="auto"/>
        <w:rPr>
          <w:sz w:val="20"/>
          <w:szCs w:val="20"/>
          <w:color w:val="auto"/>
        </w:rPr>
      </w:pPr>
      <w:r>
        <w:rPr>
          <w:rFonts w:ascii="Arial" w:cs="Arial" w:eastAsia="Arial" w:hAnsi="Arial"/>
          <w:sz w:val="21"/>
          <w:szCs w:val="21"/>
          <w:color w:val="auto"/>
        </w:rPr>
        <w:t>The following table provides guidance for key fourth quarter financial and operating metrics. For the balance of 2024, CRC expects to run a one-rig program.</w:t>
      </w:r>
    </w:p>
    <w:p>
      <w:pPr>
        <w:spacing w:after="0" w:line="175" w:lineRule="exact"/>
        <w:rPr>
          <w:sz w:val="20"/>
          <w:szCs w:val="20"/>
          <w:color w:val="auto"/>
        </w:rPr>
      </w:pPr>
    </w:p>
    <w:p>
      <w:pPr>
        <w:jc w:val="both"/>
        <w:ind w:firstLine="320"/>
        <w:spacing w:after="0"/>
        <w:rPr>
          <w:sz w:val="20"/>
          <w:szCs w:val="20"/>
          <w:color w:val="auto"/>
        </w:rPr>
      </w:pPr>
      <w:r>
        <w:rPr>
          <w:rFonts w:ascii="Arial" w:cs="Arial" w:eastAsia="Arial" w:hAnsi="Arial"/>
          <w:sz w:val="21"/>
          <w:szCs w:val="21"/>
          <w:color w:val="auto"/>
        </w:rPr>
        <w:t>CRC has actioned $135 million in Aera merger related synergies during the second half of 2024 and remains on-track to deliver approximately $235 million in estimated synergies by the third quarter of 2025. A reduction of $60 million</w:t>
      </w:r>
      <w:r>
        <w:rPr>
          <w:rFonts w:ascii="Arial" w:cs="Arial" w:eastAsia="Arial" w:hAnsi="Arial"/>
          <w:sz w:val="27"/>
          <w:szCs w:val="27"/>
          <w:color w:val="auto"/>
          <w:vertAlign w:val="superscript"/>
        </w:rPr>
        <w:t>2</w:t>
      </w:r>
      <w:r>
        <w:rPr>
          <w:rFonts w:ascii="Arial" w:cs="Arial" w:eastAsia="Arial" w:hAnsi="Arial"/>
          <w:sz w:val="21"/>
          <w:szCs w:val="21"/>
          <w:color w:val="auto"/>
        </w:rPr>
        <w:t xml:space="preserve"> in annual interest expense was achieved in the second quarter of 2024 and third quarter results reflect approximately $8 million of run rate savings. Looking forward, fourth quarter guidance includes $22 million of actioned synergies and the next $45 million of actioned Aera merger synergies are expected to be gradually reflected throughout 2025.</w:t>
      </w:r>
    </w:p>
    <w:p>
      <w:pPr>
        <w:spacing w:after="0" w:line="200" w:lineRule="exact"/>
        <w:rPr>
          <w:sz w:val="20"/>
          <w:szCs w:val="20"/>
          <w:color w:val="auto"/>
        </w:rPr>
      </w:pPr>
    </w:p>
    <w:p>
      <w:pPr>
        <w:spacing w:after="0" w:line="203" w:lineRule="exact"/>
        <w:rPr>
          <w:sz w:val="20"/>
          <w:szCs w:val="20"/>
          <w:color w:val="auto"/>
        </w:rPr>
      </w:pPr>
    </w:p>
    <w:p>
      <w:pPr>
        <w:jc w:val="both"/>
        <w:ind w:firstLine="320"/>
        <w:spacing w:after="0" w:line="244" w:lineRule="auto"/>
        <w:rPr>
          <w:sz w:val="20"/>
          <w:szCs w:val="20"/>
          <w:color w:val="auto"/>
        </w:rPr>
      </w:pPr>
      <w:r>
        <w:rPr>
          <w:rFonts w:ascii="Arial" w:cs="Arial" w:eastAsia="Arial" w:hAnsi="Arial"/>
          <w:sz w:val="21"/>
          <w:szCs w:val="21"/>
          <w:color w:val="auto"/>
        </w:rPr>
        <w:t>CRC plans to implement the final $100 million of projected operational and general and administrative Aera merger related synergies next year, with the benefits expected to be realized throughout 2025 and 2026. Projected operational synergies are expected to reduce operating costs, ARO, and capital. CRC plans to provide additional details of these operations synergies with its full year 2025 guidance during its fourth quarter 2024 earnings call. See Attachment 2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240"/>
          </w:cols>
          <w:pgMar w:left="320" w:top="906" w:right="339" w:bottom="1440" w:gutter="0" w:footer="0" w:header="0"/>
        </w:sectPr>
      </w:pPr>
    </w:p>
    <w:bookmarkStart w:id="6" w:name="page7"/>
    <w:bookmarkEnd w:id="6"/>
    <w:tbl>
      <w:tblPr>
        <w:tblLayout w:type="fixed"/>
        <w:tblInd w:w="1680" w:type="dxa"/>
        <w:tblCellMar>
          <w:top w:w="0" w:type="dxa"/>
          <w:left w:w="0" w:type="dxa"/>
          <w:bottom w:w="0" w:type="dxa"/>
          <w:right w:w="0" w:type="dxa"/>
        </w:tblCellMar>
      </w:tblPr>
      <w:tr>
        <w:trPr>
          <w:trHeight w:val="177"/>
        </w:trPr>
        <w:tc>
          <w:tcPr>
            <w:tcW w:w="4360" w:type="dxa"/>
            <w:vAlign w:val="bottom"/>
            <w:tcBorders>
              <w:top w:val="single" w:sz="8" w:color="auto"/>
            </w:tcBorders>
            <w:shd w:val="clear" w:color="auto" w:fill="DBDBDB"/>
          </w:tcPr>
          <w:p>
            <w:pPr>
              <w:ind w:left="20"/>
              <w:spacing w:after="0" w:line="177" w:lineRule="exact"/>
              <w:rPr>
                <w:sz w:val="20"/>
                <w:szCs w:val="20"/>
                <w:color w:val="auto"/>
              </w:rPr>
            </w:pPr>
            <w:r>
              <w:rPr>
                <w:rFonts w:ascii="Arial" w:cs="Arial" w:eastAsia="Arial" w:hAnsi="Arial"/>
                <w:sz w:val="14"/>
                <w:szCs w:val="14"/>
                <w:b w:val="1"/>
                <w:bCs w:val="1"/>
                <w:color w:val="auto"/>
              </w:rPr>
              <w:t>CRC Guidance</w:t>
            </w:r>
            <w:r>
              <w:rPr>
                <w:rFonts w:ascii="Arial" w:cs="Arial" w:eastAsia="Arial" w:hAnsi="Arial"/>
                <w:sz w:val="18"/>
                <w:szCs w:val="18"/>
                <w:b w:val="1"/>
                <w:bCs w:val="1"/>
                <w:color w:val="auto"/>
                <w:vertAlign w:val="superscript"/>
              </w:rPr>
              <w:t>7</w:t>
            </w:r>
          </w:p>
        </w:tc>
        <w:tc>
          <w:tcPr>
            <w:tcW w:w="3540" w:type="dxa"/>
            <w:vAlign w:val="bottom"/>
            <w:tcBorders>
              <w:top w:val="single" w:sz="8" w:color="auto"/>
            </w:tcBorders>
            <w:shd w:val="clear" w:color="auto" w:fill="DBDBDB"/>
          </w:tcPr>
          <w:p>
            <w:pPr>
              <w:ind w:left="2480"/>
              <w:spacing w:after="0"/>
              <w:rPr>
                <w:sz w:val="20"/>
                <w:szCs w:val="20"/>
                <w:color w:val="auto"/>
              </w:rPr>
            </w:pPr>
            <w:r>
              <w:rPr>
                <w:rFonts w:ascii="Arial" w:cs="Arial" w:eastAsia="Arial" w:hAnsi="Arial"/>
                <w:sz w:val="14"/>
                <w:szCs w:val="14"/>
                <w:b w:val="1"/>
                <w:bCs w:val="1"/>
                <w:color w:val="auto"/>
              </w:rPr>
              <w:t>Total</w:t>
            </w:r>
          </w:p>
        </w:tc>
      </w:tr>
      <w:tr>
        <w:trPr>
          <w:trHeight w:val="203"/>
        </w:trPr>
        <w:tc>
          <w:tcPr>
            <w:tcW w:w="4360" w:type="dxa"/>
            <w:vAlign w:val="bottom"/>
            <w:tcBorders>
              <w:bottom w:val="single" w:sz="8" w:color="auto"/>
            </w:tcBorders>
            <w:shd w:val="clear" w:color="auto" w:fill="DBDBDB"/>
          </w:tcPr>
          <w:p>
            <w:pPr>
              <w:spacing w:after="0"/>
              <w:rPr>
                <w:sz w:val="17"/>
                <w:szCs w:val="17"/>
                <w:color w:val="auto"/>
              </w:rPr>
            </w:pPr>
          </w:p>
        </w:tc>
        <w:tc>
          <w:tcPr>
            <w:tcW w:w="3540" w:type="dxa"/>
            <w:vAlign w:val="bottom"/>
            <w:tcBorders>
              <w:bottom w:val="single" w:sz="8" w:color="auto"/>
            </w:tcBorders>
            <w:shd w:val="clear" w:color="auto" w:fill="DBDBDB"/>
          </w:tcPr>
          <w:p>
            <w:pPr>
              <w:jc w:val="center"/>
              <w:ind w:left="1689"/>
              <w:spacing w:after="0"/>
              <w:rPr>
                <w:sz w:val="20"/>
                <w:szCs w:val="20"/>
                <w:color w:val="auto"/>
              </w:rPr>
            </w:pPr>
            <w:r>
              <w:rPr>
                <w:rFonts w:ascii="Arial" w:cs="Arial" w:eastAsia="Arial" w:hAnsi="Arial"/>
                <w:sz w:val="14"/>
                <w:szCs w:val="14"/>
                <w:b w:val="1"/>
                <w:bCs w:val="1"/>
                <w:color w:val="auto"/>
              </w:rPr>
              <w:t>4Q24E</w:t>
            </w:r>
          </w:p>
        </w:tc>
      </w:tr>
      <w:tr>
        <w:trPr>
          <w:trHeight w:val="193"/>
        </w:trPr>
        <w:tc>
          <w:tcPr>
            <w:tcW w:w="4360" w:type="dxa"/>
            <w:vAlign w:val="bottom"/>
          </w:tcPr>
          <w:p>
            <w:pPr>
              <w:ind w:left="140"/>
              <w:spacing w:after="0"/>
              <w:rPr>
                <w:sz w:val="20"/>
                <w:szCs w:val="20"/>
                <w:color w:val="auto"/>
              </w:rPr>
            </w:pPr>
            <w:r>
              <w:rPr>
                <w:rFonts w:ascii="Arial" w:cs="Arial" w:eastAsia="Arial" w:hAnsi="Arial"/>
                <w:sz w:val="14"/>
                <w:szCs w:val="14"/>
                <w:color w:val="auto"/>
              </w:rPr>
              <w:t>Net Production Sold (MBoe/d)</w:t>
            </w:r>
          </w:p>
        </w:tc>
        <w:tc>
          <w:tcPr>
            <w:tcW w:w="3540" w:type="dxa"/>
            <w:vAlign w:val="bottom"/>
          </w:tcPr>
          <w:p>
            <w:pPr>
              <w:jc w:val="center"/>
              <w:ind w:left="1669"/>
              <w:spacing w:after="0"/>
              <w:rPr>
                <w:sz w:val="20"/>
                <w:szCs w:val="20"/>
                <w:color w:val="auto"/>
              </w:rPr>
            </w:pPr>
            <w:r>
              <w:rPr>
                <w:rFonts w:ascii="Arial" w:cs="Arial" w:eastAsia="Arial" w:hAnsi="Arial"/>
                <w:sz w:val="14"/>
                <w:szCs w:val="14"/>
                <w:color w:val="auto"/>
              </w:rPr>
              <w:t>140 - 144</w:t>
            </w:r>
          </w:p>
        </w:tc>
      </w:tr>
      <w:tr>
        <w:trPr>
          <w:trHeight w:val="213"/>
        </w:trPr>
        <w:tc>
          <w:tcPr>
            <w:tcW w:w="4360" w:type="dxa"/>
            <w:vAlign w:val="bottom"/>
          </w:tcPr>
          <w:p>
            <w:pPr>
              <w:ind w:left="140"/>
              <w:spacing w:after="0"/>
              <w:rPr>
                <w:sz w:val="20"/>
                <w:szCs w:val="20"/>
                <w:color w:val="auto"/>
              </w:rPr>
            </w:pPr>
            <w:r>
              <w:rPr>
                <w:rFonts w:ascii="Arial" w:cs="Arial" w:eastAsia="Arial" w:hAnsi="Arial"/>
                <w:sz w:val="14"/>
                <w:szCs w:val="14"/>
                <w:color w:val="auto"/>
              </w:rPr>
              <w:t>Oil Production Sold (%)</w:t>
            </w:r>
          </w:p>
        </w:tc>
        <w:tc>
          <w:tcPr>
            <w:tcW w:w="3540" w:type="dxa"/>
            <w:vAlign w:val="bottom"/>
          </w:tcPr>
          <w:p>
            <w:pPr>
              <w:jc w:val="center"/>
              <w:ind w:left="1689"/>
              <w:spacing w:after="0"/>
              <w:rPr>
                <w:sz w:val="20"/>
                <w:szCs w:val="20"/>
                <w:color w:val="auto"/>
              </w:rPr>
            </w:pPr>
            <w:r>
              <w:rPr>
                <w:rFonts w:ascii="Arial" w:cs="Arial" w:eastAsia="Arial" w:hAnsi="Arial"/>
                <w:sz w:val="14"/>
                <w:szCs w:val="14"/>
                <w:color w:val="auto"/>
              </w:rPr>
              <w:t>~79%</w:t>
            </w:r>
          </w:p>
        </w:tc>
      </w:tr>
      <w:tr>
        <w:trPr>
          <w:trHeight w:val="213"/>
        </w:trPr>
        <w:tc>
          <w:tcPr>
            <w:tcW w:w="4360" w:type="dxa"/>
            <w:vAlign w:val="bottom"/>
          </w:tcPr>
          <w:p>
            <w:pPr>
              <w:ind w:left="140"/>
              <w:spacing w:after="0"/>
              <w:rPr>
                <w:sz w:val="20"/>
                <w:szCs w:val="20"/>
                <w:color w:val="auto"/>
              </w:rPr>
            </w:pPr>
            <w:r>
              <w:rPr>
                <w:rFonts w:ascii="Arial" w:cs="Arial" w:eastAsia="Arial" w:hAnsi="Arial"/>
                <w:sz w:val="14"/>
                <w:szCs w:val="14"/>
                <w:color w:val="auto"/>
              </w:rPr>
              <w:t>Capital ($ millions)</w:t>
            </w:r>
          </w:p>
        </w:tc>
        <w:tc>
          <w:tcPr>
            <w:tcW w:w="3540" w:type="dxa"/>
            <w:vAlign w:val="bottom"/>
          </w:tcPr>
          <w:p>
            <w:pPr>
              <w:jc w:val="center"/>
              <w:ind w:left="1669"/>
              <w:spacing w:after="0"/>
              <w:rPr>
                <w:sz w:val="20"/>
                <w:szCs w:val="20"/>
                <w:color w:val="auto"/>
              </w:rPr>
            </w:pPr>
            <w:r>
              <w:rPr>
                <w:rFonts w:ascii="Arial" w:cs="Arial" w:eastAsia="Arial" w:hAnsi="Arial"/>
                <w:sz w:val="14"/>
                <w:szCs w:val="14"/>
                <w:color w:val="auto"/>
              </w:rPr>
              <w:t>$85 - $105</w:t>
            </w:r>
          </w:p>
        </w:tc>
      </w:tr>
      <w:tr>
        <w:trPr>
          <w:trHeight w:val="267"/>
        </w:trPr>
        <w:tc>
          <w:tcPr>
            <w:tcW w:w="4360" w:type="dxa"/>
            <w:vAlign w:val="bottom"/>
          </w:tcPr>
          <w:p>
            <w:pPr>
              <w:ind w:left="120"/>
              <w:spacing w:after="0"/>
              <w:rPr>
                <w:sz w:val="20"/>
                <w:szCs w:val="20"/>
                <w:color w:val="auto"/>
              </w:rPr>
            </w:pPr>
            <w:r>
              <w:rPr>
                <w:rFonts w:ascii="Arial" w:cs="Arial" w:eastAsia="Arial" w:hAnsi="Arial"/>
                <w:sz w:val="14"/>
                <w:szCs w:val="14"/>
                <w:color w:val="auto"/>
              </w:rPr>
              <w:t>Adjusted EBITDAX</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 millions)</w:t>
            </w:r>
          </w:p>
        </w:tc>
        <w:tc>
          <w:tcPr>
            <w:tcW w:w="3540" w:type="dxa"/>
            <w:vAlign w:val="bottom"/>
          </w:tcPr>
          <w:p>
            <w:pPr>
              <w:jc w:val="center"/>
              <w:ind w:left="1689"/>
              <w:spacing w:after="0"/>
              <w:rPr>
                <w:sz w:val="20"/>
                <w:szCs w:val="20"/>
                <w:color w:val="auto"/>
              </w:rPr>
            </w:pPr>
            <w:r>
              <w:rPr>
                <w:rFonts w:ascii="Arial" w:cs="Arial" w:eastAsia="Arial" w:hAnsi="Arial"/>
                <w:sz w:val="14"/>
                <w:szCs w:val="14"/>
                <w:color w:val="auto"/>
                <w:w w:val="98"/>
              </w:rPr>
              <w:t>$260 - $300</w:t>
            </w:r>
          </w:p>
        </w:tc>
      </w:tr>
    </w:tbl>
    <w:p>
      <w:pPr>
        <w:spacing w:after="0" w:line="25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Shareholder Returns</w:t>
      </w:r>
    </w:p>
    <w:p>
      <w:pPr>
        <w:spacing w:after="0" w:line="240"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21"/>
          <w:szCs w:val="21"/>
          <w:color w:val="auto"/>
        </w:rPr>
        <w:t>CRC is committed to returning cash to shareholders through dividends and repurchases of common stock. During the third quarter of 2024, CRC repurchased 0.835 million shares for $42 million at an average price of $50.23 per share.</w:t>
      </w:r>
    </w:p>
    <w:p>
      <w:pPr>
        <w:spacing w:after="0" w:line="200" w:lineRule="exact"/>
        <w:rPr>
          <w:sz w:val="20"/>
          <w:szCs w:val="20"/>
          <w:color w:val="auto"/>
        </w:rPr>
      </w:pPr>
    </w:p>
    <w:p>
      <w:pPr>
        <w:spacing w:after="0" w:line="233" w:lineRule="exact"/>
        <w:rPr>
          <w:sz w:val="20"/>
          <w:szCs w:val="20"/>
          <w:color w:val="auto"/>
        </w:rPr>
      </w:pPr>
    </w:p>
    <w:p>
      <w:pPr>
        <w:jc w:val="both"/>
        <w:ind w:firstLine="320"/>
        <w:spacing w:after="0" w:line="264" w:lineRule="auto"/>
        <w:rPr>
          <w:sz w:val="20"/>
          <w:szCs w:val="20"/>
          <w:color w:val="auto"/>
        </w:rPr>
      </w:pPr>
      <w:r>
        <w:rPr>
          <w:rFonts w:ascii="Arial" w:cs="Arial" w:eastAsia="Arial" w:hAnsi="Arial"/>
          <w:sz w:val="21"/>
          <w:szCs w:val="21"/>
          <w:color w:val="auto"/>
        </w:rPr>
        <w:t>On November 5, 2024, CRC's Board of Directors declared a quarterly cash dividend of $0.3875 per share of common stock. The dividend is payable to shareholders of record on December 2, 2024 and will be paid on December 16, 2024.</w:t>
      </w:r>
    </w:p>
    <w:p>
      <w:pPr>
        <w:spacing w:after="0" w:line="200" w:lineRule="exact"/>
        <w:rPr>
          <w:sz w:val="20"/>
          <w:szCs w:val="20"/>
          <w:color w:val="auto"/>
        </w:rPr>
      </w:pPr>
    </w:p>
    <w:p>
      <w:pPr>
        <w:spacing w:after="0" w:line="224" w:lineRule="exact"/>
        <w:rPr>
          <w:sz w:val="20"/>
          <w:szCs w:val="20"/>
          <w:color w:val="auto"/>
        </w:rPr>
      </w:pPr>
    </w:p>
    <w:p>
      <w:pPr>
        <w:jc w:val="both"/>
        <w:ind w:firstLine="320"/>
        <w:spacing w:after="0" w:line="231" w:lineRule="auto"/>
        <w:rPr>
          <w:sz w:val="20"/>
          <w:szCs w:val="20"/>
          <w:color w:val="auto"/>
        </w:rPr>
      </w:pPr>
      <w:r>
        <w:rPr>
          <w:rFonts w:ascii="Arial" w:cs="Arial" w:eastAsia="Arial" w:hAnsi="Arial"/>
          <w:sz w:val="21"/>
          <w:szCs w:val="21"/>
          <w:color w:val="auto"/>
        </w:rPr>
        <w:t>Since May 2021, CRC has returned approximately $1,022 million of cash to its stakeholders, including $736 million</w:t>
      </w:r>
      <w:r>
        <w:rPr>
          <w:rFonts w:ascii="Arial" w:cs="Arial" w:eastAsia="Arial" w:hAnsi="Arial"/>
          <w:sz w:val="27"/>
          <w:szCs w:val="27"/>
          <w:color w:val="auto"/>
          <w:vertAlign w:val="superscript"/>
        </w:rPr>
        <w:t>8</w:t>
      </w:r>
      <w:r>
        <w:rPr>
          <w:rFonts w:ascii="Arial" w:cs="Arial" w:eastAsia="Arial" w:hAnsi="Arial"/>
          <w:sz w:val="21"/>
          <w:szCs w:val="21"/>
          <w:color w:val="auto"/>
        </w:rPr>
        <w:t xml:space="preserve"> in share repurchases, $231 million in dividends and redemption of $55 million in principal of its 2026 Senior Notes which reduced overall leverage.</w:t>
      </w:r>
    </w:p>
    <w:p>
      <w:pPr>
        <w:spacing w:after="0" w:line="200" w:lineRule="exact"/>
        <w:rPr>
          <w:sz w:val="20"/>
          <w:szCs w:val="20"/>
          <w:color w:val="auto"/>
        </w:rPr>
      </w:pPr>
    </w:p>
    <w:p>
      <w:pPr>
        <w:jc w:val="both"/>
        <w:ind w:right="20" w:firstLine="320"/>
        <w:spacing w:after="0" w:line="277" w:lineRule="auto"/>
        <w:rPr>
          <w:sz w:val="20"/>
          <w:szCs w:val="20"/>
          <w:color w:val="auto"/>
        </w:rPr>
      </w:pPr>
      <w:r>
        <w:rPr>
          <w:rFonts w:ascii="Arial" w:cs="Arial" w:eastAsia="Arial" w:hAnsi="Arial"/>
          <w:sz w:val="21"/>
          <w:szCs w:val="21"/>
          <w:color w:val="auto"/>
        </w:rPr>
        <w:t>In October 2020, CRC reserved an aggregate 4.384 million shares of its common stock for warrants, which were exercisable at $36 per share through October 28, 2024.</w:t>
      </w:r>
    </w:p>
    <w:p>
      <w:pPr>
        <w:spacing w:after="0" w:line="162"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21"/>
          <w:szCs w:val="21"/>
          <w:color w:val="auto"/>
        </w:rPr>
        <w:t>Since the issuance date of the warrants in October 2020, 3.857 million shares have been issued upon the exercise of warrants and, 0.469 million shares were cancelled due to net settlement. On October 28, 2024, any unexercised warrants expired in accordance with their terms and 57,920 shares underlying such warrants were never issued.</w:t>
      </w:r>
    </w:p>
    <w:p>
      <w:pPr>
        <w:spacing w:after="0" w:line="18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Balance Sheet and Liquidity</w:t>
      </w:r>
    </w:p>
    <w:p>
      <w:pPr>
        <w:spacing w:after="0" w:line="240"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21"/>
          <w:szCs w:val="21"/>
          <w:color w:val="auto"/>
        </w:rPr>
        <w:t>On August 22, 2024, CRC completed a follow-on offering of $300 million in aggregate principal amount of 2029 Senior Notes. The net proceeds of $298 million from the issuance, which included $3 million of premium and $5 million of issuance costs, were used to repurchase $300 million of CRC's 2026 Senior Notes in a tender offer.</w:t>
      </w:r>
    </w:p>
    <w:p>
      <w:pPr>
        <w:spacing w:after="0" w:line="176" w:lineRule="exact"/>
        <w:rPr>
          <w:sz w:val="20"/>
          <w:szCs w:val="20"/>
          <w:color w:val="auto"/>
        </w:rPr>
      </w:pPr>
    </w:p>
    <w:p>
      <w:pPr>
        <w:jc w:val="both"/>
        <w:ind w:firstLine="320"/>
        <w:spacing w:after="0" w:line="212" w:lineRule="auto"/>
        <w:rPr>
          <w:sz w:val="20"/>
          <w:szCs w:val="20"/>
          <w:color w:val="auto"/>
        </w:rPr>
      </w:pPr>
      <w:r>
        <w:rPr>
          <w:rFonts w:ascii="Arial" w:cs="Arial" w:eastAsia="Arial" w:hAnsi="Arial"/>
          <w:sz w:val="21"/>
          <w:szCs w:val="21"/>
          <w:color w:val="auto"/>
        </w:rPr>
        <w:t>As of September 30, 2024, CRC had liquidity of $1,138 million</w:t>
      </w:r>
      <w:r>
        <w:rPr>
          <w:rFonts w:ascii="Arial" w:cs="Arial" w:eastAsia="Arial" w:hAnsi="Arial"/>
          <w:sz w:val="27"/>
          <w:szCs w:val="27"/>
          <w:color w:val="auto"/>
          <w:vertAlign w:val="superscript"/>
        </w:rPr>
        <w:t>3</w:t>
      </w:r>
      <w:r>
        <w:rPr>
          <w:rFonts w:ascii="Arial" w:cs="Arial" w:eastAsia="Arial" w:hAnsi="Arial"/>
          <w:sz w:val="21"/>
          <w:szCs w:val="21"/>
          <w:color w:val="auto"/>
        </w:rPr>
        <w:t>, which consisted of $213 million in available cash and cash equivalents</w:t>
      </w:r>
      <w:r>
        <w:rPr>
          <w:rFonts w:ascii="Arial" w:cs="Arial" w:eastAsia="Arial" w:hAnsi="Arial"/>
          <w:sz w:val="27"/>
          <w:szCs w:val="27"/>
          <w:color w:val="auto"/>
          <w:vertAlign w:val="superscript"/>
        </w:rPr>
        <w:t>3</w:t>
      </w:r>
      <w:r>
        <w:rPr>
          <w:rFonts w:ascii="Arial" w:cs="Arial" w:eastAsia="Arial" w:hAnsi="Arial"/>
          <w:sz w:val="21"/>
          <w:szCs w:val="21"/>
          <w:color w:val="auto"/>
        </w:rPr>
        <w:t xml:space="preserve"> plus $925 million of availability under the Revolving Credit Facility which reflects $1,100 million of borrowing capacity, less $175 million of outstanding letters of credit.</w:t>
      </w:r>
    </w:p>
    <w:p>
      <w:pPr>
        <w:spacing w:after="0" w:line="202"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21"/>
          <w:szCs w:val="21"/>
          <w:color w:val="auto"/>
        </w:rPr>
        <w:t>On November 1, 2024, CRC reaffirmed its $1.5 billion borrowing base and amended its existing Revolving Credit Facility. The amendments included extending the maturity date of the facility to March 16, 2029, amending the springing maturity to permit its 2026 Senior Notes to remain outstanding past October 31, 2025 under certain circumstances, increasing the amount of elected commitments by $50 million, and other technical amendments.</w:t>
      </w:r>
    </w:p>
    <w:p>
      <w:pPr>
        <w:spacing w:after="0" w:line="19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Upcoming Investor Conference Participation</w:t>
      </w:r>
    </w:p>
    <w:p>
      <w:pPr>
        <w:spacing w:after="0" w:line="240" w:lineRule="exact"/>
        <w:rPr>
          <w:sz w:val="20"/>
          <w:szCs w:val="20"/>
          <w:color w:val="auto"/>
        </w:rPr>
      </w:pPr>
    </w:p>
    <w:p>
      <w:pPr>
        <w:ind w:left="320"/>
        <w:spacing w:after="0"/>
        <w:rPr>
          <w:sz w:val="20"/>
          <w:szCs w:val="20"/>
          <w:color w:val="auto"/>
        </w:rPr>
      </w:pPr>
      <w:r>
        <w:rPr>
          <w:rFonts w:ascii="Arial" w:cs="Arial" w:eastAsia="Arial" w:hAnsi="Arial"/>
          <w:sz w:val="21"/>
          <w:szCs w:val="21"/>
          <w:color w:val="auto"/>
        </w:rPr>
        <w:t>CRC plans to participate in the following events in November and December 2024:</w:t>
      </w:r>
    </w:p>
    <w:p>
      <w:pPr>
        <w:spacing w:after="0" w:line="252" w:lineRule="exact"/>
        <w:rPr>
          <w:sz w:val="20"/>
          <w:szCs w:val="20"/>
          <w:color w:val="auto"/>
        </w:rPr>
      </w:pPr>
    </w:p>
    <w:p>
      <w:pPr>
        <w:ind w:left="640" w:hanging="314"/>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21"/>
          <w:szCs w:val="21"/>
          <w:color w:val="auto"/>
        </w:rPr>
        <w:t>Bank of America Global Energy Conference 2024 on November 12 to 13 in Houston, TX</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240"/>
          </w:cols>
          <w:pgMar w:left="320" w:top="906" w:right="339" w:bottom="1440" w:gutter="0" w:footer="0" w:header="0"/>
        </w:sectPr>
      </w:pPr>
    </w:p>
    <w:bookmarkStart w:id="7" w:name="page8"/>
    <w:bookmarkEnd w:id="7"/>
    <w:p>
      <w:pPr>
        <w:ind w:left="640" w:hanging="314"/>
        <w:spacing w:after="0"/>
        <w:tabs>
          <w:tab w:leader="none" w:pos="640" w:val="left"/>
        </w:tabs>
        <w:numPr>
          <w:ilvl w:val="0"/>
          <w:numId w:val="4"/>
        </w:numPr>
        <w:rPr>
          <w:rFonts w:ascii="Arial" w:cs="Arial" w:eastAsia="Arial" w:hAnsi="Arial"/>
          <w:sz w:val="21"/>
          <w:szCs w:val="21"/>
          <w:color w:val="auto"/>
        </w:rPr>
      </w:pPr>
      <w:r>
        <w:rPr>
          <w:rFonts w:ascii="Arial" w:cs="Arial" w:eastAsia="Arial" w:hAnsi="Arial"/>
          <w:sz w:val="21"/>
          <w:szCs w:val="21"/>
          <w:color w:val="auto"/>
        </w:rPr>
        <w:t>TD Securities Energy Conference on November 19 to 20 in New York, NY</w:t>
      </w:r>
    </w:p>
    <w:p>
      <w:pPr>
        <w:spacing w:after="0" w:line="18" w:lineRule="exact"/>
        <w:rPr>
          <w:rFonts w:ascii="Arial" w:cs="Arial" w:eastAsia="Arial" w:hAnsi="Arial"/>
          <w:sz w:val="21"/>
          <w:szCs w:val="21"/>
          <w:color w:val="auto"/>
        </w:rPr>
      </w:pPr>
    </w:p>
    <w:p>
      <w:pPr>
        <w:ind w:left="640" w:hanging="314"/>
        <w:spacing w:after="0"/>
        <w:tabs>
          <w:tab w:leader="none" w:pos="640" w:val="left"/>
        </w:tabs>
        <w:numPr>
          <w:ilvl w:val="0"/>
          <w:numId w:val="4"/>
        </w:numPr>
        <w:rPr>
          <w:rFonts w:ascii="Arial" w:cs="Arial" w:eastAsia="Arial" w:hAnsi="Arial"/>
          <w:sz w:val="21"/>
          <w:szCs w:val="21"/>
          <w:color w:val="auto"/>
        </w:rPr>
      </w:pPr>
      <w:r>
        <w:rPr>
          <w:rFonts w:ascii="Arial" w:cs="Arial" w:eastAsia="Arial" w:hAnsi="Arial"/>
          <w:sz w:val="21"/>
          <w:szCs w:val="21"/>
          <w:color w:val="auto"/>
        </w:rPr>
        <w:t>Wolfe Research Inaugural Oil &amp; Gas Conference on November 21, Virtual</w:t>
      </w:r>
    </w:p>
    <w:p>
      <w:pPr>
        <w:spacing w:after="0" w:line="11" w:lineRule="exact"/>
        <w:rPr>
          <w:rFonts w:ascii="Arial" w:cs="Arial" w:eastAsia="Arial" w:hAnsi="Arial"/>
          <w:sz w:val="21"/>
          <w:szCs w:val="21"/>
          <w:color w:val="auto"/>
        </w:rPr>
      </w:pPr>
    </w:p>
    <w:p>
      <w:pPr>
        <w:ind w:left="640" w:hanging="314"/>
        <w:spacing w:after="0"/>
        <w:tabs>
          <w:tab w:leader="none" w:pos="640" w:val="left"/>
        </w:tabs>
        <w:numPr>
          <w:ilvl w:val="0"/>
          <w:numId w:val="4"/>
        </w:numPr>
        <w:rPr>
          <w:rFonts w:ascii="Arial" w:cs="Arial" w:eastAsia="Arial" w:hAnsi="Arial"/>
          <w:sz w:val="21"/>
          <w:szCs w:val="21"/>
          <w:color w:val="auto"/>
        </w:rPr>
      </w:pPr>
      <w:r>
        <w:rPr>
          <w:rFonts w:ascii="Arial" w:cs="Arial" w:eastAsia="Arial" w:hAnsi="Arial"/>
          <w:sz w:val="21"/>
          <w:szCs w:val="21"/>
          <w:color w:val="auto"/>
        </w:rPr>
        <w:t>2024 Stephens Annual Investment Conference on November 22 in Nashville, TN</w:t>
      </w:r>
    </w:p>
    <w:p>
      <w:pPr>
        <w:spacing w:after="0" w:line="19" w:lineRule="exact"/>
        <w:rPr>
          <w:rFonts w:ascii="Arial" w:cs="Arial" w:eastAsia="Arial" w:hAnsi="Arial"/>
          <w:sz w:val="21"/>
          <w:szCs w:val="21"/>
          <w:color w:val="auto"/>
        </w:rPr>
      </w:pPr>
    </w:p>
    <w:p>
      <w:pPr>
        <w:ind w:left="640" w:hanging="314"/>
        <w:spacing w:after="0"/>
        <w:tabs>
          <w:tab w:leader="none" w:pos="640" w:val="left"/>
        </w:tabs>
        <w:numPr>
          <w:ilvl w:val="0"/>
          <w:numId w:val="4"/>
        </w:numPr>
        <w:rPr>
          <w:rFonts w:ascii="Arial" w:cs="Arial" w:eastAsia="Arial" w:hAnsi="Arial"/>
          <w:sz w:val="21"/>
          <w:szCs w:val="21"/>
          <w:color w:val="auto"/>
        </w:rPr>
      </w:pPr>
      <w:r>
        <w:rPr>
          <w:rFonts w:ascii="Arial" w:cs="Arial" w:eastAsia="Arial" w:hAnsi="Arial"/>
          <w:sz w:val="21"/>
          <w:szCs w:val="21"/>
          <w:color w:val="auto"/>
        </w:rPr>
        <w:t>Mizuho Power, Energy &amp; Infrastructure Conference 2024 on December 9 in New York, NY</w:t>
      </w:r>
    </w:p>
    <w:p>
      <w:pPr>
        <w:spacing w:after="0" w:line="38" w:lineRule="exact"/>
        <w:rPr>
          <w:rFonts w:ascii="Arial" w:cs="Arial" w:eastAsia="Arial" w:hAnsi="Arial"/>
          <w:sz w:val="21"/>
          <w:szCs w:val="21"/>
          <w:color w:val="auto"/>
        </w:rPr>
      </w:pPr>
    </w:p>
    <w:p>
      <w:pPr>
        <w:ind w:left="640" w:hanging="314"/>
        <w:spacing w:after="0"/>
        <w:tabs>
          <w:tab w:leader="none" w:pos="640" w:val="left"/>
        </w:tabs>
        <w:numPr>
          <w:ilvl w:val="0"/>
          <w:numId w:val="4"/>
        </w:numPr>
        <w:rPr>
          <w:rFonts w:ascii="Arial" w:cs="Arial" w:eastAsia="Arial" w:hAnsi="Arial"/>
          <w:sz w:val="21"/>
          <w:szCs w:val="21"/>
          <w:color w:val="auto"/>
        </w:rPr>
      </w:pPr>
      <w:r>
        <w:rPr>
          <w:rFonts w:ascii="Arial" w:cs="Arial" w:eastAsia="Arial" w:hAnsi="Arial"/>
          <w:sz w:val="21"/>
          <w:szCs w:val="21"/>
          <w:color w:val="auto"/>
        </w:rPr>
        <w:t>23rd Annual Wells Fargo Midstream, Energy &amp; Utilities Symposium on December 10 in New York, NY</w:t>
      </w:r>
    </w:p>
    <w:p>
      <w:pPr>
        <w:spacing w:after="0" w:line="25" w:lineRule="exact"/>
        <w:rPr>
          <w:rFonts w:ascii="Arial" w:cs="Arial" w:eastAsia="Arial" w:hAnsi="Arial"/>
          <w:sz w:val="21"/>
          <w:szCs w:val="21"/>
          <w:color w:val="auto"/>
        </w:rPr>
      </w:pPr>
    </w:p>
    <w:p>
      <w:pPr>
        <w:ind w:left="640" w:hanging="314"/>
        <w:spacing w:after="0"/>
        <w:tabs>
          <w:tab w:leader="none" w:pos="640" w:val="left"/>
        </w:tabs>
        <w:numPr>
          <w:ilvl w:val="0"/>
          <w:numId w:val="4"/>
        </w:numPr>
        <w:rPr>
          <w:rFonts w:ascii="Arial" w:cs="Arial" w:eastAsia="Arial" w:hAnsi="Arial"/>
          <w:sz w:val="21"/>
          <w:szCs w:val="21"/>
          <w:color w:val="auto"/>
        </w:rPr>
      </w:pPr>
      <w:r>
        <w:rPr>
          <w:rFonts w:ascii="Arial" w:cs="Arial" w:eastAsia="Arial" w:hAnsi="Arial"/>
          <w:sz w:val="21"/>
          <w:szCs w:val="21"/>
          <w:color w:val="auto"/>
        </w:rPr>
        <w:t>Capital One Securities Energy Conference on December 10 in Houston, TX</w:t>
      </w:r>
    </w:p>
    <w:p>
      <w:pPr>
        <w:spacing w:after="0" w:line="264" w:lineRule="exact"/>
        <w:rPr>
          <w:sz w:val="20"/>
          <w:szCs w:val="20"/>
          <w:color w:val="auto"/>
        </w:rPr>
      </w:pPr>
    </w:p>
    <w:p>
      <w:pPr>
        <w:jc w:val="both"/>
        <w:ind w:firstLine="320"/>
        <w:spacing w:after="0" w:line="277" w:lineRule="auto"/>
        <w:rPr>
          <w:sz w:val="20"/>
          <w:szCs w:val="20"/>
          <w:color w:val="auto"/>
        </w:rPr>
      </w:pPr>
      <w:r>
        <w:rPr>
          <w:rFonts w:ascii="Arial" w:cs="Arial" w:eastAsia="Arial" w:hAnsi="Arial"/>
          <w:sz w:val="21"/>
          <w:szCs w:val="21"/>
          <w:color w:val="auto"/>
        </w:rPr>
        <w:t>CRC’s presentation materials will be available on the day of the event on its website. See the Events and Presentations page under the Investor Relations section on www.crc.com.</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Conference Call Details</w:t>
      </w:r>
    </w:p>
    <w:p>
      <w:pPr>
        <w:spacing w:after="0" w:line="240" w:lineRule="exact"/>
        <w:rPr>
          <w:sz w:val="20"/>
          <w:szCs w:val="20"/>
          <w:color w:val="auto"/>
        </w:rPr>
      </w:pPr>
    </w:p>
    <w:p>
      <w:pPr>
        <w:jc w:val="both"/>
        <w:ind w:firstLine="320"/>
        <w:spacing w:after="0" w:line="244" w:lineRule="auto"/>
        <w:rPr>
          <w:sz w:val="20"/>
          <w:szCs w:val="20"/>
          <w:color w:val="auto"/>
        </w:rPr>
      </w:pPr>
      <w:r>
        <w:rPr>
          <w:rFonts w:ascii="Arial" w:cs="Arial" w:eastAsia="Arial" w:hAnsi="Arial"/>
          <w:sz w:val="21"/>
          <w:szCs w:val="21"/>
          <w:color w:val="auto"/>
        </w:rPr>
        <w:t>A conference call is scheduled for 1 p.m. ET (10 a.m. PT) on Wednesday, November 6, 2024. To participate in the call, dial (877) 328-5505 (International calls please dial +1 (412) 317-5421) or access via webcast at www.crc.com. Participants may also pre-register for the conference call at https://dpregister.com/sreg/10192326/fd6685ad6e. A digital replay of the conference call will be archived for approximately 90 days and supplemental slides will be available online in the Investor Relations section of www.crc.com.</w:t>
      </w:r>
    </w:p>
    <w:p>
      <w:pPr>
        <w:spacing w:after="0" w:line="204" w:lineRule="exact"/>
        <w:rPr>
          <w:sz w:val="20"/>
          <w:szCs w:val="20"/>
          <w:color w:val="auto"/>
        </w:rPr>
      </w:pPr>
    </w:p>
    <w:p>
      <w:pPr>
        <w:jc w:val="both"/>
        <w:ind w:firstLine="7"/>
        <w:spacing w:after="0"/>
        <w:tabs>
          <w:tab w:leader="none" w:pos="62" w:val="left"/>
        </w:tabs>
        <w:numPr>
          <w:ilvl w:val="0"/>
          <w:numId w:val="5"/>
        </w:numPr>
        <w:rPr>
          <w:rFonts w:ascii="Arial" w:cs="Arial" w:eastAsia="Arial" w:hAnsi="Arial"/>
          <w:sz w:val="14"/>
          <w:szCs w:val="14"/>
          <w:color w:val="auto"/>
          <w:vertAlign w:val="superscript"/>
        </w:rPr>
      </w:pPr>
      <w:r>
        <w:rPr>
          <w:rFonts w:ascii="Arial" w:cs="Arial" w:eastAsia="Arial" w:hAnsi="Arial"/>
          <w:sz w:val="11"/>
          <w:szCs w:val="11"/>
          <w:color w:val="auto"/>
        </w:rPr>
        <w:t>See Attachment 3 for the non-GAAP financial measures of operating costs per BOE (excluding effects of PSCs), adjusted net income (loss), adjusted net income (loss) per share - basic and diluted, net cash provided by operating activities before changes in operating assets and liabilities, net, adjusted EBITDAX, free cash flow and adjusted general and administrative expenses, including reconciliations to their most directly comparable GAAP measure, where applicable. For the 4Q24 estimates of the non-GAAP measures of adjusted EBITDAX and adjusted general and administrative expenses, including reconciliations to its most directly comparable GAAP measure, see Attachment 3.</w:t>
      </w:r>
    </w:p>
    <w:p>
      <w:pPr>
        <w:spacing w:after="0" w:line="115" w:lineRule="exact"/>
        <w:rPr>
          <w:rFonts w:ascii="Arial" w:cs="Arial" w:eastAsia="Arial" w:hAnsi="Arial"/>
          <w:sz w:val="14"/>
          <w:szCs w:val="14"/>
          <w:color w:val="auto"/>
          <w:vertAlign w:val="superscript"/>
        </w:rPr>
      </w:pPr>
    </w:p>
    <w:p>
      <w:pPr>
        <w:spacing w:after="0" w:line="198" w:lineRule="auto"/>
        <w:rPr>
          <w:rFonts w:ascii="Arial" w:cs="Arial" w:eastAsia="Arial" w:hAnsi="Arial"/>
          <w:sz w:val="14"/>
          <w:szCs w:val="14"/>
          <w:color w:val="auto"/>
          <w:vertAlign w:val="superscript"/>
        </w:rPr>
      </w:pPr>
      <w:r>
        <w:rPr>
          <w:rFonts w:ascii="Arial" w:cs="Arial" w:eastAsia="Arial" w:hAnsi="Arial"/>
          <w:sz w:val="14"/>
          <w:szCs w:val="14"/>
          <w:color w:val="auto"/>
          <w:vertAlign w:val="superscript"/>
        </w:rPr>
        <w:t>2</w:t>
      </w:r>
      <w:r>
        <w:rPr>
          <w:rFonts w:ascii="Arial" w:cs="Arial" w:eastAsia="Arial" w:hAnsi="Arial"/>
          <w:sz w:val="12"/>
          <w:szCs w:val="12"/>
          <w:color w:val="auto"/>
        </w:rPr>
        <w:t xml:space="preserve"> As of June 30, 2024. When accounting for estimated cash interest income, CRC’s net interest savings were ~$36 million.</w:t>
      </w:r>
    </w:p>
    <w:p>
      <w:pPr>
        <w:spacing w:after="0" w:line="192" w:lineRule="auto"/>
        <w:rPr>
          <w:rFonts w:ascii="Arial" w:cs="Arial" w:eastAsia="Arial" w:hAnsi="Arial"/>
          <w:sz w:val="14"/>
          <w:szCs w:val="14"/>
          <w:color w:val="auto"/>
          <w:vertAlign w:val="superscript"/>
        </w:rPr>
      </w:pPr>
      <w:r>
        <w:rPr>
          <w:rFonts w:ascii="Arial" w:cs="Arial" w:eastAsia="Arial" w:hAnsi="Arial"/>
          <w:sz w:val="13"/>
          <w:szCs w:val="13"/>
          <w:color w:val="auto"/>
          <w:vertAlign w:val="superscript"/>
        </w:rPr>
        <w:t>3</w:t>
      </w:r>
      <w:r>
        <w:rPr>
          <w:rFonts w:ascii="Arial" w:cs="Arial" w:eastAsia="Arial" w:hAnsi="Arial"/>
          <w:sz w:val="11"/>
          <w:szCs w:val="11"/>
          <w:color w:val="auto"/>
        </w:rPr>
        <w:t xml:space="preserve"> Excludes restricted cash of $28 million.</w:t>
      </w:r>
    </w:p>
    <w:p>
      <w:pPr>
        <w:spacing w:after="0" w:line="198" w:lineRule="auto"/>
        <w:rPr>
          <w:rFonts w:ascii="Arial" w:cs="Arial" w:eastAsia="Arial" w:hAnsi="Arial"/>
          <w:sz w:val="14"/>
          <w:szCs w:val="14"/>
          <w:color w:val="auto"/>
          <w:vertAlign w:val="superscript"/>
        </w:rPr>
      </w:pPr>
      <w:r>
        <w:rPr>
          <w:rFonts w:ascii="Arial" w:cs="Arial" w:eastAsia="Arial" w:hAnsi="Arial"/>
          <w:sz w:val="14"/>
          <w:szCs w:val="14"/>
          <w:color w:val="auto"/>
          <w:vertAlign w:val="superscript"/>
        </w:rPr>
        <w:t>4</w:t>
      </w:r>
      <w:r>
        <w:rPr>
          <w:rFonts w:ascii="Arial" w:cs="Arial" w:eastAsia="Arial" w:hAnsi="Arial"/>
          <w:sz w:val="12"/>
          <w:szCs w:val="12"/>
          <w:color w:val="auto"/>
        </w:rPr>
        <w:t xml:space="preserve"> The MOU is non-binding and subject to negotiation of definitive agreements.</w:t>
      </w:r>
    </w:p>
    <w:p>
      <w:pPr>
        <w:ind w:right="800"/>
        <w:spacing w:after="0" w:line="198" w:lineRule="auto"/>
        <w:rPr>
          <w:rFonts w:ascii="Arial" w:cs="Arial" w:eastAsia="Arial" w:hAnsi="Arial"/>
          <w:sz w:val="14"/>
          <w:szCs w:val="14"/>
          <w:color w:val="auto"/>
          <w:vertAlign w:val="superscript"/>
        </w:rPr>
      </w:pPr>
      <w:r>
        <w:rPr>
          <w:rFonts w:ascii="Arial" w:cs="Arial" w:eastAsia="Arial" w:hAnsi="Arial"/>
          <w:sz w:val="14"/>
          <w:szCs w:val="14"/>
          <w:color w:val="auto"/>
          <w:vertAlign w:val="superscript"/>
        </w:rPr>
        <w:t>5</w:t>
      </w:r>
      <w:r>
        <w:rPr>
          <w:rFonts w:ascii="Arial" w:cs="Arial" w:eastAsia="Arial" w:hAnsi="Arial"/>
          <w:sz w:val="12"/>
          <w:szCs w:val="12"/>
          <w:color w:val="auto"/>
        </w:rPr>
        <w:t xml:space="preserve"> Margin from Marketing of Purchased Commodities is calculated as the difference between Revenue from Marketing of Purchased Commodities and Costs Related to Marketing of Purchased Commodities </w:t>
      </w:r>
      <w:r>
        <w:rPr>
          <w:rFonts w:ascii="Arial" w:cs="Arial" w:eastAsia="Arial" w:hAnsi="Arial"/>
          <w:sz w:val="14"/>
          <w:szCs w:val="14"/>
          <w:color w:val="auto"/>
          <w:vertAlign w:val="superscript"/>
        </w:rPr>
        <w:t>6</w:t>
      </w:r>
      <w:r>
        <w:rPr>
          <w:rFonts w:ascii="Arial" w:cs="Arial" w:eastAsia="Arial" w:hAnsi="Arial"/>
          <w:sz w:val="12"/>
          <w:szCs w:val="12"/>
          <w:color w:val="auto"/>
        </w:rPr>
        <w:t xml:space="preserve"> Electricity Margin is calculated as the difference between Electricity Sales and Electricity Generation Expenses</w:t>
      </w:r>
    </w:p>
    <w:p>
      <w:pPr>
        <w:spacing w:after="0" w:line="203" w:lineRule="auto"/>
        <w:rPr>
          <w:rFonts w:ascii="Arial" w:cs="Arial" w:eastAsia="Arial" w:hAnsi="Arial"/>
          <w:sz w:val="14"/>
          <w:szCs w:val="14"/>
          <w:color w:val="auto"/>
          <w:vertAlign w:val="superscript"/>
        </w:rPr>
      </w:pPr>
      <w:r>
        <w:rPr>
          <w:rFonts w:ascii="Arial" w:cs="Arial" w:eastAsia="Arial" w:hAnsi="Arial"/>
          <w:sz w:val="14"/>
          <w:szCs w:val="14"/>
          <w:color w:val="auto"/>
          <w:vertAlign w:val="superscript"/>
        </w:rPr>
        <w:t>7</w:t>
      </w:r>
      <w:r>
        <w:rPr>
          <w:rFonts w:ascii="Arial" w:cs="Arial" w:eastAsia="Arial" w:hAnsi="Arial"/>
          <w:sz w:val="12"/>
          <w:szCs w:val="12"/>
          <w:color w:val="auto"/>
        </w:rPr>
        <w:t xml:space="preserve"> 4Q24 guidance assumes Brent price of $71.48 per barrel of oil, NGL realizations as a percentage of Brent consistent with prior years and a NYMEX gas price of $2.95 per mcf. CRC's share of production under PSC contracts decreases when commodity prices rise and increases when prices fall.</w:t>
      </w:r>
    </w:p>
    <w:p>
      <w:pPr>
        <w:spacing w:after="0"/>
        <w:rPr>
          <w:rFonts w:ascii="Arial" w:cs="Arial" w:eastAsia="Arial" w:hAnsi="Arial"/>
          <w:sz w:val="14"/>
          <w:szCs w:val="14"/>
          <w:color w:val="auto"/>
          <w:vertAlign w:val="superscript"/>
        </w:rPr>
      </w:pPr>
      <w:r>
        <w:rPr>
          <w:rFonts w:ascii="Arial" w:cs="Arial" w:eastAsia="Arial" w:hAnsi="Arial"/>
          <w:sz w:val="14"/>
          <w:szCs w:val="14"/>
          <w:color w:val="auto"/>
          <w:vertAlign w:val="superscript"/>
        </w:rPr>
        <w:t>8</w:t>
      </w:r>
      <w:r>
        <w:rPr>
          <w:rFonts w:ascii="Arial" w:cs="Arial" w:eastAsia="Arial" w:hAnsi="Arial"/>
          <w:sz w:val="12"/>
          <w:szCs w:val="12"/>
          <w:color w:val="auto"/>
        </w:rPr>
        <w:t xml:space="preserve"> The total value of shares purchased excludes approximately $3 million related to excise taxes and commissions paid on share repurchases.</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About California Resources Corporation</w:t>
      </w:r>
    </w:p>
    <w:p>
      <w:pPr>
        <w:spacing w:after="0" w:line="240"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21"/>
          <w:szCs w:val="21"/>
          <w:color w:val="auto"/>
        </w:rPr>
        <w:t>California Resources Corporation (CRC) is an independent energy and carbon management company committed to energy transition. CRC is committed to environmental stewardship while safely providing local, responsibly sourced energy. CRC is also focused on maximizing the value of its land, mineral ownership, and energy expertise for decarbonization by developing carbon capture and storage (CCS) and other emissions-reducing projects. For more information about CRC, please visit www.crc.com.</w:t>
      </w:r>
    </w:p>
    <w:p>
      <w:pPr>
        <w:spacing w:after="0" w:line="19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About Carbon TerraVault</w:t>
      </w:r>
    </w:p>
    <w:p>
      <w:pPr>
        <w:spacing w:after="0" w:line="240"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21"/>
          <w:szCs w:val="21"/>
          <w:color w:val="auto"/>
        </w:rPr>
        <w:t>Carbon TerraVault Holdings, LLC (CTV), a subsidiary of CRC, is developing services that include the capture, transport and storage of carbon dioxide for its customers. Through its subsidiaries, CTV is developing a series of proposed CCS projects to inject CO</w:t>
      </w:r>
      <w:r>
        <w:rPr>
          <w:rFonts w:ascii="Arial" w:cs="Arial" w:eastAsia="Arial" w:hAnsi="Arial"/>
          <w:sz w:val="21"/>
          <w:szCs w:val="21"/>
          <w:color w:val="auto"/>
          <w:vertAlign w:val="subscript"/>
        </w:rPr>
        <w:t>2</w:t>
      </w:r>
      <w:r>
        <w:rPr>
          <w:rFonts w:ascii="Arial" w:cs="Arial" w:eastAsia="Arial" w:hAnsi="Arial"/>
          <w:sz w:val="21"/>
          <w:szCs w:val="21"/>
          <w:color w:val="auto"/>
        </w:rPr>
        <w:t xml:space="preserve"> captured from industrial sources into depleted underground reservoirs for permanent storage deep underground. For more information about CTV, please visit www.carbonterravault.com.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240"/>
          </w:cols>
          <w:pgMar w:left="320" w:top="873" w:right="339" w:bottom="1440" w:gutter="0" w:footer="0" w:header="0"/>
        </w:sectPr>
      </w:pPr>
    </w:p>
    <w:bookmarkStart w:id="8" w:name="page9"/>
    <w:bookmarkEnd w:id="8"/>
    <w:p>
      <w:pPr>
        <w:spacing w:after="0"/>
        <w:rPr>
          <w:sz w:val="20"/>
          <w:szCs w:val="20"/>
          <w:color w:val="auto"/>
        </w:rPr>
      </w:pPr>
      <w:r>
        <w:rPr>
          <w:rFonts w:ascii="Arial" w:cs="Arial" w:eastAsia="Arial" w:hAnsi="Arial"/>
          <w:sz w:val="21"/>
          <w:szCs w:val="21"/>
          <w:b w:val="1"/>
          <w:bCs w:val="1"/>
          <w:u w:val="single" w:color="auto"/>
          <w:color w:val="auto"/>
        </w:rPr>
        <w:t>Forward-Looking Statements</w:t>
      </w:r>
    </w:p>
    <w:p>
      <w:pPr>
        <w:spacing w:after="0" w:line="240" w:lineRule="exact"/>
        <w:rPr>
          <w:sz w:val="20"/>
          <w:szCs w:val="20"/>
          <w:color w:val="auto"/>
        </w:rPr>
      </w:pPr>
    </w:p>
    <w:p>
      <w:pPr>
        <w:jc w:val="both"/>
        <w:ind w:firstLine="320"/>
        <w:spacing w:after="0" w:line="241" w:lineRule="auto"/>
        <w:rPr>
          <w:sz w:val="20"/>
          <w:szCs w:val="20"/>
          <w:color w:val="auto"/>
        </w:rPr>
      </w:pPr>
      <w:r>
        <w:rPr>
          <w:rFonts w:ascii="Arial" w:cs="Arial" w:eastAsia="Arial" w:hAnsi="Arial"/>
          <w:sz w:val="21"/>
          <w:szCs w:val="21"/>
          <w:color w:val="auto"/>
        </w:rPr>
        <w:t>This document contains statements that CRC believes to be “forward-looking statements” within the meaning of Section 27A of the Securities Act of 1933 and Section 21E of the Securities Exchange Act of 1934. All statements other than historical facts are forward-looking statements, and include statements regarding CRC's future financial position, business strategy, projected revenues, earnings, costs, capital expenditures and plans and objectives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subject to risks and uncertainties that could cause actual results to differ materially from those expressed in, or implied by, such statements.</w:t>
      </w:r>
    </w:p>
    <w:p>
      <w:pPr>
        <w:spacing w:after="0" w:line="200" w:lineRule="exact"/>
        <w:rPr>
          <w:sz w:val="20"/>
          <w:szCs w:val="20"/>
          <w:color w:val="auto"/>
        </w:rPr>
      </w:pPr>
    </w:p>
    <w:p>
      <w:pPr>
        <w:spacing w:after="0" w:line="246"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21"/>
          <w:szCs w:val="21"/>
          <w:color w:val="auto"/>
        </w:rPr>
        <w:t>Although CRC believes the expectations and forecasts reflected in its forward-looking statements are reasonable, they are inherently subject to numerous risks and uncertainties, most of which are difficult to predict and many of which are beyond its control. No assurance can be given that such forward-looking statements will be correct or achieved or that the assumptions are accurate or will not change over time. Particular uncertainties that could cause CRC's actual results to be materially different than those expressed in its forward-looking statements include:</w:t>
      </w:r>
    </w:p>
    <w:p>
      <w:pPr>
        <w:spacing w:after="0" w:line="192" w:lineRule="exact"/>
        <w:rPr>
          <w:sz w:val="20"/>
          <w:szCs w:val="20"/>
          <w:color w:val="auto"/>
        </w:rPr>
      </w:pPr>
    </w:p>
    <w:p>
      <w:pPr>
        <w:ind w:left="640" w:right="100" w:hanging="314"/>
        <w:spacing w:after="0" w:line="241" w:lineRule="auto"/>
        <w:tabs>
          <w:tab w:leader="none" w:pos="635" w:val="left"/>
        </w:tabs>
        <w:numPr>
          <w:ilvl w:val="0"/>
          <w:numId w:val="6"/>
        </w:numPr>
        <w:rPr>
          <w:rFonts w:ascii="Arial" w:cs="Arial" w:eastAsia="Arial" w:hAnsi="Arial"/>
          <w:sz w:val="21"/>
          <w:szCs w:val="21"/>
          <w:color w:val="auto"/>
        </w:rPr>
      </w:pPr>
      <w:r>
        <w:rPr>
          <w:rFonts w:ascii="Arial" w:cs="Arial" w:eastAsia="Arial" w:hAnsi="Arial"/>
          <w:sz w:val="21"/>
          <w:szCs w:val="21"/>
          <w:color w:val="auto"/>
        </w:rPr>
        <w:t>fluctuations in commodity prices, including supply and demand considerations for CRC's products and services, and the impact of such fluctuations on revenues and operating expenses;</w:t>
      </w:r>
    </w:p>
    <w:p>
      <w:pPr>
        <w:spacing w:after="0" w:line="1" w:lineRule="exact"/>
        <w:rPr>
          <w:rFonts w:ascii="Arial" w:cs="Arial" w:eastAsia="Arial" w:hAnsi="Arial"/>
          <w:sz w:val="21"/>
          <w:szCs w:val="21"/>
          <w:color w:val="auto"/>
        </w:rPr>
      </w:pPr>
    </w:p>
    <w:p>
      <w:pPr>
        <w:ind w:left="640" w:hanging="314"/>
        <w:spacing w:after="0" w:line="238" w:lineRule="auto"/>
        <w:tabs>
          <w:tab w:leader="none" w:pos="640" w:val="left"/>
        </w:tabs>
        <w:numPr>
          <w:ilvl w:val="0"/>
          <w:numId w:val="6"/>
        </w:numPr>
        <w:rPr>
          <w:rFonts w:ascii="Arial" w:cs="Arial" w:eastAsia="Arial" w:hAnsi="Arial"/>
          <w:sz w:val="21"/>
          <w:szCs w:val="21"/>
          <w:color w:val="auto"/>
        </w:rPr>
      </w:pPr>
      <w:r>
        <w:rPr>
          <w:rFonts w:ascii="Arial" w:cs="Arial" w:eastAsia="Arial" w:hAnsi="Arial"/>
          <w:sz w:val="21"/>
          <w:szCs w:val="21"/>
          <w:color w:val="auto"/>
        </w:rPr>
        <w:t>decisions as to production levels and/or pricing by OPEC or U.S. producers in future periods;</w:t>
      </w:r>
    </w:p>
    <w:p>
      <w:pPr>
        <w:ind w:left="640" w:right="420" w:hanging="314"/>
        <w:spacing w:after="0" w:line="238" w:lineRule="auto"/>
        <w:tabs>
          <w:tab w:leader="none" w:pos="635" w:val="left"/>
        </w:tabs>
        <w:numPr>
          <w:ilvl w:val="0"/>
          <w:numId w:val="6"/>
        </w:numPr>
        <w:rPr>
          <w:rFonts w:ascii="Arial" w:cs="Arial" w:eastAsia="Arial" w:hAnsi="Arial"/>
          <w:sz w:val="21"/>
          <w:szCs w:val="21"/>
          <w:color w:val="auto"/>
        </w:rPr>
      </w:pPr>
      <w:r>
        <w:rPr>
          <w:rFonts w:ascii="Arial" w:cs="Arial" w:eastAsia="Arial" w:hAnsi="Arial"/>
          <w:sz w:val="21"/>
          <w:szCs w:val="21"/>
          <w:color w:val="auto"/>
        </w:rPr>
        <w:t>government policy, war and political conditions and events, including the military conflicts in Israel, Lebanon, Ukraine, Yemen and the Red Sea;</w:t>
      </w:r>
    </w:p>
    <w:p>
      <w:pPr>
        <w:ind w:left="640" w:right="400" w:hanging="314"/>
        <w:spacing w:after="0" w:line="238" w:lineRule="auto"/>
        <w:tabs>
          <w:tab w:leader="none" w:pos="635"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ability to successfully execute integration efforts in connection with CRC's merger with Aera Energy LLC, and achieve projected synergies and ensure that such synergies are sustainable;</w:t>
      </w:r>
    </w:p>
    <w:p>
      <w:pPr>
        <w:ind w:left="640" w:right="100" w:hanging="314"/>
        <w:spacing w:after="0" w:line="235" w:lineRule="auto"/>
        <w:tabs>
          <w:tab w:leader="none" w:pos="635" w:val="left"/>
        </w:tabs>
        <w:numPr>
          <w:ilvl w:val="0"/>
          <w:numId w:val="6"/>
        </w:numPr>
        <w:rPr>
          <w:rFonts w:ascii="Arial" w:cs="Arial" w:eastAsia="Arial" w:hAnsi="Arial"/>
          <w:sz w:val="21"/>
          <w:szCs w:val="21"/>
          <w:color w:val="auto"/>
        </w:rPr>
      </w:pPr>
      <w:r>
        <w:rPr>
          <w:rFonts w:ascii="Arial" w:cs="Arial" w:eastAsia="Arial" w:hAnsi="Arial"/>
          <w:sz w:val="21"/>
          <w:szCs w:val="21"/>
          <w:color w:val="auto"/>
        </w:rPr>
        <w:t>regulatory actions and changes that affect the oil and gas industry generally and CRC in particular, including (1) the availability or timing of, or conditions imposed on, EPA and other governmental permits and approvals necessary for drilling or development activities or its carbon management business; (2) the management of energy, water, land, greenhouse gases (GHGs) or other emissions, (3) the protection of health, safety and the environment, or (4) the transportation, marketing and sale of CRC's products;</w:t>
      </w:r>
    </w:p>
    <w:p>
      <w:pPr>
        <w:spacing w:after="0" w:line="3" w:lineRule="exact"/>
        <w:rPr>
          <w:rFonts w:ascii="Arial" w:cs="Arial" w:eastAsia="Arial" w:hAnsi="Arial"/>
          <w:sz w:val="21"/>
          <w:szCs w:val="21"/>
          <w:color w:val="auto"/>
        </w:rPr>
      </w:pPr>
    </w:p>
    <w:p>
      <w:pPr>
        <w:ind w:left="640" w:right="1300" w:hanging="314"/>
        <w:spacing w:after="0" w:line="238" w:lineRule="auto"/>
        <w:tabs>
          <w:tab w:leader="none" w:pos="635"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efforts of activists to delay or prevent oil and gas activities or the development of CRC's carbon management business through a variety of tactics, including litigation;</w:t>
      </w:r>
    </w:p>
    <w:p>
      <w:pPr>
        <w:ind w:left="640" w:hanging="314"/>
        <w:spacing w:after="0" w:line="238" w:lineRule="auto"/>
        <w:tabs>
          <w:tab w:leader="none" w:pos="640"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impact of inflation on future expenses and changes generally in the prices of goods and services;</w:t>
      </w:r>
    </w:p>
    <w:p>
      <w:pPr>
        <w:ind w:left="640" w:hanging="314"/>
        <w:spacing w:after="0" w:line="238" w:lineRule="auto"/>
        <w:tabs>
          <w:tab w:leader="none" w:pos="640" w:val="left"/>
        </w:tabs>
        <w:numPr>
          <w:ilvl w:val="0"/>
          <w:numId w:val="6"/>
        </w:numPr>
        <w:rPr>
          <w:rFonts w:ascii="Arial" w:cs="Arial" w:eastAsia="Arial" w:hAnsi="Arial"/>
          <w:sz w:val="21"/>
          <w:szCs w:val="21"/>
          <w:color w:val="auto"/>
        </w:rPr>
      </w:pPr>
      <w:r>
        <w:rPr>
          <w:rFonts w:ascii="Arial" w:cs="Arial" w:eastAsia="Arial" w:hAnsi="Arial"/>
          <w:sz w:val="21"/>
          <w:szCs w:val="21"/>
          <w:color w:val="auto"/>
        </w:rPr>
        <w:t>changes in business strategy and CRC's capital plan;</w:t>
      </w:r>
    </w:p>
    <w:p>
      <w:pPr>
        <w:ind w:left="640" w:hanging="314"/>
        <w:spacing w:after="0" w:line="238" w:lineRule="auto"/>
        <w:tabs>
          <w:tab w:leader="none" w:pos="640" w:val="left"/>
        </w:tabs>
        <w:numPr>
          <w:ilvl w:val="0"/>
          <w:numId w:val="6"/>
        </w:numPr>
        <w:rPr>
          <w:rFonts w:ascii="Arial" w:cs="Arial" w:eastAsia="Arial" w:hAnsi="Arial"/>
          <w:sz w:val="21"/>
          <w:szCs w:val="21"/>
          <w:color w:val="auto"/>
        </w:rPr>
      </w:pPr>
      <w:r>
        <w:rPr>
          <w:rFonts w:ascii="Arial" w:cs="Arial" w:eastAsia="Arial" w:hAnsi="Arial"/>
          <w:sz w:val="21"/>
          <w:szCs w:val="21"/>
          <w:color w:val="auto"/>
        </w:rPr>
        <w:t>lower-than-expected production or higher-than-expected production decline rates;</w:t>
      </w:r>
    </w:p>
    <w:p>
      <w:pPr>
        <w:ind w:left="640" w:right="740" w:hanging="314"/>
        <w:spacing w:after="0" w:line="238" w:lineRule="auto"/>
        <w:tabs>
          <w:tab w:leader="none" w:pos="635" w:val="left"/>
        </w:tabs>
        <w:numPr>
          <w:ilvl w:val="0"/>
          <w:numId w:val="6"/>
        </w:numPr>
        <w:rPr>
          <w:rFonts w:ascii="Arial" w:cs="Arial" w:eastAsia="Arial" w:hAnsi="Arial"/>
          <w:sz w:val="21"/>
          <w:szCs w:val="21"/>
          <w:color w:val="auto"/>
        </w:rPr>
      </w:pPr>
      <w:r>
        <w:rPr>
          <w:rFonts w:ascii="Arial" w:cs="Arial" w:eastAsia="Arial" w:hAnsi="Arial"/>
          <w:sz w:val="21"/>
          <w:szCs w:val="21"/>
          <w:color w:val="auto"/>
        </w:rPr>
        <w:t>changes to CRC's estimates of reserves and related future cash flows, including changes arising from its inability to develop such reserves in a timely manner, and any inability to replace such reserves;</w:t>
      </w:r>
    </w:p>
    <w:p>
      <w:pPr>
        <w:ind w:left="640" w:hanging="314"/>
        <w:spacing w:after="0" w:line="238" w:lineRule="auto"/>
        <w:tabs>
          <w:tab w:leader="none" w:pos="640"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recoverability of resources and unexpected geologic conditions;</w:t>
      </w:r>
    </w:p>
    <w:p>
      <w:pPr>
        <w:ind w:left="640" w:right="820" w:hanging="314"/>
        <w:spacing w:after="0" w:line="238" w:lineRule="auto"/>
        <w:tabs>
          <w:tab w:leader="none" w:pos="635" w:val="left"/>
        </w:tabs>
        <w:numPr>
          <w:ilvl w:val="0"/>
          <w:numId w:val="6"/>
        </w:numPr>
        <w:rPr>
          <w:rFonts w:ascii="Arial" w:cs="Arial" w:eastAsia="Arial" w:hAnsi="Arial"/>
          <w:sz w:val="21"/>
          <w:szCs w:val="21"/>
          <w:color w:val="auto"/>
        </w:rPr>
      </w:pPr>
      <w:r>
        <w:rPr>
          <w:rFonts w:ascii="Arial" w:cs="Arial" w:eastAsia="Arial" w:hAnsi="Arial"/>
          <w:sz w:val="21"/>
          <w:szCs w:val="21"/>
          <w:color w:val="auto"/>
        </w:rPr>
        <w:t>general economic conditions and trends, including conditions in the worldwide financial, trade and credit markets;</w:t>
      </w:r>
    </w:p>
    <w:p>
      <w:pPr>
        <w:ind w:left="640" w:hanging="314"/>
        <w:spacing w:after="0" w:line="225" w:lineRule="auto"/>
        <w:tabs>
          <w:tab w:leader="none" w:pos="640" w:val="left"/>
        </w:tabs>
        <w:numPr>
          <w:ilvl w:val="0"/>
          <w:numId w:val="6"/>
        </w:numPr>
        <w:rPr>
          <w:rFonts w:ascii="Arial" w:cs="Arial" w:eastAsia="Arial" w:hAnsi="Arial"/>
          <w:sz w:val="21"/>
          <w:szCs w:val="21"/>
          <w:color w:val="auto"/>
        </w:rPr>
      </w:pPr>
      <w:r>
        <w:rPr>
          <w:rFonts w:ascii="Arial" w:cs="Arial" w:eastAsia="Arial" w:hAnsi="Arial"/>
          <w:sz w:val="21"/>
          <w:szCs w:val="21"/>
          <w:color w:val="auto"/>
        </w:rPr>
        <w:t>production-sharing contracts' effects on production and operating costs;</w:t>
      </w:r>
    </w:p>
    <w:p>
      <w:pPr>
        <w:ind w:left="640" w:hanging="314"/>
        <w:spacing w:after="0" w:line="238" w:lineRule="auto"/>
        <w:tabs>
          <w:tab w:leader="none" w:pos="640"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lack of available equipment, service or labor price inflation;</w:t>
      </w:r>
    </w:p>
    <w:p>
      <w:pPr>
        <w:ind w:left="640" w:hanging="314"/>
        <w:spacing w:after="0" w:line="238" w:lineRule="auto"/>
        <w:tabs>
          <w:tab w:leader="none" w:pos="640" w:val="left"/>
        </w:tabs>
        <w:numPr>
          <w:ilvl w:val="0"/>
          <w:numId w:val="6"/>
        </w:numPr>
        <w:rPr>
          <w:rFonts w:ascii="Arial" w:cs="Arial" w:eastAsia="Arial" w:hAnsi="Arial"/>
          <w:sz w:val="21"/>
          <w:szCs w:val="21"/>
          <w:color w:val="auto"/>
        </w:rPr>
      </w:pPr>
      <w:r>
        <w:rPr>
          <w:rFonts w:ascii="Arial" w:cs="Arial" w:eastAsia="Arial" w:hAnsi="Arial"/>
          <w:sz w:val="21"/>
          <w:szCs w:val="21"/>
          <w:color w:val="auto"/>
        </w:rPr>
        <w:t>limitations on transportation or storage capacity and the need to shut-in wells;</w:t>
      </w:r>
    </w:p>
    <w:p>
      <w:pPr>
        <w:ind w:left="640" w:hanging="314"/>
        <w:spacing w:after="0"/>
        <w:tabs>
          <w:tab w:leader="none" w:pos="640" w:val="left"/>
        </w:tabs>
        <w:numPr>
          <w:ilvl w:val="0"/>
          <w:numId w:val="6"/>
        </w:numPr>
        <w:rPr>
          <w:rFonts w:ascii="Arial" w:cs="Arial" w:eastAsia="Arial" w:hAnsi="Arial"/>
          <w:sz w:val="21"/>
          <w:szCs w:val="21"/>
          <w:color w:val="auto"/>
        </w:rPr>
      </w:pPr>
      <w:r>
        <w:rPr>
          <w:rFonts w:ascii="Arial" w:cs="Arial" w:eastAsia="Arial" w:hAnsi="Arial"/>
          <w:sz w:val="21"/>
          <w:szCs w:val="21"/>
          <w:color w:val="auto"/>
        </w:rPr>
        <w:t>any failure of risk management;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240"/>
          </w:cols>
          <w:pgMar w:left="320" w:top="871" w:right="339" w:bottom="1440" w:gutter="0" w:footer="0" w:header="0"/>
        </w:sectPr>
      </w:pPr>
    </w:p>
    <w:bookmarkStart w:id="9" w:name="page10"/>
    <w:bookmarkEnd w:id="9"/>
    <w:p>
      <w:pPr>
        <w:ind w:left="640" w:hanging="314"/>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color w:val="auto"/>
        </w:rPr>
        <w:t>results from operations and competition in the industries in which CRC operates;</w:t>
      </w:r>
    </w:p>
    <w:p>
      <w:pPr>
        <w:spacing w:after="0" w:line="18" w:lineRule="exact"/>
        <w:rPr>
          <w:rFonts w:ascii="Arial" w:cs="Arial" w:eastAsia="Arial" w:hAnsi="Arial"/>
          <w:sz w:val="21"/>
          <w:szCs w:val="21"/>
          <w:color w:val="auto"/>
        </w:rPr>
      </w:pPr>
    </w:p>
    <w:p>
      <w:pPr>
        <w:ind w:left="640" w:hanging="314"/>
        <w:spacing w:after="0" w:line="238" w:lineRule="auto"/>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color w:val="auto"/>
        </w:rPr>
        <w:t>CRC's ability to realize the anticipated benefits from prior or future efforts to reduce costs;</w:t>
      </w:r>
    </w:p>
    <w:p>
      <w:pPr>
        <w:ind w:left="640" w:right="1080" w:hanging="314"/>
        <w:spacing w:after="0" w:line="238" w:lineRule="auto"/>
        <w:tabs>
          <w:tab w:leader="none" w:pos="635" w:val="left"/>
        </w:tabs>
        <w:numPr>
          <w:ilvl w:val="0"/>
          <w:numId w:val="7"/>
        </w:numPr>
        <w:rPr>
          <w:rFonts w:ascii="Arial" w:cs="Arial" w:eastAsia="Arial" w:hAnsi="Arial"/>
          <w:sz w:val="21"/>
          <w:szCs w:val="21"/>
          <w:color w:val="auto"/>
        </w:rPr>
      </w:pPr>
      <w:r>
        <w:rPr>
          <w:rFonts w:ascii="Arial" w:cs="Arial" w:eastAsia="Arial" w:hAnsi="Arial"/>
          <w:sz w:val="21"/>
          <w:szCs w:val="21"/>
          <w:color w:val="auto"/>
        </w:rPr>
        <w:t>environmental risks and liability under federal, regional, state, provincial, tribal, local and international environmental laws and regulations (including remedial actions);</w:t>
      </w:r>
    </w:p>
    <w:p>
      <w:pPr>
        <w:ind w:left="640" w:right="840" w:hanging="314"/>
        <w:spacing w:after="0" w:line="231" w:lineRule="auto"/>
        <w:tabs>
          <w:tab w:leader="none" w:pos="635" w:val="left"/>
        </w:tabs>
        <w:numPr>
          <w:ilvl w:val="0"/>
          <w:numId w:val="7"/>
        </w:numPr>
        <w:rPr>
          <w:rFonts w:ascii="Arial" w:cs="Arial" w:eastAsia="Arial" w:hAnsi="Arial"/>
          <w:sz w:val="21"/>
          <w:szCs w:val="21"/>
          <w:color w:val="auto"/>
        </w:rPr>
      </w:pPr>
      <w:r>
        <w:rPr>
          <w:rFonts w:ascii="Arial" w:cs="Arial" w:eastAsia="Arial" w:hAnsi="Arial"/>
          <w:sz w:val="21"/>
          <w:szCs w:val="21"/>
          <w:color w:val="auto"/>
        </w:rPr>
        <w:t>the creditworthiness and performance of CRC's counterparties, including financial institutions, operating partners, CCS project participants and other parties;</w:t>
      </w:r>
    </w:p>
    <w:p>
      <w:pPr>
        <w:spacing w:after="0" w:line="1" w:lineRule="exact"/>
        <w:rPr>
          <w:rFonts w:ascii="Arial" w:cs="Arial" w:eastAsia="Arial" w:hAnsi="Arial"/>
          <w:sz w:val="21"/>
          <w:szCs w:val="21"/>
          <w:color w:val="auto"/>
        </w:rPr>
      </w:pPr>
    </w:p>
    <w:p>
      <w:pPr>
        <w:ind w:left="640" w:hanging="314"/>
        <w:spacing w:after="0" w:line="238" w:lineRule="auto"/>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color w:val="auto"/>
        </w:rPr>
        <w:t>reorganization or restructuring of CRC's operations;</w:t>
      </w:r>
    </w:p>
    <w:p>
      <w:pPr>
        <w:ind w:left="640" w:hanging="314"/>
        <w:spacing w:after="0" w:line="238" w:lineRule="auto"/>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color w:val="auto"/>
        </w:rPr>
        <w:t>CRC's ability to claim and utilize tax credits or other incentives in connection with its CCS projects;</w:t>
      </w:r>
    </w:p>
    <w:p>
      <w:pPr>
        <w:ind w:left="640" w:right="480" w:hanging="314"/>
        <w:spacing w:after="0" w:line="238" w:lineRule="auto"/>
        <w:tabs>
          <w:tab w:leader="none" w:pos="635" w:val="left"/>
        </w:tabs>
        <w:numPr>
          <w:ilvl w:val="0"/>
          <w:numId w:val="7"/>
        </w:numPr>
        <w:rPr>
          <w:rFonts w:ascii="Arial" w:cs="Arial" w:eastAsia="Arial" w:hAnsi="Arial"/>
          <w:sz w:val="21"/>
          <w:szCs w:val="21"/>
          <w:color w:val="auto"/>
        </w:rPr>
      </w:pPr>
      <w:r>
        <w:rPr>
          <w:rFonts w:ascii="Arial" w:cs="Arial" w:eastAsia="Arial" w:hAnsi="Arial"/>
          <w:sz w:val="21"/>
          <w:szCs w:val="21"/>
          <w:color w:val="auto"/>
        </w:rPr>
        <w:t>CRC's ability to realize the benefits contemplated by its energy transition strategies and initiatives, including CCS projects and other renewable energy efforts;</w:t>
      </w:r>
    </w:p>
    <w:p>
      <w:pPr>
        <w:ind w:left="640" w:right="200" w:hanging="314"/>
        <w:spacing w:after="0" w:line="238" w:lineRule="auto"/>
        <w:tabs>
          <w:tab w:leader="none" w:pos="635" w:val="left"/>
        </w:tabs>
        <w:numPr>
          <w:ilvl w:val="0"/>
          <w:numId w:val="7"/>
        </w:numPr>
        <w:rPr>
          <w:rFonts w:ascii="Arial" w:cs="Arial" w:eastAsia="Arial" w:hAnsi="Arial"/>
          <w:sz w:val="21"/>
          <w:szCs w:val="21"/>
          <w:color w:val="auto"/>
        </w:rPr>
      </w:pPr>
      <w:r>
        <w:rPr>
          <w:rFonts w:ascii="Arial" w:cs="Arial" w:eastAsia="Arial" w:hAnsi="Arial"/>
          <w:sz w:val="21"/>
          <w:szCs w:val="21"/>
          <w:color w:val="auto"/>
        </w:rPr>
        <w:t>CRC's ability to successfully identify, develop and finance carbon capture and storage projects and other renewable energy efforts, including those in connection with the Carbon TerraVault JV, and its ability to convert its CDMAs and MOUs to definitive agreements and enter into other offtake agreements;</w:t>
      </w:r>
    </w:p>
    <w:p>
      <w:pPr>
        <w:spacing w:after="0" w:line="1" w:lineRule="exact"/>
        <w:rPr>
          <w:rFonts w:ascii="Arial" w:cs="Arial" w:eastAsia="Arial" w:hAnsi="Arial"/>
          <w:sz w:val="21"/>
          <w:szCs w:val="21"/>
          <w:color w:val="auto"/>
        </w:rPr>
      </w:pPr>
    </w:p>
    <w:p>
      <w:pPr>
        <w:ind w:left="640" w:hanging="314"/>
        <w:spacing w:after="0" w:line="238" w:lineRule="auto"/>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color w:val="auto"/>
        </w:rPr>
        <w:t>CRC's ability to maximize the value of its carbon management business and operate it on a stand alone basis;</w:t>
      </w:r>
    </w:p>
    <w:p>
      <w:pPr>
        <w:ind w:left="640" w:right="100" w:hanging="314"/>
        <w:spacing w:after="0" w:line="238" w:lineRule="auto"/>
        <w:tabs>
          <w:tab w:leader="none" w:pos="635" w:val="left"/>
        </w:tabs>
        <w:numPr>
          <w:ilvl w:val="0"/>
          <w:numId w:val="7"/>
        </w:numPr>
        <w:rPr>
          <w:rFonts w:ascii="Arial" w:cs="Arial" w:eastAsia="Arial" w:hAnsi="Arial"/>
          <w:sz w:val="21"/>
          <w:szCs w:val="21"/>
          <w:color w:val="auto"/>
        </w:rPr>
      </w:pPr>
      <w:r>
        <w:rPr>
          <w:rFonts w:ascii="Arial" w:cs="Arial" w:eastAsia="Arial" w:hAnsi="Arial"/>
          <w:sz w:val="21"/>
          <w:szCs w:val="21"/>
          <w:color w:val="auto"/>
        </w:rPr>
        <w:t>CRC's ability to successfully develop infrastructure projects and enter into third party contracts on contemplated terms;</w:t>
      </w:r>
    </w:p>
    <w:p>
      <w:pPr>
        <w:ind w:left="640" w:right="280" w:hanging="314"/>
        <w:spacing w:after="0" w:line="231" w:lineRule="auto"/>
        <w:tabs>
          <w:tab w:leader="none" w:pos="635" w:val="left"/>
        </w:tabs>
        <w:numPr>
          <w:ilvl w:val="0"/>
          <w:numId w:val="7"/>
        </w:numPr>
        <w:rPr>
          <w:rFonts w:ascii="Arial" w:cs="Arial" w:eastAsia="Arial" w:hAnsi="Arial"/>
          <w:sz w:val="21"/>
          <w:szCs w:val="21"/>
          <w:color w:val="auto"/>
        </w:rPr>
      </w:pPr>
      <w:r>
        <w:rPr>
          <w:rFonts w:ascii="Arial" w:cs="Arial" w:eastAsia="Arial" w:hAnsi="Arial"/>
          <w:sz w:val="21"/>
          <w:szCs w:val="21"/>
          <w:color w:val="auto"/>
        </w:rPr>
        <w:t>uncertainty around the accounting of emissions and its ability to successfully gather and verify emissions data and other environmental impacts;</w:t>
      </w:r>
    </w:p>
    <w:p>
      <w:pPr>
        <w:spacing w:after="0" w:line="1" w:lineRule="exact"/>
        <w:rPr>
          <w:rFonts w:ascii="Arial" w:cs="Arial" w:eastAsia="Arial" w:hAnsi="Arial"/>
          <w:sz w:val="21"/>
          <w:szCs w:val="21"/>
          <w:color w:val="auto"/>
        </w:rPr>
      </w:pPr>
    </w:p>
    <w:p>
      <w:pPr>
        <w:ind w:left="640" w:right="280" w:hanging="314"/>
        <w:spacing w:after="0" w:line="238" w:lineRule="auto"/>
        <w:tabs>
          <w:tab w:leader="none" w:pos="635" w:val="left"/>
        </w:tabs>
        <w:numPr>
          <w:ilvl w:val="0"/>
          <w:numId w:val="7"/>
        </w:numPr>
        <w:rPr>
          <w:rFonts w:ascii="Arial" w:cs="Arial" w:eastAsia="Arial" w:hAnsi="Arial"/>
          <w:sz w:val="21"/>
          <w:szCs w:val="21"/>
          <w:color w:val="auto"/>
        </w:rPr>
      </w:pPr>
      <w:r>
        <w:rPr>
          <w:rFonts w:ascii="Arial" w:cs="Arial" w:eastAsia="Arial" w:hAnsi="Arial"/>
          <w:sz w:val="21"/>
          <w:szCs w:val="21"/>
          <w:color w:val="auto"/>
        </w:rPr>
        <w:t>changes to CRC's dividend policy and share repurchase program, and its ability to declare future dividends or repurchase shares under its debt agreements;</w:t>
      </w:r>
    </w:p>
    <w:p>
      <w:pPr>
        <w:ind w:left="640" w:hanging="314"/>
        <w:spacing w:after="0" w:line="238" w:lineRule="auto"/>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color w:val="auto"/>
        </w:rPr>
        <w:t>limitations on CRC's financial flexibility due to existing and future debt;</w:t>
      </w:r>
    </w:p>
    <w:p>
      <w:pPr>
        <w:ind w:left="640" w:right="1220" w:hanging="314"/>
        <w:spacing w:after="0" w:line="238" w:lineRule="auto"/>
        <w:tabs>
          <w:tab w:leader="none" w:pos="635" w:val="left"/>
        </w:tabs>
        <w:numPr>
          <w:ilvl w:val="0"/>
          <w:numId w:val="7"/>
        </w:numPr>
        <w:rPr>
          <w:rFonts w:ascii="Arial" w:cs="Arial" w:eastAsia="Arial" w:hAnsi="Arial"/>
          <w:sz w:val="21"/>
          <w:szCs w:val="21"/>
          <w:color w:val="auto"/>
        </w:rPr>
      </w:pPr>
      <w:r>
        <w:rPr>
          <w:rFonts w:ascii="Arial" w:cs="Arial" w:eastAsia="Arial" w:hAnsi="Arial"/>
          <w:sz w:val="21"/>
          <w:szCs w:val="21"/>
          <w:color w:val="auto"/>
        </w:rPr>
        <w:t>insufficient cash flow to fund CRC's capital plan and other planned investments and return capital to shareholders;</w:t>
      </w:r>
    </w:p>
    <w:p>
      <w:pPr>
        <w:ind w:left="640" w:hanging="314"/>
        <w:spacing w:after="0" w:line="238" w:lineRule="auto"/>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color w:val="auto"/>
        </w:rPr>
        <w:t>changes in interest rates;</w:t>
      </w:r>
    </w:p>
    <w:p>
      <w:pPr>
        <w:ind w:left="640" w:right="680" w:hanging="314"/>
        <w:spacing w:after="0" w:line="238" w:lineRule="auto"/>
        <w:tabs>
          <w:tab w:leader="none" w:pos="635" w:val="left"/>
        </w:tabs>
        <w:numPr>
          <w:ilvl w:val="0"/>
          <w:numId w:val="7"/>
        </w:numPr>
        <w:rPr>
          <w:rFonts w:ascii="Arial" w:cs="Arial" w:eastAsia="Arial" w:hAnsi="Arial"/>
          <w:sz w:val="21"/>
          <w:szCs w:val="21"/>
          <w:color w:val="auto"/>
        </w:rPr>
      </w:pPr>
      <w:r>
        <w:rPr>
          <w:rFonts w:ascii="Arial" w:cs="Arial" w:eastAsia="Arial" w:hAnsi="Arial"/>
          <w:sz w:val="21"/>
          <w:szCs w:val="21"/>
          <w:color w:val="auto"/>
        </w:rPr>
        <w:t>CRC's access to and the terms of credit in commercial banking and capital markets, including its ability to refinance its debt or obtain separate financing for its carbon management business;</w:t>
      </w:r>
    </w:p>
    <w:p>
      <w:pPr>
        <w:ind w:left="640" w:right="840" w:hanging="314"/>
        <w:spacing w:after="0" w:line="231" w:lineRule="auto"/>
        <w:tabs>
          <w:tab w:leader="none" w:pos="635" w:val="left"/>
        </w:tabs>
        <w:numPr>
          <w:ilvl w:val="0"/>
          <w:numId w:val="7"/>
        </w:numPr>
        <w:rPr>
          <w:rFonts w:ascii="Arial" w:cs="Arial" w:eastAsia="Arial" w:hAnsi="Arial"/>
          <w:sz w:val="21"/>
          <w:szCs w:val="21"/>
          <w:color w:val="auto"/>
        </w:rPr>
      </w:pPr>
      <w:r>
        <w:rPr>
          <w:rFonts w:ascii="Arial" w:cs="Arial" w:eastAsia="Arial" w:hAnsi="Arial"/>
          <w:sz w:val="21"/>
          <w:szCs w:val="21"/>
          <w:color w:val="auto"/>
        </w:rPr>
        <w:t>changes in state, federal or international tax rates, including CRC's ability to utilize its net operating loss carryforwards to reduce its income tax obligations;</w:t>
      </w:r>
    </w:p>
    <w:p>
      <w:pPr>
        <w:spacing w:after="0" w:line="1" w:lineRule="exact"/>
        <w:rPr>
          <w:rFonts w:ascii="Arial" w:cs="Arial" w:eastAsia="Arial" w:hAnsi="Arial"/>
          <w:sz w:val="21"/>
          <w:szCs w:val="21"/>
          <w:color w:val="auto"/>
        </w:rPr>
      </w:pPr>
    </w:p>
    <w:p>
      <w:pPr>
        <w:ind w:left="640" w:hanging="314"/>
        <w:spacing w:after="0" w:line="238" w:lineRule="auto"/>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color w:val="auto"/>
        </w:rPr>
        <w:t>effects of hedging transactions;</w:t>
      </w:r>
    </w:p>
    <w:p>
      <w:pPr>
        <w:ind w:left="640" w:hanging="314"/>
        <w:spacing w:after="0" w:line="238" w:lineRule="auto"/>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color w:val="auto"/>
        </w:rPr>
        <w:t>the effect of CRC's stock price on costs associated with incentive compensation;</w:t>
      </w:r>
    </w:p>
    <w:p>
      <w:pPr>
        <w:ind w:left="640" w:right="40" w:hanging="314"/>
        <w:spacing w:after="0" w:line="238" w:lineRule="auto"/>
        <w:tabs>
          <w:tab w:leader="none" w:pos="635" w:val="left"/>
        </w:tabs>
        <w:numPr>
          <w:ilvl w:val="0"/>
          <w:numId w:val="7"/>
        </w:numPr>
        <w:rPr>
          <w:rFonts w:ascii="Arial" w:cs="Arial" w:eastAsia="Arial" w:hAnsi="Arial"/>
          <w:sz w:val="21"/>
          <w:szCs w:val="21"/>
          <w:color w:val="auto"/>
        </w:rPr>
      </w:pPr>
      <w:r>
        <w:rPr>
          <w:rFonts w:ascii="Arial" w:cs="Arial" w:eastAsia="Arial" w:hAnsi="Arial"/>
          <w:sz w:val="21"/>
          <w:szCs w:val="21"/>
          <w:color w:val="auto"/>
        </w:rPr>
        <w:t>inability to enter into desirable transactions, including joint ventures, divestitures of oil and natural gas properties and real estate, and acquisitions, and CRC's ability to achieve any expected synergies;</w:t>
      </w:r>
    </w:p>
    <w:p>
      <w:pPr>
        <w:ind w:left="640" w:right="700" w:hanging="314"/>
        <w:spacing w:after="0" w:line="238" w:lineRule="auto"/>
        <w:tabs>
          <w:tab w:leader="none" w:pos="635" w:val="left"/>
        </w:tabs>
        <w:numPr>
          <w:ilvl w:val="0"/>
          <w:numId w:val="7"/>
        </w:numPr>
        <w:rPr>
          <w:rFonts w:ascii="Arial" w:cs="Arial" w:eastAsia="Arial" w:hAnsi="Arial"/>
          <w:sz w:val="21"/>
          <w:szCs w:val="21"/>
          <w:color w:val="auto"/>
        </w:rPr>
      </w:pPr>
      <w:r>
        <w:rPr>
          <w:rFonts w:ascii="Arial" w:cs="Arial" w:eastAsia="Arial" w:hAnsi="Arial"/>
          <w:sz w:val="21"/>
          <w:szCs w:val="21"/>
          <w:color w:val="auto"/>
        </w:rPr>
        <w:t>disruptions due to earthquakes, forest fires, floods, extreme weather events or other natural occurrences, accidents, mechanical failures, power outages, transportation or storage constraints, labor difficulties, cybersecurity breaches or attacks or other catastrophic events;</w:t>
      </w:r>
    </w:p>
    <w:p>
      <w:pPr>
        <w:spacing w:after="0" w:line="1" w:lineRule="exact"/>
        <w:rPr>
          <w:rFonts w:ascii="Arial" w:cs="Arial" w:eastAsia="Arial" w:hAnsi="Arial"/>
          <w:sz w:val="21"/>
          <w:szCs w:val="21"/>
          <w:color w:val="auto"/>
        </w:rPr>
      </w:pPr>
    </w:p>
    <w:p>
      <w:pPr>
        <w:ind w:left="640" w:hanging="314"/>
        <w:spacing w:after="0" w:line="238" w:lineRule="auto"/>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color w:val="auto"/>
        </w:rPr>
        <w:t>pandemics, epidemics, outbreaks, or other public health events, such as the COVID-19 pandemic; and</w:t>
      </w:r>
    </w:p>
    <w:p>
      <w:pPr>
        <w:ind w:left="640" w:right="420" w:hanging="314"/>
        <w:spacing w:after="0" w:line="257" w:lineRule="auto"/>
        <w:tabs>
          <w:tab w:leader="none" w:pos="635" w:val="left"/>
        </w:tabs>
        <w:numPr>
          <w:ilvl w:val="0"/>
          <w:numId w:val="7"/>
        </w:numPr>
        <w:rPr>
          <w:rFonts w:ascii="Arial" w:cs="Arial" w:eastAsia="Arial" w:hAnsi="Arial"/>
          <w:sz w:val="21"/>
          <w:szCs w:val="21"/>
          <w:color w:val="auto"/>
        </w:rPr>
      </w:pPr>
      <w:r>
        <w:rPr>
          <w:rFonts w:ascii="Arial" w:cs="Arial" w:eastAsia="Arial" w:hAnsi="Arial"/>
          <w:sz w:val="21"/>
          <w:szCs w:val="21"/>
          <w:color w:val="auto"/>
        </w:rPr>
        <w:t>other factors discussed in Part I, Item 1A – Risk Factors in CRC's Annual Report on Form 10-K and its other SEC filings available at www.crc.com.</w:t>
      </w:r>
    </w:p>
    <w:p>
      <w:pPr>
        <w:spacing w:after="0" w:line="182"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21"/>
          <w:szCs w:val="21"/>
          <w:color w:val="auto"/>
        </w:rPr>
        <w:t>CRC cautions you not to place undue reliance on forward-looking statements contained in this document, which speak only as of the filing date, and it undertakes no obligation to update this information. This document may also contain information from third party sources. This data may involve a number of assumptions and limitations, and CRC has not independently verified them and does not warrant the accuracy or completeness of such third-party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240"/>
          </w:cols>
          <w:pgMar w:left="320" w:top="873"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41"/>
        </w:trPr>
        <w:tc>
          <w:tcPr>
            <w:tcW w:w="5560" w:type="dxa"/>
            <w:vAlign w:val="bottom"/>
            <w:gridSpan w:val="4"/>
          </w:tcPr>
          <w:p>
            <w:pPr>
              <w:spacing w:after="0"/>
              <w:rPr>
                <w:sz w:val="20"/>
                <w:szCs w:val="20"/>
                <w:color w:val="auto"/>
              </w:rPr>
            </w:pPr>
            <w:r>
              <w:rPr>
                <w:rFonts w:ascii="Arial" w:cs="Arial" w:eastAsia="Arial" w:hAnsi="Arial"/>
                <w:sz w:val="21"/>
                <w:szCs w:val="21"/>
                <w:b w:val="1"/>
                <w:bCs w:val="1"/>
                <w:color w:val="auto"/>
              </w:rPr>
              <w:t>Contacts:</w:t>
            </w:r>
          </w:p>
        </w:tc>
        <w:tc>
          <w:tcPr>
            <w:tcW w:w="2260" w:type="dxa"/>
            <w:vAlign w:val="bottom"/>
          </w:tcPr>
          <w:p>
            <w:pPr>
              <w:spacing w:after="0"/>
              <w:rPr>
                <w:sz w:val="21"/>
                <w:szCs w:val="2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87"/>
        </w:trPr>
        <w:tc>
          <w:tcPr>
            <w:tcW w:w="20" w:type="dxa"/>
            <w:vAlign w:val="bottom"/>
          </w:tcPr>
          <w:p>
            <w:pPr>
              <w:spacing w:after="0"/>
              <w:rPr>
                <w:sz w:val="24"/>
                <w:szCs w:val="24"/>
                <w:color w:val="auto"/>
              </w:rPr>
            </w:pPr>
          </w:p>
        </w:tc>
        <w:tc>
          <w:tcPr>
            <w:tcW w:w="5540" w:type="dxa"/>
            <w:vAlign w:val="bottom"/>
            <w:gridSpan w:val="3"/>
          </w:tcPr>
          <w:p>
            <w:pPr>
              <w:spacing w:after="0"/>
              <w:rPr>
                <w:sz w:val="20"/>
                <w:szCs w:val="20"/>
                <w:color w:val="auto"/>
              </w:rPr>
            </w:pPr>
            <w:r>
              <w:rPr>
                <w:rFonts w:ascii="Arial" w:cs="Arial" w:eastAsia="Arial" w:hAnsi="Arial"/>
                <w:sz w:val="21"/>
                <w:szCs w:val="21"/>
                <w:color w:val="auto"/>
              </w:rPr>
              <w:t>Joanna Park (Investor Relations)</w:t>
            </w:r>
          </w:p>
        </w:tc>
        <w:tc>
          <w:tcPr>
            <w:tcW w:w="2260" w:type="dxa"/>
            <w:vAlign w:val="bottom"/>
          </w:tcPr>
          <w:p>
            <w:pPr>
              <w:spacing w:after="0"/>
              <w:rPr>
                <w:sz w:val="20"/>
                <w:szCs w:val="20"/>
                <w:color w:val="auto"/>
              </w:rPr>
            </w:pPr>
            <w:r>
              <w:rPr>
                <w:rFonts w:ascii="Arial" w:cs="Arial" w:eastAsia="Arial" w:hAnsi="Arial"/>
                <w:sz w:val="21"/>
                <w:szCs w:val="21"/>
                <w:color w:val="auto"/>
              </w:rPr>
              <w:t>Richard Venn (Media)</w:t>
            </w:r>
          </w:p>
        </w:tc>
      </w:tr>
      <w:tr>
        <w:trPr>
          <w:trHeight w:val="240"/>
        </w:trPr>
        <w:tc>
          <w:tcPr>
            <w:tcW w:w="2180" w:type="dxa"/>
            <w:vAlign w:val="bottom"/>
            <w:gridSpan w:val="3"/>
          </w:tcPr>
          <w:p>
            <w:pPr>
              <w:ind w:left="20"/>
              <w:spacing w:after="0" w:line="240" w:lineRule="exact"/>
              <w:rPr>
                <w:sz w:val="20"/>
                <w:szCs w:val="20"/>
                <w:color w:val="auto"/>
              </w:rPr>
            </w:pPr>
            <w:r>
              <w:rPr>
                <w:rFonts w:ascii="Arial" w:cs="Arial" w:eastAsia="Arial" w:hAnsi="Arial"/>
                <w:sz w:val="21"/>
                <w:szCs w:val="21"/>
                <w:color w:val="auto"/>
              </w:rPr>
              <w:t>818-661-3731</w:t>
            </w:r>
          </w:p>
        </w:tc>
        <w:tc>
          <w:tcPr>
            <w:tcW w:w="3380" w:type="dxa"/>
            <w:vAlign w:val="bottom"/>
          </w:tcPr>
          <w:p>
            <w:pPr>
              <w:spacing w:after="0"/>
              <w:rPr>
                <w:sz w:val="20"/>
                <w:szCs w:val="20"/>
                <w:color w:val="auto"/>
              </w:rPr>
            </w:pPr>
          </w:p>
        </w:tc>
        <w:tc>
          <w:tcPr>
            <w:tcW w:w="2260" w:type="dxa"/>
            <w:vAlign w:val="bottom"/>
          </w:tcPr>
          <w:p>
            <w:pPr>
              <w:spacing w:after="0" w:line="240" w:lineRule="exact"/>
              <w:rPr>
                <w:sz w:val="20"/>
                <w:szCs w:val="20"/>
                <w:color w:val="auto"/>
              </w:rPr>
            </w:pPr>
            <w:r>
              <w:rPr>
                <w:rFonts w:ascii="Arial" w:cs="Arial" w:eastAsia="Arial" w:hAnsi="Arial"/>
                <w:sz w:val="21"/>
                <w:szCs w:val="21"/>
                <w:color w:val="auto"/>
              </w:rPr>
              <w:t>818-661-6014</w:t>
            </w:r>
          </w:p>
        </w:tc>
      </w:tr>
      <w:tr>
        <w:trPr>
          <w:trHeight w:val="226"/>
        </w:trPr>
        <w:tc>
          <w:tcPr>
            <w:tcW w:w="20" w:type="dxa"/>
            <w:vAlign w:val="bottom"/>
          </w:tcPr>
          <w:p>
            <w:pPr>
              <w:spacing w:after="0"/>
              <w:rPr>
                <w:sz w:val="19"/>
                <w:szCs w:val="19"/>
                <w:color w:val="auto"/>
              </w:rPr>
            </w:pPr>
          </w:p>
        </w:tc>
        <w:tc>
          <w:tcPr>
            <w:tcW w:w="5540" w:type="dxa"/>
            <w:vAlign w:val="bottom"/>
            <w:gridSpan w:val="3"/>
          </w:tcPr>
          <w:p>
            <w:pPr>
              <w:spacing w:after="0" w:line="226" w:lineRule="exact"/>
              <w:rPr>
                <w:sz w:val="20"/>
                <w:szCs w:val="20"/>
                <w:color w:val="auto"/>
              </w:rPr>
            </w:pPr>
            <w:r>
              <w:rPr>
                <w:rFonts w:ascii="Arial" w:cs="Arial" w:eastAsia="Arial" w:hAnsi="Arial"/>
                <w:sz w:val="21"/>
                <w:szCs w:val="21"/>
                <w:color w:val="421BFF"/>
              </w:rPr>
              <w:t>Joanna.Park@crc.com</w:t>
            </w:r>
          </w:p>
        </w:tc>
        <w:tc>
          <w:tcPr>
            <w:tcW w:w="2260" w:type="dxa"/>
            <w:vAlign w:val="bottom"/>
          </w:tcPr>
          <w:p>
            <w:pPr>
              <w:spacing w:after="0" w:line="226" w:lineRule="exact"/>
              <w:rPr>
                <w:sz w:val="20"/>
                <w:szCs w:val="20"/>
                <w:color w:val="auto"/>
              </w:rPr>
            </w:pPr>
            <w:r>
              <w:rPr>
                <w:rFonts w:ascii="Arial" w:cs="Arial" w:eastAsia="Arial" w:hAnsi="Arial"/>
                <w:sz w:val="21"/>
                <w:szCs w:val="21"/>
                <w:color w:val="421BFF"/>
              </w:rPr>
              <w:t>Richard.Venn@crc.com</w:t>
            </w: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421BFF"/>
          </w:tcPr>
          <w:p>
            <w:pPr>
              <w:spacing w:after="0" w:line="20" w:lineRule="exact"/>
              <w:rPr>
                <w:sz w:val="1"/>
                <w:szCs w:val="1"/>
                <w:color w:val="auto"/>
              </w:rPr>
            </w:pPr>
          </w:p>
        </w:tc>
        <w:tc>
          <w:tcPr>
            <w:tcW w:w="1200" w:type="dxa"/>
            <w:vAlign w:val="bottom"/>
            <w:shd w:val="clear" w:color="auto" w:fill="421BFF"/>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60" w:type="dxa"/>
            <w:vAlign w:val="bottom"/>
            <w:shd w:val="clear" w:color="auto" w:fill="421B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Attachment 1</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SUMMARY OF RESULTS</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07"/>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3rd Quarter</w:t>
            </w:r>
          </w:p>
        </w:tc>
        <w:tc>
          <w:tcPr>
            <w:tcW w:w="160" w:type="dxa"/>
            <w:vAlign w:val="bottom"/>
          </w:tcPr>
          <w:p>
            <w:pPr>
              <w:spacing w:after="0"/>
              <w:rPr>
                <w:sz w:val="24"/>
                <w:szCs w:val="2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2nd Quarter</w:t>
            </w:r>
          </w:p>
        </w:tc>
        <w:tc>
          <w:tcPr>
            <w:tcW w:w="160" w:type="dxa"/>
            <w:vAlign w:val="bottom"/>
          </w:tcPr>
          <w:p>
            <w:pPr>
              <w:spacing w:after="0"/>
              <w:rPr>
                <w:sz w:val="24"/>
                <w:szCs w:val="2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16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Nine Months</w:t>
            </w:r>
          </w:p>
        </w:tc>
        <w:tc>
          <w:tcPr>
            <w:tcW w:w="160" w:type="dxa"/>
            <w:vAlign w:val="bottom"/>
          </w:tcPr>
          <w:p>
            <w:pPr>
              <w:spacing w:after="0"/>
              <w:rPr>
                <w:sz w:val="24"/>
                <w:szCs w:val="24"/>
                <w:color w:val="auto"/>
              </w:rPr>
            </w:pPr>
          </w:p>
        </w:tc>
        <w:tc>
          <w:tcPr>
            <w:tcW w:w="1140" w:type="dxa"/>
            <w:vAlign w:val="bottom"/>
          </w:tcPr>
          <w:p>
            <w:pPr>
              <w:jc w:val="right"/>
              <w:ind w:right="149"/>
              <w:spacing w:after="0"/>
              <w:rPr>
                <w:sz w:val="20"/>
                <w:szCs w:val="20"/>
                <w:color w:val="auto"/>
              </w:rPr>
            </w:pPr>
            <w:r>
              <w:rPr>
                <w:rFonts w:ascii="Arial" w:cs="Arial" w:eastAsia="Arial" w:hAnsi="Arial"/>
                <w:sz w:val="14"/>
                <w:szCs w:val="14"/>
                <w:b w:val="1"/>
                <w:bCs w:val="1"/>
                <w:color w:val="auto"/>
              </w:rPr>
              <w:t>Nine Months</w:t>
            </w:r>
          </w:p>
        </w:tc>
      </w:tr>
      <w:tr>
        <w:trPr>
          <w:trHeight w:val="201"/>
        </w:trPr>
        <w:tc>
          <w:tcPr>
            <w:tcW w:w="20" w:type="dxa"/>
            <w:vAlign w:val="bottom"/>
            <w:tcBorders>
              <w:bottom w:val="single" w:sz="8" w:color="auto"/>
            </w:tcBorders>
          </w:tcPr>
          <w:p>
            <w:pPr>
              <w:spacing w:after="0"/>
              <w:rPr>
                <w:sz w:val="17"/>
                <w:szCs w:val="17"/>
                <w:color w:val="auto"/>
              </w:rPr>
            </w:pPr>
          </w:p>
        </w:tc>
        <w:tc>
          <w:tcPr>
            <w:tcW w:w="4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 and shares in millions, except per share amounts)</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2023</w:t>
            </w:r>
          </w:p>
        </w:tc>
      </w:tr>
      <w:tr>
        <w:trPr>
          <w:trHeight w:val="287"/>
        </w:trPr>
        <w:tc>
          <w:tcPr>
            <w:tcW w:w="20" w:type="dxa"/>
            <w:vAlign w:val="bottom"/>
          </w:tcPr>
          <w:p>
            <w:pPr>
              <w:spacing w:after="0"/>
              <w:rPr>
                <w:sz w:val="24"/>
                <w:szCs w:val="24"/>
                <w:color w:val="auto"/>
              </w:rPr>
            </w:pPr>
          </w:p>
        </w:tc>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Statements of Operations: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17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Revenues</w:t>
            </w:r>
          </w:p>
        </w:tc>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Oil, natural gas and NGL sales</w:t>
            </w: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870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412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510</w:t>
            </w:r>
          </w:p>
        </w:tc>
        <w:tc>
          <w:tcPr>
            <w:tcW w:w="1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1,711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1,672</w:t>
            </w: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Net gain (loss) from commodity derivatives</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356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(204)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(131)</w:t>
            </w: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Revenue from marketing of purchased commodities</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77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176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336</w:t>
            </w: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Electricity sales</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169</w:t>
            </w: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29</w:t>
            </w:r>
          </w:p>
        </w:tc>
      </w:tr>
      <w:tr>
        <w:trPr>
          <w:trHeight w:val="193"/>
        </w:trPr>
        <w:tc>
          <w:tcPr>
            <w:tcW w:w="20" w:type="dxa"/>
            <w:vAlign w:val="bottom"/>
          </w:tcPr>
          <w:p>
            <w:pPr>
              <w:spacing w:after="0"/>
              <w:rPr>
                <w:sz w:val="16"/>
                <w:szCs w:val="16"/>
                <w:color w:val="auto"/>
              </w:rPr>
            </w:pPr>
          </w:p>
        </w:tc>
        <w:tc>
          <w:tcPr>
            <w:tcW w:w="4340" w:type="dxa"/>
            <w:vAlign w:val="bottom"/>
            <w:gridSpan w:val="2"/>
          </w:tcPr>
          <w:p>
            <w:pPr>
              <w:ind w:left="180"/>
              <w:spacing w:after="0"/>
              <w:rPr>
                <w:sz w:val="20"/>
                <w:szCs w:val="20"/>
                <w:color w:val="auto"/>
              </w:rPr>
            </w:pPr>
            <w:r>
              <w:rPr>
                <w:rFonts w:ascii="Arial" w:cs="Arial" w:eastAsia="Arial" w:hAnsi="Arial"/>
                <w:sz w:val="14"/>
                <w:szCs w:val="14"/>
                <w:color w:val="auto"/>
              </w:rPr>
              <w:t>Total operating revenues</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1,353</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514</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460</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2,321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2,075</w:t>
            </w:r>
          </w:p>
        </w:tc>
      </w:tr>
      <w:tr>
        <w:trPr>
          <w:trHeight w:val="287"/>
        </w:trPr>
        <w:tc>
          <w:tcPr>
            <w:tcW w:w="20" w:type="dxa"/>
            <w:vAlign w:val="bottom"/>
          </w:tcPr>
          <w:p>
            <w:pPr>
              <w:spacing w:after="0"/>
              <w:rPr>
                <w:sz w:val="24"/>
                <w:szCs w:val="24"/>
                <w:color w:val="auto"/>
              </w:rPr>
            </w:pPr>
          </w:p>
        </w:tc>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Operating costs</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156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196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643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636</w:t>
            </w: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General and administrative expenses</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201</w:t>
            </w: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Depreciation, depletion and amortization</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170</w:t>
            </w: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Asset impairment</w:t>
            </w:r>
          </w:p>
        </w:tc>
        <w:tc>
          <w:tcPr>
            <w:tcW w:w="1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3</w:t>
            </w: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Taxes other than on income</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85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162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132</w:t>
            </w: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Exploration expense</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w:t>
            </w: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Costs related to marketing of purchased commodities</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182</w:t>
            </w: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Electricity generation expenses</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85</w:t>
            </w: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Transportation costs</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49</w:t>
            </w:r>
          </w:p>
        </w:tc>
      </w:tr>
      <w:tr>
        <w:trPr>
          <w:trHeight w:val="200"/>
        </w:trPr>
        <w:tc>
          <w:tcPr>
            <w:tcW w:w="20" w:type="dxa"/>
            <w:vAlign w:val="bottom"/>
          </w:tcPr>
          <w:p>
            <w:pPr>
              <w:spacing w:after="0"/>
              <w:rPr>
                <w:sz w:val="17"/>
                <w:szCs w:val="17"/>
                <w:color w:val="auto"/>
              </w:rPr>
            </w:pPr>
          </w:p>
        </w:tc>
        <w:tc>
          <w:tcPr>
            <w:tcW w:w="4340" w:type="dxa"/>
            <w:vAlign w:val="bottom"/>
            <w:gridSpan w:val="2"/>
          </w:tcPr>
          <w:p>
            <w:pPr>
              <w:ind w:left="20"/>
              <w:spacing w:after="0"/>
              <w:rPr>
                <w:sz w:val="20"/>
                <w:szCs w:val="20"/>
                <w:color w:val="auto"/>
              </w:rPr>
            </w:pPr>
            <w:r>
              <w:rPr>
                <w:rFonts w:ascii="Arial" w:cs="Arial" w:eastAsia="Arial" w:hAnsi="Arial"/>
                <w:sz w:val="14"/>
                <w:szCs w:val="14"/>
                <w:color w:val="auto"/>
              </w:rPr>
              <w:t>Accretion expense</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35</w:t>
            </w: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Carbon management business expenses</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20</w:t>
            </w: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Other operating expenses, net</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42</w:t>
            </w:r>
          </w:p>
        </w:tc>
      </w:tr>
      <w:tr>
        <w:trPr>
          <w:trHeight w:val="193"/>
        </w:trPr>
        <w:tc>
          <w:tcPr>
            <w:tcW w:w="20" w:type="dxa"/>
            <w:vAlign w:val="bottom"/>
          </w:tcPr>
          <w:p>
            <w:pPr>
              <w:spacing w:after="0"/>
              <w:rPr>
                <w:sz w:val="16"/>
                <w:szCs w:val="16"/>
                <w:color w:val="auto"/>
              </w:rPr>
            </w:pPr>
          </w:p>
        </w:tc>
        <w:tc>
          <w:tcPr>
            <w:tcW w:w="4340" w:type="dxa"/>
            <w:vAlign w:val="bottom"/>
            <w:gridSpan w:val="2"/>
          </w:tcPr>
          <w:p>
            <w:pPr>
              <w:ind w:left="180"/>
              <w:spacing w:after="0"/>
              <w:rPr>
                <w:sz w:val="20"/>
                <w:szCs w:val="20"/>
                <w:color w:val="auto"/>
              </w:rPr>
            </w:pPr>
            <w:r>
              <w:rPr>
                <w:rFonts w:ascii="Arial" w:cs="Arial" w:eastAsia="Arial" w:hAnsi="Arial"/>
                <w:sz w:val="14"/>
                <w:szCs w:val="14"/>
                <w:color w:val="auto"/>
              </w:rPr>
              <w:t>Total operating expenses</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835</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477</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475</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1,776</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1,557</w:t>
            </w:r>
          </w:p>
        </w:tc>
      </w:tr>
      <w:tr>
        <w:trPr>
          <w:trHeight w:val="193"/>
        </w:trPr>
        <w:tc>
          <w:tcPr>
            <w:tcW w:w="20" w:type="dxa"/>
            <w:vAlign w:val="bottom"/>
          </w:tcPr>
          <w:p>
            <w:pPr>
              <w:spacing w:after="0"/>
              <w:rPr>
                <w:sz w:val="16"/>
                <w:szCs w:val="16"/>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Net gain on asset divestitures</w:t>
            </w:r>
          </w:p>
        </w:tc>
        <w:tc>
          <w:tcPr>
            <w:tcW w:w="1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7</w:t>
            </w:r>
          </w:p>
        </w:tc>
      </w:tr>
      <w:tr>
        <w:trPr>
          <w:trHeight w:val="193"/>
        </w:trPr>
        <w:tc>
          <w:tcPr>
            <w:tcW w:w="20" w:type="dxa"/>
            <w:vAlign w:val="bottom"/>
          </w:tcPr>
          <w:p>
            <w:pPr>
              <w:spacing w:after="0"/>
              <w:rPr>
                <w:sz w:val="16"/>
                <w:szCs w:val="16"/>
                <w:color w:val="auto"/>
              </w:rPr>
            </w:pPr>
          </w:p>
        </w:tc>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Operating Income (Loss)</w:t>
            </w: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518</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38</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(15)</w:t>
            </w: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552</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525</w:t>
            </w:r>
          </w:p>
        </w:tc>
      </w:tr>
      <w:tr>
        <w:trPr>
          <w:trHeight w:val="347"/>
        </w:trPr>
        <w:tc>
          <w:tcPr>
            <w:tcW w:w="20" w:type="dxa"/>
            <w:vAlign w:val="bottom"/>
          </w:tcPr>
          <w:p>
            <w:pPr>
              <w:spacing w:after="0"/>
              <w:rPr>
                <w:sz w:val="24"/>
                <w:szCs w:val="24"/>
                <w:color w:val="auto"/>
              </w:rPr>
            </w:pPr>
          </w:p>
        </w:tc>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Non-Operating (Expenses) Income</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Interest and debt expense</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(43)</w:t>
            </w: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Loss from investment in unconsolidated subsidiary</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(6)</w:t>
            </w: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Net loss on early extinguishment of debt</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r>
      <w:tr>
        <w:trPr>
          <w:trHeight w:val="201"/>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Other non-operating income (loss), net</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5</w:t>
            </w:r>
          </w:p>
        </w:tc>
      </w:tr>
      <w:tr>
        <w:trPr>
          <w:trHeight w:val="326"/>
        </w:trPr>
        <w:tc>
          <w:tcPr>
            <w:tcW w:w="20" w:type="dxa"/>
            <w:vAlign w:val="bottom"/>
          </w:tcPr>
          <w:p>
            <w:pPr>
              <w:spacing w:after="0"/>
              <w:rPr>
                <w:sz w:val="24"/>
                <w:szCs w:val="24"/>
                <w:color w:val="auto"/>
              </w:rPr>
            </w:pPr>
          </w:p>
        </w:tc>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Income Before Income Taxes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483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475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481</w:t>
            </w: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Income tax (provision) benefit</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(105)</w:t>
            </w:r>
          </w:p>
        </w:tc>
      </w:tr>
      <w:tr>
        <w:trPr>
          <w:trHeight w:val="193"/>
        </w:trPr>
        <w:tc>
          <w:tcPr>
            <w:tcW w:w="20" w:type="dxa"/>
            <w:vAlign w:val="bottom"/>
          </w:tcPr>
          <w:p>
            <w:pPr>
              <w:spacing w:after="0"/>
              <w:rPr>
                <w:sz w:val="16"/>
                <w:szCs w:val="16"/>
                <w:color w:val="auto"/>
              </w:rPr>
            </w:pPr>
          </w:p>
        </w:tc>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Net Income</w:t>
            </w: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345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1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343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376</w:t>
            </w: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220"/>
          </w:cols>
          <w:pgMar w:left="320" w:top="871" w:right="359" w:bottom="1440" w:gutter="0" w:footer="0" w:header="0"/>
        </w:sectPr>
      </w:pPr>
    </w:p>
    <w:bookmarkStart w:id="11" w:name="page12"/>
    <w:bookmarkEnd w:id="11"/>
    <w:tbl>
      <w:tblPr>
        <w:tblLayout w:type="fixed"/>
        <w:tblInd w:w="60" w:type="dxa"/>
        <w:tblCellMar>
          <w:top w:w="0" w:type="dxa"/>
          <w:left w:w="0" w:type="dxa"/>
          <w:bottom w:w="0" w:type="dxa"/>
          <w:right w:w="0" w:type="dxa"/>
        </w:tblCellMar>
      </w:tblPr>
      <w:tr>
        <w:trPr>
          <w:trHeight w:val="195"/>
        </w:trPr>
        <w:tc>
          <w:tcPr>
            <w:tcW w:w="3760" w:type="dxa"/>
            <w:vAlign w:val="bottom"/>
          </w:tcPr>
          <w:p>
            <w:pPr>
              <w:spacing w:after="0"/>
              <w:rPr>
                <w:sz w:val="20"/>
                <w:szCs w:val="20"/>
                <w:color w:val="auto"/>
              </w:rPr>
            </w:pPr>
            <w:r>
              <w:rPr>
                <w:rFonts w:ascii="Arial" w:cs="Arial" w:eastAsia="Arial" w:hAnsi="Arial"/>
                <w:sz w:val="14"/>
                <w:szCs w:val="14"/>
                <w:color w:val="auto"/>
              </w:rPr>
              <w:t>Net income (loss) per share - basic</w:t>
            </w:r>
          </w:p>
        </w:tc>
        <w:tc>
          <w:tcPr>
            <w:tcW w:w="740" w:type="dxa"/>
            <w:vAlign w:val="bottom"/>
          </w:tcPr>
          <w:p>
            <w:pPr>
              <w:jc w:val="right"/>
              <w:ind w:right="329"/>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69"/>
              <w:spacing w:after="0"/>
              <w:rPr>
                <w:sz w:val="20"/>
                <w:szCs w:val="20"/>
                <w:color w:val="auto"/>
              </w:rPr>
            </w:pPr>
            <w:r>
              <w:rPr>
                <w:rFonts w:ascii="Arial" w:cs="Arial" w:eastAsia="Arial" w:hAnsi="Arial"/>
                <w:sz w:val="14"/>
                <w:szCs w:val="14"/>
                <w:b w:val="1"/>
                <w:bCs w:val="1"/>
                <w:color w:val="auto"/>
              </w:rPr>
              <w:t>3.86</w:t>
            </w:r>
          </w:p>
        </w:tc>
        <w:tc>
          <w:tcPr>
            <w:tcW w:w="540" w:type="dxa"/>
            <w:vAlign w:val="bottom"/>
          </w:tcPr>
          <w:p>
            <w:pPr>
              <w:jc w:val="right"/>
              <w:ind w:right="329"/>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49"/>
              <w:spacing w:after="0"/>
              <w:rPr>
                <w:sz w:val="20"/>
                <w:szCs w:val="20"/>
                <w:color w:val="auto"/>
              </w:rPr>
            </w:pPr>
            <w:r>
              <w:rPr>
                <w:rFonts w:ascii="Arial" w:cs="Arial" w:eastAsia="Arial" w:hAnsi="Arial"/>
                <w:sz w:val="14"/>
                <w:szCs w:val="14"/>
                <w:b w:val="1"/>
                <w:bCs w:val="1"/>
                <w:color w:val="auto"/>
              </w:rPr>
              <w:t>0.12</w:t>
            </w:r>
          </w:p>
        </w:tc>
        <w:tc>
          <w:tcPr>
            <w:tcW w:w="480" w:type="dxa"/>
            <w:vAlign w:val="bottom"/>
          </w:tcPr>
          <w:p>
            <w:pPr>
              <w:jc w:val="right"/>
              <w:ind w:right="26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169"/>
              <w:spacing w:after="0"/>
              <w:rPr>
                <w:sz w:val="20"/>
                <w:szCs w:val="20"/>
                <w:color w:val="auto"/>
              </w:rPr>
            </w:pPr>
            <w:r>
              <w:rPr>
                <w:rFonts w:ascii="Arial" w:cs="Arial" w:eastAsia="Arial" w:hAnsi="Arial"/>
                <w:sz w:val="14"/>
                <w:szCs w:val="14"/>
                <w:b w:val="1"/>
                <w:bCs w:val="1"/>
                <w:color w:val="auto"/>
              </w:rPr>
              <w:t>(0.32)</w:t>
            </w:r>
          </w:p>
        </w:tc>
        <w:tc>
          <w:tcPr>
            <w:tcW w:w="560" w:type="dxa"/>
            <w:vAlign w:val="bottom"/>
          </w:tcPr>
          <w:p>
            <w:pPr>
              <w:jc w:val="right"/>
              <w:ind w:right="309"/>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69"/>
              <w:spacing w:after="0"/>
              <w:rPr>
                <w:sz w:val="20"/>
                <w:szCs w:val="20"/>
                <w:color w:val="auto"/>
              </w:rPr>
            </w:pPr>
            <w:r>
              <w:rPr>
                <w:rFonts w:ascii="Arial" w:cs="Arial" w:eastAsia="Arial" w:hAnsi="Arial"/>
                <w:sz w:val="14"/>
                <w:szCs w:val="14"/>
                <w:b w:val="1"/>
                <w:bCs w:val="1"/>
                <w:color w:val="auto"/>
              </w:rPr>
              <w:t>4.54</w:t>
            </w:r>
          </w:p>
        </w:tc>
        <w:tc>
          <w:tcPr>
            <w:tcW w:w="540" w:type="dxa"/>
            <w:vAlign w:val="bottom"/>
          </w:tcPr>
          <w:p>
            <w:pPr>
              <w:jc w:val="right"/>
              <w:ind w:right="329"/>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09"/>
              <w:spacing w:after="0"/>
              <w:rPr>
                <w:sz w:val="20"/>
                <w:szCs w:val="20"/>
                <w:color w:val="auto"/>
              </w:rPr>
            </w:pPr>
            <w:r>
              <w:rPr>
                <w:rFonts w:ascii="Arial" w:cs="Arial" w:eastAsia="Arial" w:hAnsi="Arial"/>
                <w:sz w:val="14"/>
                <w:szCs w:val="14"/>
                <w:b w:val="1"/>
                <w:bCs w:val="1"/>
                <w:color w:val="auto"/>
              </w:rPr>
              <w:t>5.38</w:t>
            </w:r>
          </w:p>
        </w:tc>
      </w:tr>
      <w:tr>
        <w:trPr>
          <w:trHeight w:val="200"/>
        </w:trPr>
        <w:tc>
          <w:tcPr>
            <w:tcW w:w="3760" w:type="dxa"/>
            <w:vAlign w:val="bottom"/>
          </w:tcPr>
          <w:p>
            <w:pPr>
              <w:spacing w:after="0"/>
              <w:rPr>
                <w:sz w:val="20"/>
                <w:szCs w:val="20"/>
                <w:color w:val="auto"/>
              </w:rPr>
            </w:pPr>
            <w:r>
              <w:rPr>
                <w:rFonts w:ascii="Arial" w:cs="Arial" w:eastAsia="Arial" w:hAnsi="Arial"/>
                <w:sz w:val="14"/>
                <w:szCs w:val="14"/>
                <w:color w:val="auto"/>
              </w:rPr>
              <w:t>Net income (loss) per share - diluted</w:t>
            </w:r>
          </w:p>
        </w:tc>
        <w:tc>
          <w:tcPr>
            <w:tcW w:w="740" w:type="dxa"/>
            <w:vAlign w:val="bottom"/>
          </w:tcPr>
          <w:p>
            <w:pPr>
              <w:jc w:val="right"/>
              <w:ind w:right="329"/>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69"/>
              <w:spacing w:after="0"/>
              <w:rPr>
                <w:sz w:val="20"/>
                <w:szCs w:val="20"/>
                <w:color w:val="auto"/>
              </w:rPr>
            </w:pPr>
            <w:r>
              <w:rPr>
                <w:rFonts w:ascii="Arial" w:cs="Arial" w:eastAsia="Arial" w:hAnsi="Arial"/>
                <w:sz w:val="14"/>
                <w:szCs w:val="14"/>
                <w:b w:val="1"/>
                <w:bCs w:val="1"/>
                <w:color w:val="auto"/>
              </w:rPr>
              <w:t>3.78</w:t>
            </w:r>
          </w:p>
        </w:tc>
        <w:tc>
          <w:tcPr>
            <w:tcW w:w="540" w:type="dxa"/>
            <w:vAlign w:val="bottom"/>
          </w:tcPr>
          <w:p>
            <w:pPr>
              <w:jc w:val="right"/>
              <w:ind w:right="329"/>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49"/>
              <w:spacing w:after="0"/>
              <w:rPr>
                <w:sz w:val="20"/>
                <w:szCs w:val="20"/>
                <w:color w:val="auto"/>
              </w:rPr>
            </w:pPr>
            <w:r>
              <w:rPr>
                <w:rFonts w:ascii="Arial" w:cs="Arial" w:eastAsia="Arial" w:hAnsi="Arial"/>
                <w:sz w:val="14"/>
                <w:szCs w:val="14"/>
                <w:b w:val="1"/>
                <w:bCs w:val="1"/>
                <w:color w:val="auto"/>
              </w:rPr>
              <w:t>0.11</w:t>
            </w:r>
          </w:p>
        </w:tc>
        <w:tc>
          <w:tcPr>
            <w:tcW w:w="480" w:type="dxa"/>
            <w:vAlign w:val="bottom"/>
          </w:tcPr>
          <w:p>
            <w:pPr>
              <w:jc w:val="right"/>
              <w:ind w:right="26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169"/>
              <w:spacing w:after="0"/>
              <w:rPr>
                <w:sz w:val="20"/>
                <w:szCs w:val="20"/>
                <w:color w:val="auto"/>
              </w:rPr>
            </w:pPr>
            <w:r>
              <w:rPr>
                <w:rFonts w:ascii="Arial" w:cs="Arial" w:eastAsia="Arial" w:hAnsi="Arial"/>
                <w:sz w:val="14"/>
                <w:szCs w:val="14"/>
                <w:b w:val="1"/>
                <w:bCs w:val="1"/>
                <w:color w:val="auto"/>
              </w:rPr>
              <w:t>(0.32)</w:t>
            </w:r>
          </w:p>
        </w:tc>
        <w:tc>
          <w:tcPr>
            <w:tcW w:w="560" w:type="dxa"/>
            <w:vAlign w:val="bottom"/>
          </w:tcPr>
          <w:p>
            <w:pPr>
              <w:jc w:val="right"/>
              <w:ind w:right="309"/>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69"/>
              <w:spacing w:after="0"/>
              <w:rPr>
                <w:sz w:val="20"/>
                <w:szCs w:val="20"/>
                <w:color w:val="auto"/>
              </w:rPr>
            </w:pPr>
            <w:r>
              <w:rPr>
                <w:rFonts w:ascii="Arial" w:cs="Arial" w:eastAsia="Arial" w:hAnsi="Arial"/>
                <w:sz w:val="14"/>
                <w:szCs w:val="14"/>
                <w:b w:val="1"/>
                <w:bCs w:val="1"/>
                <w:color w:val="auto"/>
              </w:rPr>
              <w:t>4.42</w:t>
            </w:r>
          </w:p>
        </w:tc>
        <w:tc>
          <w:tcPr>
            <w:tcW w:w="540" w:type="dxa"/>
            <w:vAlign w:val="bottom"/>
          </w:tcPr>
          <w:p>
            <w:pPr>
              <w:jc w:val="right"/>
              <w:ind w:right="329"/>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09"/>
              <w:spacing w:after="0"/>
              <w:rPr>
                <w:sz w:val="20"/>
                <w:szCs w:val="20"/>
                <w:color w:val="auto"/>
              </w:rPr>
            </w:pPr>
            <w:r>
              <w:rPr>
                <w:rFonts w:ascii="Arial" w:cs="Arial" w:eastAsia="Arial" w:hAnsi="Arial"/>
                <w:sz w:val="14"/>
                <w:szCs w:val="14"/>
                <w:b w:val="1"/>
                <w:bCs w:val="1"/>
                <w:color w:val="auto"/>
              </w:rPr>
              <w:t>5.18</w:t>
            </w:r>
          </w:p>
        </w:tc>
      </w:tr>
      <w:tr>
        <w:trPr>
          <w:trHeight w:val="360"/>
        </w:trPr>
        <w:tc>
          <w:tcPr>
            <w:tcW w:w="3760" w:type="dxa"/>
            <w:vAlign w:val="bottom"/>
          </w:tcPr>
          <w:p>
            <w:pPr>
              <w:spacing w:after="0"/>
              <w:rPr>
                <w:sz w:val="20"/>
                <w:szCs w:val="20"/>
                <w:color w:val="auto"/>
              </w:rPr>
            </w:pPr>
            <w:r>
              <w:rPr>
                <w:rFonts w:ascii="Arial" w:cs="Arial" w:eastAsia="Arial" w:hAnsi="Arial"/>
                <w:sz w:val="14"/>
                <w:szCs w:val="14"/>
                <w:color w:val="auto"/>
              </w:rPr>
              <w:t>Adjusted net income</w:t>
            </w:r>
          </w:p>
        </w:tc>
        <w:tc>
          <w:tcPr>
            <w:tcW w:w="740" w:type="dxa"/>
            <w:vAlign w:val="bottom"/>
          </w:tcPr>
          <w:p>
            <w:pPr>
              <w:jc w:val="right"/>
              <w:ind w:right="329"/>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69"/>
              <w:spacing w:after="0"/>
              <w:rPr>
                <w:sz w:val="20"/>
                <w:szCs w:val="20"/>
                <w:color w:val="auto"/>
              </w:rPr>
            </w:pPr>
            <w:r>
              <w:rPr>
                <w:rFonts w:ascii="Arial" w:cs="Arial" w:eastAsia="Arial" w:hAnsi="Arial"/>
                <w:sz w:val="14"/>
                <w:szCs w:val="14"/>
                <w:b w:val="1"/>
                <w:bCs w:val="1"/>
                <w:color w:val="auto"/>
              </w:rPr>
              <w:t>137</w:t>
            </w:r>
          </w:p>
        </w:tc>
        <w:tc>
          <w:tcPr>
            <w:tcW w:w="540" w:type="dxa"/>
            <w:vAlign w:val="bottom"/>
          </w:tcPr>
          <w:p>
            <w:pPr>
              <w:jc w:val="right"/>
              <w:ind w:right="329"/>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49"/>
              <w:spacing w:after="0"/>
              <w:rPr>
                <w:sz w:val="20"/>
                <w:szCs w:val="20"/>
                <w:color w:val="auto"/>
              </w:rPr>
            </w:pPr>
            <w:r>
              <w:rPr>
                <w:rFonts w:ascii="Arial" w:cs="Arial" w:eastAsia="Arial" w:hAnsi="Arial"/>
                <w:sz w:val="14"/>
                <w:szCs w:val="14"/>
                <w:b w:val="1"/>
                <w:bCs w:val="1"/>
                <w:color w:val="auto"/>
              </w:rPr>
              <w:t>42</w:t>
            </w:r>
          </w:p>
        </w:tc>
        <w:tc>
          <w:tcPr>
            <w:tcW w:w="480" w:type="dxa"/>
            <w:vAlign w:val="bottom"/>
          </w:tcPr>
          <w:p>
            <w:pPr>
              <w:jc w:val="right"/>
              <w:ind w:right="26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09"/>
              <w:spacing w:after="0"/>
              <w:rPr>
                <w:sz w:val="20"/>
                <w:szCs w:val="20"/>
                <w:color w:val="auto"/>
              </w:rPr>
            </w:pPr>
            <w:r>
              <w:rPr>
                <w:rFonts w:ascii="Arial" w:cs="Arial" w:eastAsia="Arial" w:hAnsi="Arial"/>
                <w:sz w:val="14"/>
                <w:szCs w:val="14"/>
                <w:b w:val="1"/>
                <w:bCs w:val="1"/>
                <w:color w:val="auto"/>
              </w:rPr>
              <w:t>74</w:t>
            </w:r>
          </w:p>
        </w:tc>
        <w:tc>
          <w:tcPr>
            <w:tcW w:w="560" w:type="dxa"/>
            <w:vAlign w:val="bottom"/>
          </w:tcPr>
          <w:p>
            <w:pPr>
              <w:jc w:val="right"/>
              <w:ind w:right="309"/>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69"/>
              <w:spacing w:after="0"/>
              <w:rPr>
                <w:sz w:val="20"/>
                <w:szCs w:val="20"/>
                <w:color w:val="auto"/>
              </w:rPr>
            </w:pPr>
            <w:r>
              <w:rPr>
                <w:rFonts w:ascii="Arial" w:cs="Arial" w:eastAsia="Arial" w:hAnsi="Arial"/>
                <w:sz w:val="14"/>
                <w:szCs w:val="14"/>
                <w:b w:val="1"/>
                <w:bCs w:val="1"/>
                <w:color w:val="auto"/>
              </w:rPr>
              <w:t>233</w:t>
            </w:r>
          </w:p>
        </w:tc>
        <w:tc>
          <w:tcPr>
            <w:tcW w:w="540" w:type="dxa"/>
            <w:vAlign w:val="bottom"/>
          </w:tcPr>
          <w:p>
            <w:pPr>
              <w:jc w:val="right"/>
              <w:ind w:right="329"/>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09"/>
              <w:spacing w:after="0"/>
              <w:rPr>
                <w:sz w:val="20"/>
                <w:szCs w:val="20"/>
                <w:color w:val="auto"/>
              </w:rPr>
            </w:pPr>
            <w:r>
              <w:rPr>
                <w:rFonts w:ascii="Arial" w:cs="Arial" w:eastAsia="Arial" w:hAnsi="Arial"/>
                <w:sz w:val="14"/>
                <w:szCs w:val="14"/>
                <w:b w:val="1"/>
                <w:bCs w:val="1"/>
                <w:color w:val="auto"/>
              </w:rPr>
              <w:t>305</w:t>
            </w:r>
          </w:p>
        </w:tc>
      </w:tr>
      <w:tr>
        <w:trPr>
          <w:trHeight w:val="200"/>
        </w:trPr>
        <w:tc>
          <w:tcPr>
            <w:tcW w:w="3760" w:type="dxa"/>
            <w:vAlign w:val="bottom"/>
          </w:tcPr>
          <w:p>
            <w:pPr>
              <w:spacing w:after="0"/>
              <w:rPr>
                <w:sz w:val="20"/>
                <w:szCs w:val="20"/>
                <w:color w:val="auto"/>
              </w:rPr>
            </w:pPr>
            <w:r>
              <w:rPr>
                <w:rFonts w:ascii="Arial" w:cs="Arial" w:eastAsia="Arial" w:hAnsi="Arial"/>
                <w:sz w:val="14"/>
                <w:szCs w:val="14"/>
                <w:color w:val="auto"/>
              </w:rPr>
              <w:t>Adjusted net income per share - basic</w:t>
            </w:r>
          </w:p>
        </w:tc>
        <w:tc>
          <w:tcPr>
            <w:tcW w:w="740" w:type="dxa"/>
            <w:vAlign w:val="bottom"/>
          </w:tcPr>
          <w:p>
            <w:pPr>
              <w:jc w:val="right"/>
              <w:ind w:right="329"/>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69"/>
              <w:spacing w:after="0"/>
              <w:rPr>
                <w:sz w:val="20"/>
                <w:szCs w:val="20"/>
                <w:color w:val="auto"/>
              </w:rPr>
            </w:pPr>
            <w:r>
              <w:rPr>
                <w:rFonts w:ascii="Arial" w:cs="Arial" w:eastAsia="Arial" w:hAnsi="Arial"/>
                <w:sz w:val="14"/>
                <w:szCs w:val="14"/>
                <w:b w:val="1"/>
                <w:bCs w:val="1"/>
                <w:color w:val="auto"/>
              </w:rPr>
              <w:t>1.53</w:t>
            </w:r>
          </w:p>
        </w:tc>
        <w:tc>
          <w:tcPr>
            <w:tcW w:w="540" w:type="dxa"/>
            <w:vAlign w:val="bottom"/>
          </w:tcPr>
          <w:p>
            <w:pPr>
              <w:jc w:val="right"/>
              <w:ind w:right="329"/>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49"/>
              <w:spacing w:after="0"/>
              <w:rPr>
                <w:sz w:val="20"/>
                <w:szCs w:val="20"/>
                <w:color w:val="auto"/>
              </w:rPr>
            </w:pPr>
            <w:r>
              <w:rPr>
                <w:rFonts w:ascii="Arial" w:cs="Arial" w:eastAsia="Arial" w:hAnsi="Arial"/>
                <w:sz w:val="14"/>
                <w:szCs w:val="14"/>
                <w:b w:val="1"/>
                <w:bCs w:val="1"/>
                <w:color w:val="auto"/>
              </w:rPr>
              <w:t>0.62</w:t>
            </w:r>
          </w:p>
        </w:tc>
        <w:tc>
          <w:tcPr>
            <w:tcW w:w="480" w:type="dxa"/>
            <w:vAlign w:val="bottom"/>
          </w:tcPr>
          <w:p>
            <w:pPr>
              <w:jc w:val="right"/>
              <w:ind w:right="26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09"/>
              <w:spacing w:after="0"/>
              <w:rPr>
                <w:sz w:val="20"/>
                <w:szCs w:val="20"/>
                <w:color w:val="auto"/>
              </w:rPr>
            </w:pPr>
            <w:r>
              <w:rPr>
                <w:rFonts w:ascii="Arial" w:cs="Arial" w:eastAsia="Arial" w:hAnsi="Arial"/>
                <w:sz w:val="14"/>
                <w:szCs w:val="14"/>
                <w:b w:val="1"/>
                <w:bCs w:val="1"/>
                <w:color w:val="auto"/>
              </w:rPr>
              <w:t>1.08</w:t>
            </w:r>
          </w:p>
        </w:tc>
        <w:tc>
          <w:tcPr>
            <w:tcW w:w="560" w:type="dxa"/>
            <w:vAlign w:val="bottom"/>
          </w:tcPr>
          <w:p>
            <w:pPr>
              <w:jc w:val="right"/>
              <w:ind w:right="309"/>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69"/>
              <w:spacing w:after="0"/>
              <w:rPr>
                <w:sz w:val="20"/>
                <w:szCs w:val="20"/>
                <w:color w:val="auto"/>
              </w:rPr>
            </w:pPr>
            <w:r>
              <w:rPr>
                <w:rFonts w:ascii="Arial" w:cs="Arial" w:eastAsia="Arial" w:hAnsi="Arial"/>
                <w:sz w:val="14"/>
                <w:szCs w:val="14"/>
                <w:b w:val="1"/>
                <w:bCs w:val="1"/>
                <w:color w:val="auto"/>
              </w:rPr>
              <w:t>3.09</w:t>
            </w:r>
          </w:p>
        </w:tc>
        <w:tc>
          <w:tcPr>
            <w:tcW w:w="540" w:type="dxa"/>
            <w:vAlign w:val="bottom"/>
          </w:tcPr>
          <w:p>
            <w:pPr>
              <w:jc w:val="right"/>
              <w:ind w:right="329"/>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09"/>
              <w:spacing w:after="0"/>
              <w:rPr>
                <w:sz w:val="20"/>
                <w:szCs w:val="20"/>
                <w:color w:val="auto"/>
              </w:rPr>
            </w:pPr>
            <w:r>
              <w:rPr>
                <w:rFonts w:ascii="Arial" w:cs="Arial" w:eastAsia="Arial" w:hAnsi="Arial"/>
                <w:sz w:val="14"/>
                <w:szCs w:val="14"/>
                <w:b w:val="1"/>
                <w:bCs w:val="1"/>
                <w:color w:val="auto"/>
              </w:rPr>
              <w:t>4.36</w:t>
            </w:r>
          </w:p>
        </w:tc>
      </w:tr>
      <w:tr>
        <w:trPr>
          <w:trHeight w:val="200"/>
        </w:trPr>
        <w:tc>
          <w:tcPr>
            <w:tcW w:w="3760" w:type="dxa"/>
            <w:vAlign w:val="bottom"/>
          </w:tcPr>
          <w:p>
            <w:pPr>
              <w:spacing w:after="0"/>
              <w:rPr>
                <w:sz w:val="20"/>
                <w:szCs w:val="20"/>
                <w:color w:val="auto"/>
              </w:rPr>
            </w:pPr>
            <w:r>
              <w:rPr>
                <w:rFonts w:ascii="Arial" w:cs="Arial" w:eastAsia="Arial" w:hAnsi="Arial"/>
                <w:sz w:val="14"/>
                <w:szCs w:val="14"/>
                <w:color w:val="auto"/>
              </w:rPr>
              <w:t>Adjusted net income per share - diluted</w:t>
            </w:r>
          </w:p>
        </w:tc>
        <w:tc>
          <w:tcPr>
            <w:tcW w:w="740" w:type="dxa"/>
            <w:vAlign w:val="bottom"/>
          </w:tcPr>
          <w:p>
            <w:pPr>
              <w:jc w:val="right"/>
              <w:ind w:right="329"/>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69"/>
              <w:spacing w:after="0"/>
              <w:rPr>
                <w:sz w:val="20"/>
                <w:szCs w:val="20"/>
                <w:color w:val="auto"/>
              </w:rPr>
            </w:pPr>
            <w:r>
              <w:rPr>
                <w:rFonts w:ascii="Arial" w:cs="Arial" w:eastAsia="Arial" w:hAnsi="Arial"/>
                <w:sz w:val="14"/>
                <w:szCs w:val="14"/>
                <w:b w:val="1"/>
                <w:bCs w:val="1"/>
                <w:color w:val="auto"/>
              </w:rPr>
              <w:t>1.50</w:t>
            </w:r>
          </w:p>
        </w:tc>
        <w:tc>
          <w:tcPr>
            <w:tcW w:w="540" w:type="dxa"/>
            <w:vAlign w:val="bottom"/>
          </w:tcPr>
          <w:p>
            <w:pPr>
              <w:jc w:val="right"/>
              <w:ind w:right="329"/>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49"/>
              <w:spacing w:after="0"/>
              <w:rPr>
                <w:sz w:val="20"/>
                <w:szCs w:val="20"/>
                <w:color w:val="auto"/>
              </w:rPr>
            </w:pPr>
            <w:r>
              <w:rPr>
                <w:rFonts w:ascii="Arial" w:cs="Arial" w:eastAsia="Arial" w:hAnsi="Arial"/>
                <w:sz w:val="14"/>
                <w:szCs w:val="14"/>
                <w:b w:val="1"/>
                <w:bCs w:val="1"/>
                <w:color w:val="auto"/>
              </w:rPr>
              <w:t>0.60</w:t>
            </w:r>
          </w:p>
        </w:tc>
        <w:tc>
          <w:tcPr>
            <w:tcW w:w="480" w:type="dxa"/>
            <w:vAlign w:val="bottom"/>
          </w:tcPr>
          <w:p>
            <w:pPr>
              <w:jc w:val="right"/>
              <w:ind w:right="26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09"/>
              <w:spacing w:after="0"/>
              <w:rPr>
                <w:sz w:val="20"/>
                <w:szCs w:val="20"/>
                <w:color w:val="auto"/>
              </w:rPr>
            </w:pPr>
            <w:r>
              <w:rPr>
                <w:rFonts w:ascii="Arial" w:cs="Arial" w:eastAsia="Arial" w:hAnsi="Arial"/>
                <w:sz w:val="14"/>
                <w:szCs w:val="14"/>
                <w:b w:val="1"/>
                <w:bCs w:val="1"/>
                <w:color w:val="auto"/>
              </w:rPr>
              <w:t>1.02</w:t>
            </w:r>
          </w:p>
        </w:tc>
        <w:tc>
          <w:tcPr>
            <w:tcW w:w="560" w:type="dxa"/>
            <w:vAlign w:val="bottom"/>
          </w:tcPr>
          <w:p>
            <w:pPr>
              <w:jc w:val="right"/>
              <w:ind w:right="309"/>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69"/>
              <w:spacing w:after="0"/>
              <w:rPr>
                <w:sz w:val="20"/>
                <w:szCs w:val="20"/>
                <w:color w:val="auto"/>
              </w:rPr>
            </w:pPr>
            <w:r>
              <w:rPr>
                <w:rFonts w:ascii="Arial" w:cs="Arial" w:eastAsia="Arial" w:hAnsi="Arial"/>
                <w:sz w:val="14"/>
                <w:szCs w:val="14"/>
                <w:b w:val="1"/>
                <w:bCs w:val="1"/>
                <w:color w:val="auto"/>
              </w:rPr>
              <w:t>3.00</w:t>
            </w:r>
          </w:p>
        </w:tc>
        <w:tc>
          <w:tcPr>
            <w:tcW w:w="540" w:type="dxa"/>
            <w:vAlign w:val="bottom"/>
          </w:tcPr>
          <w:p>
            <w:pPr>
              <w:jc w:val="right"/>
              <w:ind w:right="329"/>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09"/>
              <w:spacing w:after="0"/>
              <w:rPr>
                <w:sz w:val="20"/>
                <w:szCs w:val="20"/>
                <w:color w:val="auto"/>
              </w:rPr>
            </w:pPr>
            <w:r>
              <w:rPr>
                <w:rFonts w:ascii="Arial" w:cs="Arial" w:eastAsia="Arial" w:hAnsi="Arial"/>
                <w:sz w:val="14"/>
                <w:szCs w:val="14"/>
                <w:b w:val="1"/>
                <w:bCs w:val="1"/>
                <w:color w:val="auto"/>
              </w:rPr>
              <w:t>4.20</w:t>
            </w:r>
          </w:p>
        </w:tc>
      </w:tr>
      <w:tr>
        <w:trPr>
          <w:trHeight w:val="293"/>
        </w:trPr>
        <w:tc>
          <w:tcPr>
            <w:tcW w:w="3760" w:type="dxa"/>
            <w:vAlign w:val="bottom"/>
          </w:tcPr>
          <w:p>
            <w:pPr>
              <w:spacing w:after="0"/>
              <w:rPr>
                <w:sz w:val="20"/>
                <w:szCs w:val="20"/>
                <w:color w:val="auto"/>
              </w:rPr>
            </w:pPr>
            <w:r>
              <w:rPr>
                <w:rFonts w:ascii="Arial" w:cs="Arial" w:eastAsia="Arial" w:hAnsi="Arial"/>
                <w:sz w:val="14"/>
                <w:szCs w:val="14"/>
                <w:color w:val="auto"/>
              </w:rPr>
              <w:t>Weighted-average common shares outstanding - basic</w:t>
            </w:r>
          </w:p>
        </w:tc>
        <w:tc>
          <w:tcPr>
            <w:tcW w:w="740" w:type="dxa"/>
            <w:vAlign w:val="bottom"/>
          </w:tcPr>
          <w:p>
            <w:pPr>
              <w:spacing w:after="0"/>
              <w:rPr>
                <w:sz w:val="24"/>
                <w:szCs w:val="24"/>
                <w:color w:val="auto"/>
              </w:rPr>
            </w:pPr>
          </w:p>
        </w:tc>
        <w:tc>
          <w:tcPr>
            <w:tcW w:w="920" w:type="dxa"/>
            <w:vAlign w:val="bottom"/>
          </w:tcPr>
          <w:p>
            <w:pPr>
              <w:jc w:val="right"/>
              <w:ind w:right="169"/>
              <w:spacing w:after="0"/>
              <w:rPr>
                <w:sz w:val="20"/>
                <w:szCs w:val="20"/>
                <w:color w:val="auto"/>
              </w:rPr>
            </w:pPr>
            <w:r>
              <w:rPr>
                <w:rFonts w:ascii="Arial" w:cs="Arial" w:eastAsia="Arial" w:hAnsi="Arial"/>
                <w:sz w:val="14"/>
                <w:szCs w:val="14"/>
                <w:b w:val="1"/>
                <w:bCs w:val="1"/>
                <w:color w:val="auto"/>
              </w:rPr>
              <w:t>89.4</w:t>
            </w:r>
          </w:p>
        </w:tc>
        <w:tc>
          <w:tcPr>
            <w:tcW w:w="540" w:type="dxa"/>
            <w:vAlign w:val="bottom"/>
          </w:tcPr>
          <w:p>
            <w:pPr>
              <w:spacing w:after="0"/>
              <w:rPr>
                <w:sz w:val="24"/>
                <w:szCs w:val="24"/>
                <w:color w:val="auto"/>
              </w:rPr>
            </w:pPr>
          </w:p>
        </w:tc>
        <w:tc>
          <w:tcPr>
            <w:tcW w:w="920" w:type="dxa"/>
            <w:vAlign w:val="bottom"/>
          </w:tcPr>
          <w:p>
            <w:pPr>
              <w:jc w:val="right"/>
              <w:ind w:right="149"/>
              <w:spacing w:after="0"/>
              <w:rPr>
                <w:sz w:val="20"/>
                <w:szCs w:val="20"/>
                <w:color w:val="auto"/>
              </w:rPr>
            </w:pPr>
            <w:r>
              <w:rPr>
                <w:rFonts w:ascii="Arial" w:cs="Arial" w:eastAsia="Arial" w:hAnsi="Arial"/>
                <w:sz w:val="14"/>
                <w:szCs w:val="14"/>
                <w:b w:val="1"/>
                <w:bCs w:val="1"/>
                <w:color w:val="auto"/>
              </w:rPr>
              <w:t>68.1</w:t>
            </w:r>
          </w:p>
        </w:tc>
        <w:tc>
          <w:tcPr>
            <w:tcW w:w="480" w:type="dxa"/>
            <w:vAlign w:val="bottom"/>
          </w:tcPr>
          <w:p>
            <w:pPr>
              <w:spacing w:after="0"/>
              <w:rPr>
                <w:sz w:val="24"/>
                <w:szCs w:val="24"/>
                <w:color w:val="auto"/>
              </w:rPr>
            </w:pPr>
          </w:p>
        </w:tc>
        <w:tc>
          <w:tcPr>
            <w:tcW w:w="960" w:type="dxa"/>
            <w:vAlign w:val="bottom"/>
          </w:tcPr>
          <w:p>
            <w:pPr>
              <w:jc w:val="right"/>
              <w:ind w:right="209"/>
              <w:spacing w:after="0"/>
              <w:rPr>
                <w:sz w:val="20"/>
                <w:szCs w:val="20"/>
                <w:color w:val="auto"/>
              </w:rPr>
            </w:pPr>
            <w:r>
              <w:rPr>
                <w:rFonts w:ascii="Arial" w:cs="Arial" w:eastAsia="Arial" w:hAnsi="Arial"/>
                <w:sz w:val="14"/>
                <w:szCs w:val="14"/>
                <w:b w:val="1"/>
                <w:bCs w:val="1"/>
                <w:color w:val="auto"/>
              </w:rPr>
              <w:t>68.7</w:t>
            </w:r>
          </w:p>
        </w:tc>
        <w:tc>
          <w:tcPr>
            <w:tcW w:w="560" w:type="dxa"/>
            <w:vAlign w:val="bottom"/>
          </w:tcPr>
          <w:p>
            <w:pPr>
              <w:spacing w:after="0"/>
              <w:rPr>
                <w:sz w:val="24"/>
                <w:szCs w:val="24"/>
                <w:color w:val="auto"/>
              </w:rPr>
            </w:pPr>
          </w:p>
        </w:tc>
        <w:tc>
          <w:tcPr>
            <w:tcW w:w="880" w:type="dxa"/>
            <w:vAlign w:val="bottom"/>
          </w:tcPr>
          <w:p>
            <w:pPr>
              <w:jc w:val="right"/>
              <w:ind w:right="169"/>
              <w:spacing w:after="0"/>
              <w:rPr>
                <w:sz w:val="20"/>
                <w:szCs w:val="20"/>
                <w:color w:val="auto"/>
              </w:rPr>
            </w:pPr>
            <w:r>
              <w:rPr>
                <w:rFonts w:ascii="Arial" w:cs="Arial" w:eastAsia="Arial" w:hAnsi="Arial"/>
                <w:sz w:val="14"/>
                <w:szCs w:val="14"/>
                <w:b w:val="1"/>
                <w:bCs w:val="1"/>
                <w:color w:val="auto"/>
              </w:rPr>
              <w:t>75.5</w:t>
            </w:r>
          </w:p>
        </w:tc>
        <w:tc>
          <w:tcPr>
            <w:tcW w:w="540" w:type="dxa"/>
            <w:vAlign w:val="bottom"/>
          </w:tcPr>
          <w:p>
            <w:pPr>
              <w:spacing w:after="0"/>
              <w:rPr>
                <w:sz w:val="24"/>
                <w:szCs w:val="24"/>
                <w:color w:val="auto"/>
              </w:rPr>
            </w:pPr>
          </w:p>
        </w:tc>
        <w:tc>
          <w:tcPr>
            <w:tcW w:w="840" w:type="dxa"/>
            <w:vAlign w:val="bottom"/>
          </w:tcPr>
          <w:p>
            <w:pPr>
              <w:jc w:val="right"/>
              <w:ind w:right="109"/>
              <w:spacing w:after="0"/>
              <w:rPr>
                <w:sz w:val="20"/>
                <w:szCs w:val="20"/>
                <w:color w:val="auto"/>
              </w:rPr>
            </w:pPr>
            <w:r>
              <w:rPr>
                <w:rFonts w:ascii="Arial" w:cs="Arial" w:eastAsia="Arial" w:hAnsi="Arial"/>
                <w:sz w:val="14"/>
                <w:szCs w:val="14"/>
                <w:b w:val="1"/>
                <w:bCs w:val="1"/>
                <w:color w:val="auto"/>
              </w:rPr>
              <w:t>69.9</w:t>
            </w:r>
          </w:p>
        </w:tc>
      </w:tr>
      <w:tr>
        <w:trPr>
          <w:trHeight w:val="200"/>
        </w:trPr>
        <w:tc>
          <w:tcPr>
            <w:tcW w:w="3760" w:type="dxa"/>
            <w:vAlign w:val="bottom"/>
          </w:tcPr>
          <w:p>
            <w:pPr>
              <w:spacing w:after="0"/>
              <w:rPr>
                <w:sz w:val="20"/>
                <w:szCs w:val="20"/>
                <w:color w:val="auto"/>
              </w:rPr>
            </w:pPr>
            <w:r>
              <w:rPr>
                <w:rFonts w:ascii="Arial" w:cs="Arial" w:eastAsia="Arial" w:hAnsi="Arial"/>
                <w:sz w:val="14"/>
                <w:szCs w:val="14"/>
                <w:color w:val="auto"/>
              </w:rPr>
              <w:t>Weighted-average common shares outstanding - diluted</w:t>
            </w:r>
          </w:p>
        </w:tc>
        <w:tc>
          <w:tcPr>
            <w:tcW w:w="740" w:type="dxa"/>
            <w:vAlign w:val="bottom"/>
          </w:tcPr>
          <w:p>
            <w:pPr>
              <w:spacing w:after="0"/>
              <w:rPr>
                <w:sz w:val="17"/>
                <w:szCs w:val="17"/>
                <w:color w:val="auto"/>
              </w:rPr>
            </w:pPr>
          </w:p>
        </w:tc>
        <w:tc>
          <w:tcPr>
            <w:tcW w:w="920" w:type="dxa"/>
            <w:vAlign w:val="bottom"/>
          </w:tcPr>
          <w:p>
            <w:pPr>
              <w:jc w:val="right"/>
              <w:ind w:right="169"/>
              <w:spacing w:after="0"/>
              <w:rPr>
                <w:sz w:val="20"/>
                <w:szCs w:val="20"/>
                <w:color w:val="auto"/>
              </w:rPr>
            </w:pPr>
            <w:r>
              <w:rPr>
                <w:rFonts w:ascii="Arial" w:cs="Arial" w:eastAsia="Arial" w:hAnsi="Arial"/>
                <w:sz w:val="14"/>
                <w:szCs w:val="14"/>
                <w:b w:val="1"/>
                <w:bCs w:val="1"/>
                <w:color w:val="auto"/>
              </w:rPr>
              <w:t>91.2</w:t>
            </w:r>
          </w:p>
        </w:tc>
        <w:tc>
          <w:tcPr>
            <w:tcW w:w="540" w:type="dxa"/>
            <w:vAlign w:val="bottom"/>
          </w:tcPr>
          <w:p>
            <w:pPr>
              <w:spacing w:after="0"/>
              <w:rPr>
                <w:sz w:val="17"/>
                <w:szCs w:val="17"/>
                <w:color w:val="auto"/>
              </w:rPr>
            </w:pPr>
          </w:p>
        </w:tc>
        <w:tc>
          <w:tcPr>
            <w:tcW w:w="920" w:type="dxa"/>
            <w:vAlign w:val="bottom"/>
          </w:tcPr>
          <w:p>
            <w:pPr>
              <w:jc w:val="right"/>
              <w:ind w:right="149"/>
              <w:spacing w:after="0"/>
              <w:rPr>
                <w:sz w:val="20"/>
                <w:szCs w:val="20"/>
                <w:color w:val="auto"/>
              </w:rPr>
            </w:pPr>
            <w:r>
              <w:rPr>
                <w:rFonts w:ascii="Arial" w:cs="Arial" w:eastAsia="Arial" w:hAnsi="Arial"/>
                <w:sz w:val="14"/>
                <w:szCs w:val="14"/>
                <w:b w:val="1"/>
                <w:bCs w:val="1"/>
                <w:color w:val="auto"/>
              </w:rPr>
              <w:t>70.0</w:t>
            </w:r>
          </w:p>
        </w:tc>
        <w:tc>
          <w:tcPr>
            <w:tcW w:w="480" w:type="dxa"/>
            <w:vAlign w:val="bottom"/>
          </w:tcPr>
          <w:p>
            <w:pPr>
              <w:spacing w:after="0"/>
              <w:rPr>
                <w:sz w:val="17"/>
                <w:szCs w:val="17"/>
                <w:color w:val="auto"/>
              </w:rPr>
            </w:pPr>
          </w:p>
        </w:tc>
        <w:tc>
          <w:tcPr>
            <w:tcW w:w="960" w:type="dxa"/>
            <w:vAlign w:val="bottom"/>
          </w:tcPr>
          <w:p>
            <w:pPr>
              <w:jc w:val="right"/>
              <w:ind w:right="209"/>
              <w:spacing w:after="0"/>
              <w:rPr>
                <w:sz w:val="20"/>
                <w:szCs w:val="20"/>
                <w:color w:val="auto"/>
              </w:rPr>
            </w:pPr>
            <w:r>
              <w:rPr>
                <w:rFonts w:ascii="Arial" w:cs="Arial" w:eastAsia="Arial" w:hAnsi="Arial"/>
                <w:sz w:val="14"/>
                <w:szCs w:val="14"/>
                <w:b w:val="1"/>
                <w:bCs w:val="1"/>
                <w:color w:val="auto"/>
              </w:rPr>
              <w:t>68.7</w:t>
            </w:r>
          </w:p>
        </w:tc>
        <w:tc>
          <w:tcPr>
            <w:tcW w:w="560" w:type="dxa"/>
            <w:vAlign w:val="bottom"/>
          </w:tcPr>
          <w:p>
            <w:pPr>
              <w:spacing w:after="0"/>
              <w:rPr>
                <w:sz w:val="17"/>
                <w:szCs w:val="17"/>
                <w:color w:val="auto"/>
              </w:rPr>
            </w:pPr>
          </w:p>
        </w:tc>
        <w:tc>
          <w:tcPr>
            <w:tcW w:w="880" w:type="dxa"/>
            <w:vAlign w:val="bottom"/>
          </w:tcPr>
          <w:p>
            <w:pPr>
              <w:jc w:val="right"/>
              <w:ind w:right="169"/>
              <w:spacing w:after="0"/>
              <w:rPr>
                <w:sz w:val="20"/>
                <w:szCs w:val="20"/>
                <w:color w:val="auto"/>
              </w:rPr>
            </w:pPr>
            <w:r>
              <w:rPr>
                <w:rFonts w:ascii="Arial" w:cs="Arial" w:eastAsia="Arial" w:hAnsi="Arial"/>
                <w:sz w:val="14"/>
                <w:szCs w:val="14"/>
                <w:b w:val="1"/>
                <w:bCs w:val="1"/>
                <w:color w:val="auto"/>
              </w:rPr>
              <w:t>77.6</w:t>
            </w:r>
          </w:p>
        </w:tc>
        <w:tc>
          <w:tcPr>
            <w:tcW w:w="540" w:type="dxa"/>
            <w:vAlign w:val="bottom"/>
          </w:tcPr>
          <w:p>
            <w:pPr>
              <w:spacing w:after="0"/>
              <w:rPr>
                <w:sz w:val="17"/>
                <w:szCs w:val="17"/>
                <w:color w:val="auto"/>
              </w:rPr>
            </w:pPr>
          </w:p>
        </w:tc>
        <w:tc>
          <w:tcPr>
            <w:tcW w:w="840" w:type="dxa"/>
            <w:vAlign w:val="bottom"/>
          </w:tcPr>
          <w:p>
            <w:pPr>
              <w:jc w:val="right"/>
              <w:ind w:right="109"/>
              <w:spacing w:after="0"/>
              <w:rPr>
                <w:sz w:val="20"/>
                <w:szCs w:val="20"/>
                <w:color w:val="auto"/>
              </w:rPr>
            </w:pPr>
            <w:r>
              <w:rPr>
                <w:rFonts w:ascii="Arial" w:cs="Arial" w:eastAsia="Arial" w:hAnsi="Arial"/>
                <w:sz w:val="14"/>
                <w:szCs w:val="14"/>
                <w:b w:val="1"/>
                <w:bCs w:val="1"/>
                <w:color w:val="auto"/>
              </w:rPr>
              <w:t>72.6</w:t>
            </w:r>
          </w:p>
        </w:tc>
      </w:tr>
      <w:tr>
        <w:trPr>
          <w:trHeight w:val="253"/>
        </w:trPr>
        <w:tc>
          <w:tcPr>
            <w:tcW w:w="3760" w:type="dxa"/>
            <w:vAlign w:val="bottom"/>
          </w:tcPr>
          <w:p>
            <w:pPr>
              <w:spacing w:after="0"/>
              <w:rPr>
                <w:sz w:val="20"/>
                <w:szCs w:val="20"/>
                <w:color w:val="auto"/>
              </w:rPr>
            </w:pPr>
            <w:r>
              <w:rPr>
                <w:rFonts w:ascii="Arial" w:cs="Arial" w:eastAsia="Arial" w:hAnsi="Arial"/>
                <w:sz w:val="14"/>
                <w:szCs w:val="14"/>
                <w:color w:val="auto"/>
              </w:rPr>
              <w:t>Adjusted EBITDAX</w:t>
            </w:r>
          </w:p>
        </w:tc>
        <w:tc>
          <w:tcPr>
            <w:tcW w:w="740" w:type="dxa"/>
            <w:vAlign w:val="bottom"/>
          </w:tcPr>
          <w:p>
            <w:pPr>
              <w:jc w:val="right"/>
              <w:ind w:right="329"/>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69"/>
              <w:spacing w:after="0"/>
              <w:rPr>
                <w:sz w:val="20"/>
                <w:szCs w:val="20"/>
                <w:color w:val="auto"/>
              </w:rPr>
            </w:pPr>
            <w:r>
              <w:rPr>
                <w:rFonts w:ascii="Arial" w:cs="Arial" w:eastAsia="Arial" w:hAnsi="Arial"/>
                <w:sz w:val="14"/>
                <w:szCs w:val="14"/>
                <w:b w:val="1"/>
                <w:bCs w:val="1"/>
                <w:color w:val="auto"/>
              </w:rPr>
              <w:t>402</w:t>
            </w:r>
          </w:p>
        </w:tc>
        <w:tc>
          <w:tcPr>
            <w:tcW w:w="540" w:type="dxa"/>
            <w:vAlign w:val="bottom"/>
          </w:tcPr>
          <w:p>
            <w:pPr>
              <w:jc w:val="right"/>
              <w:ind w:right="329"/>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49"/>
              <w:spacing w:after="0"/>
              <w:rPr>
                <w:sz w:val="20"/>
                <w:szCs w:val="20"/>
                <w:color w:val="auto"/>
              </w:rPr>
            </w:pPr>
            <w:r>
              <w:rPr>
                <w:rFonts w:ascii="Arial" w:cs="Arial" w:eastAsia="Arial" w:hAnsi="Arial"/>
                <w:sz w:val="14"/>
                <w:szCs w:val="14"/>
                <w:b w:val="1"/>
                <w:bCs w:val="1"/>
                <w:color w:val="auto"/>
              </w:rPr>
              <w:t>139</w:t>
            </w:r>
          </w:p>
        </w:tc>
        <w:tc>
          <w:tcPr>
            <w:tcW w:w="480" w:type="dxa"/>
            <w:vAlign w:val="bottom"/>
          </w:tcPr>
          <w:p>
            <w:pPr>
              <w:jc w:val="right"/>
              <w:ind w:right="26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09"/>
              <w:spacing w:after="0"/>
              <w:rPr>
                <w:sz w:val="20"/>
                <w:szCs w:val="20"/>
                <w:color w:val="auto"/>
              </w:rPr>
            </w:pPr>
            <w:r>
              <w:rPr>
                <w:rFonts w:ascii="Arial" w:cs="Arial" w:eastAsia="Arial" w:hAnsi="Arial"/>
                <w:sz w:val="14"/>
                <w:szCs w:val="14"/>
                <w:b w:val="1"/>
                <w:bCs w:val="1"/>
                <w:color w:val="auto"/>
              </w:rPr>
              <w:t>187</w:t>
            </w:r>
          </w:p>
        </w:tc>
        <w:tc>
          <w:tcPr>
            <w:tcW w:w="560" w:type="dxa"/>
            <w:vAlign w:val="bottom"/>
          </w:tcPr>
          <w:p>
            <w:pPr>
              <w:jc w:val="right"/>
              <w:ind w:right="309"/>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69"/>
              <w:spacing w:after="0"/>
              <w:rPr>
                <w:sz w:val="20"/>
                <w:szCs w:val="20"/>
                <w:color w:val="auto"/>
              </w:rPr>
            </w:pPr>
            <w:r>
              <w:rPr>
                <w:rFonts w:ascii="Arial" w:cs="Arial" w:eastAsia="Arial" w:hAnsi="Arial"/>
                <w:sz w:val="14"/>
                <w:szCs w:val="14"/>
                <w:b w:val="1"/>
                <w:bCs w:val="1"/>
                <w:color w:val="auto"/>
              </w:rPr>
              <w:t>690</w:t>
            </w:r>
          </w:p>
        </w:tc>
        <w:tc>
          <w:tcPr>
            <w:tcW w:w="540" w:type="dxa"/>
            <w:vAlign w:val="bottom"/>
          </w:tcPr>
          <w:p>
            <w:pPr>
              <w:jc w:val="right"/>
              <w:ind w:right="329"/>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09"/>
              <w:spacing w:after="0"/>
              <w:rPr>
                <w:sz w:val="20"/>
                <w:szCs w:val="20"/>
                <w:color w:val="auto"/>
              </w:rPr>
            </w:pPr>
            <w:r>
              <w:rPr>
                <w:rFonts w:ascii="Arial" w:cs="Arial" w:eastAsia="Arial" w:hAnsi="Arial"/>
                <w:sz w:val="14"/>
                <w:szCs w:val="14"/>
                <w:b w:val="1"/>
                <w:bCs w:val="1"/>
                <w:color w:val="auto"/>
              </w:rPr>
              <w:t>683</w:t>
            </w:r>
          </w:p>
        </w:tc>
      </w:tr>
      <w:tr>
        <w:trPr>
          <w:trHeight w:val="200"/>
        </w:trPr>
        <w:tc>
          <w:tcPr>
            <w:tcW w:w="3760" w:type="dxa"/>
            <w:vAlign w:val="bottom"/>
          </w:tcPr>
          <w:p>
            <w:pPr>
              <w:spacing w:after="0"/>
              <w:rPr>
                <w:sz w:val="20"/>
                <w:szCs w:val="20"/>
                <w:color w:val="auto"/>
              </w:rPr>
            </w:pPr>
            <w:r>
              <w:rPr>
                <w:rFonts w:ascii="Arial" w:cs="Arial" w:eastAsia="Arial" w:hAnsi="Arial"/>
                <w:sz w:val="14"/>
                <w:szCs w:val="14"/>
                <w:color w:val="auto"/>
              </w:rPr>
              <w:t>Effective tax rate</w:t>
            </w:r>
          </w:p>
        </w:tc>
        <w:tc>
          <w:tcPr>
            <w:tcW w:w="7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29 %</w:t>
            </w:r>
          </w:p>
        </w:tc>
        <w:tc>
          <w:tcPr>
            <w:tcW w:w="5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27 %</w:t>
            </w:r>
          </w:p>
        </w:tc>
        <w:tc>
          <w:tcPr>
            <w:tcW w:w="480" w:type="dxa"/>
            <w:vAlign w:val="bottom"/>
          </w:tcPr>
          <w:p>
            <w:pPr>
              <w:spacing w:after="0"/>
              <w:rPr>
                <w:sz w:val="17"/>
                <w:szCs w:val="17"/>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b w:val="1"/>
                <w:bCs w:val="1"/>
                <w:color w:val="auto"/>
              </w:rPr>
              <w:t>27 %</w:t>
            </w: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28 %</w:t>
            </w:r>
          </w:p>
        </w:tc>
        <w:tc>
          <w:tcPr>
            <w:tcW w:w="5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22 %</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2780030</wp:posOffset>
            </wp:positionH>
            <wp:positionV relativeFrom="page">
              <wp:posOffset>588010</wp:posOffset>
            </wp:positionV>
            <wp:extent cx="4544695" cy="336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44695"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3rd Quarter</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tcPr>
          <w:p>
            <w:pPr>
              <w:jc w:val="center"/>
              <w:ind w:left="109"/>
              <w:spacing w:after="0"/>
              <w:rPr>
                <w:sz w:val="20"/>
                <w:szCs w:val="20"/>
                <w:color w:val="auto"/>
              </w:rPr>
            </w:pPr>
            <w:r>
              <w:rPr>
                <w:rFonts w:ascii="Arial" w:cs="Arial" w:eastAsia="Arial" w:hAnsi="Arial"/>
                <w:sz w:val="14"/>
                <w:szCs w:val="14"/>
                <w:b w:val="1"/>
                <w:bCs w:val="1"/>
                <w:color w:val="auto"/>
              </w:rPr>
              <w:t>2nd Quarter</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w w:val="99"/>
              </w:rPr>
              <w:t>3rd Quarter</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4"/>
          </w:tcPr>
          <w:p>
            <w:pPr>
              <w:jc w:val="right"/>
              <w:ind w:right="169"/>
              <w:spacing w:after="0"/>
              <w:rPr>
                <w:sz w:val="20"/>
                <w:szCs w:val="20"/>
                <w:color w:val="auto"/>
              </w:rPr>
            </w:pPr>
            <w:r>
              <w:rPr>
                <w:rFonts w:ascii="Arial" w:cs="Arial" w:eastAsia="Arial" w:hAnsi="Arial"/>
                <w:sz w:val="14"/>
                <w:szCs w:val="14"/>
                <w:b w:val="1"/>
                <w:bCs w:val="1"/>
                <w:color w:val="auto"/>
              </w:rPr>
              <w:t>Nine Months</w:t>
            </w:r>
          </w:p>
        </w:tc>
        <w:tc>
          <w:tcPr>
            <w:tcW w:w="80" w:type="dxa"/>
            <w:vAlign w:val="bottom"/>
          </w:tcPr>
          <w:p>
            <w:pPr>
              <w:spacing w:after="0"/>
              <w:rPr>
                <w:sz w:val="16"/>
                <w:szCs w:val="16"/>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9"/>
              </w:rPr>
              <w:t>Nine Months</w:t>
            </w: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3900" w:type="dxa"/>
            <w:vAlign w:val="bottom"/>
          </w:tcPr>
          <w:p>
            <w:pPr>
              <w:ind w:left="20"/>
              <w:spacing w:after="0"/>
              <w:rPr>
                <w:sz w:val="20"/>
                <w:szCs w:val="20"/>
                <w:color w:val="auto"/>
              </w:rPr>
            </w:pPr>
            <w:r>
              <w:rPr>
                <w:rFonts w:ascii="Arial" w:cs="Arial" w:eastAsia="Arial" w:hAnsi="Arial"/>
                <w:sz w:val="14"/>
                <w:szCs w:val="14"/>
                <w:color w:val="auto"/>
              </w:rPr>
              <w:t>($ in millions)</w:t>
            </w:r>
          </w:p>
        </w:tc>
        <w:tc>
          <w:tcPr>
            <w:tcW w:w="24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center"/>
              <w:ind w:left="209"/>
              <w:spacing w:after="0"/>
              <w:rPr>
                <w:sz w:val="20"/>
                <w:szCs w:val="20"/>
                <w:color w:val="auto"/>
              </w:rPr>
            </w:pPr>
            <w:r>
              <w:rPr>
                <w:rFonts w:ascii="Arial" w:cs="Arial" w:eastAsia="Arial" w:hAnsi="Arial"/>
                <w:sz w:val="14"/>
                <w:szCs w:val="14"/>
                <w:b w:val="1"/>
                <w:bCs w:val="1"/>
                <w:color w:val="auto"/>
                <w:w w:val="96"/>
              </w:rPr>
              <w:t>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5"/>
          </w:tcPr>
          <w:p>
            <w:pPr>
              <w:ind w:left="800"/>
              <w:spacing w:after="0"/>
              <w:rPr>
                <w:sz w:val="20"/>
                <w:szCs w:val="20"/>
                <w:color w:val="auto"/>
              </w:rPr>
            </w:pPr>
            <w:r>
              <w:rPr>
                <w:rFonts w:ascii="Arial" w:cs="Arial" w:eastAsia="Arial" w:hAnsi="Arial"/>
                <w:sz w:val="14"/>
                <w:szCs w:val="14"/>
                <w:b w:val="1"/>
                <w:bCs w:val="1"/>
                <w:color w:val="auto"/>
              </w:rPr>
              <w:t>2024</w:t>
            </w:r>
          </w:p>
        </w:tc>
        <w:tc>
          <w:tcPr>
            <w:tcW w:w="440" w:type="dxa"/>
            <w:vAlign w:val="bottom"/>
          </w:tcPr>
          <w:p>
            <w:pPr>
              <w:spacing w:after="0"/>
              <w:rPr>
                <w:sz w:val="17"/>
                <w:szCs w:val="17"/>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9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Cash Flow Data:</w:t>
            </w:r>
          </w:p>
        </w:tc>
        <w:tc>
          <w:tcPr>
            <w:tcW w:w="2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90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220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ind w:right="469"/>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97</w:t>
            </w:r>
          </w:p>
        </w:tc>
        <w:tc>
          <w:tcPr>
            <w:tcW w:w="180" w:type="dxa"/>
            <w:vAlign w:val="bottom"/>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104</w:t>
            </w:r>
          </w:p>
        </w:tc>
        <w:tc>
          <w:tcPr>
            <w:tcW w:w="1020" w:type="dxa"/>
            <w:vAlign w:val="bottom"/>
            <w:gridSpan w:val="3"/>
          </w:tcPr>
          <w:p>
            <w:pPr>
              <w:ind w:left="320"/>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3"/>
          </w:tcPr>
          <w:p>
            <w:pPr>
              <w:ind w:left="180"/>
              <w:spacing w:after="0"/>
              <w:rPr>
                <w:sz w:val="20"/>
                <w:szCs w:val="20"/>
                <w:color w:val="auto"/>
              </w:rPr>
            </w:pPr>
            <w:r>
              <w:rPr>
                <w:rFonts w:ascii="Arial" w:cs="Arial" w:eastAsia="Arial" w:hAnsi="Arial"/>
                <w:sz w:val="14"/>
                <w:szCs w:val="14"/>
                <w:b w:val="1"/>
                <w:bCs w:val="1"/>
                <w:color w:val="auto"/>
              </w:rPr>
              <w:t>404</w:t>
            </w:r>
          </w:p>
        </w:tc>
        <w:tc>
          <w:tcPr>
            <w:tcW w:w="840" w:type="dxa"/>
            <w:vAlign w:val="bottom"/>
            <w:gridSpan w:val="2"/>
          </w:tcPr>
          <w:p>
            <w:pPr>
              <w:jc w:val="right"/>
              <w:ind w:right="58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500" w:type="dxa"/>
            <w:vAlign w:val="bottom"/>
          </w:tcPr>
          <w:p>
            <w:pPr>
              <w:jc w:val="center"/>
              <w:ind w:right="49"/>
              <w:spacing w:after="0"/>
              <w:rPr>
                <w:sz w:val="20"/>
                <w:szCs w:val="20"/>
                <w:color w:val="auto"/>
              </w:rPr>
            </w:pPr>
            <w:r>
              <w:rPr>
                <w:rFonts w:ascii="Arial" w:cs="Arial" w:eastAsia="Arial" w:hAnsi="Arial"/>
                <w:sz w:val="14"/>
                <w:szCs w:val="14"/>
                <w:b w:val="1"/>
                <w:bCs w:val="1"/>
                <w:color w:val="auto"/>
                <w:w w:val="94"/>
              </w:rPr>
              <w:t>522</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90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(928)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ind w:right="469"/>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3"/>
          </w:tcPr>
          <w:p>
            <w:pPr>
              <w:jc w:val="right"/>
              <w:ind w:right="69"/>
              <w:spacing w:after="0"/>
              <w:rPr>
                <w:sz w:val="20"/>
                <w:szCs w:val="20"/>
                <w:color w:val="auto"/>
              </w:rPr>
            </w:pPr>
            <w:r>
              <w:rPr>
                <w:rFonts w:ascii="Arial" w:cs="Arial" w:eastAsia="Arial" w:hAnsi="Arial"/>
                <w:sz w:val="14"/>
                <w:szCs w:val="14"/>
                <w:b w:val="1"/>
                <w:bCs w:val="1"/>
                <w:color w:val="auto"/>
              </w:rPr>
              <w:t>(33)</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(28)</w:t>
            </w:r>
          </w:p>
        </w:tc>
        <w:tc>
          <w:tcPr>
            <w:tcW w:w="1020" w:type="dxa"/>
            <w:vAlign w:val="bottom"/>
            <w:gridSpan w:val="3"/>
          </w:tcPr>
          <w:p>
            <w:pPr>
              <w:ind w:left="320"/>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3"/>
          </w:tcPr>
          <w:p>
            <w:pPr>
              <w:jc w:val="right"/>
              <w:ind w:right="89"/>
              <w:spacing w:after="0"/>
              <w:rPr>
                <w:sz w:val="20"/>
                <w:szCs w:val="20"/>
                <w:color w:val="auto"/>
              </w:rPr>
            </w:pPr>
            <w:r>
              <w:rPr>
                <w:rFonts w:ascii="Arial" w:cs="Arial" w:eastAsia="Arial" w:hAnsi="Arial"/>
                <w:sz w:val="14"/>
                <w:szCs w:val="14"/>
                <w:b w:val="1"/>
                <w:bCs w:val="1"/>
                <w:color w:val="auto"/>
                <w:w w:val="94"/>
              </w:rPr>
              <w:t>(1,010)</w:t>
            </w:r>
          </w:p>
        </w:tc>
        <w:tc>
          <w:tcPr>
            <w:tcW w:w="840" w:type="dxa"/>
            <w:vAlign w:val="bottom"/>
            <w:gridSpan w:val="2"/>
          </w:tcPr>
          <w:p>
            <w:pPr>
              <w:jc w:val="right"/>
              <w:ind w:right="58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500" w:type="dxa"/>
            <w:vAlign w:val="bottom"/>
          </w:tcPr>
          <w:p>
            <w:pPr>
              <w:jc w:val="center"/>
              <w:ind w:right="69"/>
              <w:spacing w:after="0"/>
              <w:rPr>
                <w:sz w:val="20"/>
                <w:szCs w:val="20"/>
                <w:color w:val="auto"/>
              </w:rPr>
            </w:pPr>
            <w:r>
              <w:rPr>
                <w:rFonts w:ascii="Arial" w:cs="Arial" w:eastAsia="Arial" w:hAnsi="Arial"/>
                <w:sz w:val="14"/>
                <w:szCs w:val="14"/>
                <w:b w:val="1"/>
                <w:bCs w:val="1"/>
                <w:color w:val="auto"/>
                <w:w w:val="97"/>
              </w:rPr>
              <w:t>(133)</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900" w:type="dxa"/>
            <w:vAlign w:val="bottom"/>
          </w:tcPr>
          <w:p>
            <w:pPr>
              <w:ind w:left="20"/>
              <w:spacing w:after="0"/>
              <w:rPr>
                <w:sz w:val="20"/>
                <w:szCs w:val="20"/>
                <w:color w:val="auto"/>
              </w:rPr>
            </w:pPr>
            <w:r>
              <w:rPr>
                <w:rFonts w:ascii="Arial" w:cs="Arial" w:eastAsia="Arial" w:hAnsi="Arial"/>
                <w:sz w:val="14"/>
                <w:szCs w:val="14"/>
                <w:color w:val="auto"/>
              </w:rPr>
              <w:t>Net cash (used) provided by financing activities</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(82)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ind w:right="469"/>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564</w:t>
            </w:r>
          </w:p>
        </w:tc>
        <w:tc>
          <w:tcPr>
            <w:tcW w:w="180" w:type="dxa"/>
            <w:vAlign w:val="bottom"/>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(45)</w:t>
            </w:r>
          </w:p>
        </w:tc>
        <w:tc>
          <w:tcPr>
            <w:tcW w:w="1020" w:type="dxa"/>
            <w:vAlign w:val="bottom"/>
            <w:gridSpan w:val="3"/>
          </w:tcPr>
          <w:p>
            <w:pPr>
              <w:ind w:left="320"/>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3"/>
          </w:tcPr>
          <w:p>
            <w:pPr>
              <w:ind w:left="180"/>
              <w:spacing w:after="0"/>
              <w:rPr>
                <w:sz w:val="20"/>
                <w:szCs w:val="20"/>
                <w:color w:val="auto"/>
              </w:rPr>
            </w:pPr>
            <w:r>
              <w:rPr>
                <w:rFonts w:ascii="Arial" w:cs="Arial" w:eastAsia="Arial" w:hAnsi="Arial"/>
                <w:sz w:val="14"/>
                <w:szCs w:val="14"/>
                <w:b w:val="1"/>
                <w:bCs w:val="1"/>
                <w:color w:val="auto"/>
              </w:rPr>
              <w:t>351</w:t>
            </w:r>
          </w:p>
        </w:tc>
        <w:tc>
          <w:tcPr>
            <w:tcW w:w="840" w:type="dxa"/>
            <w:vAlign w:val="bottom"/>
            <w:gridSpan w:val="2"/>
          </w:tcPr>
          <w:p>
            <w:pPr>
              <w:jc w:val="right"/>
              <w:ind w:right="58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500" w:type="dxa"/>
            <w:vAlign w:val="bottom"/>
          </w:tcPr>
          <w:p>
            <w:pPr>
              <w:jc w:val="center"/>
              <w:ind w:right="69"/>
              <w:spacing w:after="0"/>
              <w:rPr>
                <w:sz w:val="20"/>
                <w:szCs w:val="20"/>
                <w:color w:val="auto"/>
              </w:rPr>
            </w:pPr>
            <w:r>
              <w:rPr>
                <w:rFonts w:ascii="Arial" w:cs="Arial" w:eastAsia="Arial" w:hAnsi="Arial"/>
                <w:sz w:val="14"/>
                <w:szCs w:val="14"/>
                <w:b w:val="1"/>
                <w:bCs w:val="1"/>
                <w:color w:val="auto"/>
                <w:w w:val="97"/>
              </w:rPr>
              <w:t>(217)</w:t>
            </w:r>
          </w:p>
        </w:tc>
        <w:tc>
          <w:tcPr>
            <w:tcW w:w="0" w:type="dxa"/>
            <w:vAlign w:val="bottom"/>
          </w:tcPr>
          <w:p>
            <w:pPr>
              <w:spacing w:after="0"/>
              <w:rPr>
                <w:sz w:val="1"/>
                <w:szCs w:val="1"/>
                <w:color w:val="auto"/>
              </w:rPr>
            </w:pPr>
          </w:p>
        </w:tc>
      </w:tr>
      <w:tr>
        <w:trPr>
          <w:trHeight w:val="466"/>
        </w:trPr>
        <w:tc>
          <w:tcPr>
            <w:tcW w:w="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3"/>
          </w:tcPr>
          <w:p>
            <w:pPr>
              <w:jc w:val="center"/>
              <w:ind w:left="109"/>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in millions)</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bottom w:val="single" w:sz="8" w:color="auto"/>
            </w:tcBorders>
            <w:gridSpan w:val="2"/>
          </w:tcPr>
          <w:p>
            <w:pPr>
              <w:jc w:val="center"/>
              <w:ind w:left="209"/>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Selected Balance Sheet Data:</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900" w:type="dxa"/>
            <w:vAlign w:val="bottom"/>
          </w:tcPr>
          <w:p>
            <w:pPr>
              <w:ind w:left="20"/>
              <w:spacing w:after="0"/>
              <w:rPr>
                <w:sz w:val="20"/>
                <w:szCs w:val="20"/>
                <w:color w:val="auto"/>
              </w:rPr>
            </w:pPr>
            <w:r>
              <w:rPr>
                <w:rFonts w:ascii="Arial" w:cs="Arial" w:eastAsia="Arial" w:hAnsi="Arial"/>
                <w:sz w:val="14"/>
                <w:szCs w:val="14"/>
                <w:color w:val="auto"/>
              </w:rPr>
              <w:t>Total current assets</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872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ind w:right="469"/>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929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90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5,836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ind w:right="469"/>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2,770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900" w:type="dxa"/>
            <w:vAlign w:val="bottom"/>
          </w:tcPr>
          <w:p>
            <w:pPr>
              <w:ind w:left="20"/>
              <w:spacing w:after="0"/>
              <w:rPr>
                <w:sz w:val="20"/>
                <w:szCs w:val="20"/>
                <w:color w:val="auto"/>
              </w:rPr>
            </w:pPr>
            <w:r>
              <w:rPr>
                <w:rFonts w:ascii="Arial" w:cs="Arial" w:eastAsia="Arial" w:hAnsi="Arial"/>
                <w:sz w:val="14"/>
                <w:szCs w:val="14"/>
                <w:color w:val="auto"/>
              </w:rPr>
              <w:t>Deferred tax asset</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50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ind w:right="469"/>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132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900" w:type="dxa"/>
            <w:vAlign w:val="bottom"/>
          </w:tcPr>
          <w:p>
            <w:pPr>
              <w:ind w:left="20"/>
              <w:spacing w:after="0"/>
              <w:rPr>
                <w:sz w:val="20"/>
                <w:szCs w:val="20"/>
                <w:color w:val="auto"/>
              </w:rPr>
            </w:pPr>
            <w:r>
              <w:rPr>
                <w:rFonts w:ascii="Arial" w:cs="Arial" w:eastAsia="Arial" w:hAnsi="Arial"/>
                <w:sz w:val="14"/>
                <w:szCs w:val="14"/>
                <w:color w:val="auto"/>
              </w:rPr>
              <w:t>Total current liabilities</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897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ind w:right="469"/>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616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900" w:type="dxa"/>
            <w:vAlign w:val="bottom"/>
          </w:tcPr>
          <w:p>
            <w:pPr>
              <w:ind w:left="20"/>
              <w:spacing w:after="0"/>
              <w:rPr>
                <w:sz w:val="20"/>
                <w:szCs w:val="20"/>
                <w:color w:val="auto"/>
              </w:rPr>
            </w:pPr>
            <w:r>
              <w:rPr>
                <w:rFonts w:ascii="Arial" w:cs="Arial" w:eastAsia="Arial" w:hAnsi="Arial"/>
                <w:sz w:val="14"/>
                <w:szCs w:val="14"/>
                <w:color w:val="auto"/>
              </w:rPr>
              <w:t>Long-term debt, net</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1,131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ind w:right="469"/>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540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900" w:type="dxa"/>
            <w:vAlign w:val="bottom"/>
          </w:tcPr>
          <w:p>
            <w:pPr>
              <w:ind w:left="20"/>
              <w:spacing w:after="0"/>
              <w:rPr>
                <w:sz w:val="20"/>
                <w:szCs w:val="20"/>
                <w:color w:val="auto"/>
              </w:rPr>
            </w:pPr>
            <w:r>
              <w:rPr>
                <w:rFonts w:ascii="Arial" w:cs="Arial" w:eastAsia="Arial" w:hAnsi="Arial"/>
                <w:sz w:val="14"/>
                <w:szCs w:val="14"/>
                <w:color w:val="auto"/>
              </w:rPr>
              <w:t>Noncurrent asset retirement obligations</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1,083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ind w:right="469"/>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422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900" w:type="dxa"/>
            <w:vAlign w:val="bottom"/>
          </w:tcPr>
          <w:p>
            <w:pPr>
              <w:ind w:left="20"/>
              <w:spacing w:after="0"/>
              <w:rPr>
                <w:sz w:val="20"/>
                <w:szCs w:val="20"/>
                <w:color w:val="auto"/>
              </w:rPr>
            </w:pPr>
            <w:r>
              <w:rPr>
                <w:rFonts w:ascii="Arial" w:cs="Arial" w:eastAsia="Arial" w:hAnsi="Arial"/>
                <w:sz w:val="14"/>
                <w:szCs w:val="14"/>
                <w:color w:val="auto"/>
              </w:rPr>
              <w:t>Deferred tax liability</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124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ind w:right="469"/>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900" w:type="dxa"/>
            <w:vAlign w:val="bottom"/>
          </w:tcPr>
          <w:p>
            <w:pPr>
              <w:ind w:left="20"/>
              <w:spacing w:after="0"/>
              <w:rPr>
                <w:sz w:val="20"/>
                <w:szCs w:val="20"/>
                <w:color w:val="auto"/>
              </w:rPr>
            </w:pPr>
            <w:r>
              <w:rPr>
                <w:rFonts w:ascii="Arial" w:cs="Arial" w:eastAsia="Arial" w:hAnsi="Arial"/>
                <w:sz w:val="14"/>
                <w:szCs w:val="14"/>
                <w:color w:val="auto"/>
              </w:rPr>
              <w:t>Total stockholders' equity</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3,501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ind w:right="469"/>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2,219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4"/>
        </w:trPr>
        <w:tc>
          <w:tcPr>
            <w:tcW w:w="3940" w:type="dxa"/>
            <w:vAlign w:val="bottom"/>
            <w:tcBorders>
              <w:bottom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94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940" w:type="dxa"/>
            <w:vAlign w:val="bottom"/>
            <w:gridSpan w:val="2"/>
          </w:tcPr>
          <w:p>
            <w:pPr>
              <w:ind w:left="20"/>
              <w:spacing w:after="0"/>
              <w:rPr>
                <w:sz w:val="20"/>
                <w:szCs w:val="20"/>
                <w:color w:val="auto"/>
              </w:rPr>
            </w:pPr>
            <w:r>
              <w:rPr>
                <w:rFonts w:ascii="Arial" w:cs="Arial" w:eastAsia="Arial" w:hAnsi="Arial"/>
                <w:sz w:val="14"/>
                <w:szCs w:val="14"/>
                <w:b w:val="1"/>
                <w:bCs w:val="1"/>
                <w:color w:val="auto"/>
              </w:rPr>
              <w:t>GAINS AND LOSSES FROM COMMODITY DERIVATIVES</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3rd Quarter</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2nd Quarter</w:t>
            </w:r>
          </w:p>
        </w:tc>
        <w:tc>
          <w:tcPr>
            <w:tcW w:w="180" w:type="dxa"/>
            <w:vAlign w:val="bottom"/>
          </w:tcPr>
          <w:p>
            <w:pPr>
              <w:spacing w:after="0"/>
              <w:rPr>
                <w:sz w:val="22"/>
                <w:szCs w:val="22"/>
                <w:color w:val="auto"/>
              </w:rPr>
            </w:pPr>
          </w:p>
        </w:tc>
        <w:tc>
          <w:tcPr>
            <w:tcW w:w="1120" w:type="dxa"/>
            <w:vAlign w:val="bottom"/>
            <w:gridSpan w:val="4"/>
          </w:tcPr>
          <w:p>
            <w:pPr>
              <w:ind w:left="20"/>
              <w:spacing w:after="0"/>
              <w:rPr>
                <w:sz w:val="20"/>
                <w:szCs w:val="20"/>
                <w:color w:val="auto"/>
              </w:rPr>
            </w:pPr>
            <w:r>
              <w:rPr>
                <w:rFonts w:ascii="Arial" w:cs="Arial" w:eastAsia="Arial" w:hAnsi="Arial"/>
                <w:sz w:val="14"/>
                <w:szCs w:val="14"/>
                <w:b w:val="1"/>
                <w:bCs w:val="1"/>
                <w:color w:val="auto"/>
              </w:rPr>
              <w:t>3rd Quarter</w:t>
            </w:r>
          </w:p>
        </w:tc>
        <w:tc>
          <w:tcPr>
            <w:tcW w:w="140" w:type="dxa"/>
            <w:vAlign w:val="bottom"/>
          </w:tcPr>
          <w:p>
            <w:pPr>
              <w:spacing w:after="0"/>
              <w:rPr>
                <w:sz w:val="22"/>
                <w:szCs w:val="22"/>
                <w:color w:val="auto"/>
              </w:rPr>
            </w:pPr>
          </w:p>
        </w:tc>
        <w:tc>
          <w:tcPr>
            <w:tcW w:w="1020" w:type="dxa"/>
            <w:vAlign w:val="bottom"/>
            <w:gridSpan w:val="3"/>
          </w:tcPr>
          <w:p>
            <w:pPr>
              <w:jc w:val="right"/>
              <w:ind w:right="49"/>
              <w:spacing w:after="0"/>
              <w:rPr>
                <w:sz w:val="20"/>
                <w:szCs w:val="20"/>
                <w:color w:val="auto"/>
              </w:rPr>
            </w:pPr>
            <w:r>
              <w:rPr>
                <w:rFonts w:ascii="Arial" w:cs="Arial" w:eastAsia="Arial" w:hAnsi="Arial"/>
                <w:sz w:val="14"/>
                <w:szCs w:val="14"/>
                <w:b w:val="1"/>
                <w:bCs w:val="1"/>
                <w:color w:val="auto"/>
              </w:rPr>
              <w:t>Nine Months</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gridSpan w:val="4"/>
          </w:tcPr>
          <w:p>
            <w:pPr>
              <w:ind w:left="220"/>
              <w:spacing w:after="0"/>
              <w:rPr>
                <w:sz w:val="20"/>
                <w:szCs w:val="20"/>
                <w:color w:val="auto"/>
              </w:rPr>
            </w:pPr>
            <w:r>
              <w:rPr>
                <w:rFonts w:ascii="Arial" w:cs="Arial" w:eastAsia="Arial" w:hAnsi="Arial"/>
                <w:sz w:val="14"/>
                <w:szCs w:val="14"/>
                <w:b w:val="1"/>
                <w:bCs w:val="1"/>
                <w:color w:val="auto"/>
              </w:rPr>
              <w:t>Nine Months</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3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 millions)</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89"/>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40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3900" w:type="dxa"/>
            <w:vAlign w:val="bottom"/>
          </w:tcPr>
          <w:p>
            <w:pPr>
              <w:ind w:left="100"/>
              <w:spacing w:after="0"/>
              <w:rPr>
                <w:sz w:val="20"/>
                <w:szCs w:val="20"/>
                <w:color w:val="auto"/>
              </w:rPr>
            </w:pPr>
            <w:r>
              <w:rPr>
                <w:rFonts w:ascii="Arial" w:cs="Arial" w:eastAsia="Arial" w:hAnsi="Arial"/>
                <w:sz w:val="14"/>
                <w:szCs w:val="14"/>
                <w:color w:val="auto"/>
              </w:rPr>
              <w:t>Non-cash derivative gain (loss)</w:t>
            </w: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373</w:t>
            </w:r>
          </w:p>
        </w:tc>
        <w:tc>
          <w:tcPr>
            <w:tcW w:w="20" w:type="dxa"/>
            <w:vAlign w:val="bottom"/>
          </w:tcPr>
          <w:p>
            <w:pPr>
              <w:spacing w:after="0"/>
              <w:rPr>
                <w:sz w:val="23"/>
                <w:szCs w:val="23"/>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23"/>
                <w:szCs w:val="23"/>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(109)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325</w:t>
            </w:r>
          </w:p>
        </w:tc>
        <w:tc>
          <w:tcPr>
            <w:tcW w:w="600" w:type="dxa"/>
            <w:vAlign w:val="bottom"/>
            <w:gridSpan w:val="3"/>
          </w:tcPr>
          <w:p>
            <w:pPr>
              <w:ind w:left="18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92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3900" w:type="dxa"/>
            <w:vAlign w:val="bottom"/>
          </w:tcPr>
          <w:p>
            <w:pPr>
              <w:ind w:left="100"/>
              <w:spacing w:after="0"/>
              <w:rPr>
                <w:sz w:val="20"/>
                <w:szCs w:val="20"/>
                <w:color w:val="auto"/>
              </w:rPr>
            </w:pPr>
            <w:r>
              <w:rPr>
                <w:rFonts w:ascii="Arial" w:cs="Arial" w:eastAsia="Arial" w:hAnsi="Arial"/>
                <w:sz w:val="14"/>
                <w:szCs w:val="14"/>
                <w:color w:val="auto"/>
              </w:rPr>
              <w:t>Net payments on settled commodity derivatives</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(223)</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900" w:type="dxa"/>
            <w:vAlign w:val="bottom"/>
          </w:tcPr>
          <w:p>
            <w:pPr>
              <w:ind w:left="220"/>
              <w:spacing w:after="0"/>
              <w:rPr>
                <w:sz w:val="20"/>
                <w:szCs w:val="20"/>
                <w:color w:val="auto"/>
              </w:rPr>
            </w:pPr>
            <w:r>
              <w:rPr>
                <w:rFonts w:ascii="Arial" w:cs="Arial" w:eastAsia="Arial" w:hAnsi="Arial"/>
                <w:sz w:val="14"/>
                <w:szCs w:val="14"/>
                <w:color w:val="auto"/>
              </w:rPr>
              <w:t>Net gain (loss) from commodity derivatives</w:t>
            </w: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356</w:t>
            </w:r>
          </w:p>
        </w:tc>
        <w:tc>
          <w:tcPr>
            <w:tcW w:w="20" w:type="dxa"/>
            <w:vAlign w:val="bottom"/>
          </w:tcPr>
          <w:p>
            <w:pPr>
              <w:spacing w:after="0"/>
              <w:rPr>
                <w:sz w:val="16"/>
                <w:szCs w:val="16"/>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290</w:t>
            </w:r>
          </w:p>
        </w:tc>
        <w:tc>
          <w:tcPr>
            <w:tcW w:w="600" w:type="dxa"/>
            <w:vAlign w:val="bottom"/>
            <w:gridSpan w:val="3"/>
          </w:tcPr>
          <w:p>
            <w:pPr>
              <w:ind w:left="18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(131)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1st Quarter</w:t>
            </w:r>
          </w:p>
        </w:tc>
        <w:tc>
          <w:tcPr>
            <w:tcW w:w="900" w:type="dxa"/>
            <w:vAlign w:val="bottom"/>
            <w:gridSpan w:val="4"/>
            <w:vMerge w:val="restart"/>
          </w:tcPr>
          <w:p>
            <w:pPr>
              <w:jc w:val="right"/>
              <w:ind w:right="109"/>
              <w:spacing w:after="0"/>
              <w:rPr>
                <w:sz w:val="20"/>
                <w:szCs w:val="20"/>
                <w:color w:val="auto"/>
              </w:rPr>
            </w:pPr>
            <w:r>
              <w:rPr>
                <w:rFonts w:ascii="Arial" w:cs="Arial" w:eastAsia="Arial" w:hAnsi="Arial"/>
                <w:sz w:val="14"/>
                <w:szCs w:val="14"/>
                <w:color w:val="auto"/>
                <w:w w:val="99"/>
              </w:rPr>
              <w:t>1st Quarter</w:t>
            </w: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4th</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center"/>
              <w:ind w:left="349"/>
              <w:spacing w:after="0"/>
              <w:rPr>
                <w:sz w:val="20"/>
                <w:szCs w:val="20"/>
                <w:color w:val="auto"/>
              </w:rPr>
            </w:pPr>
            <w:r>
              <w:rPr>
                <w:rFonts w:ascii="Arial" w:cs="Arial" w:eastAsia="Arial" w:hAnsi="Arial"/>
                <w:sz w:val="14"/>
                <w:szCs w:val="14"/>
                <w:b w:val="1"/>
                <w:bCs w:val="1"/>
                <w:color w:val="auto"/>
                <w:w w:val="95"/>
              </w:rPr>
              <w:t>4th</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gridSpan w:val="7"/>
            <w:vMerge w:val="restart"/>
          </w:tcPr>
          <w:p>
            <w:pPr>
              <w:ind w:left="700"/>
              <w:spacing w:after="0"/>
              <w:rPr>
                <w:sz w:val="20"/>
                <w:szCs w:val="20"/>
                <w:color w:val="auto"/>
              </w:rPr>
            </w:pPr>
            <w:r>
              <w:rPr>
                <w:rFonts w:ascii="Arial" w:cs="Arial" w:eastAsia="Arial" w:hAnsi="Arial"/>
                <w:sz w:val="14"/>
                <w:szCs w:val="14"/>
                <w:color w:val="auto"/>
              </w:rPr>
              <w:t>4th Quarter</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900" w:type="dxa"/>
            <w:vAlign w:val="bottom"/>
            <w:gridSpan w:val="4"/>
            <w:vMerge w:val="continue"/>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tcPr>
          <w:p>
            <w:pPr>
              <w:jc w:val="center"/>
              <w:ind w:left="209"/>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7"/>
            <w:vMerge w:val="continue"/>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220"/>
          </w:cols>
          <w:pgMar w:left="320" w:top="1316" w:right="3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2"/>
        </w:trPr>
        <w:tc>
          <w:tcPr>
            <w:tcW w:w="436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CAPITAL INVESTMENTS</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53"/>
        </w:trPr>
        <w:tc>
          <w:tcPr>
            <w:tcW w:w="4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3rd Quarter</w:t>
            </w:r>
          </w:p>
        </w:tc>
        <w:tc>
          <w:tcPr>
            <w:tcW w:w="14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2nd Quarter</w:t>
            </w:r>
          </w:p>
        </w:tc>
        <w:tc>
          <w:tcPr>
            <w:tcW w:w="14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3rd Quarter</w:t>
            </w:r>
          </w:p>
        </w:tc>
        <w:tc>
          <w:tcPr>
            <w:tcW w:w="140" w:type="dxa"/>
            <w:vAlign w:val="bottom"/>
          </w:tcPr>
          <w:p>
            <w:pPr>
              <w:spacing w:after="0"/>
              <w:rPr>
                <w:sz w:val="22"/>
                <w:szCs w:val="22"/>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w:t>
            </w:r>
          </w:p>
        </w:tc>
        <w:tc>
          <w:tcPr>
            <w:tcW w:w="120" w:type="dxa"/>
            <w:vAlign w:val="bottom"/>
          </w:tcPr>
          <w:p>
            <w:pPr>
              <w:spacing w:after="0"/>
              <w:rPr>
                <w:sz w:val="22"/>
                <w:szCs w:val="22"/>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b w:val="1"/>
                <w:bCs w:val="1"/>
                <w:color w:val="auto"/>
              </w:rPr>
              <w:t>Nine Months</w:t>
            </w:r>
          </w:p>
        </w:tc>
      </w:tr>
      <w:tr>
        <w:trPr>
          <w:trHeight w:val="201"/>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2023</w:t>
            </w:r>
          </w:p>
        </w:tc>
      </w:tr>
      <w:tr>
        <w:trPr>
          <w:trHeight w:val="278"/>
        </w:trPr>
        <w:tc>
          <w:tcPr>
            <w:tcW w:w="4360" w:type="dxa"/>
            <w:vAlign w:val="bottom"/>
          </w:tcPr>
          <w:p>
            <w:pPr>
              <w:ind w:left="140"/>
              <w:spacing w:after="0"/>
              <w:rPr>
                <w:sz w:val="20"/>
                <w:szCs w:val="20"/>
                <w:color w:val="auto"/>
              </w:rPr>
            </w:pPr>
            <w:r>
              <w:rPr>
                <w:rFonts w:ascii="Arial" w:cs="Arial" w:eastAsia="Arial" w:hAnsi="Arial"/>
                <w:sz w:val="14"/>
                <w:szCs w:val="14"/>
                <w:color w:val="auto"/>
              </w:rPr>
              <w:t xml:space="preserve">Facilities </w:t>
            </w:r>
            <w:r>
              <w:rPr>
                <w:rFonts w:ascii="Arial" w:cs="Arial" w:eastAsia="Arial" w:hAnsi="Arial"/>
                <w:sz w:val="18"/>
                <w:szCs w:val="18"/>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36</w:t>
            </w: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67</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27</w:t>
            </w:r>
          </w:p>
        </w:tc>
      </w:tr>
      <w:tr>
        <w:trPr>
          <w:trHeight w:val="195"/>
        </w:trPr>
        <w:tc>
          <w:tcPr>
            <w:tcW w:w="4360" w:type="dxa"/>
            <w:vAlign w:val="bottom"/>
          </w:tcPr>
          <w:p>
            <w:pPr>
              <w:ind w:left="140"/>
              <w:spacing w:after="0"/>
              <w:rPr>
                <w:sz w:val="20"/>
                <w:szCs w:val="20"/>
                <w:color w:val="auto"/>
              </w:rPr>
            </w:pPr>
            <w:r>
              <w:rPr>
                <w:rFonts w:ascii="Arial" w:cs="Arial" w:eastAsia="Arial" w:hAnsi="Arial"/>
                <w:sz w:val="14"/>
                <w:szCs w:val="14"/>
                <w:color w:val="auto"/>
              </w:rPr>
              <w:t>Drilling</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51</w:t>
            </w:r>
          </w:p>
        </w:tc>
      </w:tr>
      <w:tr>
        <w:trPr>
          <w:trHeight w:val="200"/>
        </w:trPr>
        <w:tc>
          <w:tcPr>
            <w:tcW w:w="4360" w:type="dxa"/>
            <w:vAlign w:val="bottom"/>
          </w:tcPr>
          <w:p>
            <w:pPr>
              <w:ind w:left="140"/>
              <w:spacing w:after="0"/>
              <w:rPr>
                <w:sz w:val="20"/>
                <w:szCs w:val="20"/>
                <w:color w:val="auto"/>
              </w:rPr>
            </w:pPr>
            <w:r>
              <w:rPr>
                <w:rFonts w:ascii="Arial" w:cs="Arial" w:eastAsia="Arial" w:hAnsi="Arial"/>
                <w:sz w:val="14"/>
                <w:szCs w:val="14"/>
                <w:color w:val="auto"/>
              </w:rPr>
              <w:t>Workovers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w:t>
            </w:r>
          </w:p>
        </w:tc>
      </w:tr>
      <w:tr>
        <w:trPr>
          <w:trHeight w:val="193"/>
        </w:trPr>
        <w:tc>
          <w:tcPr>
            <w:tcW w:w="4360" w:type="dxa"/>
            <w:vAlign w:val="bottom"/>
          </w:tcPr>
          <w:p>
            <w:pPr>
              <w:ind w:left="20"/>
              <w:spacing w:after="0"/>
              <w:rPr>
                <w:sz w:val="20"/>
                <w:szCs w:val="20"/>
                <w:color w:val="auto"/>
              </w:rPr>
            </w:pPr>
            <w:r>
              <w:rPr>
                <w:rFonts w:ascii="Arial" w:cs="Arial" w:eastAsia="Arial" w:hAnsi="Arial"/>
                <w:sz w:val="14"/>
                <w:szCs w:val="14"/>
                <w:color w:val="auto"/>
              </w:rPr>
              <w:t>Total E&amp;P capital</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156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106</w:t>
            </w:r>
          </w:p>
        </w:tc>
      </w:tr>
      <w:tr>
        <w:trPr>
          <w:trHeight w:val="205"/>
        </w:trPr>
        <w:tc>
          <w:tcPr>
            <w:tcW w:w="4360" w:type="dxa"/>
            <w:vAlign w:val="bottom"/>
          </w:tcPr>
          <w:p>
            <w:pPr>
              <w:ind w:left="140"/>
              <w:spacing w:after="0" w:line="205" w:lineRule="exact"/>
              <w:rPr>
                <w:sz w:val="20"/>
                <w:szCs w:val="20"/>
                <w:color w:val="auto"/>
              </w:rPr>
            </w:pPr>
            <w:r>
              <w:rPr>
                <w:rFonts w:ascii="Arial" w:cs="Arial" w:eastAsia="Arial" w:hAnsi="Arial"/>
                <w:sz w:val="14"/>
                <w:szCs w:val="14"/>
                <w:color w:val="auto"/>
              </w:rPr>
              <w:t xml:space="preserve">CMB </w:t>
            </w:r>
            <w:r>
              <w:rPr>
                <w:rFonts w:ascii="Arial" w:cs="Arial" w:eastAsia="Arial" w:hAnsi="Arial"/>
                <w:sz w:val="18"/>
                <w:szCs w:val="18"/>
                <w:color w:val="auto"/>
                <w:vertAlign w:val="superscript"/>
              </w:rPr>
              <w:t>(1)</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195"/>
        </w:trPr>
        <w:tc>
          <w:tcPr>
            <w:tcW w:w="4360" w:type="dxa"/>
            <w:vAlign w:val="bottom"/>
          </w:tcPr>
          <w:p>
            <w:pPr>
              <w:ind w:left="140"/>
              <w:spacing w:after="0"/>
              <w:rPr>
                <w:sz w:val="20"/>
                <w:szCs w:val="20"/>
                <w:color w:val="auto"/>
              </w:rPr>
            </w:pPr>
            <w:r>
              <w:rPr>
                <w:rFonts w:ascii="Arial" w:cs="Arial" w:eastAsia="Arial" w:hAnsi="Arial"/>
                <w:sz w:val="14"/>
                <w:szCs w:val="14"/>
                <w:color w:val="auto"/>
              </w:rPr>
              <w:t>Corporate and other</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w:t>
            </w:r>
          </w:p>
        </w:tc>
      </w:tr>
      <w:tr>
        <w:trPr>
          <w:trHeight w:val="194"/>
        </w:trPr>
        <w:tc>
          <w:tcPr>
            <w:tcW w:w="4360" w:type="dxa"/>
            <w:vAlign w:val="bottom"/>
          </w:tcPr>
          <w:p>
            <w:pPr>
              <w:ind w:left="20"/>
              <w:spacing w:after="0"/>
              <w:rPr>
                <w:sz w:val="20"/>
                <w:szCs w:val="20"/>
                <w:color w:val="auto"/>
              </w:rPr>
            </w:pPr>
            <w:r>
              <w:rPr>
                <w:rFonts w:ascii="Arial" w:cs="Arial" w:eastAsia="Arial" w:hAnsi="Arial"/>
                <w:sz w:val="14"/>
                <w:szCs w:val="14"/>
                <w:color w:val="auto"/>
              </w:rPr>
              <w:t>Total capital program</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w:t>
            </w:r>
          </w:p>
        </w:tc>
        <w:tc>
          <w:tcPr>
            <w:tcW w:w="16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167</w:t>
            </w:r>
          </w:p>
        </w:tc>
        <w:tc>
          <w:tcPr>
            <w:tcW w:w="14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119</w:t>
            </w:r>
          </w:p>
        </w:tc>
      </w:tr>
      <w:tr>
        <w:trPr>
          <w:trHeight w:val="20"/>
        </w:trPr>
        <w:tc>
          <w:tcPr>
            <w:tcW w:w="4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588010</wp:posOffset>
            </wp:positionV>
            <wp:extent cx="67278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27825" cy="8255"/>
                    </a:xfrm>
                    <a:prstGeom prst="rect">
                      <a:avLst/>
                    </a:prstGeom>
                    <a:noFill/>
                  </pic:spPr>
                </pic:pic>
              </a:graphicData>
            </a:graphic>
          </wp:anchor>
        </w:drawing>
      </w:r>
    </w:p>
    <w:p>
      <w:pPr>
        <w:jc w:val="both"/>
        <w:ind w:left="20" w:right="20" w:firstLine="4"/>
        <w:spacing w:after="0" w:line="233" w:lineRule="auto"/>
        <w:tabs>
          <w:tab w:leader="none" w:pos="158" w:val="left"/>
        </w:tabs>
        <w:numPr>
          <w:ilvl w:val="0"/>
          <w:numId w:val="8"/>
        </w:numPr>
        <w:rPr>
          <w:rFonts w:ascii="Arial" w:cs="Arial" w:eastAsia="Arial" w:hAnsi="Arial"/>
          <w:sz w:val="16"/>
          <w:szCs w:val="16"/>
          <w:color w:val="auto"/>
          <w:vertAlign w:val="superscript"/>
        </w:rPr>
      </w:pPr>
      <w:r>
        <w:rPr>
          <w:rFonts w:ascii="Arial" w:cs="Arial" w:eastAsia="Arial" w:hAnsi="Arial"/>
          <w:sz w:val="13"/>
          <w:szCs w:val="13"/>
          <w:color w:val="auto"/>
        </w:rPr>
        <w:t>Facilities capital includes $1 million in the third quarter of 2023, and $3 million for the nine months 2023, to build replacement water injection facilities which will allow CRC to divert produced water away from a depleted oil and natural gas reservoir held by the Carbon TerraVault JV. Construction of these facilities supports the advancement of CRC’s carbon management business and CRC reported these amounts as part of adjusted CMB capital in this Earnings Release. Where adjusted CMB capital is presented, CRC removed the amounts from facilities capital and presented adjusted E&amp;P, Corporate and Other capital.</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Capital for the three months ended June 30, 2024 reflects a $3 million reclassification from capital (PP&amp;E) to expense for engineering costs incurred during the two prior</w:t>
      </w:r>
    </w:p>
    <w:p>
      <w:pPr>
        <w:ind w:left="20" w:right="20"/>
        <w:spacing w:after="0" w:line="208" w:lineRule="auto"/>
        <w:rPr>
          <w:sz w:val="20"/>
          <w:szCs w:val="20"/>
          <w:color w:val="auto"/>
        </w:rPr>
      </w:pPr>
      <w:r>
        <w:rPr>
          <w:rFonts w:ascii="Arial" w:cs="Arial" w:eastAsia="Arial" w:hAnsi="Arial"/>
          <w:sz w:val="14"/>
          <w:szCs w:val="14"/>
          <w:color w:val="auto"/>
        </w:rPr>
        <w:t>quarters. Before this reclassification, CMB capital was $1 million for the three months ended June 30, 2024. Capital for Corporate and other for the three months ended June 30, 2024 reflects a reclassification of $10 million from capital (PP&amp;E) to expense for planned major maintenance in the first quarter of 2024. Before the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reclassifications, Corporate and other capital for the three months would have been $14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0600"/>
          </w:cols>
          <w:pgMar w:left="640" w:top="946" w:right="6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5"/>
        </w:trPr>
        <w:tc>
          <w:tcPr>
            <w:tcW w:w="5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Attachment 2</w:t>
            </w:r>
          </w:p>
        </w:tc>
        <w:tc>
          <w:tcPr>
            <w:tcW w:w="0" w:type="dxa"/>
            <w:vAlign w:val="bottom"/>
          </w:tcPr>
          <w:p>
            <w:pPr>
              <w:spacing w:after="0"/>
              <w:rPr>
                <w:sz w:val="1"/>
                <w:szCs w:val="1"/>
                <w:color w:val="auto"/>
              </w:rPr>
            </w:pPr>
          </w:p>
        </w:tc>
      </w:tr>
      <w:tr>
        <w:trPr>
          <w:trHeight w:val="21"/>
        </w:trPr>
        <w:tc>
          <w:tcPr>
            <w:tcW w:w="518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gridSpan w:val="3"/>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5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CRC GUIDANCE</w:t>
            </w:r>
          </w:p>
        </w:tc>
        <w:tc>
          <w:tcPr>
            <w:tcW w:w="2360" w:type="dxa"/>
            <w:vAlign w:val="bottom"/>
            <w:gridSpan w:val="3"/>
          </w:tcPr>
          <w:p>
            <w:pPr>
              <w:jc w:val="center"/>
              <w:ind w:left="509"/>
              <w:spacing w:after="0" w:line="144" w:lineRule="exact"/>
              <w:rPr>
                <w:sz w:val="20"/>
                <w:szCs w:val="20"/>
                <w:color w:val="auto"/>
              </w:rPr>
            </w:pPr>
            <w:r>
              <w:rPr>
                <w:rFonts w:ascii="Arial" w:cs="Arial" w:eastAsia="Arial" w:hAnsi="Arial"/>
                <w:sz w:val="14"/>
                <w:szCs w:val="14"/>
                <w:b w:val="1"/>
                <w:bCs w:val="1"/>
                <w:color w:val="auto"/>
              </w:rPr>
              <w:t>Total</w:t>
            </w:r>
          </w:p>
        </w:tc>
        <w:tc>
          <w:tcPr>
            <w:tcW w:w="1660" w:type="dxa"/>
            <w:vAlign w:val="bottom"/>
            <w:gridSpan w:val="2"/>
          </w:tcPr>
          <w:p>
            <w:pPr>
              <w:ind w:left="600"/>
              <w:spacing w:after="0" w:line="144" w:lineRule="exact"/>
              <w:rPr>
                <w:sz w:val="20"/>
                <w:szCs w:val="20"/>
                <w:color w:val="auto"/>
              </w:rPr>
            </w:pPr>
            <w:r>
              <w:rPr>
                <w:rFonts w:ascii="Arial" w:cs="Arial" w:eastAsia="Arial" w:hAnsi="Arial"/>
                <w:sz w:val="14"/>
                <w:szCs w:val="14"/>
                <w:b w:val="1"/>
                <w:bCs w:val="1"/>
                <w:color w:val="auto"/>
              </w:rPr>
              <w:t>CMB</w:t>
            </w:r>
          </w:p>
        </w:tc>
        <w:tc>
          <w:tcPr>
            <w:tcW w:w="2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E&amp;P, Corp. &amp; Other 4Q24E</w:t>
            </w:r>
          </w:p>
        </w:tc>
        <w:tc>
          <w:tcPr>
            <w:tcW w:w="0" w:type="dxa"/>
            <w:vAlign w:val="bottom"/>
          </w:tcPr>
          <w:p>
            <w:pPr>
              <w:spacing w:after="0"/>
              <w:rPr>
                <w:sz w:val="1"/>
                <w:szCs w:val="1"/>
                <w:color w:val="auto"/>
              </w:rPr>
            </w:pPr>
          </w:p>
        </w:tc>
      </w:tr>
      <w:tr>
        <w:trPr>
          <w:trHeight w:val="183"/>
        </w:trPr>
        <w:tc>
          <w:tcPr>
            <w:tcW w:w="5180" w:type="dxa"/>
            <w:vAlign w:val="bottom"/>
            <w:vMerge w:val="continue"/>
          </w:tcPr>
          <w:p>
            <w:pPr>
              <w:spacing w:after="0"/>
              <w:rPr>
                <w:sz w:val="15"/>
                <w:szCs w:val="15"/>
                <w:color w:val="auto"/>
              </w:rPr>
            </w:pPr>
          </w:p>
        </w:tc>
        <w:tc>
          <w:tcPr>
            <w:tcW w:w="2360" w:type="dxa"/>
            <w:vAlign w:val="bottom"/>
            <w:gridSpan w:val="3"/>
          </w:tcPr>
          <w:p>
            <w:pPr>
              <w:jc w:val="center"/>
              <w:ind w:left="509"/>
              <w:spacing w:after="0"/>
              <w:rPr>
                <w:sz w:val="20"/>
                <w:szCs w:val="20"/>
                <w:color w:val="auto"/>
              </w:rPr>
            </w:pPr>
            <w:r>
              <w:rPr>
                <w:rFonts w:ascii="Arial" w:cs="Arial" w:eastAsia="Arial" w:hAnsi="Arial"/>
                <w:sz w:val="14"/>
                <w:szCs w:val="14"/>
                <w:b w:val="1"/>
                <w:bCs w:val="1"/>
                <w:color w:val="auto"/>
              </w:rPr>
              <w:t>4Q24E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4Q24E</w:t>
            </w:r>
          </w:p>
        </w:tc>
        <w:tc>
          <w:tcPr>
            <w:tcW w:w="2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18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Net Production Sold (MBoe/d)</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140</w:t>
            </w:r>
          </w:p>
        </w:tc>
        <w:tc>
          <w:tcPr>
            <w:tcW w:w="8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- 144</w:t>
            </w:r>
          </w:p>
        </w:tc>
        <w:tc>
          <w:tcPr>
            <w:tcW w:w="12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140</w:t>
            </w:r>
          </w:p>
        </w:tc>
        <w:tc>
          <w:tcPr>
            <w:tcW w:w="10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- 144</w:t>
            </w:r>
          </w:p>
        </w:tc>
        <w:tc>
          <w:tcPr>
            <w:tcW w:w="0" w:type="dxa"/>
            <w:vAlign w:val="bottom"/>
          </w:tcPr>
          <w:p>
            <w:pPr>
              <w:spacing w:after="0"/>
              <w:rPr>
                <w:sz w:val="1"/>
                <w:szCs w:val="1"/>
                <w:color w:val="auto"/>
              </w:rPr>
            </w:pPr>
          </w:p>
        </w:tc>
      </w:tr>
      <w:tr>
        <w:trPr>
          <w:trHeight w:val="200"/>
        </w:trPr>
        <w:tc>
          <w:tcPr>
            <w:tcW w:w="5180" w:type="dxa"/>
            <w:vAlign w:val="bottom"/>
          </w:tcPr>
          <w:p>
            <w:pPr>
              <w:ind w:left="140"/>
              <w:spacing w:after="0"/>
              <w:rPr>
                <w:sz w:val="20"/>
                <w:szCs w:val="20"/>
                <w:color w:val="auto"/>
              </w:rPr>
            </w:pPr>
            <w:r>
              <w:rPr>
                <w:rFonts w:ascii="Arial" w:cs="Arial" w:eastAsia="Arial" w:hAnsi="Arial"/>
                <w:sz w:val="14"/>
                <w:szCs w:val="14"/>
                <w:color w:val="auto"/>
              </w:rPr>
              <w:t>Oil Production Sold (%)</w:t>
            </w:r>
          </w:p>
        </w:tc>
        <w:tc>
          <w:tcPr>
            <w:tcW w:w="2240" w:type="dxa"/>
            <w:vAlign w:val="bottom"/>
            <w:gridSpan w:val="2"/>
          </w:tcPr>
          <w:p>
            <w:pPr>
              <w:jc w:val="center"/>
              <w:ind w:left="629"/>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2"/>
          </w:tcPr>
          <w:p>
            <w:pPr>
              <w:jc w:val="center"/>
              <w:spacing w:after="0"/>
              <w:rPr>
                <w:sz w:val="20"/>
                <w:szCs w:val="20"/>
                <w:color w:val="auto"/>
              </w:rPr>
            </w:pPr>
            <w:r>
              <w:rPr>
                <w:rFonts w:ascii="Arial" w:cs="Arial" w:eastAsia="Arial" w:hAnsi="Arial"/>
                <w:sz w:val="14"/>
                <w:szCs w:val="14"/>
                <w:color w:val="auto"/>
                <w:w w:val="99"/>
              </w:rPr>
              <w:t>~79%</w:t>
            </w:r>
          </w:p>
        </w:tc>
        <w:tc>
          <w:tcPr>
            <w:tcW w:w="0" w:type="dxa"/>
            <w:vAlign w:val="bottom"/>
          </w:tcPr>
          <w:p>
            <w:pPr>
              <w:spacing w:after="0"/>
              <w:rPr>
                <w:sz w:val="1"/>
                <w:szCs w:val="1"/>
                <w:color w:val="auto"/>
              </w:rPr>
            </w:pPr>
          </w:p>
        </w:tc>
      </w:tr>
      <w:tr>
        <w:trPr>
          <w:trHeight w:val="200"/>
        </w:trPr>
        <w:tc>
          <w:tcPr>
            <w:tcW w:w="5180" w:type="dxa"/>
            <w:vAlign w:val="bottom"/>
          </w:tcPr>
          <w:p>
            <w:pPr>
              <w:ind w:left="140"/>
              <w:spacing w:after="0"/>
              <w:rPr>
                <w:sz w:val="20"/>
                <w:szCs w:val="20"/>
                <w:color w:val="auto"/>
              </w:rPr>
            </w:pPr>
            <w:r>
              <w:rPr>
                <w:rFonts w:ascii="Arial" w:cs="Arial" w:eastAsia="Arial" w:hAnsi="Arial"/>
                <w:sz w:val="14"/>
                <w:szCs w:val="14"/>
                <w:color w:val="auto"/>
              </w:rPr>
              <w:t>CMB Expenses &amp; Operating Costs ($ millions)</w:t>
            </w:r>
          </w:p>
        </w:tc>
        <w:tc>
          <w:tcPr>
            <w:tcW w:w="1420" w:type="dxa"/>
            <w:vAlign w:val="bottom"/>
          </w:tcPr>
          <w:p>
            <w:pPr>
              <w:jc w:val="right"/>
              <w:spacing w:after="0"/>
              <w:rPr>
                <w:sz w:val="20"/>
                <w:szCs w:val="20"/>
                <w:color w:val="auto"/>
              </w:rPr>
            </w:pPr>
            <w:r>
              <w:rPr>
                <w:rFonts w:ascii="Arial" w:cs="Arial" w:eastAsia="Arial" w:hAnsi="Arial"/>
                <w:sz w:val="14"/>
                <w:szCs w:val="14"/>
                <w:color w:val="auto"/>
              </w:rPr>
              <w:t>$340</w:t>
            </w:r>
          </w:p>
        </w:tc>
        <w:tc>
          <w:tcPr>
            <w:tcW w:w="820" w:type="dxa"/>
            <w:vAlign w:val="bottom"/>
          </w:tcPr>
          <w:p>
            <w:pPr>
              <w:ind w:left="20"/>
              <w:spacing w:after="0"/>
              <w:rPr>
                <w:sz w:val="20"/>
                <w:szCs w:val="20"/>
                <w:color w:val="auto"/>
              </w:rPr>
            </w:pPr>
            <w:r>
              <w:rPr>
                <w:rFonts w:ascii="Arial" w:cs="Arial" w:eastAsia="Arial" w:hAnsi="Arial"/>
                <w:sz w:val="14"/>
                <w:szCs w:val="14"/>
                <w:color w:val="auto"/>
              </w:rPr>
              <w:t>- $365</w:t>
            </w:r>
          </w:p>
        </w:tc>
        <w:tc>
          <w:tcPr>
            <w:tcW w:w="12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rPr>
              <w:t>$15 - $25</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$325</w:t>
            </w:r>
          </w:p>
        </w:tc>
        <w:tc>
          <w:tcPr>
            <w:tcW w:w="1060" w:type="dxa"/>
            <w:vAlign w:val="bottom"/>
          </w:tcPr>
          <w:p>
            <w:pPr>
              <w:ind w:left="20"/>
              <w:spacing w:after="0"/>
              <w:rPr>
                <w:sz w:val="20"/>
                <w:szCs w:val="20"/>
                <w:color w:val="auto"/>
              </w:rPr>
            </w:pPr>
            <w:r>
              <w:rPr>
                <w:rFonts w:ascii="Arial" w:cs="Arial" w:eastAsia="Arial" w:hAnsi="Arial"/>
                <w:sz w:val="14"/>
                <w:szCs w:val="14"/>
                <w:color w:val="auto"/>
              </w:rPr>
              <w:t>- $340</w:t>
            </w:r>
          </w:p>
        </w:tc>
        <w:tc>
          <w:tcPr>
            <w:tcW w:w="0" w:type="dxa"/>
            <w:vAlign w:val="bottom"/>
          </w:tcPr>
          <w:p>
            <w:pPr>
              <w:spacing w:after="0"/>
              <w:rPr>
                <w:sz w:val="1"/>
                <w:szCs w:val="1"/>
                <w:color w:val="auto"/>
              </w:rPr>
            </w:pPr>
          </w:p>
        </w:tc>
      </w:tr>
      <w:tr>
        <w:trPr>
          <w:trHeight w:val="200"/>
        </w:trPr>
        <w:tc>
          <w:tcPr>
            <w:tcW w:w="5180" w:type="dxa"/>
            <w:vAlign w:val="bottom"/>
          </w:tcPr>
          <w:p>
            <w:pPr>
              <w:ind w:left="140"/>
              <w:spacing w:after="0"/>
              <w:rPr>
                <w:sz w:val="20"/>
                <w:szCs w:val="20"/>
                <w:color w:val="auto"/>
              </w:rPr>
            </w:pPr>
            <w:r>
              <w:rPr>
                <w:rFonts w:ascii="Arial" w:cs="Arial" w:eastAsia="Arial" w:hAnsi="Arial"/>
                <w:sz w:val="14"/>
                <w:szCs w:val="14"/>
                <w:color w:val="auto"/>
              </w:rPr>
              <w:t>General and Administrative Expenses ($ millions)</w:t>
            </w:r>
          </w:p>
        </w:tc>
        <w:tc>
          <w:tcPr>
            <w:tcW w:w="2240" w:type="dxa"/>
            <w:vAlign w:val="bottom"/>
            <w:gridSpan w:val="2"/>
          </w:tcPr>
          <w:p>
            <w:pPr>
              <w:jc w:val="center"/>
              <w:ind w:left="629"/>
              <w:spacing w:after="0"/>
              <w:rPr>
                <w:sz w:val="20"/>
                <w:szCs w:val="20"/>
                <w:color w:val="auto"/>
              </w:rPr>
            </w:pPr>
            <w:r>
              <w:rPr>
                <w:rFonts w:ascii="Arial" w:cs="Arial" w:eastAsia="Arial" w:hAnsi="Arial"/>
                <w:sz w:val="14"/>
                <w:szCs w:val="14"/>
                <w:color w:val="auto"/>
                <w:w w:val="98"/>
              </w:rPr>
              <w:t>$90 - $100</w:t>
            </w:r>
          </w:p>
        </w:tc>
        <w:tc>
          <w:tcPr>
            <w:tcW w:w="12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rPr>
              <w:t>$2 - $4</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$88</w:t>
            </w:r>
          </w:p>
        </w:tc>
        <w:tc>
          <w:tcPr>
            <w:tcW w:w="1060" w:type="dxa"/>
            <w:vAlign w:val="bottom"/>
          </w:tcPr>
          <w:p>
            <w:pPr>
              <w:ind w:left="20"/>
              <w:spacing w:after="0"/>
              <w:rPr>
                <w:sz w:val="20"/>
                <w:szCs w:val="20"/>
                <w:color w:val="auto"/>
              </w:rPr>
            </w:pPr>
            <w:r>
              <w:rPr>
                <w:rFonts w:ascii="Arial" w:cs="Arial" w:eastAsia="Arial" w:hAnsi="Arial"/>
                <w:sz w:val="14"/>
                <w:szCs w:val="14"/>
                <w:color w:val="auto"/>
              </w:rPr>
              <w:t>- $96</w:t>
            </w:r>
          </w:p>
        </w:tc>
        <w:tc>
          <w:tcPr>
            <w:tcW w:w="0" w:type="dxa"/>
            <w:vAlign w:val="bottom"/>
          </w:tcPr>
          <w:p>
            <w:pPr>
              <w:spacing w:after="0"/>
              <w:rPr>
                <w:sz w:val="1"/>
                <w:szCs w:val="1"/>
                <w:color w:val="auto"/>
              </w:rPr>
            </w:pPr>
          </w:p>
        </w:tc>
      </w:tr>
      <w:tr>
        <w:trPr>
          <w:trHeight w:val="200"/>
        </w:trPr>
        <w:tc>
          <w:tcPr>
            <w:tcW w:w="5180" w:type="dxa"/>
            <w:vAlign w:val="bottom"/>
          </w:tcPr>
          <w:p>
            <w:pPr>
              <w:ind w:left="140"/>
              <w:spacing w:after="0"/>
              <w:rPr>
                <w:sz w:val="20"/>
                <w:szCs w:val="20"/>
                <w:color w:val="auto"/>
              </w:rPr>
            </w:pPr>
            <w:r>
              <w:rPr>
                <w:rFonts w:ascii="Arial" w:cs="Arial" w:eastAsia="Arial" w:hAnsi="Arial"/>
                <w:sz w:val="14"/>
                <w:szCs w:val="14"/>
                <w:i w:val="1"/>
                <w:iCs w:val="1"/>
                <w:color w:val="auto"/>
              </w:rPr>
              <w:t>Adjusted General and Administrative Expenses ($ millions)</w:t>
            </w:r>
          </w:p>
        </w:tc>
        <w:tc>
          <w:tcPr>
            <w:tcW w:w="1420" w:type="dxa"/>
            <w:vAlign w:val="bottom"/>
          </w:tcPr>
          <w:p>
            <w:pPr>
              <w:jc w:val="right"/>
              <w:spacing w:after="0"/>
              <w:rPr>
                <w:sz w:val="20"/>
                <w:szCs w:val="20"/>
                <w:color w:val="auto"/>
              </w:rPr>
            </w:pPr>
            <w:r>
              <w:rPr>
                <w:rFonts w:ascii="Arial" w:cs="Arial" w:eastAsia="Arial" w:hAnsi="Arial"/>
                <w:sz w:val="14"/>
                <w:szCs w:val="14"/>
                <w:i w:val="1"/>
                <w:iCs w:val="1"/>
                <w:color w:val="auto"/>
              </w:rPr>
              <w:t>$80</w:t>
            </w:r>
          </w:p>
        </w:tc>
        <w:tc>
          <w:tcPr>
            <w:tcW w:w="820" w:type="dxa"/>
            <w:vAlign w:val="bottom"/>
          </w:tcPr>
          <w:p>
            <w:pPr>
              <w:ind w:left="20"/>
              <w:spacing w:after="0"/>
              <w:rPr>
                <w:sz w:val="20"/>
                <w:szCs w:val="20"/>
                <w:color w:val="auto"/>
              </w:rPr>
            </w:pPr>
            <w:r>
              <w:rPr>
                <w:rFonts w:ascii="Arial" w:cs="Arial" w:eastAsia="Arial" w:hAnsi="Arial"/>
                <w:sz w:val="14"/>
                <w:szCs w:val="14"/>
                <w:i w:val="1"/>
                <w:iCs w:val="1"/>
                <w:color w:val="auto"/>
              </w:rPr>
              <w:t>- $90</w:t>
            </w:r>
          </w:p>
        </w:tc>
        <w:tc>
          <w:tcPr>
            <w:tcW w:w="12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4"/>
                <w:szCs w:val="14"/>
                <w:i w:val="1"/>
                <w:iCs w:val="1"/>
                <w:color w:val="auto"/>
              </w:rPr>
              <w:t>$1 - $3</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$79</w:t>
            </w:r>
          </w:p>
        </w:tc>
        <w:tc>
          <w:tcPr>
            <w:tcW w:w="1060" w:type="dxa"/>
            <w:vAlign w:val="bottom"/>
          </w:tcPr>
          <w:p>
            <w:pPr>
              <w:ind w:left="20"/>
              <w:spacing w:after="0"/>
              <w:rPr>
                <w:sz w:val="20"/>
                <w:szCs w:val="20"/>
                <w:color w:val="auto"/>
              </w:rPr>
            </w:pPr>
            <w:r>
              <w:rPr>
                <w:rFonts w:ascii="Arial" w:cs="Arial" w:eastAsia="Arial" w:hAnsi="Arial"/>
                <w:sz w:val="14"/>
                <w:szCs w:val="14"/>
                <w:i w:val="1"/>
                <w:iCs w:val="1"/>
                <w:color w:val="auto"/>
              </w:rPr>
              <w:t>- $87</w:t>
            </w:r>
          </w:p>
        </w:tc>
        <w:tc>
          <w:tcPr>
            <w:tcW w:w="0" w:type="dxa"/>
            <w:vAlign w:val="bottom"/>
          </w:tcPr>
          <w:p>
            <w:pPr>
              <w:spacing w:after="0"/>
              <w:rPr>
                <w:sz w:val="1"/>
                <w:szCs w:val="1"/>
                <w:color w:val="auto"/>
              </w:rPr>
            </w:pPr>
          </w:p>
        </w:tc>
      </w:tr>
      <w:tr>
        <w:trPr>
          <w:trHeight w:val="200"/>
        </w:trPr>
        <w:tc>
          <w:tcPr>
            <w:tcW w:w="5180" w:type="dxa"/>
            <w:vAlign w:val="bottom"/>
          </w:tcPr>
          <w:p>
            <w:pPr>
              <w:ind w:left="140"/>
              <w:spacing w:after="0"/>
              <w:rPr>
                <w:sz w:val="20"/>
                <w:szCs w:val="20"/>
                <w:color w:val="auto"/>
              </w:rPr>
            </w:pPr>
            <w:r>
              <w:rPr>
                <w:rFonts w:ascii="Arial" w:cs="Arial" w:eastAsia="Arial" w:hAnsi="Arial"/>
                <w:sz w:val="14"/>
                <w:szCs w:val="14"/>
                <w:color w:val="auto"/>
              </w:rPr>
              <w:t>Capital ($ millions)</w:t>
            </w:r>
          </w:p>
        </w:tc>
        <w:tc>
          <w:tcPr>
            <w:tcW w:w="2240" w:type="dxa"/>
            <w:vAlign w:val="bottom"/>
            <w:gridSpan w:val="2"/>
          </w:tcPr>
          <w:p>
            <w:pPr>
              <w:jc w:val="center"/>
              <w:ind w:left="629"/>
              <w:spacing w:after="0"/>
              <w:rPr>
                <w:sz w:val="20"/>
                <w:szCs w:val="20"/>
                <w:color w:val="auto"/>
              </w:rPr>
            </w:pPr>
            <w:r>
              <w:rPr>
                <w:rFonts w:ascii="Arial" w:cs="Arial" w:eastAsia="Arial" w:hAnsi="Arial"/>
                <w:sz w:val="14"/>
                <w:szCs w:val="14"/>
                <w:color w:val="auto"/>
                <w:w w:val="98"/>
              </w:rPr>
              <w:t>$85 - $105</w:t>
            </w:r>
          </w:p>
        </w:tc>
        <w:tc>
          <w:tcPr>
            <w:tcW w:w="12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rPr>
              <w:t>$5 - $10</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$80</w:t>
            </w:r>
          </w:p>
        </w:tc>
        <w:tc>
          <w:tcPr>
            <w:tcW w:w="1060" w:type="dxa"/>
            <w:vAlign w:val="bottom"/>
          </w:tcPr>
          <w:p>
            <w:pPr>
              <w:ind w:left="20"/>
              <w:spacing w:after="0"/>
              <w:rPr>
                <w:sz w:val="20"/>
                <w:szCs w:val="20"/>
                <w:color w:val="auto"/>
              </w:rPr>
            </w:pPr>
            <w:r>
              <w:rPr>
                <w:rFonts w:ascii="Arial" w:cs="Arial" w:eastAsia="Arial" w:hAnsi="Arial"/>
                <w:sz w:val="14"/>
                <w:szCs w:val="14"/>
                <w:color w:val="auto"/>
              </w:rPr>
              <w:t>- $95</w:t>
            </w:r>
          </w:p>
        </w:tc>
        <w:tc>
          <w:tcPr>
            <w:tcW w:w="0" w:type="dxa"/>
            <w:vAlign w:val="bottom"/>
          </w:tcPr>
          <w:p>
            <w:pPr>
              <w:spacing w:after="0"/>
              <w:rPr>
                <w:sz w:val="1"/>
                <w:szCs w:val="1"/>
                <w:color w:val="auto"/>
              </w:rPr>
            </w:pPr>
          </w:p>
        </w:tc>
      </w:tr>
      <w:tr>
        <w:trPr>
          <w:trHeight w:val="213"/>
        </w:trPr>
        <w:tc>
          <w:tcPr>
            <w:tcW w:w="5180" w:type="dxa"/>
            <w:vAlign w:val="bottom"/>
          </w:tcPr>
          <w:p>
            <w:pPr>
              <w:ind w:left="260"/>
              <w:spacing w:after="0"/>
              <w:rPr>
                <w:sz w:val="20"/>
                <w:szCs w:val="20"/>
                <w:color w:val="auto"/>
              </w:rPr>
            </w:pPr>
            <w:r>
              <w:rPr>
                <w:rFonts w:ascii="Arial" w:cs="Arial" w:eastAsia="Arial" w:hAnsi="Arial"/>
                <w:sz w:val="14"/>
                <w:szCs w:val="14"/>
                <w:i w:val="1"/>
                <w:iCs w:val="1"/>
                <w:color w:val="auto"/>
              </w:rPr>
              <w:t>Drilling &amp; completions, workover ($ millions)</w:t>
            </w:r>
          </w:p>
        </w:tc>
        <w:tc>
          <w:tcPr>
            <w:tcW w:w="1420" w:type="dxa"/>
            <w:vAlign w:val="bottom"/>
          </w:tcPr>
          <w:p>
            <w:pPr>
              <w:jc w:val="right"/>
              <w:spacing w:after="0"/>
              <w:rPr>
                <w:sz w:val="20"/>
                <w:szCs w:val="20"/>
                <w:color w:val="auto"/>
              </w:rPr>
            </w:pPr>
            <w:r>
              <w:rPr>
                <w:rFonts w:ascii="Arial" w:cs="Arial" w:eastAsia="Arial" w:hAnsi="Arial"/>
                <w:sz w:val="14"/>
                <w:szCs w:val="14"/>
                <w:i w:val="1"/>
                <w:iCs w:val="1"/>
                <w:color w:val="auto"/>
              </w:rPr>
              <w:t>$37</w:t>
            </w:r>
          </w:p>
        </w:tc>
        <w:tc>
          <w:tcPr>
            <w:tcW w:w="820" w:type="dxa"/>
            <w:vAlign w:val="bottom"/>
          </w:tcPr>
          <w:p>
            <w:pPr>
              <w:ind w:left="20"/>
              <w:spacing w:after="0"/>
              <w:rPr>
                <w:sz w:val="20"/>
                <w:szCs w:val="20"/>
                <w:color w:val="auto"/>
              </w:rPr>
            </w:pPr>
            <w:r>
              <w:rPr>
                <w:rFonts w:ascii="Arial" w:cs="Arial" w:eastAsia="Arial" w:hAnsi="Arial"/>
                <w:sz w:val="14"/>
                <w:szCs w:val="14"/>
                <w:i w:val="1"/>
                <w:iCs w:val="1"/>
                <w:color w:val="auto"/>
              </w:rPr>
              <w:t>- $45</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80" w:type="dxa"/>
            <w:vAlign w:val="bottom"/>
          </w:tcPr>
          <w:p>
            <w:pPr>
              <w:ind w:left="260"/>
              <w:spacing w:after="0"/>
              <w:rPr>
                <w:sz w:val="20"/>
                <w:szCs w:val="20"/>
                <w:color w:val="auto"/>
              </w:rPr>
            </w:pPr>
            <w:r>
              <w:rPr>
                <w:rFonts w:ascii="Arial" w:cs="Arial" w:eastAsia="Arial" w:hAnsi="Arial"/>
                <w:sz w:val="14"/>
                <w:szCs w:val="14"/>
                <w:i w:val="1"/>
                <w:iCs w:val="1"/>
                <w:color w:val="auto"/>
              </w:rPr>
              <w:t>Facilities ($ millions)</w:t>
            </w:r>
          </w:p>
        </w:tc>
        <w:tc>
          <w:tcPr>
            <w:tcW w:w="1420" w:type="dxa"/>
            <w:vAlign w:val="bottom"/>
          </w:tcPr>
          <w:p>
            <w:pPr>
              <w:jc w:val="right"/>
              <w:spacing w:after="0"/>
              <w:rPr>
                <w:sz w:val="20"/>
                <w:szCs w:val="20"/>
                <w:color w:val="auto"/>
              </w:rPr>
            </w:pPr>
            <w:r>
              <w:rPr>
                <w:rFonts w:ascii="Arial" w:cs="Arial" w:eastAsia="Arial" w:hAnsi="Arial"/>
                <w:sz w:val="14"/>
                <w:szCs w:val="14"/>
                <w:i w:val="1"/>
                <w:iCs w:val="1"/>
                <w:color w:val="auto"/>
              </w:rPr>
              <w:t>$40</w:t>
            </w:r>
          </w:p>
        </w:tc>
        <w:tc>
          <w:tcPr>
            <w:tcW w:w="820" w:type="dxa"/>
            <w:vAlign w:val="bottom"/>
          </w:tcPr>
          <w:p>
            <w:pPr>
              <w:ind w:left="20"/>
              <w:spacing w:after="0"/>
              <w:rPr>
                <w:sz w:val="20"/>
                <w:szCs w:val="20"/>
                <w:color w:val="auto"/>
              </w:rPr>
            </w:pPr>
            <w:r>
              <w:rPr>
                <w:rFonts w:ascii="Arial" w:cs="Arial" w:eastAsia="Arial" w:hAnsi="Arial"/>
                <w:sz w:val="14"/>
                <w:szCs w:val="14"/>
                <w:i w:val="1"/>
                <w:iCs w:val="1"/>
                <w:color w:val="auto"/>
              </w:rPr>
              <w:t>- $45</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80" w:type="dxa"/>
            <w:vAlign w:val="bottom"/>
          </w:tcPr>
          <w:p>
            <w:pPr>
              <w:ind w:left="260"/>
              <w:spacing w:after="0"/>
              <w:rPr>
                <w:sz w:val="20"/>
                <w:szCs w:val="20"/>
                <w:color w:val="auto"/>
              </w:rPr>
            </w:pPr>
            <w:r>
              <w:rPr>
                <w:rFonts w:ascii="Arial" w:cs="Arial" w:eastAsia="Arial" w:hAnsi="Arial"/>
                <w:sz w:val="14"/>
                <w:szCs w:val="14"/>
                <w:i w:val="1"/>
                <w:iCs w:val="1"/>
                <w:color w:val="auto"/>
              </w:rPr>
              <w:t>Carbon management business ($ millions)</w:t>
            </w:r>
          </w:p>
        </w:tc>
        <w:tc>
          <w:tcPr>
            <w:tcW w:w="2240" w:type="dxa"/>
            <w:vAlign w:val="bottom"/>
            <w:gridSpan w:val="2"/>
          </w:tcPr>
          <w:p>
            <w:pPr>
              <w:jc w:val="center"/>
              <w:ind w:left="629"/>
              <w:spacing w:after="0"/>
              <w:rPr>
                <w:sz w:val="20"/>
                <w:szCs w:val="20"/>
                <w:color w:val="auto"/>
              </w:rPr>
            </w:pPr>
            <w:r>
              <w:rPr>
                <w:rFonts w:ascii="Arial" w:cs="Arial" w:eastAsia="Arial" w:hAnsi="Arial"/>
                <w:sz w:val="14"/>
                <w:szCs w:val="14"/>
                <w:i w:val="1"/>
                <w:iCs w:val="1"/>
                <w:color w:val="auto"/>
              </w:rPr>
              <w:t>$5 - $10</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80" w:type="dxa"/>
            <w:vAlign w:val="bottom"/>
          </w:tcPr>
          <w:p>
            <w:pPr>
              <w:ind w:left="260"/>
              <w:spacing w:after="0"/>
              <w:rPr>
                <w:sz w:val="20"/>
                <w:szCs w:val="20"/>
                <w:color w:val="auto"/>
              </w:rPr>
            </w:pPr>
            <w:r>
              <w:rPr>
                <w:rFonts w:ascii="Arial" w:cs="Arial" w:eastAsia="Arial" w:hAnsi="Arial"/>
                <w:sz w:val="14"/>
                <w:szCs w:val="14"/>
                <w:i w:val="1"/>
                <w:iCs w:val="1"/>
                <w:color w:val="auto"/>
              </w:rPr>
              <w:t>Corporate &amp; other ($ millions)</w:t>
            </w:r>
          </w:p>
        </w:tc>
        <w:tc>
          <w:tcPr>
            <w:tcW w:w="1420" w:type="dxa"/>
            <w:vAlign w:val="bottom"/>
          </w:tcPr>
          <w:p>
            <w:pPr>
              <w:jc w:val="right"/>
              <w:spacing w:after="0"/>
              <w:rPr>
                <w:sz w:val="20"/>
                <w:szCs w:val="20"/>
                <w:color w:val="auto"/>
              </w:rPr>
            </w:pPr>
            <w:r>
              <w:rPr>
                <w:rFonts w:ascii="Arial" w:cs="Arial" w:eastAsia="Arial" w:hAnsi="Arial"/>
                <w:sz w:val="14"/>
                <w:szCs w:val="14"/>
                <w:i w:val="1"/>
                <w:iCs w:val="1"/>
                <w:color w:val="auto"/>
              </w:rPr>
              <w:t>$3</w:t>
            </w:r>
          </w:p>
        </w:tc>
        <w:tc>
          <w:tcPr>
            <w:tcW w:w="820" w:type="dxa"/>
            <w:vAlign w:val="bottom"/>
          </w:tcPr>
          <w:p>
            <w:pPr>
              <w:ind w:left="20"/>
              <w:spacing w:after="0"/>
              <w:rPr>
                <w:sz w:val="20"/>
                <w:szCs w:val="20"/>
                <w:color w:val="auto"/>
              </w:rPr>
            </w:pPr>
            <w:r>
              <w:rPr>
                <w:rFonts w:ascii="Arial" w:cs="Arial" w:eastAsia="Arial" w:hAnsi="Arial"/>
                <w:sz w:val="14"/>
                <w:szCs w:val="14"/>
                <w:i w:val="1"/>
                <w:iCs w:val="1"/>
                <w:color w:val="auto"/>
              </w:rPr>
              <w:t>- $5</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180" w:type="dxa"/>
            <w:vAlign w:val="bottom"/>
          </w:tcPr>
          <w:p>
            <w:pPr>
              <w:ind w:left="140"/>
              <w:spacing w:after="0"/>
              <w:rPr>
                <w:sz w:val="20"/>
                <w:szCs w:val="20"/>
                <w:color w:val="auto"/>
              </w:rPr>
            </w:pPr>
            <w:r>
              <w:rPr>
                <w:rFonts w:ascii="Arial" w:cs="Arial" w:eastAsia="Arial" w:hAnsi="Arial"/>
                <w:sz w:val="14"/>
                <w:szCs w:val="14"/>
                <w:color w:val="auto"/>
              </w:rPr>
              <w:t>Adjusted EBITDAX ($ millions)</w:t>
            </w:r>
          </w:p>
        </w:tc>
        <w:tc>
          <w:tcPr>
            <w:tcW w:w="1420" w:type="dxa"/>
            <w:vAlign w:val="bottom"/>
          </w:tcPr>
          <w:p>
            <w:pPr>
              <w:jc w:val="right"/>
              <w:spacing w:after="0"/>
              <w:rPr>
                <w:sz w:val="20"/>
                <w:szCs w:val="20"/>
                <w:color w:val="auto"/>
              </w:rPr>
            </w:pPr>
            <w:r>
              <w:rPr>
                <w:rFonts w:ascii="Arial" w:cs="Arial" w:eastAsia="Arial" w:hAnsi="Arial"/>
                <w:sz w:val="14"/>
                <w:szCs w:val="14"/>
                <w:color w:val="auto"/>
              </w:rPr>
              <w:t>$260</w:t>
            </w:r>
          </w:p>
        </w:tc>
        <w:tc>
          <w:tcPr>
            <w:tcW w:w="820" w:type="dxa"/>
            <w:vAlign w:val="bottom"/>
          </w:tcPr>
          <w:p>
            <w:pPr>
              <w:ind w:left="20"/>
              <w:spacing w:after="0"/>
              <w:rPr>
                <w:sz w:val="20"/>
                <w:szCs w:val="20"/>
                <w:color w:val="auto"/>
              </w:rPr>
            </w:pPr>
            <w:r>
              <w:rPr>
                <w:rFonts w:ascii="Arial" w:cs="Arial" w:eastAsia="Arial" w:hAnsi="Arial"/>
                <w:sz w:val="14"/>
                <w:szCs w:val="14"/>
                <w:color w:val="auto"/>
              </w:rPr>
              <w:t>- $300</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5"/>
        </w:trPr>
        <w:tc>
          <w:tcPr>
            <w:tcW w:w="5180" w:type="dxa"/>
            <w:vAlign w:val="bottom"/>
          </w:tcPr>
          <w:p>
            <w:pPr>
              <w:ind w:left="140"/>
              <w:spacing w:after="0"/>
              <w:rPr>
                <w:sz w:val="20"/>
                <w:szCs w:val="20"/>
                <w:color w:val="auto"/>
              </w:rPr>
            </w:pPr>
            <w:r>
              <w:rPr>
                <w:rFonts w:ascii="Arial" w:cs="Arial" w:eastAsia="Arial" w:hAnsi="Arial"/>
                <w:sz w:val="14"/>
                <w:szCs w:val="14"/>
                <w:color w:val="auto"/>
              </w:rPr>
              <w:t xml:space="preserve">Margin from Marketing of Purchased Commodities ($ millions) </w:t>
            </w:r>
            <w:r>
              <w:rPr>
                <w:rFonts w:ascii="Arial" w:cs="Arial" w:eastAsia="Arial" w:hAnsi="Arial"/>
                <w:sz w:val="18"/>
                <w:szCs w:val="18"/>
                <w:color w:val="auto"/>
                <w:vertAlign w:val="superscript"/>
              </w:rPr>
              <w:t>(1)</w:t>
            </w:r>
          </w:p>
        </w:tc>
        <w:tc>
          <w:tcPr>
            <w:tcW w:w="2240" w:type="dxa"/>
            <w:vAlign w:val="bottom"/>
            <w:gridSpan w:val="2"/>
          </w:tcPr>
          <w:p>
            <w:pPr>
              <w:jc w:val="center"/>
              <w:ind w:left="629"/>
              <w:spacing w:after="0"/>
              <w:rPr>
                <w:sz w:val="20"/>
                <w:szCs w:val="20"/>
                <w:color w:val="auto"/>
              </w:rPr>
            </w:pPr>
            <w:r>
              <w:rPr>
                <w:rFonts w:ascii="Arial" w:cs="Arial" w:eastAsia="Arial" w:hAnsi="Arial"/>
                <w:sz w:val="14"/>
                <w:szCs w:val="14"/>
                <w:color w:val="auto"/>
              </w:rPr>
              <w:t>$5 - $10</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2"/>
          </w:tcPr>
          <w:p>
            <w:pPr>
              <w:jc w:val="center"/>
              <w:spacing w:after="0"/>
              <w:rPr>
                <w:sz w:val="20"/>
                <w:szCs w:val="20"/>
                <w:color w:val="auto"/>
              </w:rPr>
            </w:pPr>
            <w:r>
              <w:rPr>
                <w:rFonts w:ascii="Arial" w:cs="Arial" w:eastAsia="Arial" w:hAnsi="Arial"/>
                <w:sz w:val="14"/>
                <w:szCs w:val="14"/>
                <w:color w:val="auto"/>
              </w:rPr>
              <w:t>$5 - $10</w:t>
            </w:r>
          </w:p>
        </w:tc>
        <w:tc>
          <w:tcPr>
            <w:tcW w:w="0" w:type="dxa"/>
            <w:vAlign w:val="bottom"/>
          </w:tcPr>
          <w:p>
            <w:pPr>
              <w:spacing w:after="0"/>
              <w:rPr>
                <w:sz w:val="1"/>
                <w:szCs w:val="1"/>
                <w:color w:val="auto"/>
              </w:rPr>
            </w:pPr>
          </w:p>
        </w:tc>
      </w:tr>
      <w:tr>
        <w:trPr>
          <w:trHeight w:val="200"/>
        </w:trPr>
        <w:tc>
          <w:tcPr>
            <w:tcW w:w="5180" w:type="dxa"/>
            <w:vAlign w:val="bottom"/>
          </w:tcPr>
          <w:p>
            <w:pPr>
              <w:ind w:left="140"/>
              <w:spacing w:after="0" w:line="200" w:lineRule="exact"/>
              <w:rPr>
                <w:sz w:val="20"/>
                <w:szCs w:val="20"/>
                <w:color w:val="auto"/>
              </w:rPr>
            </w:pPr>
            <w:r>
              <w:rPr>
                <w:rFonts w:ascii="Arial" w:cs="Arial" w:eastAsia="Arial" w:hAnsi="Arial"/>
                <w:sz w:val="14"/>
                <w:szCs w:val="14"/>
                <w:color w:val="auto"/>
              </w:rPr>
              <w:t xml:space="preserve">Electricity Margin ($ millions) </w:t>
            </w:r>
            <w:r>
              <w:rPr>
                <w:rFonts w:ascii="Arial" w:cs="Arial" w:eastAsia="Arial" w:hAnsi="Arial"/>
                <w:sz w:val="18"/>
                <w:szCs w:val="18"/>
                <w:color w:val="auto"/>
                <w:vertAlign w:val="superscript"/>
              </w:rPr>
              <w:t>(2)</w:t>
            </w:r>
          </w:p>
        </w:tc>
        <w:tc>
          <w:tcPr>
            <w:tcW w:w="1420" w:type="dxa"/>
            <w:vAlign w:val="bottom"/>
          </w:tcPr>
          <w:p>
            <w:pPr>
              <w:jc w:val="right"/>
              <w:spacing w:after="0"/>
              <w:rPr>
                <w:sz w:val="20"/>
                <w:szCs w:val="20"/>
                <w:color w:val="auto"/>
              </w:rPr>
            </w:pPr>
            <w:r>
              <w:rPr>
                <w:rFonts w:ascii="Arial" w:cs="Arial" w:eastAsia="Arial" w:hAnsi="Arial"/>
                <w:sz w:val="14"/>
                <w:szCs w:val="14"/>
                <w:color w:val="auto"/>
              </w:rPr>
              <w:t>$15</w:t>
            </w:r>
          </w:p>
        </w:tc>
        <w:tc>
          <w:tcPr>
            <w:tcW w:w="820" w:type="dxa"/>
            <w:vAlign w:val="bottom"/>
          </w:tcPr>
          <w:p>
            <w:pPr>
              <w:ind w:left="20"/>
              <w:spacing w:after="0"/>
              <w:rPr>
                <w:sz w:val="20"/>
                <w:szCs w:val="20"/>
                <w:color w:val="auto"/>
              </w:rPr>
            </w:pPr>
            <w:r>
              <w:rPr>
                <w:rFonts w:ascii="Arial" w:cs="Arial" w:eastAsia="Arial" w:hAnsi="Arial"/>
                <w:sz w:val="14"/>
                <w:szCs w:val="14"/>
                <w:color w:val="auto"/>
              </w:rPr>
              <w:t>- $20</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w:t>
            </w:r>
          </w:p>
        </w:tc>
        <w:tc>
          <w:tcPr>
            <w:tcW w:w="1060" w:type="dxa"/>
            <w:vAlign w:val="bottom"/>
          </w:tcPr>
          <w:p>
            <w:pPr>
              <w:ind w:left="20"/>
              <w:spacing w:after="0"/>
              <w:rPr>
                <w:sz w:val="20"/>
                <w:szCs w:val="20"/>
                <w:color w:val="auto"/>
              </w:rPr>
            </w:pPr>
            <w:r>
              <w:rPr>
                <w:rFonts w:ascii="Arial" w:cs="Arial" w:eastAsia="Arial" w:hAnsi="Arial"/>
                <w:sz w:val="14"/>
                <w:szCs w:val="14"/>
                <w:color w:val="auto"/>
              </w:rPr>
              <w:t>- $20</w:t>
            </w:r>
          </w:p>
        </w:tc>
        <w:tc>
          <w:tcPr>
            <w:tcW w:w="0" w:type="dxa"/>
            <w:vAlign w:val="bottom"/>
          </w:tcPr>
          <w:p>
            <w:pPr>
              <w:spacing w:after="0"/>
              <w:rPr>
                <w:sz w:val="1"/>
                <w:szCs w:val="1"/>
                <w:color w:val="auto"/>
              </w:rPr>
            </w:pPr>
          </w:p>
        </w:tc>
      </w:tr>
      <w:tr>
        <w:trPr>
          <w:trHeight w:val="202"/>
        </w:trPr>
        <w:tc>
          <w:tcPr>
            <w:tcW w:w="5180" w:type="dxa"/>
            <w:vAlign w:val="bottom"/>
          </w:tcPr>
          <w:p>
            <w:pPr>
              <w:ind w:left="140"/>
              <w:spacing w:after="0" w:line="202" w:lineRule="exact"/>
              <w:rPr>
                <w:sz w:val="20"/>
                <w:szCs w:val="20"/>
                <w:color w:val="auto"/>
              </w:rPr>
            </w:pPr>
            <w:r>
              <w:rPr>
                <w:rFonts w:ascii="Arial" w:cs="Arial" w:eastAsia="Arial" w:hAnsi="Arial"/>
                <w:sz w:val="14"/>
                <w:szCs w:val="14"/>
                <w:color w:val="auto"/>
              </w:rPr>
              <w:t>Other Operating Revenue &amp; Expenses, net ($ millions)</w:t>
            </w:r>
            <w:r>
              <w:rPr>
                <w:rFonts w:ascii="Arial" w:cs="Arial" w:eastAsia="Arial" w:hAnsi="Arial"/>
                <w:sz w:val="18"/>
                <w:szCs w:val="18"/>
                <w:color w:val="auto"/>
                <w:vertAlign w:val="superscript"/>
              </w:rPr>
              <w:t>(3)</w:t>
            </w:r>
          </w:p>
        </w:tc>
        <w:tc>
          <w:tcPr>
            <w:tcW w:w="1420" w:type="dxa"/>
            <w:vAlign w:val="bottom"/>
          </w:tcPr>
          <w:p>
            <w:pPr>
              <w:jc w:val="right"/>
              <w:spacing w:after="0"/>
              <w:rPr>
                <w:sz w:val="20"/>
                <w:szCs w:val="20"/>
                <w:color w:val="auto"/>
              </w:rPr>
            </w:pPr>
            <w:r>
              <w:rPr>
                <w:rFonts w:ascii="Arial" w:cs="Arial" w:eastAsia="Arial" w:hAnsi="Arial"/>
                <w:sz w:val="14"/>
                <w:szCs w:val="14"/>
                <w:color w:val="auto"/>
              </w:rPr>
              <w:t>($10)</w:t>
            </w:r>
          </w:p>
        </w:tc>
        <w:tc>
          <w:tcPr>
            <w:tcW w:w="820" w:type="dxa"/>
            <w:vAlign w:val="bottom"/>
          </w:tcPr>
          <w:p>
            <w:pPr>
              <w:ind w:left="20"/>
              <w:spacing w:after="0"/>
              <w:rPr>
                <w:sz w:val="20"/>
                <w:szCs w:val="20"/>
                <w:color w:val="auto"/>
              </w:rPr>
            </w:pPr>
            <w:r>
              <w:rPr>
                <w:rFonts w:ascii="Arial" w:cs="Arial" w:eastAsia="Arial" w:hAnsi="Arial"/>
                <w:sz w:val="14"/>
                <w:szCs w:val="14"/>
                <w:color w:val="auto"/>
              </w:rPr>
              <w:t>- ($20)</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w:t>
            </w:r>
          </w:p>
        </w:tc>
        <w:tc>
          <w:tcPr>
            <w:tcW w:w="1060" w:type="dxa"/>
            <w:vAlign w:val="bottom"/>
          </w:tcPr>
          <w:p>
            <w:pPr>
              <w:ind w:left="20"/>
              <w:spacing w:after="0"/>
              <w:rPr>
                <w:sz w:val="20"/>
                <w:szCs w:val="20"/>
                <w:color w:val="auto"/>
              </w:rPr>
            </w:pPr>
            <w:r>
              <w:rPr>
                <w:rFonts w:ascii="Arial" w:cs="Arial" w:eastAsia="Arial" w:hAnsi="Arial"/>
                <w:sz w:val="14"/>
                <w:szCs w:val="14"/>
                <w:color w:val="auto"/>
              </w:rPr>
              <w:t>- ($20)</w:t>
            </w:r>
          </w:p>
        </w:tc>
        <w:tc>
          <w:tcPr>
            <w:tcW w:w="0" w:type="dxa"/>
            <w:vAlign w:val="bottom"/>
          </w:tcPr>
          <w:p>
            <w:pPr>
              <w:spacing w:after="0"/>
              <w:rPr>
                <w:sz w:val="1"/>
                <w:szCs w:val="1"/>
                <w:color w:val="auto"/>
              </w:rPr>
            </w:pPr>
          </w:p>
        </w:tc>
      </w:tr>
      <w:tr>
        <w:trPr>
          <w:trHeight w:val="189"/>
        </w:trPr>
        <w:tc>
          <w:tcPr>
            <w:tcW w:w="5180" w:type="dxa"/>
            <w:vAlign w:val="bottom"/>
          </w:tcPr>
          <w:p>
            <w:pPr>
              <w:ind w:left="140"/>
              <w:spacing w:after="0"/>
              <w:rPr>
                <w:sz w:val="20"/>
                <w:szCs w:val="20"/>
                <w:color w:val="auto"/>
              </w:rPr>
            </w:pPr>
            <w:r>
              <w:rPr>
                <w:rFonts w:ascii="Arial" w:cs="Arial" w:eastAsia="Arial" w:hAnsi="Arial"/>
                <w:sz w:val="14"/>
                <w:szCs w:val="14"/>
                <w:color w:val="auto"/>
              </w:rPr>
              <w:t>Transportation Costs ($ millions)</w:t>
            </w:r>
          </w:p>
        </w:tc>
        <w:tc>
          <w:tcPr>
            <w:tcW w:w="1420" w:type="dxa"/>
            <w:vAlign w:val="bottom"/>
          </w:tcPr>
          <w:p>
            <w:pPr>
              <w:jc w:val="right"/>
              <w:spacing w:after="0"/>
              <w:rPr>
                <w:sz w:val="20"/>
                <w:szCs w:val="20"/>
                <w:color w:val="auto"/>
              </w:rPr>
            </w:pPr>
            <w:r>
              <w:rPr>
                <w:rFonts w:ascii="Arial" w:cs="Arial" w:eastAsia="Arial" w:hAnsi="Arial"/>
                <w:sz w:val="14"/>
                <w:szCs w:val="14"/>
                <w:color w:val="auto"/>
              </w:rPr>
              <w:t>$20</w:t>
            </w:r>
          </w:p>
        </w:tc>
        <w:tc>
          <w:tcPr>
            <w:tcW w:w="820" w:type="dxa"/>
            <w:vAlign w:val="bottom"/>
          </w:tcPr>
          <w:p>
            <w:pPr>
              <w:ind w:left="20"/>
              <w:spacing w:after="0"/>
              <w:rPr>
                <w:sz w:val="20"/>
                <w:szCs w:val="20"/>
                <w:color w:val="auto"/>
              </w:rPr>
            </w:pPr>
            <w:r>
              <w:rPr>
                <w:rFonts w:ascii="Arial" w:cs="Arial" w:eastAsia="Arial" w:hAnsi="Arial"/>
                <w:sz w:val="14"/>
                <w:szCs w:val="14"/>
                <w:color w:val="auto"/>
              </w:rPr>
              <w:t>- $25</w:t>
            </w: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w:t>
            </w:r>
          </w:p>
        </w:tc>
        <w:tc>
          <w:tcPr>
            <w:tcW w:w="1060" w:type="dxa"/>
            <w:vAlign w:val="bottom"/>
          </w:tcPr>
          <w:p>
            <w:pPr>
              <w:ind w:left="20"/>
              <w:spacing w:after="0"/>
              <w:rPr>
                <w:sz w:val="20"/>
                <w:szCs w:val="20"/>
                <w:color w:val="auto"/>
              </w:rPr>
            </w:pPr>
            <w:r>
              <w:rPr>
                <w:rFonts w:ascii="Arial" w:cs="Arial" w:eastAsia="Arial" w:hAnsi="Arial"/>
                <w:sz w:val="14"/>
                <w:szCs w:val="14"/>
                <w:color w:val="auto"/>
              </w:rPr>
              <w:t>- $25</w:t>
            </w:r>
          </w:p>
        </w:tc>
        <w:tc>
          <w:tcPr>
            <w:tcW w:w="0" w:type="dxa"/>
            <w:vAlign w:val="bottom"/>
          </w:tcPr>
          <w:p>
            <w:pPr>
              <w:spacing w:after="0"/>
              <w:rPr>
                <w:sz w:val="1"/>
                <w:szCs w:val="1"/>
                <w:color w:val="auto"/>
              </w:rPr>
            </w:pPr>
          </w:p>
        </w:tc>
      </w:tr>
      <w:tr>
        <w:trPr>
          <w:trHeight w:val="200"/>
        </w:trPr>
        <w:tc>
          <w:tcPr>
            <w:tcW w:w="5180" w:type="dxa"/>
            <w:vAlign w:val="bottom"/>
          </w:tcPr>
          <w:p>
            <w:pPr>
              <w:ind w:left="140"/>
              <w:spacing w:after="0"/>
              <w:rPr>
                <w:sz w:val="20"/>
                <w:szCs w:val="20"/>
                <w:color w:val="auto"/>
              </w:rPr>
            </w:pPr>
            <w:r>
              <w:rPr>
                <w:rFonts w:ascii="Arial" w:cs="Arial" w:eastAsia="Arial" w:hAnsi="Arial"/>
                <w:sz w:val="14"/>
                <w:szCs w:val="14"/>
                <w:color w:val="auto"/>
              </w:rPr>
              <w:t>Taxes Other Than on Income ($ millions)</w:t>
            </w:r>
          </w:p>
        </w:tc>
        <w:tc>
          <w:tcPr>
            <w:tcW w:w="1420" w:type="dxa"/>
            <w:vAlign w:val="bottom"/>
          </w:tcPr>
          <w:p>
            <w:pPr>
              <w:jc w:val="right"/>
              <w:spacing w:after="0"/>
              <w:rPr>
                <w:sz w:val="20"/>
                <w:szCs w:val="20"/>
                <w:color w:val="auto"/>
              </w:rPr>
            </w:pPr>
            <w:r>
              <w:rPr>
                <w:rFonts w:ascii="Arial" w:cs="Arial" w:eastAsia="Arial" w:hAnsi="Arial"/>
                <w:sz w:val="14"/>
                <w:szCs w:val="14"/>
                <w:color w:val="auto"/>
              </w:rPr>
              <w:t>$75</w:t>
            </w:r>
          </w:p>
        </w:tc>
        <w:tc>
          <w:tcPr>
            <w:tcW w:w="820" w:type="dxa"/>
            <w:vAlign w:val="bottom"/>
          </w:tcPr>
          <w:p>
            <w:pPr>
              <w:ind w:left="20"/>
              <w:spacing w:after="0"/>
              <w:rPr>
                <w:sz w:val="20"/>
                <w:szCs w:val="20"/>
                <w:color w:val="auto"/>
              </w:rPr>
            </w:pPr>
            <w:r>
              <w:rPr>
                <w:rFonts w:ascii="Arial" w:cs="Arial" w:eastAsia="Arial" w:hAnsi="Arial"/>
                <w:sz w:val="14"/>
                <w:szCs w:val="14"/>
                <w:color w:val="auto"/>
              </w:rPr>
              <w:t>- $86</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$75</w:t>
            </w:r>
          </w:p>
        </w:tc>
        <w:tc>
          <w:tcPr>
            <w:tcW w:w="1060" w:type="dxa"/>
            <w:vAlign w:val="bottom"/>
          </w:tcPr>
          <w:p>
            <w:pPr>
              <w:ind w:left="20"/>
              <w:spacing w:after="0"/>
              <w:rPr>
                <w:sz w:val="20"/>
                <w:szCs w:val="20"/>
                <w:color w:val="auto"/>
              </w:rPr>
            </w:pPr>
            <w:r>
              <w:rPr>
                <w:rFonts w:ascii="Arial" w:cs="Arial" w:eastAsia="Arial" w:hAnsi="Arial"/>
                <w:sz w:val="14"/>
                <w:szCs w:val="14"/>
                <w:color w:val="auto"/>
              </w:rPr>
              <w:t>- $86</w:t>
            </w:r>
          </w:p>
        </w:tc>
        <w:tc>
          <w:tcPr>
            <w:tcW w:w="0" w:type="dxa"/>
            <w:vAlign w:val="bottom"/>
          </w:tcPr>
          <w:p>
            <w:pPr>
              <w:spacing w:after="0"/>
              <w:rPr>
                <w:sz w:val="1"/>
                <w:szCs w:val="1"/>
                <w:color w:val="auto"/>
              </w:rPr>
            </w:pPr>
          </w:p>
        </w:tc>
      </w:tr>
      <w:tr>
        <w:trPr>
          <w:trHeight w:val="200"/>
        </w:trPr>
        <w:tc>
          <w:tcPr>
            <w:tcW w:w="5180" w:type="dxa"/>
            <w:vAlign w:val="bottom"/>
          </w:tcPr>
          <w:p>
            <w:pPr>
              <w:ind w:left="140"/>
              <w:spacing w:after="0"/>
              <w:rPr>
                <w:sz w:val="20"/>
                <w:szCs w:val="20"/>
                <w:color w:val="auto"/>
              </w:rPr>
            </w:pPr>
            <w:r>
              <w:rPr>
                <w:rFonts w:ascii="Arial" w:cs="Arial" w:eastAsia="Arial" w:hAnsi="Arial"/>
                <w:sz w:val="14"/>
                <w:szCs w:val="14"/>
                <w:color w:val="auto"/>
              </w:rPr>
              <w:t>Interest and Debt Expense ($ millions)</w:t>
            </w:r>
          </w:p>
        </w:tc>
        <w:tc>
          <w:tcPr>
            <w:tcW w:w="1420" w:type="dxa"/>
            <w:vAlign w:val="bottom"/>
          </w:tcPr>
          <w:p>
            <w:pPr>
              <w:jc w:val="right"/>
              <w:spacing w:after="0"/>
              <w:rPr>
                <w:sz w:val="20"/>
                <w:szCs w:val="20"/>
                <w:color w:val="auto"/>
              </w:rPr>
            </w:pPr>
            <w:r>
              <w:rPr>
                <w:rFonts w:ascii="Arial" w:cs="Arial" w:eastAsia="Arial" w:hAnsi="Arial"/>
                <w:sz w:val="14"/>
                <w:szCs w:val="14"/>
                <w:color w:val="auto"/>
              </w:rPr>
              <w:t>$25</w:t>
            </w:r>
          </w:p>
        </w:tc>
        <w:tc>
          <w:tcPr>
            <w:tcW w:w="820" w:type="dxa"/>
            <w:vAlign w:val="bottom"/>
          </w:tcPr>
          <w:p>
            <w:pPr>
              <w:ind w:left="20"/>
              <w:spacing w:after="0"/>
              <w:rPr>
                <w:sz w:val="20"/>
                <w:szCs w:val="20"/>
                <w:color w:val="auto"/>
              </w:rPr>
            </w:pPr>
            <w:r>
              <w:rPr>
                <w:rFonts w:ascii="Arial" w:cs="Arial" w:eastAsia="Arial" w:hAnsi="Arial"/>
                <w:sz w:val="14"/>
                <w:szCs w:val="14"/>
                <w:color w:val="auto"/>
              </w:rPr>
              <w:t>- $30</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w:t>
            </w:r>
          </w:p>
        </w:tc>
        <w:tc>
          <w:tcPr>
            <w:tcW w:w="1060" w:type="dxa"/>
            <w:vAlign w:val="bottom"/>
          </w:tcPr>
          <w:p>
            <w:pPr>
              <w:ind w:left="20"/>
              <w:spacing w:after="0"/>
              <w:rPr>
                <w:sz w:val="20"/>
                <w:szCs w:val="20"/>
                <w:color w:val="auto"/>
              </w:rPr>
            </w:pPr>
            <w:r>
              <w:rPr>
                <w:rFonts w:ascii="Arial" w:cs="Arial" w:eastAsia="Arial" w:hAnsi="Arial"/>
                <w:sz w:val="14"/>
                <w:szCs w:val="14"/>
                <w:color w:val="auto"/>
              </w:rPr>
              <w:t>- $30</w:t>
            </w:r>
          </w:p>
        </w:tc>
        <w:tc>
          <w:tcPr>
            <w:tcW w:w="0" w:type="dxa"/>
            <w:vAlign w:val="bottom"/>
          </w:tcPr>
          <w:p>
            <w:pPr>
              <w:spacing w:after="0"/>
              <w:rPr>
                <w:sz w:val="1"/>
                <w:szCs w:val="1"/>
                <w:color w:val="auto"/>
              </w:rPr>
            </w:pPr>
          </w:p>
        </w:tc>
      </w:tr>
      <w:tr>
        <w:trPr>
          <w:trHeight w:val="466"/>
        </w:trPr>
        <w:tc>
          <w:tcPr>
            <w:tcW w:w="5180" w:type="dxa"/>
            <w:vAlign w:val="bottom"/>
          </w:tcPr>
          <w:p>
            <w:pPr>
              <w:ind w:left="140"/>
              <w:spacing w:after="0"/>
              <w:rPr>
                <w:sz w:val="20"/>
                <w:szCs w:val="20"/>
                <w:color w:val="auto"/>
              </w:rPr>
            </w:pPr>
            <w:r>
              <w:rPr>
                <w:rFonts w:ascii="Arial" w:cs="Arial" w:eastAsia="Arial" w:hAnsi="Arial"/>
                <w:sz w:val="14"/>
                <w:szCs w:val="14"/>
                <w:color w:val="auto"/>
              </w:rPr>
              <w:t>Commodity Assumptions:</w:t>
            </w: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180" w:type="dxa"/>
            <w:vAlign w:val="bottom"/>
          </w:tcPr>
          <w:p>
            <w:pPr>
              <w:ind w:left="260"/>
              <w:spacing w:after="0"/>
              <w:rPr>
                <w:sz w:val="20"/>
                <w:szCs w:val="20"/>
                <w:color w:val="auto"/>
              </w:rPr>
            </w:pPr>
            <w:r>
              <w:rPr>
                <w:rFonts w:ascii="Arial" w:cs="Arial" w:eastAsia="Arial" w:hAnsi="Arial"/>
                <w:sz w:val="14"/>
                <w:szCs w:val="14"/>
                <w:color w:val="auto"/>
              </w:rPr>
              <w:t>Brent ($/Bbl)</w:t>
            </w:r>
          </w:p>
        </w:tc>
        <w:tc>
          <w:tcPr>
            <w:tcW w:w="2240" w:type="dxa"/>
            <w:vAlign w:val="bottom"/>
            <w:gridSpan w:val="2"/>
          </w:tcPr>
          <w:p>
            <w:pPr>
              <w:jc w:val="center"/>
              <w:ind w:left="629"/>
              <w:spacing w:after="0"/>
              <w:rPr>
                <w:sz w:val="20"/>
                <w:szCs w:val="20"/>
                <w:color w:val="auto"/>
              </w:rPr>
            </w:pPr>
            <w:r>
              <w:rPr>
                <w:rFonts w:ascii="Arial" w:cs="Arial" w:eastAsia="Arial" w:hAnsi="Arial"/>
                <w:sz w:val="14"/>
                <w:szCs w:val="14"/>
                <w:color w:val="auto"/>
                <w:w w:val="97"/>
              </w:rPr>
              <w:t>$71.48</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2"/>
          </w:tcPr>
          <w:p>
            <w:pPr>
              <w:jc w:val="center"/>
              <w:spacing w:after="0"/>
              <w:rPr>
                <w:sz w:val="20"/>
                <w:szCs w:val="20"/>
                <w:color w:val="auto"/>
              </w:rPr>
            </w:pPr>
            <w:r>
              <w:rPr>
                <w:rFonts w:ascii="Arial" w:cs="Arial" w:eastAsia="Arial" w:hAnsi="Arial"/>
                <w:sz w:val="14"/>
                <w:szCs w:val="14"/>
                <w:color w:val="auto"/>
              </w:rPr>
              <w:t>$71.48</w:t>
            </w:r>
          </w:p>
        </w:tc>
        <w:tc>
          <w:tcPr>
            <w:tcW w:w="0" w:type="dxa"/>
            <w:vAlign w:val="bottom"/>
          </w:tcPr>
          <w:p>
            <w:pPr>
              <w:spacing w:after="0"/>
              <w:rPr>
                <w:sz w:val="1"/>
                <w:szCs w:val="1"/>
                <w:color w:val="auto"/>
              </w:rPr>
            </w:pPr>
          </w:p>
        </w:tc>
      </w:tr>
      <w:tr>
        <w:trPr>
          <w:trHeight w:val="200"/>
        </w:trPr>
        <w:tc>
          <w:tcPr>
            <w:tcW w:w="5180" w:type="dxa"/>
            <w:vAlign w:val="bottom"/>
          </w:tcPr>
          <w:p>
            <w:pPr>
              <w:ind w:left="260"/>
              <w:spacing w:after="0"/>
              <w:rPr>
                <w:sz w:val="20"/>
                <w:szCs w:val="20"/>
                <w:color w:val="auto"/>
              </w:rPr>
            </w:pPr>
            <w:r>
              <w:rPr>
                <w:rFonts w:ascii="Arial" w:cs="Arial" w:eastAsia="Arial" w:hAnsi="Arial"/>
                <w:sz w:val="14"/>
                <w:szCs w:val="14"/>
                <w:color w:val="auto"/>
              </w:rPr>
              <w:t>NYMEX ($/Mcf)</w:t>
            </w:r>
          </w:p>
        </w:tc>
        <w:tc>
          <w:tcPr>
            <w:tcW w:w="2240" w:type="dxa"/>
            <w:vAlign w:val="bottom"/>
            <w:gridSpan w:val="2"/>
          </w:tcPr>
          <w:p>
            <w:pPr>
              <w:jc w:val="center"/>
              <w:ind w:left="629"/>
              <w:spacing w:after="0"/>
              <w:rPr>
                <w:sz w:val="20"/>
                <w:szCs w:val="20"/>
                <w:color w:val="auto"/>
              </w:rPr>
            </w:pPr>
            <w:r>
              <w:rPr>
                <w:rFonts w:ascii="Arial" w:cs="Arial" w:eastAsia="Arial" w:hAnsi="Arial"/>
                <w:sz w:val="14"/>
                <w:szCs w:val="14"/>
                <w:color w:val="auto"/>
                <w:w w:val="96"/>
              </w:rPr>
              <w:t>$2.95</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2"/>
          </w:tcPr>
          <w:p>
            <w:pPr>
              <w:jc w:val="center"/>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200"/>
        </w:trPr>
        <w:tc>
          <w:tcPr>
            <w:tcW w:w="5180" w:type="dxa"/>
            <w:vAlign w:val="bottom"/>
          </w:tcPr>
          <w:p>
            <w:pPr>
              <w:ind w:left="260"/>
              <w:spacing w:after="0"/>
              <w:rPr>
                <w:sz w:val="20"/>
                <w:szCs w:val="20"/>
                <w:color w:val="auto"/>
              </w:rPr>
            </w:pPr>
            <w:r>
              <w:rPr>
                <w:rFonts w:ascii="Arial" w:cs="Arial" w:eastAsia="Arial" w:hAnsi="Arial"/>
                <w:sz w:val="14"/>
                <w:szCs w:val="14"/>
                <w:color w:val="auto"/>
              </w:rPr>
              <w:t>Oil - % of Brent:</w:t>
            </w:r>
          </w:p>
        </w:tc>
        <w:tc>
          <w:tcPr>
            <w:tcW w:w="2360" w:type="dxa"/>
            <w:vAlign w:val="bottom"/>
            <w:gridSpan w:val="3"/>
          </w:tcPr>
          <w:p>
            <w:pPr>
              <w:jc w:val="center"/>
              <w:ind w:left="509"/>
              <w:spacing w:after="0"/>
              <w:rPr>
                <w:sz w:val="20"/>
                <w:szCs w:val="20"/>
                <w:color w:val="auto"/>
              </w:rPr>
            </w:pPr>
            <w:r>
              <w:rPr>
                <w:rFonts w:ascii="Arial" w:cs="Arial" w:eastAsia="Arial" w:hAnsi="Arial"/>
                <w:sz w:val="14"/>
                <w:szCs w:val="14"/>
                <w:color w:val="auto"/>
              </w:rPr>
              <w:t>95% to 99%</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2"/>
          </w:tcPr>
          <w:p>
            <w:pPr>
              <w:jc w:val="center"/>
              <w:spacing w:after="0"/>
              <w:rPr>
                <w:sz w:val="20"/>
                <w:szCs w:val="20"/>
                <w:color w:val="auto"/>
              </w:rPr>
            </w:pPr>
            <w:r>
              <w:rPr>
                <w:rFonts w:ascii="Arial" w:cs="Arial" w:eastAsia="Arial" w:hAnsi="Arial"/>
                <w:sz w:val="14"/>
                <w:szCs w:val="14"/>
                <w:color w:val="auto"/>
              </w:rPr>
              <w:t>95% to 99%</w:t>
            </w:r>
          </w:p>
        </w:tc>
        <w:tc>
          <w:tcPr>
            <w:tcW w:w="0" w:type="dxa"/>
            <w:vAlign w:val="bottom"/>
          </w:tcPr>
          <w:p>
            <w:pPr>
              <w:spacing w:after="0"/>
              <w:rPr>
                <w:sz w:val="1"/>
                <w:szCs w:val="1"/>
                <w:color w:val="auto"/>
              </w:rPr>
            </w:pPr>
          </w:p>
        </w:tc>
      </w:tr>
      <w:tr>
        <w:trPr>
          <w:trHeight w:val="200"/>
        </w:trPr>
        <w:tc>
          <w:tcPr>
            <w:tcW w:w="5180" w:type="dxa"/>
            <w:vAlign w:val="bottom"/>
          </w:tcPr>
          <w:p>
            <w:pPr>
              <w:ind w:left="260"/>
              <w:spacing w:after="0"/>
              <w:rPr>
                <w:sz w:val="20"/>
                <w:szCs w:val="20"/>
                <w:color w:val="auto"/>
              </w:rPr>
            </w:pPr>
            <w:r>
              <w:rPr>
                <w:rFonts w:ascii="Arial" w:cs="Arial" w:eastAsia="Arial" w:hAnsi="Arial"/>
                <w:sz w:val="14"/>
                <w:szCs w:val="14"/>
                <w:color w:val="auto"/>
              </w:rPr>
              <w:t>NGL - % of Brent:</w:t>
            </w:r>
          </w:p>
        </w:tc>
        <w:tc>
          <w:tcPr>
            <w:tcW w:w="2360" w:type="dxa"/>
            <w:vAlign w:val="bottom"/>
            <w:gridSpan w:val="3"/>
          </w:tcPr>
          <w:p>
            <w:pPr>
              <w:jc w:val="center"/>
              <w:ind w:left="509"/>
              <w:spacing w:after="0"/>
              <w:rPr>
                <w:sz w:val="20"/>
                <w:szCs w:val="20"/>
                <w:color w:val="auto"/>
              </w:rPr>
            </w:pPr>
            <w:r>
              <w:rPr>
                <w:rFonts w:ascii="Arial" w:cs="Arial" w:eastAsia="Arial" w:hAnsi="Arial"/>
                <w:sz w:val="14"/>
                <w:szCs w:val="14"/>
                <w:color w:val="auto"/>
              </w:rPr>
              <w:t>65% to 69%</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2"/>
          </w:tcPr>
          <w:p>
            <w:pPr>
              <w:jc w:val="center"/>
              <w:spacing w:after="0"/>
              <w:rPr>
                <w:sz w:val="20"/>
                <w:szCs w:val="20"/>
                <w:color w:val="auto"/>
              </w:rPr>
            </w:pPr>
            <w:r>
              <w:rPr>
                <w:rFonts w:ascii="Arial" w:cs="Arial" w:eastAsia="Arial" w:hAnsi="Arial"/>
                <w:sz w:val="14"/>
                <w:szCs w:val="14"/>
                <w:color w:val="auto"/>
              </w:rPr>
              <w:t>65% to 69%</w:t>
            </w:r>
          </w:p>
        </w:tc>
        <w:tc>
          <w:tcPr>
            <w:tcW w:w="0" w:type="dxa"/>
            <w:vAlign w:val="bottom"/>
          </w:tcPr>
          <w:p>
            <w:pPr>
              <w:spacing w:after="0"/>
              <w:rPr>
                <w:sz w:val="1"/>
                <w:szCs w:val="1"/>
                <w:color w:val="auto"/>
              </w:rPr>
            </w:pPr>
          </w:p>
        </w:tc>
      </w:tr>
      <w:tr>
        <w:trPr>
          <w:trHeight w:val="200"/>
        </w:trPr>
        <w:tc>
          <w:tcPr>
            <w:tcW w:w="5180" w:type="dxa"/>
            <w:vAlign w:val="bottom"/>
          </w:tcPr>
          <w:p>
            <w:pPr>
              <w:ind w:left="260"/>
              <w:spacing w:after="0"/>
              <w:rPr>
                <w:sz w:val="20"/>
                <w:szCs w:val="20"/>
                <w:color w:val="auto"/>
              </w:rPr>
            </w:pPr>
            <w:r>
              <w:rPr>
                <w:rFonts w:ascii="Arial" w:cs="Arial" w:eastAsia="Arial" w:hAnsi="Arial"/>
                <w:sz w:val="14"/>
                <w:szCs w:val="14"/>
                <w:color w:val="auto"/>
              </w:rPr>
              <w:t>Natural Gas - % of NYMEX:</w:t>
            </w:r>
          </w:p>
        </w:tc>
        <w:tc>
          <w:tcPr>
            <w:tcW w:w="2360" w:type="dxa"/>
            <w:vAlign w:val="bottom"/>
            <w:gridSpan w:val="3"/>
          </w:tcPr>
          <w:p>
            <w:pPr>
              <w:jc w:val="center"/>
              <w:ind w:left="509"/>
              <w:spacing w:after="0"/>
              <w:rPr>
                <w:sz w:val="20"/>
                <w:szCs w:val="20"/>
                <w:color w:val="auto"/>
              </w:rPr>
            </w:pPr>
            <w:r>
              <w:rPr>
                <w:rFonts w:ascii="Arial" w:cs="Arial" w:eastAsia="Arial" w:hAnsi="Arial"/>
                <w:sz w:val="14"/>
                <w:szCs w:val="14"/>
                <w:color w:val="auto"/>
              </w:rPr>
              <w:t>128% to 138%</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2"/>
          </w:tcPr>
          <w:p>
            <w:pPr>
              <w:jc w:val="center"/>
              <w:spacing w:after="0"/>
              <w:rPr>
                <w:sz w:val="20"/>
                <w:szCs w:val="20"/>
                <w:color w:val="auto"/>
              </w:rPr>
            </w:pPr>
            <w:r>
              <w:rPr>
                <w:rFonts w:ascii="Arial" w:cs="Arial" w:eastAsia="Arial" w:hAnsi="Arial"/>
                <w:sz w:val="14"/>
                <w:szCs w:val="14"/>
                <w:color w:val="auto"/>
              </w:rPr>
              <w:t>128% to 138%</w:t>
            </w:r>
          </w:p>
        </w:tc>
        <w:tc>
          <w:tcPr>
            <w:tcW w:w="0" w:type="dxa"/>
            <w:vAlign w:val="bottom"/>
          </w:tcPr>
          <w:p>
            <w:pPr>
              <w:spacing w:after="0"/>
              <w:rPr>
                <w:sz w:val="1"/>
                <w:szCs w:val="1"/>
                <w:color w:val="auto"/>
              </w:rPr>
            </w:pPr>
          </w:p>
        </w:tc>
      </w:tr>
    </w:tbl>
    <w:p>
      <w:pPr>
        <w:spacing w:after="0" w:line="318" w:lineRule="exact"/>
        <w:rPr>
          <w:sz w:val="20"/>
          <w:szCs w:val="20"/>
          <w:color w:val="auto"/>
        </w:rPr>
      </w:pPr>
    </w:p>
    <w:p>
      <w:pPr>
        <w:ind w:right="20" w:firstLine="7"/>
        <w:spacing w:after="0"/>
        <w:tabs>
          <w:tab w:leader="none" w:pos="138" w:val="left"/>
        </w:tabs>
        <w:numPr>
          <w:ilvl w:val="0"/>
          <w:numId w:val="9"/>
        </w:numPr>
        <w:rPr>
          <w:rFonts w:ascii="Arial" w:cs="Arial" w:eastAsia="Arial" w:hAnsi="Arial"/>
          <w:sz w:val="16"/>
          <w:szCs w:val="16"/>
          <w:color w:val="auto"/>
          <w:vertAlign w:val="superscript"/>
        </w:rPr>
      </w:pPr>
      <w:r>
        <w:rPr>
          <w:rFonts w:ascii="Arial" w:cs="Arial" w:eastAsia="Arial" w:hAnsi="Arial"/>
          <w:sz w:val="13"/>
          <w:szCs w:val="13"/>
          <w:color w:val="auto"/>
        </w:rPr>
        <w:t>Margin from Marketing of Purchased Commodities is calculated as the difference between Revenue from Marketing of Purchased Commodities and Costs Related to Marketing of Purchased Commodities.</w:t>
      </w:r>
    </w:p>
    <w:p>
      <w:pPr>
        <w:ind w:left="140" w:hanging="133"/>
        <w:spacing w:after="0" w:line="191" w:lineRule="auto"/>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3"/>
          <w:szCs w:val="13"/>
          <w:color w:val="auto"/>
        </w:rPr>
        <w:t>Electricity Margin is calculated as the difference between Electricity Sales and Electricity Generation Expenses.</w:t>
      </w:r>
    </w:p>
    <w:p>
      <w:pPr>
        <w:ind w:left="140" w:hanging="133"/>
        <w:spacing w:after="0" w:line="238" w:lineRule="auto"/>
        <w:tabs>
          <w:tab w:leader="none" w:pos="140" w:val="left"/>
        </w:tabs>
        <w:numPr>
          <w:ilvl w:val="0"/>
          <w:numId w:val="9"/>
        </w:numPr>
        <w:rPr>
          <w:rFonts w:ascii="Arial" w:cs="Arial" w:eastAsia="Arial" w:hAnsi="Arial"/>
          <w:sz w:val="9"/>
          <w:szCs w:val="9"/>
          <w:color w:val="auto"/>
        </w:rPr>
      </w:pPr>
      <w:r>
        <w:rPr>
          <w:rFonts w:ascii="Arial" w:cs="Arial" w:eastAsia="Arial" w:hAnsi="Arial"/>
          <w:sz w:val="14"/>
          <w:szCs w:val="14"/>
          <w:color w:val="auto"/>
        </w:rPr>
        <w:t>Other Operating Revenue &amp; Expenses, net is calculated as the difference between Other Revenue and Other Operating Expenses, net.</w:t>
      </w:r>
    </w:p>
    <w:p>
      <w:pPr>
        <w:spacing w:after="0" w:line="258" w:lineRule="auto"/>
        <w:rPr>
          <w:sz w:val="20"/>
          <w:szCs w:val="20"/>
          <w:color w:val="auto"/>
        </w:rPr>
      </w:pPr>
      <w:r>
        <w:rPr>
          <w:rFonts w:ascii="Arial" w:cs="Arial" w:eastAsia="Arial" w:hAnsi="Arial"/>
          <w:sz w:val="14"/>
          <w:szCs w:val="14"/>
          <w:color w:val="auto"/>
        </w:rPr>
        <w:t>See Attachment 3 for management's disclosure of its use of these non-GAAP measures and how these measures provide useful information to investors about CRC's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158115</wp:posOffset>
            </wp:positionV>
            <wp:extent cx="70916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16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183515</wp:posOffset>
            </wp:positionV>
            <wp:extent cx="70916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1680" cy="8255"/>
                    </a:xfrm>
                    <a:prstGeom prst="rect">
                      <a:avLst/>
                    </a:prstGeom>
                    <a:noFill/>
                  </pic:spPr>
                </pic:pic>
              </a:graphicData>
            </a:graphic>
          </wp:anchor>
        </w:drawing>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00" w:type="dxa"/>
            <w:vAlign w:val="bottom"/>
            <w:gridSpan w:val="5"/>
          </w:tcPr>
          <w:p>
            <w:pPr>
              <w:spacing w:after="0"/>
              <w:rPr>
                <w:sz w:val="20"/>
                <w:szCs w:val="20"/>
                <w:color w:val="auto"/>
              </w:rPr>
            </w:pPr>
            <w:r>
              <w:rPr>
                <w:rFonts w:ascii="Arial" w:cs="Arial" w:eastAsia="Arial" w:hAnsi="Arial"/>
                <w:sz w:val="14"/>
                <w:szCs w:val="14"/>
                <w:b w:val="1"/>
                <w:bCs w:val="1"/>
                <w:color w:val="auto"/>
              </w:rPr>
              <w:t>ESTIMATED ADJUSTED GENERAL AND ADMINISTRATIVE EXPENSES RECONCILIATION</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454"/>
        </w:trPr>
        <w:tc>
          <w:tcPr>
            <w:tcW w:w="47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149"/>
              <w:spacing w:after="0"/>
              <w:rPr>
                <w:sz w:val="20"/>
                <w:szCs w:val="20"/>
                <w:color w:val="auto"/>
              </w:rPr>
            </w:pPr>
            <w:r>
              <w:rPr>
                <w:rFonts w:ascii="Arial" w:cs="Arial" w:eastAsia="Arial" w:hAnsi="Arial"/>
                <w:sz w:val="14"/>
                <w:szCs w:val="14"/>
                <w:b w:val="1"/>
                <w:bCs w:val="1"/>
                <w:color w:val="auto"/>
              </w:rPr>
              <w:t>4Q24 Estimated</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193"/>
        </w:trPr>
        <w:tc>
          <w:tcPr>
            <w:tcW w:w="4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509"/>
              <w:spacing w:after="0"/>
              <w:rPr>
                <w:sz w:val="20"/>
                <w:szCs w:val="20"/>
                <w:color w:val="auto"/>
              </w:rPr>
            </w:pPr>
            <w:r>
              <w:rPr>
                <w:rFonts w:ascii="Arial" w:cs="Arial" w:eastAsia="Arial" w:hAnsi="Arial"/>
                <w:sz w:val="14"/>
                <w:szCs w:val="14"/>
                <w:b w:val="1"/>
                <w:bCs w:val="1"/>
                <w:color w:val="auto"/>
              </w:rPr>
              <w:t>Consolidated</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509"/>
              <w:spacing w:after="0"/>
              <w:rPr>
                <w:sz w:val="20"/>
                <w:szCs w:val="20"/>
                <w:color w:val="auto"/>
              </w:rPr>
            </w:pPr>
            <w:r>
              <w:rPr>
                <w:rFonts w:ascii="Arial" w:cs="Arial" w:eastAsia="Arial" w:hAnsi="Arial"/>
                <w:sz w:val="14"/>
                <w:szCs w:val="14"/>
                <w:b w:val="1"/>
                <w:bCs w:val="1"/>
                <w:color w:val="auto"/>
              </w:rPr>
              <w:t>CMB</w:t>
            </w:r>
          </w:p>
        </w:tc>
        <w:tc>
          <w:tcPr>
            <w:tcW w:w="2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169"/>
              <w:spacing w:after="0"/>
              <w:rPr>
                <w:sz w:val="20"/>
                <w:szCs w:val="20"/>
                <w:color w:val="auto"/>
              </w:rPr>
            </w:pPr>
            <w:r>
              <w:rPr>
                <w:rFonts w:ascii="Arial" w:cs="Arial" w:eastAsia="Arial" w:hAnsi="Arial"/>
                <w:sz w:val="14"/>
                <w:szCs w:val="14"/>
                <w:b w:val="1"/>
                <w:bCs w:val="1"/>
                <w:color w:val="auto"/>
              </w:rPr>
              <w:t>E&amp;P, Corporate &amp; Other</w:t>
            </w:r>
          </w:p>
        </w:tc>
      </w:tr>
      <w:tr>
        <w:trPr>
          <w:trHeight w:val="187"/>
        </w:trPr>
        <w:tc>
          <w:tcPr>
            <w:tcW w:w="4760" w:type="dxa"/>
            <w:vAlign w:val="bottom"/>
          </w:tcPr>
          <w:p>
            <w:pPr>
              <w:ind w:left="20"/>
              <w:spacing w:after="0"/>
              <w:rPr>
                <w:sz w:val="20"/>
                <w:szCs w:val="20"/>
                <w:color w:val="auto"/>
              </w:rPr>
            </w:pPr>
            <w:r>
              <w:rPr>
                <w:rFonts w:ascii="Arial" w:cs="Arial" w:eastAsia="Arial" w:hAnsi="Arial"/>
                <w:sz w:val="12"/>
                <w:szCs w:val="12"/>
                <w:i w:val="1"/>
                <w:iCs w:val="1"/>
                <w:color w:val="auto"/>
              </w:rPr>
              <w:t>($ millions)</w:t>
            </w:r>
          </w:p>
        </w:tc>
        <w:tc>
          <w:tcPr>
            <w:tcW w:w="240" w:type="dxa"/>
            <w:vAlign w:val="bottom"/>
          </w:tcPr>
          <w:p>
            <w:pPr>
              <w:spacing w:after="0"/>
              <w:rPr>
                <w:sz w:val="16"/>
                <w:szCs w:val="16"/>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color w:val="auto"/>
              </w:rPr>
              <w:t>Low</w:t>
            </w:r>
          </w:p>
        </w:tc>
        <w:tc>
          <w:tcPr>
            <w:tcW w:w="26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High</w:t>
            </w:r>
          </w:p>
        </w:tc>
        <w:tc>
          <w:tcPr>
            <w:tcW w:w="220" w:type="dxa"/>
            <w:vAlign w:val="bottom"/>
          </w:tcPr>
          <w:p>
            <w:pPr>
              <w:spacing w:after="0"/>
              <w:rPr>
                <w:sz w:val="16"/>
                <w:szCs w:val="16"/>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color w:val="auto"/>
              </w:rPr>
              <w:t>Low</w:t>
            </w:r>
          </w:p>
        </w:tc>
        <w:tc>
          <w:tcPr>
            <w:tcW w:w="700" w:type="dxa"/>
            <w:vAlign w:val="bottom"/>
          </w:tcPr>
          <w:p>
            <w:pPr>
              <w:jc w:val="right"/>
              <w:spacing w:after="0"/>
              <w:rPr>
                <w:sz w:val="20"/>
                <w:szCs w:val="20"/>
                <w:color w:val="auto"/>
              </w:rPr>
            </w:pPr>
            <w:r>
              <w:rPr>
                <w:rFonts w:ascii="Arial" w:cs="Arial" w:eastAsia="Arial" w:hAnsi="Arial"/>
                <w:sz w:val="14"/>
                <w:szCs w:val="14"/>
                <w:color w:val="auto"/>
              </w:rPr>
              <w:t>High</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ind w:left="200"/>
              <w:spacing w:after="0"/>
              <w:rPr>
                <w:sz w:val="20"/>
                <w:szCs w:val="20"/>
                <w:color w:val="auto"/>
              </w:rPr>
            </w:pPr>
            <w:r>
              <w:rPr>
                <w:rFonts w:ascii="Arial" w:cs="Arial" w:eastAsia="Arial" w:hAnsi="Arial"/>
                <w:sz w:val="14"/>
                <w:szCs w:val="14"/>
                <w:color w:val="auto"/>
              </w:rPr>
              <w:t>Low</w:t>
            </w:r>
          </w:p>
        </w:tc>
        <w:tc>
          <w:tcPr>
            <w:tcW w:w="220" w:type="dxa"/>
            <w:vAlign w:val="bottom"/>
          </w:tcPr>
          <w:p>
            <w:pPr>
              <w:spacing w:after="0"/>
              <w:rPr>
                <w:sz w:val="16"/>
                <w:szCs w:val="16"/>
                <w:color w:val="auto"/>
              </w:rPr>
            </w:pPr>
          </w:p>
        </w:tc>
        <w:tc>
          <w:tcPr>
            <w:tcW w:w="760" w:type="dxa"/>
            <w:vAlign w:val="bottom"/>
          </w:tcPr>
          <w:p>
            <w:pPr>
              <w:jc w:val="right"/>
              <w:ind w:right="269"/>
              <w:spacing w:after="0"/>
              <w:rPr>
                <w:sz w:val="20"/>
                <w:szCs w:val="20"/>
                <w:color w:val="auto"/>
              </w:rPr>
            </w:pPr>
            <w:r>
              <w:rPr>
                <w:rFonts w:ascii="Arial" w:cs="Arial" w:eastAsia="Arial" w:hAnsi="Arial"/>
                <w:sz w:val="14"/>
                <w:szCs w:val="14"/>
                <w:color w:val="auto"/>
              </w:rPr>
              <w:t>High</w:t>
            </w:r>
          </w:p>
        </w:tc>
      </w:tr>
      <w:tr>
        <w:trPr>
          <w:trHeight w:val="193"/>
        </w:trPr>
        <w:tc>
          <w:tcPr>
            <w:tcW w:w="4760" w:type="dxa"/>
            <w:vAlign w:val="bottom"/>
          </w:tcPr>
          <w:p>
            <w:pPr>
              <w:ind w:left="20"/>
              <w:spacing w:after="0"/>
              <w:rPr>
                <w:sz w:val="20"/>
                <w:szCs w:val="20"/>
                <w:color w:val="auto"/>
              </w:rPr>
            </w:pPr>
            <w:r>
              <w:rPr>
                <w:rFonts w:ascii="Arial" w:cs="Arial" w:eastAsia="Arial" w:hAnsi="Arial"/>
                <w:sz w:val="14"/>
                <w:szCs w:val="14"/>
                <w:color w:val="auto"/>
              </w:rPr>
              <w:t>General and administrative expenses</w:t>
            </w:r>
          </w:p>
        </w:tc>
        <w:tc>
          <w:tcPr>
            <w:tcW w:w="2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90</w:t>
            </w:r>
          </w:p>
        </w:tc>
        <w:tc>
          <w:tcPr>
            <w:tcW w:w="80" w:type="dxa"/>
            <w:vAlign w:val="bottom"/>
          </w:tcPr>
          <w:p>
            <w:pPr>
              <w:spacing w:after="0"/>
              <w:rPr>
                <w:sz w:val="16"/>
                <w:szCs w:val="16"/>
                <w:color w:val="auto"/>
              </w:rPr>
            </w:pPr>
          </w:p>
        </w:tc>
        <w:tc>
          <w:tcPr>
            <w:tcW w:w="26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spacing w:after="0"/>
              <w:rPr>
                <w:sz w:val="16"/>
                <w:szCs w:val="16"/>
                <w:color w:val="auto"/>
              </w:rPr>
            </w:pP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center"/>
              <w:ind w:left="489"/>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529"/>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jc w:val="center"/>
              <w:ind w:left="9"/>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w:t>
            </w:r>
          </w:p>
        </w:tc>
      </w:tr>
      <w:tr>
        <w:trPr>
          <w:trHeight w:val="200"/>
        </w:trPr>
        <w:tc>
          <w:tcPr>
            <w:tcW w:w="4760" w:type="dxa"/>
            <w:vAlign w:val="bottom"/>
          </w:tcPr>
          <w:p>
            <w:pPr>
              <w:ind w:left="20"/>
              <w:spacing w:after="0"/>
              <w:rPr>
                <w:sz w:val="20"/>
                <w:szCs w:val="20"/>
                <w:color w:val="auto"/>
              </w:rPr>
            </w:pPr>
            <w:r>
              <w:rPr>
                <w:rFonts w:ascii="Arial" w:cs="Arial" w:eastAsia="Arial" w:hAnsi="Arial"/>
                <w:sz w:val="14"/>
                <w:szCs w:val="14"/>
                <w:color w:val="auto"/>
              </w:rPr>
              <w:t>Equity-settled stock-based compensation</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center"/>
              <w:ind w:left="46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jc w:val="center"/>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04"/>
        </w:trPr>
        <w:tc>
          <w:tcPr>
            <w:tcW w:w="4760" w:type="dxa"/>
            <w:vAlign w:val="bottom"/>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197"/>
        </w:trPr>
        <w:tc>
          <w:tcPr>
            <w:tcW w:w="4760" w:type="dxa"/>
            <w:vAlign w:val="bottom"/>
          </w:tcPr>
          <w:p>
            <w:pPr>
              <w:ind w:left="20"/>
              <w:spacing w:after="0"/>
              <w:rPr>
                <w:sz w:val="20"/>
                <w:szCs w:val="20"/>
                <w:color w:val="auto"/>
              </w:rPr>
            </w:pPr>
            <w:r>
              <w:rPr>
                <w:rFonts w:ascii="Arial" w:cs="Arial" w:eastAsia="Arial" w:hAnsi="Arial"/>
                <w:sz w:val="14"/>
                <w:szCs w:val="14"/>
                <w:b w:val="1"/>
                <w:bCs w:val="1"/>
                <w:color w:val="auto"/>
              </w:rPr>
              <w:t>Estimated adjusted general and administrative expenses</w:t>
            </w: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80</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center"/>
              <w:ind w:left="48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70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center"/>
              <w:ind w:left="9"/>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r>
      <w:tr>
        <w:trPr>
          <w:trHeight w:val="20"/>
        </w:trPr>
        <w:tc>
          <w:tcPr>
            <w:tcW w:w="4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812165</wp:posOffset>
            </wp:positionV>
            <wp:extent cx="70916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16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837565</wp:posOffset>
            </wp:positionV>
            <wp:extent cx="70916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16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240"/>
          </w:cols>
          <w:pgMar w:left="320" w:top="129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3"/>
        </w:trPr>
        <w:tc>
          <w:tcPr>
            <w:tcW w:w="7180" w:type="dxa"/>
            <w:vAlign w:val="bottom"/>
          </w:tcPr>
          <w:p>
            <w:pPr>
              <w:spacing w:after="0"/>
              <w:rPr>
                <w:sz w:val="20"/>
                <w:szCs w:val="20"/>
                <w:color w:val="auto"/>
              </w:rPr>
            </w:pPr>
            <w:r>
              <w:rPr>
                <w:rFonts w:ascii="Arial" w:cs="Arial" w:eastAsia="Arial" w:hAnsi="Arial"/>
                <w:sz w:val="14"/>
                <w:szCs w:val="14"/>
                <w:b w:val="1"/>
                <w:bCs w:val="1"/>
                <w:color w:val="auto"/>
              </w:rPr>
              <w:t>ESTIMATED ADJUSTED EBITDAX RECONCILIATION</w:t>
            </w: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r>
      <w:tr>
        <w:trPr>
          <w:trHeight w:val="199"/>
        </w:trPr>
        <w:tc>
          <w:tcPr>
            <w:tcW w:w="7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4Q24E</w:t>
            </w:r>
          </w:p>
        </w:tc>
        <w:tc>
          <w:tcPr>
            <w:tcW w:w="560" w:type="dxa"/>
            <w:vAlign w:val="bottom"/>
            <w:tcBorders>
              <w:bottom w:val="single" w:sz="8" w:color="auto"/>
            </w:tcBorders>
          </w:tcPr>
          <w:p>
            <w:pPr>
              <w:spacing w:after="0"/>
              <w:rPr>
                <w:sz w:val="17"/>
                <w:szCs w:val="17"/>
                <w:color w:val="auto"/>
              </w:rPr>
            </w:pPr>
          </w:p>
        </w:tc>
      </w:tr>
      <w:tr>
        <w:trPr>
          <w:trHeight w:val="188"/>
        </w:trPr>
        <w:tc>
          <w:tcPr>
            <w:tcW w:w="7180" w:type="dxa"/>
            <w:vAlign w:val="bottom"/>
          </w:tcPr>
          <w:p>
            <w:pPr>
              <w:ind w:left="20"/>
              <w:spacing w:after="0"/>
              <w:rPr>
                <w:sz w:val="20"/>
                <w:szCs w:val="20"/>
                <w:color w:val="auto"/>
              </w:rPr>
            </w:pPr>
            <w:r>
              <w:rPr>
                <w:rFonts w:ascii="Arial" w:cs="Arial" w:eastAsia="Arial" w:hAnsi="Arial"/>
                <w:sz w:val="14"/>
                <w:szCs w:val="14"/>
                <w:i w:val="1"/>
                <w:iCs w:val="1"/>
                <w:color w:val="auto"/>
              </w:rPr>
              <w:t>($ millions)</w:t>
            </w:r>
          </w:p>
        </w:tc>
        <w:tc>
          <w:tcPr>
            <w:tcW w:w="180" w:type="dxa"/>
            <w:vAlign w:val="bottom"/>
          </w:tcPr>
          <w:p>
            <w:pPr>
              <w:spacing w:after="0"/>
              <w:rPr>
                <w:sz w:val="16"/>
                <w:szCs w:val="16"/>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color w:val="auto"/>
              </w:rPr>
              <w:t>Low</w:t>
            </w:r>
          </w:p>
        </w:tc>
        <w:tc>
          <w:tcPr>
            <w:tcW w:w="220" w:type="dxa"/>
            <w:vAlign w:val="bottom"/>
          </w:tcPr>
          <w:p>
            <w:pPr>
              <w:spacing w:after="0"/>
              <w:rPr>
                <w:sz w:val="16"/>
                <w:szCs w:val="16"/>
                <w:color w:val="auto"/>
              </w:rPr>
            </w:pPr>
          </w:p>
        </w:tc>
        <w:tc>
          <w:tcPr>
            <w:tcW w:w="560" w:type="dxa"/>
            <w:vAlign w:val="bottom"/>
          </w:tcPr>
          <w:p>
            <w:pPr>
              <w:jc w:val="right"/>
              <w:ind w:right="169"/>
              <w:spacing w:after="0"/>
              <w:rPr>
                <w:sz w:val="20"/>
                <w:szCs w:val="20"/>
                <w:color w:val="auto"/>
              </w:rPr>
            </w:pPr>
            <w:r>
              <w:rPr>
                <w:rFonts w:ascii="Arial" w:cs="Arial" w:eastAsia="Arial" w:hAnsi="Arial"/>
                <w:sz w:val="14"/>
                <w:szCs w:val="14"/>
                <w:color w:val="auto"/>
              </w:rPr>
              <w:t>High</w:t>
            </w:r>
          </w:p>
        </w:tc>
      </w:tr>
      <w:tr>
        <w:trPr>
          <w:trHeight w:val="193"/>
        </w:trPr>
        <w:tc>
          <w:tcPr>
            <w:tcW w:w="71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w:t>
            </w:r>
          </w:p>
        </w:tc>
      </w:tr>
      <w:tr>
        <w:trPr>
          <w:trHeight w:val="200"/>
        </w:trPr>
        <w:tc>
          <w:tcPr>
            <w:tcW w:w="7180" w:type="dxa"/>
            <w:vAlign w:val="bottom"/>
          </w:tcPr>
          <w:p>
            <w:pPr>
              <w:ind w:left="140"/>
              <w:spacing w:after="0"/>
              <w:rPr>
                <w:sz w:val="20"/>
                <w:szCs w:val="20"/>
                <w:color w:val="auto"/>
              </w:rPr>
            </w:pPr>
            <w:r>
              <w:rPr>
                <w:rFonts w:ascii="Arial" w:cs="Arial" w:eastAsia="Arial" w:hAnsi="Arial"/>
                <w:sz w:val="14"/>
                <w:szCs w:val="14"/>
                <w:color w:val="auto"/>
              </w:rPr>
              <w:t>Interest and debt expense, net</w:t>
            </w: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00"/>
        </w:trPr>
        <w:tc>
          <w:tcPr>
            <w:tcW w:w="7180" w:type="dxa"/>
            <w:vAlign w:val="bottom"/>
          </w:tcPr>
          <w:p>
            <w:pPr>
              <w:ind w:left="140"/>
              <w:spacing w:after="0"/>
              <w:rPr>
                <w:sz w:val="20"/>
                <w:szCs w:val="20"/>
                <w:color w:val="auto"/>
              </w:rPr>
            </w:pPr>
            <w:r>
              <w:rPr>
                <w:rFonts w:ascii="Arial" w:cs="Arial" w:eastAsia="Arial" w:hAnsi="Arial"/>
                <w:sz w:val="14"/>
                <w:szCs w:val="14"/>
                <w:color w:val="auto"/>
              </w:rPr>
              <w:t>Depreciation, depletion and amortization</w:t>
            </w: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141</w:t>
            </w:r>
          </w:p>
        </w:tc>
      </w:tr>
      <w:tr>
        <w:trPr>
          <w:trHeight w:val="200"/>
        </w:trPr>
        <w:tc>
          <w:tcPr>
            <w:tcW w:w="7180" w:type="dxa"/>
            <w:vAlign w:val="bottom"/>
          </w:tcPr>
          <w:p>
            <w:pPr>
              <w:ind w:left="140"/>
              <w:spacing w:after="0"/>
              <w:rPr>
                <w:sz w:val="20"/>
                <w:szCs w:val="20"/>
                <w:color w:val="auto"/>
              </w:rPr>
            </w:pPr>
            <w:r>
              <w:rPr>
                <w:rFonts w:ascii="Arial" w:cs="Arial" w:eastAsia="Arial" w:hAnsi="Arial"/>
                <w:sz w:val="14"/>
                <w:szCs w:val="14"/>
                <w:color w:val="auto"/>
              </w:rPr>
              <w:t>Income taxes</w:t>
            </w: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00"/>
        </w:trPr>
        <w:tc>
          <w:tcPr>
            <w:tcW w:w="7180" w:type="dxa"/>
            <w:vAlign w:val="bottom"/>
          </w:tcPr>
          <w:p>
            <w:pPr>
              <w:ind w:left="140"/>
              <w:spacing w:after="0"/>
              <w:rPr>
                <w:sz w:val="20"/>
                <w:szCs w:val="20"/>
                <w:color w:val="auto"/>
              </w:rPr>
            </w:pPr>
            <w:r>
              <w:rPr>
                <w:rFonts w:ascii="Arial" w:cs="Arial" w:eastAsia="Arial" w:hAnsi="Arial"/>
                <w:sz w:val="14"/>
                <w:szCs w:val="14"/>
                <w:color w:val="auto"/>
              </w:rPr>
              <w:t>Unusual, infrequent and other items</w:t>
            </w: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00"/>
        </w:trPr>
        <w:tc>
          <w:tcPr>
            <w:tcW w:w="7180" w:type="dxa"/>
            <w:vAlign w:val="bottom"/>
          </w:tcPr>
          <w:p>
            <w:pPr>
              <w:ind w:left="140"/>
              <w:spacing w:after="0"/>
              <w:rPr>
                <w:sz w:val="20"/>
                <w:szCs w:val="20"/>
                <w:color w:val="auto"/>
              </w:rPr>
            </w:pPr>
            <w:r>
              <w:rPr>
                <w:rFonts w:ascii="Arial" w:cs="Arial" w:eastAsia="Arial" w:hAnsi="Arial"/>
                <w:sz w:val="14"/>
                <w:szCs w:val="14"/>
                <w:color w:val="auto"/>
              </w:rPr>
              <w:t>Other non-cash items</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0"/>
        </w:trPr>
        <w:tc>
          <w:tcPr>
            <w:tcW w:w="7180" w:type="dxa"/>
            <w:vAlign w:val="bottom"/>
          </w:tcPr>
          <w:p>
            <w:pPr>
              <w:ind w:left="140"/>
              <w:spacing w:after="0"/>
              <w:rPr>
                <w:sz w:val="20"/>
                <w:szCs w:val="20"/>
                <w:color w:val="auto"/>
              </w:rPr>
            </w:pPr>
            <w:r>
              <w:rPr>
                <w:rFonts w:ascii="Arial" w:cs="Arial" w:eastAsia="Arial" w:hAnsi="Arial"/>
                <w:sz w:val="14"/>
                <w:szCs w:val="14"/>
                <w:color w:val="auto"/>
              </w:rPr>
              <w:t>Accretion expense</w:t>
            </w: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00"/>
        </w:trPr>
        <w:tc>
          <w:tcPr>
            <w:tcW w:w="7180" w:type="dxa"/>
            <w:vAlign w:val="bottom"/>
          </w:tcPr>
          <w:p>
            <w:pPr>
              <w:ind w:left="140"/>
              <w:spacing w:after="0"/>
              <w:rPr>
                <w:sz w:val="20"/>
                <w:szCs w:val="20"/>
                <w:color w:val="auto"/>
              </w:rPr>
            </w:pPr>
            <w:r>
              <w:rPr>
                <w:rFonts w:ascii="Arial" w:cs="Arial" w:eastAsia="Arial" w:hAnsi="Arial"/>
                <w:sz w:val="14"/>
                <w:szCs w:val="14"/>
                <w:color w:val="auto"/>
              </w:rPr>
              <w:t>Stock-settled compensation</w:t>
            </w: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4"/>
        </w:trPr>
        <w:tc>
          <w:tcPr>
            <w:tcW w:w="7180" w:type="dxa"/>
            <w:vAlign w:val="bottom"/>
          </w:tcPr>
          <w:p>
            <w:pPr>
              <w:ind w:left="140"/>
              <w:spacing w:after="0"/>
              <w:rPr>
                <w:sz w:val="20"/>
                <w:szCs w:val="20"/>
                <w:color w:val="auto"/>
              </w:rPr>
            </w:pPr>
            <w:r>
              <w:rPr>
                <w:rFonts w:ascii="Arial" w:cs="Arial" w:eastAsia="Arial" w:hAnsi="Arial"/>
                <w:sz w:val="14"/>
                <w:szCs w:val="14"/>
                <w:color w:val="auto"/>
              </w:rPr>
              <w:t>Post-retirement medical and pension</w:t>
            </w: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197"/>
        </w:trPr>
        <w:tc>
          <w:tcPr>
            <w:tcW w:w="7180" w:type="dxa"/>
            <w:vAlign w:val="bottom"/>
          </w:tcPr>
          <w:p>
            <w:pPr>
              <w:ind w:left="20"/>
              <w:spacing w:after="0"/>
              <w:rPr>
                <w:sz w:val="20"/>
                <w:szCs w:val="20"/>
                <w:color w:val="auto"/>
              </w:rPr>
            </w:pPr>
            <w:r>
              <w:rPr>
                <w:rFonts w:ascii="Arial" w:cs="Arial" w:eastAsia="Arial" w:hAnsi="Arial"/>
                <w:sz w:val="14"/>
                <w:szCs w:val="14"/>
                <w:b w:val="1"/>
                <w:bCs w:val="1"/>
                <w:color w:val="auto"/>
              </w:rPr>
              <w:t>Estimated adjusted EBITDAX</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w:t>
            </w:r>
          </w:p>
        </w:tc>
      </w:tr>
      <w:tr>
        <w:trPr>
          <w:trHeight w:val="20"/>
        </w:trPr>
        <w:tc>
          <w:tcPr>
            <w:tcW w:w="7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359"/>
        </w:trPr>
        <w:tc>
          <w:tcPr>
            <w:tcW w:w="718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158</w:t>
            </w:r>
          </w:p>
        </w:tc>
        <w:tc>
          <w:tcPr>
            <w:tcW w:w="80" w:type="dxa"/>
            <w:vAlign w:val="bottom"/>
          </w:tcPr>
          <w:p>
            <w:pPr>
              <w:spacing w:after="0"/>
              <w:rPr>
                <w:sz w:val="24"/>
                <w:szCs w:val="24"/>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178</w:t>
            </w:r>
          </w:p>
        </w:tc>
      </w:tr>
      <w:tr>
        <w:trPr>
          <w:trHeight w:val="200"/>
        </w:trPr>
        <w:tc>
          <w:tcPr>
            <w:tcW w:w="7180" w:type="dxa"/>
            <w:vAlign w:val="bottom"/>
          </w:tcPr>
          <w:p>
            <w:pPr>
              <w:ind w:left="140"/>
              <w:spacing w:after="0"/>
              <w:rPr>
                <w:sz w:val="20"/>
                <w:szCs w:val="20"/>
                <w:color w:val="auto"/>
              </w:rPr>
            </w:pPr>
            <w:r>
              <w:rPr>
                <w:rFonts w:ascii="Arial" w:cs="Arial" w:eastAsia="Arial" w:hAnsi="Arial"/>
                <w:sz w:val="14"/>
                <w:szCs w:val="14"/>
                <w:color w:val="auto"/>
              </w:rPr>
              <w:t>Cash interest</w:t>
            </w: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00"/>
        </w:trPr>
        <w:tc>
          <w:tcPr>
            <w:tcW w:w="7180" w:type="dxa"/>
            <w:vAlign w:val="bottom"/>
          </w:tcPr>
          <w:p>
            <w:pPr>
              <w:ind w:left="140"/>
              <w:spacing w:after="0"/>
              <w:rPr>
                <w:sz w:val="20"/>
                <w:szCs w:val="20"/>
                <w:color w:val="auto"/>
              </w:rPr>
            </w:pPr>
            <w:r>
              <w:rPr>
                <w:rFonts w:ascii="Arial" w:cs="Arial" w:eastAsia="Arial" w:hAnsi="Arial"/>
                <w:sz w:val="14"/>
                <w:szCs w:val="14"/>
                <w:color w:val="auto"/>
              </w:rPr>
              <w:t>Cash income taxes</w:t>
            </w: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204"/>
        </w:trPr>
        <w:tc>
          <w:tcPr>
            <w:tcW w:w="7180" w:type="dxa"/>
            <w:vAlign w:val="bottom"/>
          </w:tcPr>
          <w:p>
            <w:pPr>
              <w:ind w:left="140"/>
              <w:spacing w:after="0"/>
              <w:rPr>
                <w:sz w:val="20"/>
                <w:szCs w:val="20"/>
                <w:color w:val="auto"/>
              </w:rPr>
            </w:pPr>
            <w:r>
              <w:rPr>
                <w:rFonts w:ascii="Arial" w:cs="Arial" w:eastAsia="Arial" w:hAnsi="Arial"/>
                <w:sz w:val="14"/>
                <w:szCs w:val="14"/>
                <w:color w:val="auto"/>
              </w:rPr>
              <w:t>Working capital changes</w:t>
            </w: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r>
      <w:tr>
        <w:trPr>
          <w:trHeight w:val="197"/>
        </w:trPr>
        <w:tc>
          <w:tcPr>
            <w:tcW w:w="7180" w:type="dxa"/>
            <w:vAlign w:val="bottom"/>
          </w:tcPr>
          <w:p>
            <w:pPr>
              <w:ind w:left="20"/>
              <w:spacing w:after="0"/>
              <w:rPr>
                <w:sz w:val="20"/>
                <w:szCs w:val="20"/>
                <w:color w:val="auto"/>
              </w:rPr>
            </w:pPr>
            <w:r>
              <w:rPr>
                <w:rFonts w:ascii="Arial" w:cs="Arial" w:eastAsia="Arial" w:hAnsi="Arial"/>
                <w:sz w:val="14"/>
                <w:szCs w:val="14"/>
                <w:b w:val="1"/>
                <w:bCs w:val="1"/>
                <w:color w:val="auto"/>
              </w:rPr>
              <w:t>Estimated adjusted EBITDAX</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w:t>
            </w:r>
          </w:p>
        </w:tc>
      </w:tr>
      <w:tr>
        <w:trPr>
          <w:trHeight w:val="20"/>
        </w:trPr>
        <w:tc>
          <w:tcPr>
            <w:tcW w:w="7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0139"/>
          </w:cols>
          <w:pgMar w:left="320" w:top="996" w:right="1440" w:bottom="1440" w:gutter="0" w:footer="0" w:header="0"/>
        </w:sectPr>
      </w:pPr>
    </w:p>
    <w:bookmarkStart w:id="15" w:name="page16"/>
    <w:bookmarkEnd w:id="15"/>
    <w:p>
      <w:pPr>
        <w:ind w:left="10320"/>
        <w:spacing w:after="0"/>
        <w:rPr>
          <w:sz w:val="20"/>
          <w:szCs w:val="20"/>
          <w:color w:val="auto"/>
        </w:rPr>
      </w:pPr>
      <w:r>
        <w:rPr>
          <w:rFonts w:ascii="Arial" w:cs="Arial" w:eastAsia="Arial" w:hAnsi="Arial"/>
          <w:sz w:val="14"/>
          <w:szCs w:val="14"/>
          <w:b w:val="1"/>
          <w:bCs w:val="1"/>
          <w:color w:val="auto"/>
        </w:rPr>
        <w:t>Attachment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7134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47625</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7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NON-GAAP FINANCIAL MEASURES AND RECONCILIATIONS</w:t>
      </w:r>
    </w:p>
    <w:p>
      <w:pPr>
        <w:spacing w:after="0" w:line="92" w:lineRule="exact"/>
        <w:rPr>
          <w:sz w:val="20"/>
          <w:szCs w:val="20"/>
          <w:color w:val="auto"/>
        </w:rPr>
      </w:pPr>
    </w:p>
    <w:p>
      <w:pPr>
        <w:ind w:left="20" w:right="20"/>
        <w:spacing w:after="0" w:line="219" w:lineRule="auto"/>
        <w:rPr>
          <w:sz w:val="20"/>
          <w:szCs w:val="20"/>
          <w:color w:val="auto"/>
        </w:rPr>
      </w:pPr>
      <w:r>
        <w:rPr>
          <w:rFonts w:ascii="Arial" w:cs="Arial" w:eastAsia="Arial" w:hAnsi="Arial"/>
          <w:sz w:val="14"/>
          <w:szCs w:val="14"/>
          <w:color w:val="auto"/>
        </w:rPr>
        <w:t>To supplement the presentation of its financial results prepared in accordance with U.S generally accepted accounting principles (GAAP), management uses certain non-GAAP measures to assess its financial condition, results of operations and cash flows. The non-GAAP measures include adjusted net income (loss), adjusted EBITDAX, E&amp;P, Corporate</w:t>
      </w:r>
    </w:p>
    <w:p>
      <w:pPr>
        <w:jc w:val="both"/>
        <w:ind w:left="20" w:right="20" w:firstLine="4"/>
        <w:spacing w:after="0" w:line="218" w:lineRule="auto"/>
        <w:tabs>
          <w:tab w:leader="none" w:pos="177" w:val="left"/>
        </w:tabs>
        <w:numPr>
          <w:ilvl w:val="0"/>
          <w:numId w:val="10"/>
        </w:numPr>
        <w:rPr>
          <w:rFonts w:ascii="Arial" w:cs="Arial" w:eastAsia="Arial" w:hAnsi="Arial"/>
          <w:sz w:val="14"/>
          <w:szCs w:val="14"/>
          <w:color w:val="auto"/>
        </w:rPr>
      </w:pPr>
      <w:r>
        <w:rPr>
          <w:rFonts w:ascii="Arial" w:cs="Arial" w:eastAsia="Arial" w:hAnsi="Arial"/>
          <w:sz w:val="14"/>
          <w:szCs w:val="14"/>
          <w:color w:val="auto"/>
        </w:rPr>
        <w:t>Other adjusted EBITDAX, CMB adjusted EBITDAX, net cash provided by operating activities before changes in operating assets and liabilities, net, free cash flow, E&amp;P, Corporate &amp; Other free cash flow, CMB free cash flow, adjusted general and administrative expenses, operating costs per BOE, and adjusted total capital among others. These measures are also widely used by the industry, the investment community and CRC's lenders. Although these are non-GAAP measures, the amounts included in the calculations were computed in accordance with GAAP. Certain items excluded from these non-GAAP measures are significant components in understanding and assessing CRC's financial performance, such as CRC's cost of capital and tax structure, as well as the effect of acquisition and development costs of CRC's assets. Management believes that the non-GAAP measures presented, when viewed in combination with CRC's financial and operating results prepared in accordance with GAAP, provide a more complete understanding of the factors and trends affecting the Company's performance. The non-GAAP measures presented herein may not be comparable to other similarly titled measures of other companies. Below are additional disclosures regarding each of the non-GAAP measures reported in this earnings release, including reconciliations to their most directly comparable GAAP measure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244475</wp:posOffset>
            </wp:positionV>
            <wp:extent cx="71342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269875</wp:posOffset>
            </wp:positionV>
            <wp:extent cx="7134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ADJUSTED NET INCOME (LOSS)</w:t>
      </w:r>
    </w:p>
    <w:p>
      <w:pPr>
        <w:spacing w:after="0" w:line="92" w:lineRule="exact"/>
        <w:rPr>
          <w:sz w:val="20"/>
          <w:szCs w:val="20"/>
          <w:color w:val="auto"/>
        </w:rPr>
      </w:pPr>
    </w:p>
    <w:p>
      <w:pPr>
        <w:ind w:left="20" w:right="160"/>
        <w:spacing w:after="0" w:line="219" w:lineRule="auto"/>
        <w:rPr>
          <w:sz w:val="20"/>
          <w:szCs w:val="20"/>
          <w:color w:val="auto"/>
        </w:rPr>
      </w:pPr>
      <w:r>
        <w:rPr>
          <w:rFonts w:ascii="Arial" w:cs="Arial" w:eastAsia="Arial" w:hAnsi="Arial"/>
          <w:sz w:val="14"/>
          <w:szCs w:val="14"/>
          <w:color w:val="auto"/>
        </w:rPr>
        <w:t>Adjusted net income (loss) and adjusted net income (loss) per share are non-GAAP measures. CRC defines adjusted net income as net income excluding the effects of significant transactions and events that affect earnings but vary widely and unpredictably in nature, timing and amount. These events may recur, even across successive</w:t>
      </w:r>
    </w:p>
    <w:p>
      <w:pPr>
        <w:ind w:left="20"/>
        <w:spacing w:after="0" w:line="218" w:lineRule="auto"/>
        <w:rPr>
          <w:sz w:val="20"/>
          <w:szCs w:val="20"/>
          <w:color w:val="auto"/>
        </w:rPr>
      </w:pPr>
      <w:r>
        <w:rPr>
          <w:rFonts w:ascii="Arial" w:cs="Arial" w:eastAsia="Arial" w:hAnsi="Arial"/>
          <w:sz w:val="14"/>
          <w:szCs w:val="14"/>
          <w:color w:val="auto"/>
        </w:rPr>
        <w:t>reporting periods. Management believes these non-GAAP measures provide useful information to the industry and the investment community interested in comparing CRC's</w:t>
      </w:r>
    </w:p>
    <w:p>
      <w:pPr>
        <w:ind w:left="20" w:right="160"/>
        <w:spacing w:after="0" w:line="208" w:lineRule="auto"/>
        <w:rPr>
          <w:sz w:val="20"/>
          <w:szCs w:val="20"/>
          <w:color w:val="auto"/>
        </w:rPr>
      </w:pPr>
      <w:r>
        <w:rPr>
          <w:rFonts w:ascii="Arial" w:cs="Arial" w:eastAsia="Arial" w:hAnsi="Arial"/>
          <w:sz w:val="14"/>
          <w:szCs w:val="14"/>
          <w:color w:val="auto"/>
        </w:rPr>
        <w:t>financial performance between periods. Reported earnings are considered representative of management's performance over the long term. Adjusted net income (loss) is not considered to be an alternative to net income (loss) reported in accordance with GAAP. The following table presents a reconciliation of the GAAP financial measure of net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income and net income attributable to common stock per share to the non-GAAP financial measure of adjusted net income and adjusted net income per share.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3rd Quarter</w:t>
            </w:r>
          </w:p>
        </w:tc>
        <w:tc>
          <w:tcPr>
            <w:tcW w:w="12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2nd Quarter</w:t>
            </w:r>
          </w:p>
        </w:tc>
        <w:tc>
          <w:tcPr>
            <w:tcW w:w="14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3rd Quarter</w:t>
            </w:r>
          </w:p>
        </w:tc>
        <w:tc>
          <w:tcPr>
            <w:tcW w:w="1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w:t>
            </w:r>
          </w:p>
        </w:tc>
        <w:tc>
          <w:tcPr>
            <w:tcW w:w="120" w:type="dxa"/>
            <w:vAlign w:val="bottom"/>
          </w:tcPr>
          <w:p>
            <w:pPr>
              <w:spacing w:after="0"/>
              <w:rPr>
                <w:sz w:val="16"/>
                <w:szCs w:val="16"/>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b w:val="1"/>
                <w:bCs w:val="1"/>
                <w:color w:val="auto"/>
              </w:rPr>
              <w:t>Nine Months</w:t>
            </w:r>
          </w:p>
        </w:tc>
        <w:tc>
          <w:tcPr>
            <w:tcW w:w="140" w:type="dxa"/>
            <w:vAlign w:val="bottom"/>
          </w:tcPr>
          <w:p>
            <w:pPr>
              <w:spacing w:after="0"/>
              <w:rPr>
                <w:sz w:val="16"/>
                <w:szCs w:val="16"/>
                <w:color w:val="auto"/>
              </w:rPr>
            </w:pPr>
          </w:p>
        </w:tc>
      </w:tr>
      <w:tr>
        <w:trPr>
          <w:trHeight w:val="201"/>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 except per share amounts)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7"/>
                <w:szCs w:val="17"/>
                <w:color w:val="auto"/>
              </w:rPr>
            </w:pPr>
          </w:p>
        </w:tc>
      </w:tr>
      <w:tr>
        <w:trPr>
          <w:trHeight w:val="193"/>
        </w:trPr>
        <w:tc>
          <w:tcPr>
            <w:tcW w:w="50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345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343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376</w:t>
            </w:r>
          </w:p>
        </w:tc>
        <w:tc>
          <w:tcPr>
            <w:tcW w:w="140" w:type="dxa"/>
            <w:vAlign w:val="bottom"/>
          </w:tcPr>
          <w:p>
            <w:pPr>
              <w:spacing w:after="0"/>
              <w:rPr>
                <w:sz w:val="16"/>
                <w:szCs w:val="16"/>
                <w:color w:val="auto"/>
              </w:rPr>
            </w:pPr>
          </w:p>
        </w:tc>
      </w:tr>
      <w:tr>
        <w:trPr>
          <w:trHeight w:val="194"/>
        </w:trPr>
        <w:tc>
          <w:tcPr>
            <w:tcW w:w="5040" w:type="dxa"/>
            <w:vAlign w:val="bottom"/>
          </w:tcPr>
          <w:p>
            <w:pPr>
              <w:ind w:left="20"/>
              <w:spacing w:after="0"/>
              <w:rPr>
                <w:sz w:val="20"/>
                <w:szCs w:val="20"/>
                <w:color w:val="auto"/>
              </w:rPr>
            </w:pPr>
            <w:r>
              <w:rPr>
                <w:rFonts w:ascii="Arial" w:cs="Arial" w:eastAsia="Arial" w:hAnsi="Arial"/>
                <w:sz w:val="14"/>
                <w:szCs w:val="14"/>
                <w:color w:val="auto"/>
              </w:rPr>
              <w:t>Unusual, infrequent and other items: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6"/>
        </w:trPr>
        <w:tc>
          <w:tcPr>
            <w:tcW w:w="5040" w:type="dxa"/>
            <w:vAlign w:val="bottom"/>
          </w:tcPr>
          <w:p>
            <w:pPr>
              <w:ind w:left="140"/>
              <w:spacing w:after="0"/>
              <w:rPr>
                <w:sz w:val="20"/>
                <w:szCs w:val="20"/>
                <w:color w:val="auto"/>
              </w:rPr>
            </w:pPr>
            <w:r>
              <w:rPr>
                <w:rFonts w:ascii="Arial" w:cs="Arial" w:eastAsia="Arial" w:hAnsi="Arial"/>
                <w:sz w:val="14"/>
                <w:szCs w:val="14"/>
                <w:color w:val="auto"/>
              </w:rPr>
              <w:t>Non-cash derivative (gain) loss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(373)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(92)</w:t>
            </w:r>
          </w:p>
        </w:tc>
        <w:tc>
          <w:tcPr>
            <w:tcW w:w="140" w:type="dxa"/>
            <w:vAlign w:val="bottom"/>
          </w:tcPr>
          <w:p>
            <w:pPr>
              <w:spacing w:after="0"/>
              <w:rPr>
                <w:sz w:val="17"/>
                <w:szCs w:val="17"/>
                <w:color w:val="auto"/>
              </w:rPr>
            </w:pPr>
          </w:p>
        </w:tc>
      </w:tr>
      <w:tr>
        <w:trPr>
          <w:trHeight w:val="200"/>
        </w:trPr>
        <w:tc>
          <w:tcPr>
            <w:tcW w:w="5040" w:type="dxa"/>
            <w:vAlign w:val="bottom"/>
          </w:tcPr>
          <w:p>
            <w:pPr>
              <w:ind w:left="140"/>
              <w:spacing w:after="0"/>
              <w:rPr>
                <w:sz w:val="20"/>
                <w:szCs w:val="20"/>
                <w:color w:val="auto"/>
              </w:rPr>
            </w:pPr>
            <w:r>
              <w:rPr>
                <w:rFonts w:ascii="Arial" w:cs="Arial" w:eastAsia="Arial" w:hAnsi="Arial"/>
                <w:sz w:val="14"/>
                <w:szCs w:val="14"/>
                <w:color w:val="auto"/>
              </w:rPr>
              <w:t>Asset impairment</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40" w:type="dxa"/>
            <w:vAlign w:val="bottom"/>
          </w:tcPr>
          <w:p>
            <w:pPr>
              <w:spacing w:after="0"/>
              <w:rPr>
                <w:sz w:val="17"/>
                <w:szCs w:val="17"/>
                <w:color w:val="auto"/>
              </w:rPr>
            </w:pPr>
          </w:p>
        </w:tc>
      </w:tr>
      <w:tr>
        <w:trPr>
          <w:trHeight w:val="200"/>
        </w:trPr>
        <w:tc>
          <w:tcPr>
            <w:tcW w:w="5040" w:type="dxa"/>
            <w:vAlign w:val="bottom"/>
          </w:tcPr>
          <w:p>
            <w:pPr>
              <w:ind w:left="140"/>
              <w:spacing w:after="0"/>
              <w:rPr>
                <w:sz w:val="20"/>
                <w:szCs w:val="20"/>
                <w:color w:val="auto"/>
              </w:rPr>
            </w:pPr>
            <w:r>
              <w:rPr>
                <w:rFonts w:ascii="Arial" w:cs="Arial" w:eastAsia="Arial" w:hAnsi="Arial"/>
                <w:sz w:val="14"/>
                <w:szCs w:val="14"/>
                <w:color w:val="auto"/>
              </w:rPr>
              <w:t>Severance and termination costs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40" w:type="dxa"/>
            <w:vAlign w:val="bottom"/>
          </w:tcPr>
          <w:p>
            <w:pPr>
              <w:spacing w:after="0"/>
              <w:rPr>
                <w:sz w:val="17"/>
                <w:szCs w:val="17"/>
                <w:color w:val="auto"/>
              </w:rPr>
            </w:pPr>
          </w:p>
        </w:tc>
      </w:tr>
      <w:tr>
        <w:trPr>
          <w:trHeight w:val="200"/>
        </w:trPr>
        <w:tc>
          <w:tcPr>
            <w:tcW w:w="5040" w:type="dxa"/>
            <w:vAlign w:val="bottom"/>
          </w:tcPr>
          <w:p>
            <w:pPr>
              <w:ind w:left="140"/>
              <w:spacing w:after="0"/>
              <w:rPr>
                <w:sz w:val="20"/>
                <w:szCs w:val="20"/>
                <w:color w:val="auto"/>
              </w:rPr>
            </w:pPr>
            <w:r>
              <w:rPr>
                <w:rFonts w:ascii="Arial" w:cs="Arial" w:eastAsia="Arial" w:hAnsi="Arial"/>
                <w:sz w:val="14"/>
                <w:szCs w:val="14"/>
                <w:color w:val="auto"/>
              </w:rPr>
              <w:t>Aera merger transaction / integration fees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r>
      <w:tr>
        <w:trPr>
          <w:trHeight w:val="200"/>
        </w:trPr>
        <w:tc>
          <w:tcPr>
            <w:tcW w:w="5040" w:type="dxa"/>
            <w:vAlign w:val="bottom"/>
          </w:tcPr>
          <w:p>
            <w:pPr>
              <w:ind w:left="140"/>
              <w:spacing w:after="0"/>
              <w:rPr>
                <w:sz w:val="20"/>
                <w:szCs w:val="20"/>
                <w:color w:val="auto"/>
              </w:rPr>
            </w:pPr>
            <w:r>
              <w:rPr>
                <w:rFonts w:ascii="Arial" w:cs="Arial" w:eastAsia="Arial" w:hAnsi="Arial"/>
                <w:sz w:val="14"/>
                <w:szCs w:val="14"/>
                <w:color w:val="auto"/>
              </w:rPr>
              <w:t>Increased power and fuel costs due to power plant shutdown</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r>
      <w:tr>
        <w:trPr>
          <w:trHeight w:val="200"/>
        </w:trPr>
        <w:tc>
          <w:tcPr>
            <w:tcW w:w="5040" w:type="dxa"/>
            <w:vAlign w:val="bottom"/>
          </w:tcPr>
          <w:p>
            <w:pPr>
              <w:ind w:left="140"/>
              <w:spacing w:after="0"/>
              <w:rPr>
                <w:sz w:val="20"/>
                <w:szCs w:val="20"/>
                <w:color w:val="auto"/>
              </w:rPr>
            </w:pPr>
            <w:r>
              <w:rPr>
                <w:rFonts w:ascii="Arial" w:cs="Arial" w:eastAsia="Arial" w:hAnsi="Arial"/>
                <w:sz w:val="14"/>
                <w:szCs w:val="14"/>
                <w:color w:val="auto"/>
              </w:rPr>
              <w:t>Net gain (loss) on asset divestitures</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40" w:type="dxa"/>
            <w:vAlign w:val="bottom"/>
          </w:tcPr>
          <w:p>
            <w:pPr>
              <w:spacing w:after="0"/>
              <w:rPr>
                <w:sz w:val="17"/>
                <w:szCs w:val="17"/>
                <w:color w:val="auto"/>
              </w:rPr>
            </w:pPr>
          </w:p>
        </w:tc>
      </w:tr>
      <w:tr>
        <w:trPr>
          <w:trHeight w:val="200"/>
        </w:trPr>
        <w:tc>
          <w:tcPr>
            <w:tcW w:w="5040" w:type="dxa"/>
            <w:vAlign w:val="bottom"/>
          </w:tcPr>
          <w:p>
            <w:pPr>
              <w:ind w:left="140"/>
              <w:spacing w:after="0"/>
              <w:rPr>
                <w:sz w:val="20"/>
                <w:szCs w:val="20"/>
                <w:color w:val="auto"/>
              </w:rPr>
            </w:pPr>
            <w:r>
              <w:rPr>
                <w:rFonts w:ascii="Arial" w:cs="Arial" w:eastAsia="Arial" w:hAnsi="Arial"/>
                <w:sz w:val="14"/>
                <w:szCs w:val="14"/>
                <w:color w:val="auto"/>
              </w:rPr>
              <w:t>Loss on early extinguishment of debt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r>
      <w:tr>
        <w:trPr>
          <w:trHeight w:val="200"/>
        </w:trPr>
        <w:tc>
          <w:tcPr>
            <w:tcW w:w="5040" w:type="dxa"/>
            <w:vAlign w:val="bottom"/>
          </w:tcPr>
          <w:p>
            <w:pPr>
              <w:ind w:left="140"/>
              <w:spacing w:after="0"/>
              <w:rPr>
                <w:sz w:val="20"/>
                <w:szCs w:val="20"/>
                <w:color w:val="auto"/>
              </w:rPr>
            </w:pPr>
            <w:r>
              <w:rPr>
                <w:rFonts w:ascii="Arial" w:cs="Arial" w:eastAsia="Arial" w:hAnsi="Arial"/>
                <w:sz w:val="14"/>
                <w:szCs w:val="14"/>
                <w:color w:val="auto"/>
              </w:rPr>
              <w:t>Other, net</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w:t>
            </w:r>
          </w:p>
        </w:tc>
        <w:tc>
          <w:tcPr>
            <w:tcW w:w="140" w:type="dxa"/>
            <w:vAlign w:val="bottom"/>
          </w:tcPr>
          <w:p>
            <w:pPr>
              <w:spacing w:after="0"/>
              <w:rPr>
                <w:sz w:val="17"/>
                <w:szCs w:val="17"/>
                <w:color w:val="auto"/>
              </w:rPr>
            </w:pPr>
          </w:p>
        </w:tc>
      </w:tr>
      <w:tr>
        <w:trPr>
          <w:trHeight w:val="193"/>
        </w:trPr>
        <w:tc>
          <w:tcPr>
            <w:tcW w:w="5040" w:type="dxa"/>
            <w:vAlign w:val="bottom"/>
          </w:tcPr>
          <w:p>
            <w:pPr>
              <w:ind w:left="220"/>
              <w:spacing w:after="0"/>
              <w:rPr>
                <w:sz w:val="20"/>
                <w:szCs w:val="20"/>
                <w:color w:val="auto"/>
              </w:rPr>
            </w:pPr>
            <w:r>
              <w:rPr>
                <w:rFonts w:ascii="Arial" w:cs="Arial" w:eastAsia="Arial" w:hAnsi="Arial"/>
                <w:sz w:val="14"/>
                <w:szCs w:val="14"/>
                <w:color w:val="auto"/>
              </w:rPr>
              <w:t>Total unusual, infrequent and other items</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140" w:type="dxa"/>
            <w:vAlign w:val="bottom"/>
          </w:tcPr>
          <w:p>
            <w:pPr>
              <w:spacing w:after="0"/>
              <w:rPr>
                <w:sz w:val="16"/>
                <w:szCs w:val="16"/>
                <w:color w:val="auto"/>
              </w:rPr>
            </w:pPr>
          </w:p>
        </w:tc>
      </w:tr>
      <w:tr>
        <w:trPr>
          <w:trHeight w:val="200"/>
        </w:trPr>
        <w:tc>
          <w:tcPr>
            <w:tcW w:w="5040" w:type="dxa"/>
            <w:vAlign w:val="bottom"/>
          </w:tcPr>
          <w:p>
            <w:pPr>
              <w:ind w:left="140"/>
              <w:spacing w:after="0"/>
              <w:rPr>
                <w:sz w:val="20"/>
                <w:szCs w:val="20"/>
                <w:color w:val="auto"/>
              </w:rPr>
            </w:pPr>
            <w:r>
              <w:rPr>
                <w:rFonts w:ascii="Arial" w:cs="Arial" w:eastAsia="Arial" w:hAnsi="Arial"/>
                <w:sz w:val="14"/>
                <w:szCs w:val="14"/>
                <w:color w:val="auto"/>
              </w:rPr>
              <w:t>Income tax provision (benefit) of adjustments at effective tax rate</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140" w:type="dxa"/>
            <w:vAlign w:val="bottom"/>
          </w:tcPr>
          <w:p>
            <w:pPr>
              <w:spacing w:after="0"/>
              <w:rPr>
                <w:sz w:val="17"/>
                <w:szCs w:val="17"/>
                <w:color w:val="auto"/>
              </w:rPr>
            </w:pPr>
          </w:p>
        </w:tc>
      </w:tr>
      <w:tr>
        <w:trPr>
          <w:trHeight w:val="200"/>
        </w:trPr>
        <w:tc>
          <w:tcPr>
            <w:tcW w:w="5040" w:type="dxa"/>
            <w:vAlign w:val="bottom"/>
          </w:tcPr>
          <w:p>
            <w:pPr>
              <w:ind w:left="140"/>
              <w:spacing w:after="0"/>
              <w:rPr>
                <w:sz w:val="20"/>
                <w:szCs w:val="20"/>
                <w:color w:val="auto"/>
              </w:rPr>
            </w:pPr>
            <w:r>
              <w:rPr>
                <w:rFonts w:ascii="Arial" w:cs="Arial" w:eastAsia="Arial" w:hAnsi="Arial"/>
                <w:sz w:val="14"/>
                <w:szCs w:val="14"/>
                <w:color w:val="auto"/>
              </w:rPr>
              <w:t>Income tax benefit - out of period</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140" w:type="dxa"/>
            <w:vAlign w:val="bottom"/>
          </w:tcPr>
          <w:p>
            <w:pPr>
              <w:spacing w:after="0"/>
              <w:rPr>
                <w:sz w:val="17"/>
                <w:szCs w:val="17"/>
                <w:color w:val="auto"/>
              </w:rPr>
            </w:pPr>
          </w:p>
        </w:tc>
      </w:tr>
      <w:tr>
        <w:trPr>
          <w:trHeight w:val="55"/>
        </w:trPr>
        <w:tc>
          <w:tcPr>
            <w:tcW w:w="50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193"/>
        </w:trPr>
        <w:tc>
          <w:tcPr>
            <w:tcW w:w="5040" w:type="dxa"/>
            <w:vAlign w:val="bottom"/>
          </w:tcPr>
          <w:p>
            <w:pPr>
              <w:ind w:left="20"/>
              <w:spacing w:after="0"/>
              <w:rPr>
                <w:sz w:val="20"/>
                <w:szCs w:val="20"/>
                <w:color w:val="auto"/>
              </w:rPr>
            </w:pPr>
            <w:r>
              <w:rPr>
                <w:rFonts w:ascii="Arial" w:cs="Arial" w:eastAsia="Arial" w:hAnsi="Arial"/>
                <w:sz w:val="14"/>
                <w:szCs w:val="14"/>
                <w:color w:val="auto"/>
              </w:rPr>
              <w:t>Adjusted 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74</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233</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305</w:t>
            </w:r>
          </w:p>
        </w:tc>
        <w:tc>
          <w:tcPr>
            <w:tcW w:w="140" w:type="dxa"/>
            <w:vAlign w:val="bottom"/>
          </w:tcPr>
          <w:p>
            <w:pPr>
              <w:spacing w:after="0"/>
              <w:rPr>
                <w:sz w:val="16"/>
                <w:szCs w:val="16"/>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8"/>
        </w:trPr>
        <w:tc>
          <w:tcPr>
            <w:tcW w:w="5040" w:type="dxa"/>
            <w:vAlign w:val="bottom"/>
          </w:tcPr>
          <w:p>
            <w:pPr>
              <w:ind w:left="20"/>
              <w:spacing w:after="0"/>
              <w:rPr>
                <w:sz w:val="20"/>
                <w:szCs w:val="20"/>
                <w:color w:val="auto"/>
              </w:rPr>
            </w:pPr>
            <w:r>
              <w:rPr>
                <w:rFonts w:ascii="Arial" w:cs="Arial" w:eastAsia="Arial" w:hAnsi="Arial"/>
                <w:sz w:val="14"/>
                <w:szCs w:val="14"/>
                <w:color w:val="auto"/>
              </w:rPr>
              <w:t>Net income (loss) per share - basic</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3.86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0.12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(0.32)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4.54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5.38</w:t>
            </w:r>
          </w:p>
        </w:tc>
        <w:tc>
          <w:tcPr>
            <w:tcW w:w="140" w:type="dxa"/>
            <w:vAlign w:val="bottom"/>
          </w:tcPr>
          <w:p>
            <w:pPr>
              <w:spacing w:after="0"/>
              <w:rPr>
                <w:sz w:val="24"/>
                <w:szCs w:val="24"/>
                <w:color w:val="auto"/>
              </w:rPr>
            </w:pPr>
          </w:p>
        </w:tc>
      </w:tr>
      <w:tr>
        <w:trPr>
          <w:trHeight w:val="200"/>
        </w:trPr>
        <w:tc>
          <w:tcPr>
            <w:tcW w:w="5040" w:type="dxa"/>
            <w:vAlign w:val="bottom"/>
          </w:tcPr>
          <w:p>
            <w:pPr>
              <w:ind w:left="20"/>
              <w:spacing w:after="0"/>
              <w:rPr>
                <w:sz w:val="20"/>
                <w:szCs w:val="20"/>
                <w:color w:val="auto"/>
              </w:rPr>
            </w:pPr>
            <w:r>
              <w:rPr>
                <w:rFonts w:ascii="Arial" w:cs="Arial" w:eastAsia="Arial" w:hAnsi="Arial"/>
                <w:sz w:val="14"/>
                <w:szCs w:val="14"/>
                <w:color w:val="auto"/>
              </w:rPr>
              <w:t>Net income (loss) per share - diluted</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3.78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0.11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(0.32)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4.42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5.18</w:t>
            </w:r>
          </w:p>
        </w:tc>
        <w:tc>
          <w:tcPr>
            <w:tcW w:w="140" w:type="dxa"/>
            <w:vAlign w:val="bottom"/>
          </w:tcPr>
          <w:p>
            <w:pPr>
              <w:spacing w:after="0"/>
              <w:rPr>
                <w:sz w:val="17"/>
                <w:szCs w:val="17"/>
                <w:color w:val="auto"/>
              </w:rPr>
            </w:pPr>
          </w:p>
        </w:tc>
      </w:tr>
      <w:tr>
        <w:trPr>
          <w:trHeight w:val="200"/>
        </w:trPr>
        <w:tc>
          <w:tcPr>
            <w:tcW w:w="5040" w:type="dxa"/>
            <w:vAlign w:val="bottom"/>
          </w:tcPr>
          <w:p>
            <w:pPr>
              <w:ind w:left="20"/>
              <w:spacing w:after="0"/>
              <w:rPr>
                <w:sz w:val="20"/>
                <w:szCs w:val="20"/>
                <w:color w:val="auto"/>
              </w:rPr>
            </w:pPr>
            <w:r>
              <w:rPr>
                <w:rFonts w:ascii="Arial" w:cs="Arial" w:eastAsia="Arial" w:hAnsi="Arial"/>
                <w:sz w:val="14"/>
                <w:szCs w:val="14"/>
                <w:color w:val="auto"/>
              </w:rPr>
              <w:t>Adjusted net income per share - basic</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1.53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0.62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1.08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3.09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4.36</w:t>
            </w:r>
          </w:p>
        </w:tc>
        <w:tc>
          <w:tcPr>
            <w:tcW w:w="140" w:type="dxa"/>
            <w:vAlign w:val="bottom"/>
          </w:tcPr>
          <w:p>
            <w:pPr>
              <w:spacing w:after="0"/>
              <w:rPr>
                <w:sz w:val="17"/>
                <w:szCs w:val="17"/>
                <w:color w:val="auto"/>
              </w:rPr>
            </w:pPr>
          </w:p>
        </w:tc>
      </w:tr>
      <w:tr>
        <w:trPr>
          <w:trHeight w:val="200"/>
        </w:trPr>
        <w:tc>
          <w:tcPr>
            <w:tcW w:w="5040" w:type="dxa"/>
            <w:vAlign w:val="bottom"/>
          </w:tcPr>
          <w:p>
            <w:pPr>
              <w:ind w:left="20"/>
              <w:spacing w:after="0"/>
              <w:rPr>
                <w:sz w:val="20"/>
                <w:szCs w:val="20"/>
                <w:color w:val="auto"/>
              </w:rPr>
            </w:pPr>
            <w:r>
              <w:rPr>
                <w:rFonts w:ascii="Arial" w:cs="Arial" w:eastAsia="Arial" w:hAnsi="Arial"/>
                <w:sz w:val="14"/>
                <w:szCs w:val="14"/>
                <w:color w:val="auto"/>
              </w:rPr>
              <w:t>Adjusted net income per share - diluted</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1.50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0.60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1.02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3.00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4.20</w:t>
            </w:r>
          </w:p>
        </w:tc>
        <w:tc>
          <w:tcPr>
            <w:tcW w:w="140" w:type="dxa"/>
            <w:vAlign w:val="bottom"/>
          </w:tcPr>
          <w:p>
            <w:pPr>
              <w:spacing w:after="0"/>
              <w:rPr>
                <w:sz w:val="17"/>
                <w:szCs w:val="17"/>
                <w:color w:val="auto"/>
              </w:rPr>
            </w:pPr>
          </w:p>
        </w:tc>
      </w:tr>
      <w:tr>
        <w:trPr>
          <w:trHeight w:val="321"/>
        </w:trPr>
        <w:tc>
          <w:tcPr>
            <w:tcW w:w="5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240"/>
          </w:cols>
          <w:pgMar w:left="320" w:top="1050" w:right="339" w:bottom="1440" w:gutter="0" w:footer="0" w:header="0"/>
        </w:sectPr>
      </w:pPr>
    </w:p>
    <w:bookmarkStart w:id="16" w:name="page17"/>
    <w:bookmarkEnd w:id="16"/>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309245</wp:posOffset>
            </wp:positionH>
            <wp:positionV relativeFrom="page">
              <wp:posOffset>664210</wp:posOffset>
            </wp:positionV>
            <wp:extent cx="69392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39280" cy="82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689610</wp:posOffset>
            </wp:positionV>
            <wp:extent cx="69392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39280" cy="8255"/>
                    </a:xfrm>
                    <a:prstGeom prst="rect">
                      <a:avLst/>
                    </a:prstGeom>
                    <a:noFill/>
                  </pic:spPr>
                </pic:pic>
              </a:graphicData>
            </a:graphic>
          </wp:anchor>
        </w:drawing>
        <w:t>ADJUSTED EBITDAX</w:t>
      </w:r>
    </w:p>
    <w:p>
      <w:pPr>
        <w:spacing w:after="0" w:line="132" w:lineRule="exact"/>
        <w:rPr>
          <w:sz w:val="20"/>
          <w:szCs w:val="20"/>
          <w:color w:val="auto"/>
        </w:rPr>
      </w:pPr>
    </w:p>
    <w:p>
      <w:pPr>
        <w:jc w:val="both"/>
        <w:ind w:left="20" w:right="20"/>
        <w:spacing w:after="0" w:line="244" w:lineRule="auto"/>
        <w:rPr>
          <w:sz w:val="20"/>
          <w:szCs w:val="20"/>
          <w:color w:val="auto"/>
        </w:rPr>
      </w:pPr>
      <w:r>
        <w:rPr>
          <w:rFonts w:ascii="Arial" w:cs="Arial" w:eastAsia="Arial" w:hAnsi="Arial"/>
          <w:sz w:val="14"/>
          <w:szCs w:val="14"/>
          <w:color w:val="auto"/>
        </w:rPr>
        <w:t>CRC defines Adjusted EBITDAX as earnings before interest expense; income taxes; depreciation, depletion and amortization; exploration expense; other unusual, infrequent and out-of-period items; and other non-cash items. CRC believes this measure provides useful information in assessing its financial condition, results of operations and cash flows and is widely used by the industry, the investment community and its lenders. Although this is a non-GAAP measure, the amounts included in the calculation were computed in accordance with GAAP. Certain items excluded from this non-GAAP measure are significant components in understanding and assessing CRC’s financial performance, such as its cost of capital and tax structure, as well as depreciation, depletion and amortization of CRC's assets. This measure should be read in conjunction with the information contained in CRC’s financial statements prepared in accordance with GAAP. A version of Adjusted EBITDAX is a material component of certain of its financial covenants under CRC's Revolving Credit Facility and is provided in addition to, and not as an alternative for, income and liquidity measures calculated in accordance with GAAP.</w:t>
      </w:r>
    </w:p>
    <w:p>
      <w:pPr>
        <w:spacing w:after="0" w:line="210" w:lineRule="exact"/>
        <w:rPr>
          <w:sz w:val="20"/>
          <w:szCs w:val="20"/>
          <w:color w:val="auto"/>
        </w:rPr>
      </w:pPr>
    </w:p>
    <w:p>
      <w:pPr>
        <w:jc w:val="both"/>
        <w:ind w:left="20" w:right="20"/>
        <w:spacing w:after="0" w:line="238" w:lineRule="auto"/>
        <w:rPr>
          <w:sz w:val="20"/>
          <w:szCs w:val="20"/>
          <w:color w:val="auto"/>
        </w:rPr>
      </w:pPr>
      <w:r>
        <w:rPr>
          <w:rFonts w:ascii="Arial" w:cs="Arial" w:eastAsia="Arial" w:hAnsi="Arial"/>
          <w:sz w:val="14"/>
          <w:szCs w:val="14"/>
          <w:color w:val="auto"/>
        </w:rPr>
        <w:t>The following table represents a reconciliation of the GAAP financial measures of net income and net cash provided by operating activities to the non-GAAP financial measure of adjusted EBITDAX. CRC has supplemented its non-GAAP measures of consolidated adjusted EBITDAX with adjusted EBITDAX for its exploration and</w:t>
      </w:r>
    </w:p>
    <w:p>
      <w:pPr>
        <w:spacing w:after="0" w:line="1" w:lineRule="exact"/>
        <w:rPr>
          <w:sz w:val="20"/>
          <w:szCs w:val="20"/>
          <w:color w:val="auto"/>
        </w:rPr>
      </w:pPr>
    </w:p>
    <w:p>
      <w:pPr>
        <w:jc w:val="both"/>
        <w:ind w:left="20" w:right="20"/>
        <w:spacing w:after="0" w:line="248" w:lineRule="auto"/>
        <w:rPr>
          <w:sz w:val="20"/>
          <w:szCs w:val="20"/>
          <w:color w:val="auto"/>
        </w:rPr>
      </w:pPr>
      <w:r>
        <w:rPr>
          <w:rFonts w:ascii="Arial" w:cs="Arial" w:eastAsia="Arial" w:hAnsi="Arial"/>
          <w:sz w:val="14"/>
          <w:szCs w:val="14"/>
          <w:color w:val="auto"/>
        </w:rPr>
        <w:t>production and corporate items (Adjusted EBITDAX for E&amp;P, Corporate &amp; Other) which management believes is a useful measure for investors to understand the results of the core oil and gas business. CRC defines adjusted EBITDAX for E&amp;P, Corporate &amp; Other as consolidated adjusted EBITDAX less results attributable to its carbon management business (CMB).</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3rd Quarter</w:t>
            </w:r>
          </w:p>
        </w:tc>
        <w:tc>
          <w:tcPr>
            <w:tcW w:w="16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2nd Quarter</w:t>
            </w:r>
          </w:p>
        </w:tc>
        <w:tc>
          <w:tcPr>
            <w:tcW w:w="16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3rd Quarter</w:t>
            </w:r>
          </w:p>
        </w:tc>
        <w:tc>
          <w:tcPr>
            <w:tcW w:w="14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Nine Months</w:t>
            </w:r>
          </w:p>
        </w:tc>
        <w:tc>
          <w:tcPr>
            <w:tcW w:w="160" w:type="dxa"/>
            <w:vAlign w:val="bottom"/>
          </w:tcPr>
          <w:p>
            <w:pPr>
              <w:spacing w:after="0"/>
              <w:rPr>
                <w:sz w:val="16"/>
                <w:szCs w:val="16"/>
                <w:color w:val="auto"/>
              </w:rPr>
            </w:pPr>
          </w:p>
        </w:tc>
        <w:tc>
          <w:tcPr>
            <w:tcW w:w="1140" w:type="dxa"/>
            <w:vAlign w:val="bottom"/>
          </w:tcPr>
          <w:p>
            <w:pPr>
              <w:jc w:val="right"/>
              <w:ind w:right="149"/>
              <w:spacing w:after="0"/>
              <w:rPr>
                <w:sz w:val="20"/>
                <w:szCs w:val="20"/>
                <w:color w:val="auto"/>
              </w:rPr>
            </w:pPr>
            <w:r>
              <w:rPr>
                <w:rFonts w:ascii="Arial" w:cs="Arial" w:eastAsia="Arial" w:hAnsi="Arial"/>
                <w:sz w:val="14"/>
                <w:szCs w:val="14"/>
                <w:b w:val="1"/>
                <w:bCs w:val="1"/>
                <w:color w:val="auto"/>
              </w:rPr>
              <w:t>Nine Months</w:t>
            </w:r>
          </w:p>
        </w:tc>
      </w:tr>
      <w:tr>
        <w:trPr>
          <w:trHeight w:val="201"/>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 except per BOE amounts)</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2023</w:t>
            </w:r>
          </w:p>
        </w:tc>
      </w:tr>
      <w:tr>
        <w:trPr>
          <w:trHeight w:val="193"/>
        </w:trPr>
        <w:tc>
          <w:tcPr>
            <w:tcW w:w="38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345</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2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343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376</w:t>
            </w:r>
          </w:p>
        </w:tc>
      </w:tr>
      <w:tr>
        <w:trPr>
          <w:trHeight w:val="200"/>
        </w:trPr>
        <w:tc>
          <w:tcPr>
            <w:tcW w:w="3820" w:type="dxa"/>
            <w:vAlign w:val="bottom"/>
          </w:tcPr>
          <w:p>
            <w:pPr>
              <w:ind w:left="140"/>
              <w:spacing w:after="0"/>
              <w:rPr>
                <w:sz w:val="20"/>
                <w:szCs w:val="20"/>
                <w:color w:val="auto"/>
              </w:rPr>
            </w:pPr>
            <w:r>
              <w:rPr>
                <w:rFonts w:ascii="Arial" w:cs="Arial" w:eastAsia="Arial" w:hAnsi="Arial"/>
                <w:sz w:val="14"/>
                <w:szCs w:val="14"/>
                <w:color w:val="auto"/>
              </w:rPr>
              <w:t>Interest and debt expense</w:t>
            </w:r>
          </w:p>
        </w:tc>
        <w:tc>
          <w:tcPr>
            <w:tcW w:w="16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43</w:t>
            </w:r>
          </w:p>
        </w:tc>
      </w:tr>
      <w:tr>
        <w:trPr>
          <w:trHeight w:val="200"/>
        </w:trPr>
        <w:tc>
          <w:tcPr>
            <w:tcW w:w="3820" w:type="dxa"/>
            <w:vAlign w:val="bottom"/>
          </w:tcPr>
          <w:p>
            <w:pPr>
              <w:ind w:left="140"/>
              <w:spacing w:after="0"/>
              <w:rPr>
                <w:sz w:val="20"/>
                <w:szCs w:val="20"/>
                <w:color w:val="auto"/>
              </w:rPr>
            </w:pPr>
            <w:r>
              <w:rPr>
                <w:rFonts w:ascii="Arial" w:cs="Arial" w:eastAsia="Arial" w:hAnsi="Arial"/>
                <w:sz w:val="14"/>
                <w:szCs w:val="14"/>
                <w:color w:val="auto"/>
              </w:rPr>
              <w:t>Depreciation, depletion and amortization</w:t>
            </w:r>
          </w:p>
        </w:tc>
        <w:tc>
          <w:tcPr>
            <w:tcW w:w="16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170</w:t>
            </w:r>
          </w:p>
        </w:tc>
      </w:tr>
      <w:tr>
        <w:trPr>
          <w:trHeight w:val="200"/>
        </w:trPr>
        <w:tc>
          <w:tcPr>
            <w:tcW w:w="3820" w:type="dxa"/>
            <w:vAlign w:val="bottom"/>
          </w:tcPr>
          <w:p>
            <w:pPr>
              <w:ind w:left="140"/>
              <w:spacing w:after="0"/>
              <w:rPr>
                <w:sz w:val="20"/>
                <w:szCs w:val="20"/>
                <w:color w:val="auto"/>
              </w:rPr>
            </w:pPr>
            <w:r>
              <w:rPr>
                <w:rFonts w:ascii="Arial" w:cs="Arial" w:eastAsia="Arial" w:hAnsi="Arial"/>
                <w:sz w:val="14"/>
                <w:szCs w:val="14"/>
                <w:color w:val="auto"/>
              </w:rPr>
              <w:t>Income tax provision (benefit)</w:t>
            </w:r>
          </w:p>
        </w:tc>
        <w:tc>
          <w:tcPr>
            <w:tcW w:w="16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105</w:t>
            </w:r>
          </w:p>
        </w:tc>
      </w:tr>
      <w:tr>
        <w:trPr>
          <w:trHeight w:val="200"/>
        </w:trPr>
        <w:tc>
          <w:tcPr>
            <w:tcW w:w="3820" w:type="dxa"/>
            <w:vAlign w:val="bottom"/>
          </w:tcPr>
          <w:p>
            <w:pPr>
              <w:ind w:left="140"/>
              <w:spacing w:after="0"/>
              <w:rPr>
                <w:sz w:val="20"/>
                <w:szCs w:val="20"/>
                <w:color w:val="auto"/>
              </w:rPr>
            </w:pPr>
            <w:r>
              <w:rPr>
                <w:rFonts w:ascii="Arial" w:cs="Arial" w:eastAsia="Arial" w:hAnsi="Arial"/>
                <w:sz w:val="14"/>
                <w:szCs w:val="14"/>
                <w:color w:val="auto"/>
              </w:rPr>
              <w:t>Exploration expense</w:t>
            </w:r>
          </w:p>
        </w:tc>
        <w:tc>
          <w:tcPr>
            <w:tcW w:w="16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r>
        <w:trPr>
          <w:trHeight w:val="167"/>
        </w:trPr>
        <w:tc>
          <w:tcPr>
            <w:tcW w:w="3820" w:type="dxa"/>
            <w:vAlign w:val="bottom"/>
          </w:tcPr>
          <w:p>
            <w:pPr>
              <w:ind w:left="14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(14)</w:t>
            </w:r>
          </w:p>
        </w:tc>
      </w:tr>
      <w:tr>
        <w:trPr>
          <w:trHeight w:val="238"/>
        </w:trPr>
        <w:tc>
          <w:tcPr>
            <w:tcW w:w="3820" w:type="dxa"/>
            <w:vAlign w:val="bottom"/>
          </w:tcPr>
          <w:p>
            <w:pPr>
              <w:ind w:left="140"/>
              <w:spacing w:after="0" w:line="239" w:lineRule="exact"/>
              <w:rPr>
                <w:sz w:val="20"/>
                <w:szCs w:val="20"/>
                <w:color w:val="auto"/>
              </w:rPr>
            </w:pPr>
            <w:r>
              <w:rPr>
                <w:rFonts w:ascii="Arial" w:cs="Arial" w:eastAsia="Arial" w:hAnsi="Arial"/>
                <w:sz w:val="14"/>
                <w:szCs w:val="14"/>
                <w:color w:val="auto"/>
              </w:rPr>
              <w:t xml:space="preserve">Unusual, infrequent and other items </w:t>
            </w:r>
            <w:r>
              <w:rPr>
                <w:rFonts w:ascii="Arial" w:cs="Arial" w:eastAsia="Arial" w:hAnsi="Arial"/>
                <w:sz w:val="23"/>
                <w:szCs w:val="23"/>
                <w:color w:val="auto"/>
                <w:vertAlign w:val="superscript"/>
              </w:rPr>
              <w:t>(1)</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133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(56)</w:t>
            </w:r>
          </w:p>
        </w:tc>
      </w:tr>
      <w:tr>
        <w:trPr>
          <w:trHeight w:val="189"/>
        </w:trPr>
        <w:tc>
          <w:tcPr>
            <w:tcW w:w="3820" w:type="dxa"/>
            <w:vAlign w:val="bottom"/>
          </w:tcPr>
          <w:p>
            <w:pPr>
              <w:ind w:left="140"/>
              <w:spacing w:after="0"/>
              <w:rPr>
                <w:sz w:val="20"/>
                <w:szCs w:val="20"/>
                <w:color w:val="auto"/>
              </w:rPr>
            </w:pPr>
            <w:r>
              <w:rPr>
                <w:rFonts w:ascii="Arial" w:cs="Arial" w:eastAsia="Arial" w:hAnsi="Arial"/>
                <w:sz w:val="14"/>
                <w:szCs w:val="14"/>
                <w:color w:val="auto"/>
              </w:rPr>
              <w:t>Non-cash items</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6"/>
        </w:trPr>
        <w:tc>
          <w:tcPr>
            <w:tcW w:w="3820" w:type="dxa"/>
            <w:vAlign w:val="bottom"/>
          </w:tcPr>
          <w:p>
            <w:pPr>
              <w:ind w:left="240"/>
              <w:spacing w:after="0"/>
              <w:rPr>
                <w:sz w:val="20"/>
                <w:szCs w:val="20"/>
                <w:color w:val="auto"/>
              </w:rPr>
            </w:pPr>
            <w:r>
              <w:rPr>
                <w:rFonts w:ascii="Arial" w:cs="Arial" w:eastAsia="Arial" w:hAnsi="Arial"/>
                <w:sz w:val="14"/>
                <w:szCs w:val="14"/>
                <w:color w:val="auto"/>
              </w:rPr>
              <w:t>Accretion expense</w:t>
            </w:r>
          </w:p>
        </w:tc>
        <w:tc>
          <w:tcPr>
            <w:tcW w:w="16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35</w:t>
            </w:r>
          </w:p>
        </w:tc>
      </w:tr>
      <w:tr>
        <w:trPr>
          <w:trHeight w:val="200"/>
        </w:trPr>
        <w:tc>
          <w:tcPr>
            <w:tcW w:w="382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6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21</w:t>
            </w:r>
          </w:p>
        </w:tc>
      </w:tr>
      <w:tr>
        <w:trPr>
          <w:trHeight w:val="200"/>
        </w:trPr>
        <w:tc>
          <w:tcPr>
            <w:tcW w:w="3820" w:type="dxa"/>
            <w:vAlign w:val="bottom"/>
          </w:tcPr>
          <w:p>
            <w:pPr>
              <w:ind w:left="260"/>
              <w:spacing w:after="0"/>
              <w:rPr>
                <w:sz w:val="20"/>
                <w:szCs w:val="20"/>
                <w:color w:val="auto"/>
              </w:rPr>
            </w:pPr>
            <w:r>
              <w:rPr>
                <w:rFonts w:ascii="Arial" w:cs="Arial" w:eastAsia="Arial" w:hAnsi="Arial"/>
                <w:sz w:val="14"/>
                <w:szCs w:val="14"/>
                <w:color w:val="auto"/>
              </w:rPr>
              <w:t>Taxes related to acquisition accounting</w:t>
            </w:r>
          </w:p>
        </w:tc>
        <w:tc>
          <w:tcPr>
            <w:tcW w:w="16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1"/>
        </w:trPr>
        <w:tc>
          <w:tcPr>
            <w:tcW w:w="3820" w:type="dxa"/>
            <w:vAlign w:val="bottom"/>
          </w:tcPr>
          <w:p>
            <w:pPr>
              <w:ind w:left="260"/>
              <w:spacing w:after="0"/>
              <w:rPr>
                <w:sz w:val="20"/>
                <w:szCs w:val="20"/>
                <w:color w:val="auto"/>
              </w:rPr>
            </w:pPr>
            <w:r>
              <w:rPr>
                <w:rFonts w:ascii="Arial" w:cs="Arial" w:eastAsia="Arial" w:hAnsi="Arial"/>
                <w:sz w:val="14"/>
                <w:szCs w:val="14"/>
                <w:color w:val="auto"/>
              </w:rPr>
              <w:t>Post-retirement medical and pension</w:t>
            </w:r>
          </w:p>
        </w:tc>
        <w:tc>
          <w:tcPr>
            <w:tcW w:w="16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194"/>
        </w:trPr>
        <w:tc>
          <w:tcPr>
            <w:tcW w:w="3820" w:type="dxa"/>
            <w:vAlign w:val="bottom"/>
          </w:tcPr>
          <w:p>
            <w:pPr>
              <w:ind w:left="20"/>
              <w:spacing w:after="0"/>
              <w:rPr>
                <w:sz w:val="20"/>
                <w:szCs w:val="20"/>
                <w:color w:val="auto"/>
              </w:rPr>
            </w:pPr>
            <w:r>
              <w:rPr>
                <w:rFonts w:ascii="Arial" w:cs="Arial" w:eastAsia="Arial" w:hAnsi="Arial"/>
                <w:sz w:val="14"/>
                <w:szCs w:val="14"/>
                <w:b w:val="1"/>
                <w:bCs w:val="1"/>
                <w:color w:val="auto"/>
              </w:rPr>
              <w:t>Adjusted EBITDAX</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402</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139</w:t>
            </w:r>
          </w:p>
        </w:tc>
        <w:tc>
          <w:tcPr>
            <w:tcW w:w="2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187</w:t>
            </w:r>
          </w:p>
        </w:tc>
        <w:tc>
          <w:tcPr>
            <w:tcW w:w="2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690</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683</w:t>
            </w:r>
          </w:p>
        </w:tc>
      </w:tr>
      <w:tr>
        <w:trPr>
          <w:trHeight w:val="20"/>
        </w:trPr>
        <w:tc>
          <w:tcPr>
            <w:tcW w:w="3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78"/>
        </w:trPr>
        <w:tc>
          <w:tcPr>
            <w:tcW w:w="382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220</w:t>
            </w:r>
          </w:p>
        </w:tc>
        <w:tc>
          <w:tcPr>
            <w:tcW w:w="100" w:type="dxa"/>
            <w:vAlign w:val="bottom"/>
          </w:tcPr>
          <w:p>
            <w:pPr>
              <w:spacing w:after="0"/>
              <w:rPr>
                <w:sz w:val="24"/>
                <w:szCs w:val="24"/>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97</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104</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404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522</w:t>
            </w:r>
          </w:p>
        </w:tc>
      </w:tr>
      <w:tr>
        <w:trPr>
          <w:trHeight w:val="200"/>
        </w:trPr>
        <w:tc>
          <w:tcPr>
            <w:tcW w:w="3820" w:type="dxa"/>
            <w:vAlign w:val="bottom"/>
          </w:tcPr>
          <w:p>
            <w:pPr>
              <w:ind w:left="140"/>
              <w:spacing w:after="0"/>
              <w:rPr>
                <w:sz w:val="20"/>
                <w:szCs w:val="20"/>
                <w:color w:val="auto"/>
              </w:rPr>
            </w:pPr>
            <w:r>
              <w:rPr>
                <w:rFonts w:ascii="Arial" w:cs="Arial" w:eastAsia="Arial" w:hAnsi="Arial"/>
                <w:sz w:val="14"/>
                <w:szCs w:val="14"/>
                <w:color w:val="auto"/>
              </w:rPr>
              <w:t>Cash interest payments</w:t>
            </w:r>
          </w:p>
        </w:tc>
        <w:tc>
          <w:tcPr>
            <w:tcW w:w="16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48</w:t>
            </w:r>
          </w:p>
        </w:tc>
      </w:tr>
      <w:tr>
        <w:trPr>
          <w:trHeight w:val="200"/>
        </w:trPr>
        <w:tc>
          <w:tcPr>
            <w:tcW w:w="3820" w:type="dxa"/>
            <w:vAlign w:val="bottom"/>
          </w:tcPr>
          <w:p>
            <w:pPr>
              <w:ind w:left="140"/>
              <w:spacing w:after="0"/>
              <w:rPr>
                <w:sz w:val="20"/>
                <w:szCs w:val="20"/>
                <w:color w:val="auto"/>
              </w:rPr>
            </w:pPr>
            <w:r>
              <w:rPr>
                <w:rFonts w:ascii="Arial" w:cs="Arial" w:eastAsia="Arial" w:hAnsi="Arial"/>
                <w:sz w:val="14"/>
                <w:szCs w:val="14"/>
                <w:color w:val="auto"/>
              </w:rPr>
              <w:t>Cash interest received</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(14)</w:t>
            </w:r>
          </w:p>
        </w:tc>
      </w:tr>
      <w:tr>
        <w:trPr>
          <w:trHeight w:val="200"/>
        </w:trPr>
        <w:tc>
          <w:tcPr>
            <w:tcW w:w="3820" w:type="dxa"/>
            <w:vAlign w:val="bottom"/>
          </w:tcPr>
          <w:p>
            <w:pPr>
              <w:ind w:left="140"/>
              <w:spacing w:after="0"/>
              <w:rPr>
                <w:sz w:val="20"/>
                <w:szCs w:val="20"/>
                <w:color w:val="auto"/>
              </w:rPr>
            </w:pPr>
            <w:r>
              <w:rPr>
                <w:rFonts w:ascii="Arial" w:cs="Arial" w:eastAsia="Arial" w:hAnsi="Arial"/>
                <w:sz w:val="14"/>
                <w:szCs w:val="14"/>
                <w:color w:val="auto"/>
              </w:rPr>
              <w:t>Cash income taxes</w:t>
            </w:r>
          </w:p>
        </w:tc>
        <w:tc>
          <w:tcPr>
            <w:tcW w:w="16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80</w:t>
            </w:r>
          </w:p>
        </w:tc>
      </w:tr>
      <w:tr>
        <w:trPr>
          <w:trHeight w:val="200"/>
        </w:trPr>
        <w:tc>
          <w:tcPr>
            <w:tcW w:w="3820" w:type="dxa"/>
            <w:vAlign w:val="bottom"/>
          </w:tcPr>
          <w:p>
            <w:pPr>
              <w:ind w:left="140"/>
              <w:spacing w:after="0"/>
              <w:rPr>
                <w:sz w:val="20"/>
                <w:szCs w:val="20"/>
                <w:color w:val="auto"/>
              </w:rPr>
            </w:pPr>
            <w:r>
              <w:rPr>
                <w:rFonts w:ascii="Arial" w:cs="Arial" w:eastAsia="Arial" w:hAnsi="Arial"/>
                <w:sz w:val="14"/>
                <w:szCs w:val="14"/>
                <w:color w:val="auto"/>
              </w:rPr>
              <w:t>Exploration expenditures</w:t>
            </w:r>
          </w:p>
        </w:tc>
        <w:tc>
          <w:tcPr>
            <w:tcW w:w="16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r>
        <w:trPr>
          <w:trHeight w:val="201"/>
        </w:trPr>
        <w:tc>
          <w:tcPr>
            <w:tcW w:w="3820" w:type="dxa"/>
            <w:vAlign w:val="bottom"/>
          </w:tcPr>
          <w:p>
            <w:pPr>
              <w:ind w:left="140"/>
              <w:spacing w:after="0"/>
              <w:rPr>
                <w:sz w:val="20"/>
                <w:szCs w:val="20"/>
                <w:color w:val="auto"/>
              </w:rPr>
            </w:pPr>
            <w:r>
              <w:rPr>
                <w:rFonts w:ascii="Arial" w:cs="Arial" w:eastAsia="Arial" w:hAnsi="Arial"/>
                <w:sz w:val="14"/>
                <w:szCs w:val="14"/>
                <w:color w:val="auto"/>
              </w:rPr>
              <w:t>Adjustments to working capital changes</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129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w:t>
            </w:r>
          </w:p>
        </w:tc>
      </w:tr>
      <w:tr>
        <w:trPr>
          <w:trHeight w:val="194"/>
        </w:trPr>
        <w:tc>
          <w:tcPr>
            <w:tcW w:w="3820" w:type="dxa"/>
            <w:vAlign w:val="bottom"/>
          </w:tcPr>
          <w:p>
            <w:pPr>
              <w:ind w:left="20"/>
              <w:spacing w:after="0"/>
              <w:rPr>
                <w:sz w:val="20"/>
                <w:szCs w:val="20"/>
                <w:color w:val="auto"/>
              </w:rPr>
            </w:pPr>
            <w:r>
              <w:rPr>
                <w:rFonts w:ascii="Arial" w:cs="Arial" w:eastAsia="Arial" w:hAnsi="Arial"/>
                <w:sz w:val="14"/>
                <w:szCs w:val="14"/>
                <w:b w:val="1"/>
                <w:bCs w:val="1"/>
                <w:color w:val="auto"/>
              </w:rPr>
              <w:t>Adjusted EBITDAX</w:t>
            </w: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402</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139</w:t>
            </w:r>
          </w:p>
        </w:tc>
        <w:tc>
          <w:tcPr>
            <w:tcW w:w="2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187</w:t>
            </w:r>
          </w:p>
        </w:tc>
        <w:tc>
          <w:tcPr>
            <w:tcW w:w="2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690</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683</w:t>
            </w:r>
          </w:p>
        </w:tc>
      </w:tr>
      <w:tr>
        <w:trPr>
          <w:trHeight w:val="20"/>
        </w:trPr>
        <w:tc>
          <w:tcPr>
            <w:tcW w:w="3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2"/>
        </w:trPr>
        <w:tc>
          <w:tcPr>
            <w:tcW w:w="3820" w:type="dxa"/>
            <w:vAlign w:val="bottom"/>
          </w:tcPr>
          <w:p>
            <w:pPr>
              <w:ind w:left="20"/>
              <w:spacing w:after="0"/>
              <w:rPr>
                <w:sz w:val="20"/>
                <w:szCs w:val="20"/>
                <w:color w:val="auto"/>
              </w:rPr>
            </w:pPr>
            <w:r>
              <w:rPr>
                <w:rFonts w:ascii="Arial" w:cs="Arial" w:eastAsia="Arial" w:hAnsi="Arial"/>
                <w:sz w:val="14"/>
                <w:szCs w:val="14"/>
                <w:b w:val="1"/>
                <w:bCs w:val="1"/>
                <w:color w:val="auto"/>
              </w:rPr>
              <w:t>E&amp;P, Corporate &amp; Other Adjusted EBITDAX</w:t>
            </w: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417</w:t>
            </w:r>
          </w:p>
        </w:tc>
        <w:tc>
          <w:tcPr>
            <w:tcW w:w="100" w:type="dxa"/>
            <w:vAlign w:val="bottom"/>
          </w:tcPr>
          <w:p>
            <w:pPr>
              <w:spacing w:after="0"/>
              <w:rPr>
                <w:sz w:val="23"/>
                <w:szCs w:val="23"/>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160</w:t>
            </w:r>
          </w:p>
        </w:tc>
        <w:tc>
          <w:tcPr>
            <w:tcW w:w="2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199</w:t>
            </w:r>
          </w:p>
        </w:tc>
        <w:tc>
          <w:tcPr>
            <w:tcW w:w="2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739</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717</w:t>
            </w:r>
          </w:p>
        </w:tc>
      </w:tr>
      <w:tr>
        <w:trPr>
          <w:trHeight w:val="200"/>
        </w:trPr>
        <w:tc>
          <w:tcPr>
            <w:tcW w:w="3820" w:type="dxa"/>
            <w:vAlign w:val="bottom"/>
          </w:tcPr>
          <w:p>
            <w:pPr>
              <w:ind w:left="20"/>
              <w:spacing w:after="0"/>
              <w:rPr>
                <w:sz w:val="20"/>
                <w:szCs w:val="20"/>
                <w:color w:val="auto"/>
              </w:rPr>
            </w:pPr>
            <w:r>
              <w:rPr>
                <w:rFonts w:ascii="Arial" w:cs="Arial" w:eastAsia="Arial" w:hAnsi="Arial"/>
                <w:sz w:val="14"/>
                <w:szCs w:val="14"/>
                <w:b w:val="1"/>
                <w:bCs w:val="1"/>
                <w:color w:val="auto"/>
              </w:rPr>
              <w:t>CMB Adjusted EBITDAX</w:t>
            </w: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(34)</w:t>
            </w:r>
          </w:p>
        </w:tc>
      </w:tr>
      <w:tr>
        <w:trPr>
          <w:trHeight w:val="307"/>
        </w:trPr>
        <w:tc>
          <w:tcPr>
            <w:tcW w:w="3820" w:type="dxa"/>
            <w:vAlign w:val="bottom"/>
          </w:tcPr>
          <w:p>
            <w:pPr>
              <w:ind w:left="20"/>
              <w:spacing w:after="0"/>
              <w:rPr>
                <w:sz w:val="20"/>
                <w:szCs w:val="20"/>
                <w:color w:val="auto"/>
              </w:rPr>
            </w:pPr>
            <w:r>
              <w:rPr>
                <w:rFonts w:ascii="Arial" w:cs="Arial" w:eastAsia="Arial" w:hAnsi="Arial"/>
                <w:sz w:val="14"/>
                <w:szCs w:val="14"/>
                <w:b w:val="1"/>
                <w:bCs w:val="1"/>
                <w:color w:val="auto"/>
              </w:rPr>
              <w:t>Adjusted EBITDAX per Boe</w:t>
            </w: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30.19</w:t>
            </w:r>
          </w:p>
        </w:tc>
        <w:tc>
          <w:tcPr>
            <w:tcW w:w="100" w:type="dxa"/>
            <w:vAlign w:val="bottom"/>
          </w:tcPr>
          <w:p>
            <w:pPr>
              <w:spacing w:after="0"/>
              <w:rPr>
                <w:sz w:val="24"/>
                <w:szCs w:val="24"/>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23.81</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25.44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28.78</w:t>
            </w:r>
          </w:p>
        </w:tc>
      </w:tr>
    </w:tbl>
    <w:p>
      <w:pPr>
        <w:spacing w:after="0" w:line="212" w:lineRule="exact"/>
        <w:rPr>
          <w:sz w:val="20"/>
          <w:szCs w:val="20"/>
          <w:color w:val="auto"/>
        </w:rPr>
      </w:pPr>
    </w:p>
    <w:p>
      <w:pPr>
        <w:ind w:left="160" w:hanging="142"/>
        <w:spacing w:after="0"/>
        <w:tabs>
          <w:tab w:leader="none" w:pos="160" w:val="left"/>
        </w:tabs>
        <w:numPr>
          <w:ilvl w:val="0"/>
          <w:numId w:val="11"/>
        </w:numPr>
        <w:rPr>
          <w:rFonts w:ascii="Arial" w:cs="Arial" w:eastAsia="Arial" w:hAnsi="Arial"/>
          <w:sz w:val="17"/>
          <w:szCs w:val="17"/>
          <w:color w:val="auto"/>
          <w:vertAlign w:val="superscript"/>
        </w:rPr>
      </w:pPr>
      <w:r>
        <w:rPr>
          <w:rFonts w:ascii="Arial" w:cs="Arial" w:eastAsia="Arial" w:hAnsi="Arial"/>
          <w:sz w:val="13"/>
          <w:szCs w:val="13"/>
          <w:color w:val="auto"/>
        </w:rPr>
        <w:t>See Adjusted Net Income (Loss) reconciliation.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0780"/>
          </w:cols>
          <w:pgMar w:left="480" w:top="1103" w:right="639" w:bottom="1440" w:gutter="0" w:footer="0" w:header="0"/>
        </w:sectPr>
      </w:pPr>
    </w:p>
    <w:bookmarkStart w:id="17" w:name="page18"/>
    <w:bookmarkEnd w:id="17"/>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207645</wp:posOffset>
            </wp:positionH>
            <wp:positionV relativeFrom="page">
              <wp:posOffset>664210</wp:posOffset>
            </wp:positionV>
            <wp:extent cx="71342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689610</wp:posOffset>
            </wp:positionV>
            <wp:extent cx="71342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8255"/>
                    </a:xfrm>
                    <a:prstGeom prst="rect">
                      <a:avLst/>
                    </a:prstGeom>
                    <a:noFill/>
                  </pic:spPr>
                </pic:pic>
              </a:graphicData>
            </a:graphic>
          </wp:anchor>
        </w:drawing>
        <w:t>FREE CASH FLOW AND SUPPLEMENTAL CASH FLOW MEASURES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Management uses free cash flow, which is defined by CRC as net cash provided by operating activities less capital investments, as a measure of liquidity. The following table</w:t>
      </w:r>
    </w:p>
    <w:p>
      <w:pPr>
        <w:jc w:val="both"/>
        <w:ind w:left="20" w:right="20"/>
        <w:spacing w:after="0" w:line="208" w:lineRule="auto"/>
        <w:rPr>
          <w:sz w:val="20"/>
          <w:szCs w:val="20"/>
          <w:color w:val="auto"/>
        </w:rPr>
      </w:pPr>
      <w:r>
        <w:rPr>
          <w:rFonts w:ascii="Arial" w:cs="Arial" w:eastAsia="Arial" w:hAnsi="Arial"/>
          <w:sz w:val="14"/>
          <w:szCs w:val="14"/>
          <w:color w:val="auto"/>
        </w:rPr>
        <w:t>presents a reconciliation of CRC's net cash provided by operating activities to free cash flow. CRC supplemented its non-GAAP measure of free cash flow with (i) net cash provided by operating activities before changes in operating assets and liabilities, net, (ii) adjusted free cash flow, and (iii) adjusted free cash flow of exploration and production,</w:t>
      </w:r>
    </w:p>
    <w:p>
      <w:pPr>
        <w:ind w:left="20"/>
        <w:spacing w:after="0" w:line="219" w:lineRule="auto"/>
        <w:rPr>
          <w:sz w:val="20"/>
          <w:szCs w:val="20"/>
          <w:color w:val="auto"/>
        </w:rPr>
      </w:pPr>
      <w:r>
        <w:rPr>
          <w:rFonts w:ascii="Arial" w:cs="Arial" w:eastAsia="Arial" w:hAnsi="Arial"/>
          <w:sz w:val="14"/>
          <w:szCs w:val="14"/>
          <w:color w:val="auto"/>
        </w:rPr>
        <w:t>and corporate and other items (Free Cash Flow for E&amp;P, Corporate &amp; Other), which it believes is a useful measure for investors to understand the results of CRC's core oil and</w:t>
      </w:r>
    </w:p>
    <w:p>
      <w:pPr>
        <w:spacing w:after="0" w:line="1" w:lineRule="exact"/>
        <w:rPr>
          <w:sz w:val="20"/>
          <w:szCs w:val="20"/>
          <w:color w:val="auto"/>
        </w:rPr>
      </w:pPr>
    </w:p>
    <w:p>
      <w:pPr>
        <w:ind w:left="20" w:right="20"/>
        <w:spacing w:after="0" w:line="229" w:lineRule="auto"/>
        <w:rPr>
          <w:sz w:val="20"/>
          <w:szCs w:val="20"/>
          <w:color w:val="auto"/>
        </w:rPr>
      </w:pPr>
      <w:r>
        <w:rPr>
          <w:rFonts w:ascii="Arial" w:cs="Arial" w:eastAsia="Arial" w:hAnsi="Arial"/>
          <w:sz w:val="14"/>
          <w:szCs w:val="14"/>
          <w:color w:val="auto"/>
        </w:rPr>
        <w:t>gas business. CRC defines Free Cash Flow for E&amp;P, Corporate &amp; Other as consolidated free cash flow less results attributable to its carbon management business (CMB). CRC defines adjusted free cash flow as free cash flow before transaction and integration costs from the Aera Merger.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2nd Quarter</w:t>
            </w:r>
          </w:p>
        </w:tc>
        <w:tc>
          <w:tcPr>
            <w:tcW w:w="16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3rd Quarter</w:t>
            </w:r>
          </w:p>
        </w:tc>
        <w:tc>
          <w:tcPr>
            <w:tcW w:w="14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w:t>
            </w:r>
          </w:p>
        </w:tc>
        <w:tc>
          <w:tcPr>
            <w:tcW w:w="160" w:type="dxa"/>
            <w:vAlign w:val="bottom"/>
          </w:tcPr>
          <w:p>
            <w:pPr>
              <w:spacing w:after="0"/>
              <w:rPr>
                <w:sz w:val="16"/>
                <w:szCs w:val="16"/>
                <w:color w:val="auto"/>
              </w:rPr>
            </w:pPr>
          </w:p>
        </w:tc>
        <w:tc>
          <w:tcPr>
            <w:tcW w:w="1140" w:type="dxa"/>
            <w:vAlign w:val="bottom"/>
          </w:tcPr>
          <w:p>
            <w:pPr>
              <w:jc w:val="right"/>
              <w:ind w:right="149"/>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201"/>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38"/>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Net cash provided by operating activities before working capital</w:t>
            </w:r>
          </w:p>
        </w:tc>
        <w:tc>
          <w:tcPr>
            <w:tcW w:w="18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249</w:t>
            </w:r>
          </w:p>
        </w:tc>
        <w:tc>
          <w:tcPr>
            <w:tcW w:w="100" w:type="dxa"/>
            <w:vAlign w:val="bottom"/>
          </w:tcPr>
          <w:p>
            <w:pPr>
              <w:spacing w:after="0"/>
              <w:rPr>
                <w:sz w:val="20"/>
                <w:szCs w:val="20"/>
                <w:color w:val="auto"/>
              </w:rPr>
            </w:pPr>
          </w:p>
        </w:tc>
        <w:tc>
          <w:tcPr>
            <w:tcW w:w="16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108</w:t>
            </w:r>
          </w:p>
        </w:tc>
        <w:tc>
          <w:tcPr>
            <w:tcW w:w="100" w:type="dxa"/>
            <w:vAlign w:val="bottom"/>
          </w:tcPr>
          <w:p>
            <w:pPr>
              <w:spacing w:after="0"/>
              <w:rPr>
                <w:sz w:val="20"/>
                <w:szCs w:val="20"/>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129</w:t>
            </w:r>
          </w:p>
        </w:tc>
        <w:tc>
          <w:tcPr>
            <w:tcW w:w="140" w:type="dxa"/>
            <w:vAlign w:val="bottom"/>
          </w:tcPr>
          <w:p>
            <w:pPr>
              <w:spacing w:after="0"/>
              <w:rPr>
                <w:sz w:val="20"/>
                <w:szCs w:val="20"/>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449</w:t>
            </w:r>
          </w:p>
        </w:tc>
        <w:tc>
          <w:tcPr>
            <w:tcW w:w="200" w:type="dxa"/>
            <w:vAlign w:val="bottom"/>
          </w:tcPr>
          <w:p>
            <w:pPr>
              <w:spacing w:after="0"/>
              <w:rPr>
                <w:sz w:val="20"/>
                <w:szCs w:val="20"/>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543</w:t>
            </w:r>
          </w:p>
        </w:tc>
        <w:tc>
          <w:tcPr>
            <w:tcW w:w="0" w:type="dxa"/>
            <w:vAlign w:val="bottom"/>
          </w:tcPr>
          <w:p>
            <w:pPr>
              <w:spacing w:after="0"/>
              <w:rPr>
                <w:sz w:val="1"/>
                <w:szCs w:val="1"/>
                <w:color w:val="auto"/>
              </w:rPr>
            </w:pPr>
          </w:p>
        </w:tc>
      </w:tr>
      <w:tr>
        <w:trPr>
          <w:trHeight w:val="187"/>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changes</w:t>
            </w:r>
          </w:p>
        </w:tc>
        <w:tc>
          <w:tcPr>
            <w:tcW w:w="18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Working capital changes</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w:t>
            </w:r>
          </w:p>
        </w:tc>
        <w:tc>
          <w:tcPr>
            <w:tcW w:w="0" w:type="dxa"/>
            <w:vAlign w:val="bottom"/>
          </w:tcPr>
          <w:p>
            <w:pPr>
              <w:spacing w:after="0"/>
              <w:rPr>
                <w:sz w:val="1"/>
                <w:szCs w:val="1"/>
                <w:color w:val="auto"/>
              </w:rPr>
            </w:pPr>
          </w:p>
        </w:tc>
      </w:tr>
      <w:tr>
        <w:trPr>
          <w:trHeight w:val="193"/>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104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404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522</w:t>
            </w:r>
          </w:p>
        </w:tc>
        <w:tc>
          <w:tcPr>
            <w:tcW w:w="0" w:type="dxa"/>
            <w:vAlign w:val="bottom"/>
          </w:tcPr>
          <w:p>
            <w:pPr>
              <w:spacing w:after="0"/>
              <w:rPr>
                <w:sz w:val="1"/>
                <w:szCs w:val="1"/>
                <w:color w:val="auto"/>
              </w:rPr>
            </w:pPr>
          </w:p>
        </w:tc>
      </w:tr>
      <w:tr>
        <w:trPr>
          <w:trHeight w:val="200"/>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Capital investments</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(167)</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(119)</w:t>
            </w:r>
          </w:p>
        </w:tc>
        <w:tc>
          <w:tcPr>
            <w:tcW w:w="0" w:type="dxa"/>
            <w:vAlign w:val="bottom"/>
          </w:tcPr>
          <w:p>
            <w:pPr>
              <w:spacing w:after="0"/>
              <w:rPr>
                <w:sz w:val="1"/>
                <w:szCs w:val="1"/>
                <w:color w:val="auto"/>
              </w:rPr>
            </w:pPr>
          </w:p>
        </w:tc>
      </w:tr>
      <w:tr>
        <w:trPr>
          <w:trHeight w:val="193"/>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Free cash flow</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141</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63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71</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237</w:t>
            </w:r>
          </w:p>
        </w:tc>
        <w:tc>
          <w:tcPr>
            <w:tcW w:w="2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403</w:t>
            </w:r>
          </w:p>
        </w:tc>
        <w:tc>
          <w:tcPr>
            <w:tcW w:w="0" w:type="dxa"/>
            <w:vAlign w:val="bottom"/>
          </w:tcPr>
          <w:p>
            <w:pPr>
              <w:spacing w:after="0"/>
              <w:rPr>
                <w:sz w:val="1"/>
                <w:szCs w:val="1"/>
                <w:color w:val="auto"/>
              </w:rPr>
            </w:pPr>
          </w:p>
        </w:tc>
      </w:tr>
      <w:tr>
        <w:trPr>
          <w:trHeight w:val="201"/>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Add: Aera transaction and integration costs</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4"/>
        </w:trPr>
        <w:tc>
          <w:tcPr>
            <w:tcW w:w="4500" w:type="dxa"/>
            <w:vAlign w:val="bottom"/>
            <w:gridSpan w:val="2"/>
          </w:tcPr>
          <w:p>
            <w:pPr>
              <w:ind w:left="20"/>
              <w:spacing w:after="0"/>
              <w:rPr>
                <w:sz w:val="20"/>
                <w:szCs w:val="20"/>
                <w:color w:val="auto"/>
              </w:rPr>
            </w:pPr>
            <w:r>
              <w:rPr>
                <w:rFonts w:ascii="Arial" w:cs="Arial" w:eastAsia="Arial" w:hAnsi="Arial"/>
                <w:sz w:val="14"/>
                <w:szCs w:val="14"/>
                <w:b w:val="1"/>
                <w:bCs w:val="1"/>
                <w:color w:val="auto"/>
              </w:rPr>
              <w:t>Free cash flow after special items</w:t>
            </w: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171</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w:t>
            </w:r>
          </w:p>
        </w:tc>
        <w:tc>
          <w:tcPr>
            <w:tcW w:w="1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293</w:t>
            </w:r>
          </w:p>
        </w:tc>
        <w:tc>
          <w:tcPr>
            <w:tcW w:w="2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403</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ind w:left="20"/>
              <w:spacing w:after="0"/>
              <w:rPr>
                <w:sz w:val="20"/>
                <w:szCs w:val="20"/>
                <w:color w:val="auto"/>
              </w:rPr>
            </w:pPr>
            <w:r>
              <w:rPr>
                <w:rFonts w:ascii="Arial" w:cs="Arial" w:eastAsia="Arial" w:hAnsi="Arial"/>
                <w:sz w:val="14"/>
                <w:szCs w:val="14"/>
                <w:color w:val="auto"/>
              </w:rPr>
              <w:t xml:space="preserve">E&amp;P, Corporate and Other </w:t>
            </w:r>
            <w:r>
              <w:rPr>
                <w:rFonts w:ascii="Arial" w:cs="Arial" w:eastAsia="Arial" w:hAnsi="Arial"/>
                <w:sz w:val="18"/>
                <w:szCs w:val="18"/>
                <w:color w:val="auto"/>
                <w:vertAlign w:val="superscript"/>
              </w:rPr>
              <w:t>(1)</w:t>
            </w: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4500" w:type="dxa"/>
            <w:vAlign w:val="bottom"/>
            <w:gridSpan w:val="2"/>
            <w:vMerge w:val="continue"/>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186</w:t>
            </w:r>
          </w:p>
        </w:tc>
        <w:tc>
          <w:tcPr>
            <w:tcW w:w="100" w:type="dxa"/>
            <w:vAlign w:val="bottom"/>
          </w:tcPr>
          <w:p>
            <w:pPr>
              <w:spacing w:after="0"/>
              <w:rPr>
                <w:sz w:val="24"/>
                <w:szCs w:val="24"/>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95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79</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334</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427</w:t>
            </w:r>
          </w:p>
        </w:tc>
        <w:tc>
          <w:tcPr>
            <w:tcW w:w="0" w:type="dxa"/>
            <w:vAlign w:val="bottom"/>
          </w:tcPr>
          <w:p>
            <w:pPr>
              <w:spacing w:after="0"/>
              <w:rPr>
                <w:sz w:val="1"/>
                <w:szCs w:val="1"/>
                <w:color w:val="auto"/>
              </w:rPr>
            </w:pPr>
          </w:p>
        </w:tc>
      </w:tr>
      <w:tr>
        <w:trPr>
          <w:trHeight w:val="245"/>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 xml:space="preserve">CMB </w:t>
            </w:r>
            <w:r>
              <w:rPr>
                <w:rFonts w:ascii="Arial" w:cs="Arial" w:eastAsia="Arial" w:hAnsi="Arial"/>
                <w:sz w:val="18"/>
                <w:szCs w:val="18"/>
                <w:color w:val="auto"/>
                <w:vertAlign w:val="superscript"/>
              </w:rPr>
              <w:t>(1)</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21"/>
                <w:szCs w:val="21"/>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(41)</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0" w:type="dxa"/>
            <w:vAlign w:val="bottom"/>
          </w:tcPr>
          <w:p>
            <w:pPr>
              <w:spacing w:after="0"/>
              <w:rPr>
                <w:sz w:val="1"/>
                <w:szCs w:val="1"/>
                <w:color w:val="auto"/>
              </w:rPr>
            </w:pPr>
          </w:p>
        </w:tc>
      </w:tr>
      <w:tr>
        <w:trPr>
          <w:trHeight w:val="412"/>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Adjustments to capital investments: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500" w:type="dxa"/>
            <w:vAlign w:val="bottom"/>
            <w:gridSpan w:val="2"/>
          </w:tcPr>
          <w:p>
            <w:pPr>
              <w:ind w:left="140"/>
              <w:spacing w:after="0"/>
              <w:rPr>
                <w:sz w:val="20"/>
                <w:szCs w:val="20"/>
                <w:color w:val="auto"/>
              </w:rPr>
            </w:pPr>
            <w:r>
              <w:rPr>
                <w:rFonts w:ascii="Arial" w:cs="Arial" w:eastAsia="Arial" w:hAnsi="Arial"/>
                <w:sz w:val="14"/>
                <w:szCs w:val="14"/>
                <w:color w:val="auto"/>
              </w:rPr>
              <w:t>Replacement water facilities</w:t>
            </w:r>
            <w:r>
              <w:rPr>
                <w:rFonts w:ascii="Arial" w:cs="Arial" w:eastAsia="Arial" w:hAnsi="Arial"/>
                <w:sz w:val="18"/>
                <w:szCs w:val="18"/>
                <w:color w:val="auto"/>
                <w:vertAlign w:val="superscript"/>
              </w:rPr>
              <w:t>(2)</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195"/>
        </w:trPr>
        <w:tc>
          <w:tcPr>
            <w:tcW w:w="450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capital investments:</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500" w:type="dxa"/>
            <w:vAlign w:val="bottom"/>
            <w:gridSpan w:val="2"/>
          </w:tcPr>
          <w:p>
            <w:pPr>
              <w:ind w:left="140"/>
              <w:spacing w:after="0"/>
              <w:rPr>
                <w:sz w:val="20"/>
                <w:szCs w:val="20"/>
                <w:color w:val="auto"/>
              </w:rPr>
            </w:pPr>
            <w:r>
              <w:rPr>
                <w:rFonts w:ascii="Arial" w:cs="Arial" w:eastAsia="Arial" w:hAnsi="Arial"/>
                <w:sz w:val="14"/>
                <w:szCs w:val="14"/>
                <w:color w:val="auto"/>
              </w:rPr>
              <w:t>E&amp;P, Corporate and Other</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75</w:t>
            </w:r>
          </w:p>
        </w:tc>
        <w:tc>
          <w:tcPr>
            <w:tcW w:w="10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32</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161</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115</w:t>
            </w:r>
          </w:p>
        </w:tc>
        <w:tc>
          <w:tcPr>
            <w:tcW w:w="0" w:type="dxa"/>
            <w:vAlign w:val="bottom"/>
          </w:tcPr>
          <w:p>
            <w:pPr>
              <w:spacing w:after="0"/>
              <w:rPr>
                <w:sz w:val="1"/>
                <w:szCs w:val="1"/>
                <w:color w:val="auto"/>
              </w:rPr>
            </w:pPr>
          </w:p>
        </w:tc>
      </w:tr>
      <w:tr>
        <w:trPr>
          <w:trHeight w:val="200"/>
        </w:trPr>
        <w:tc>
          <w:tcPr>
            <w:tcW w:w="4500" w:type="dxa"/>
            <w:vAlign w:val="bottom"/>
            <w:gridSpan w:val="2"/>
          </w:tcPr>
          <w:p>
            <w:pPr>
              <w:ind w:left="140"/>
              <w:spacing w:after="0"/>
              <w:rPr>
                <w:sz w:val="20"/>
                <w:szCs w:val="20"/>
                <w:color w:val="auto"/>
              </w:rPr>
            </w:pPr>
            <w:r>
              <w:rPr>
                <w:rFonts w:ascii="Arial" w:cs="Arial" w:eastAsia="Arial" w:hAnsi="Arial"/>
                <w:sz w:val="14"/>
                <w:szCs w:val="14"/>
                <w:color w:val="auto"/>
              </w:rPr>
              <w:t>CMB</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466"/>
        </w:trPr>
        <w:tc>
          <w:tcPr>
            <w:tcW w:w="450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free cash flow:</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E&amp;P, Corporate and Other</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186</w:t>
            </w:r>
          </w:p>
        </w:tc>
        <w:tc>
          <w:tcPr>
            <w:tcW w:w="100" w:type="dxa"/>
            <w:vAlign w:val="bottom"/>
          </w:tcPr>
          <w:p>
            <w:pPr>
              <w:spacing w:after="0"/>
              <w:rPr>
                <w:sz w:val="22"/>
                <w:szCs w:val="22"/>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95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80</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334</w:t>
            </w:r>
          </w:p>
        </w:tc>
        <w:tc>
          <w:tcPr>
            <w:tcW w:w="2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430</w:t>
            </w:r>
          </w:p>
        </w:tc>
        <w:tc>
          <w:tcPr>
            <w:tcW w:w="0" w:type="dxa"/>
            <w:vAlign w:val="bottom"/>
          </w:tcPr>
          <w:p>
            <w:pPr>
              <w:spacing w:after="0"/>
              <w:rPr>
                <w:sz w:val="1"/>
                <w:szCs w:val="1"/>
                <w:color w:val="auto"/>
              </w:rPr>
            </w:pPr>
          </w:p>
        </w:tc>
      </w:tr>
      <w:tr>
        <w:trPr>
          <w:trHeight w:val="200"/>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CMB</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(41)</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left="20" w:right="20" w:firstLine="4"/>
        <w:spacing w:after="0" w:line="217" w:lineRule="auto"/>
        <w:tabs>
          <w:tab w:leader="none" w:pos="156" w:val="left"/>
        </w:tabs>
        <w:numPr>
          <w:ilvl w:val="0"/>
          <w:numId w:val="12"/>
        </w:numPr>
        <w:rPr>
          <w:rFonts w:ascii="Arial" w:cs="Arial" w:eastAsia="Arial" w:hAnsi="Arial"/>
          <w:sz w:val="16"/>
          <w:szCs w:val="16"/>
          <w:color w:val="auto"/>
          <w:vertAlign w:val="superscript"/>
        </w:rPr>
      </w:pPr>
      <w:r>
        <w:rPr>
          <w:rFonts w:ascii="Arial" w:cs="Arial" w:eastAsia="Arial" w:hAnsi="Arial"/>
          <w:sz w:val="12"/>
          <w:szCs w:val="12"/>
          <w:color w:val="auto"/>
        </w:rPr>
        <w:t>CMB free cash flow previously reported for the first three months of 2024 was $(17) million and was corrected to $(7) million to account for noncash add backs related to leases. CRC defines free cash flow for E&amp;P, Corporate &amp; Other as consolidated free cash flow less results attributable to the carbon management business. Accordingly, this change impacted our previously reported E&amp;P, Corporate &amp; Other free cash flow from $63 million to $53 million for the first three months of 2024.</w:t>
      </w:r>
    </w:p>
    <w:p>
      <w:pPr>
        <w:spacing w:after="0" w:line="10" w:lineRule="exact"/>
        <w:rPr>
          <w:rFonts w:ascii="Arial" w:cs="Arial" w:eastAsia="Arial" w:hAnsi="Arial"/>
          <w:sz w:val="16"/>
          <w:szCs w:val="16"/>
          <w:color w:val="auto"/>
          <w:vertAlign w:val="superscript"/>
        </w:rPr>
      </w:pPr>
    </w:p>
    <w:p>
      <w:pPr>
        <w:ind w:left="20" w:right="180" w:firstLine="4"/>
        <w:spacing w:after="0" w:line="223" w:lineRule="auto"/>
        <w:tabs>
          <w:tab w:leader="none" w:pos="153" w:val="left"/>
        </w:tabs>
        <w:numPr>
          <w:ilvl w:val="0"/>
          <w:numId w:val="12"/>
        </w:numPr>
        <w:rPr>
          <w:rFonts w:ascii="Arial" w:cs="Arial" w:eastAsia="Arial" w:hAnsi="Arial"/>
          <w:sz w:val="15"/>
          <w:szCs w:val="15"/>
          <w:color w:val="auto"/>
          <w:vertAlign w:val="superscript"/>
        </w:rPr>
      </w:pPr>
      <w:r>
        <w:rPr>
          <w:rFonts w:ascii="Arial" w:cs="Arial" w:eastAsia="Arial" w:hAnsi="Arial"/>
          <w:sz w:val="12"/>
          <w:szCs w:val="12"/>
          <w:color w:val="auto"/>
        </w:rPr>
        <w:t>Facilities capital includes $1 million in the third quarter of 2023 to build replacement water injection facilities which will allow CRC to divert produced water away from a depleted oil and natural gas reservoir held by the Carbon TerraVault JV. Construction of these facilities supports the advancement of CRC’s carbon management business and CRC reported these amounts as part of adjusted CMB capital in this press release. Where adjusted CMB capital is presented, CRC removed the amounts from facilities capital and presented adjusted E&amp;P, Corporate and Other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240"/>
          </w:cols>
          <w:pgMar w:left="320" w:top="1103"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215900</wp:posOffset>
            </wp:positionH>
            <wp:positionV relativeFrom="page">
              <wp:posOffset>664210</wp:posOffset>
            </wp:positionV>
            <wp:extent cx="71170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7080" cy="8255"/>
                    </a:xfrm>
                    <a:prstGeom prst="rect">
                      <a:avLst/>
                    </a:prstGeom>
                    <a:noFill/>
                  </pic:spPr>
                </pic:pic>
              </a:graphicData>
            </a:graphic>
          </wp:anchor>
        </w:drawing>
        <w:drawing>
          <wp:anchor simplePos="0" relativeHeight="251657728" behindDoc="1" locked="0" layoutInCell="0" allowOverlap="1">
            <wp:simplePos x="0" y="0"/>
            <wp:positionH relativeFrom="page">
              <wp:posOffset>215900</wp:posOffset>
            </wp:positionH>
            <wp:positionV relativeFrom="page">
              <wp:posOffset>689610</wp:posOffset>
            </wp:positionV>
            <wp:extent cx="71170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7080" cy="8255"/>
                    </a:xfrm>
                    <a:prstGeom prst="rect">
                      <a:avLst/>
                    </a:prstGeom>
                    <a:noFill/>
                  </pic:spPr>
                </pic:pic>
              </a:graphicData>
            </a:graphic>
          </wp:anchor>
        </w:drawing>
        <w:t>ADJUSTED GENERAL &amp; ADMINISTRATIVE EXPENSES</w:t>
      </w:r>
    </w:p>
    <w:p>
      <w:pPr>
        <w:spacing w:after="0" w:line="132" w:lineRule="exact"/>
        <w:rPr>
          <w:sz w:val="20"/>
          <w:szCs w:val="20"/>
          <w:color w:val="auto"/>
        </w:rPr>
      </w:pPr>
    </w:p>
    <w:p>
      <w:pPr>
        <w:jc w:val="both"/>
        <w:ind w:left="20" w:right="20"/>
        <w:spacing w:after="0" w:line="248" w:lineRule="auto"/>
        <w:rPr>
          <w:sz w:val="20"/>
          <w:szCs w:val="20"/>
          <w:color w:val="auto"/>
        </w:rPr>
      </w:pPr>
      <w:r>
        <w:rPr>
          <w:rFonts w:ascii="Arial" w:cs="Arial" w:eastAsia="Arial" w:hAnsi="Arial"/>
          <w:sz w:val="14"/>
          <w:szCs w:val="14"/>
          <w:color w:val="auto"/>
        </w:rPr>
        <w:t>Management uses a measure called adjusted general and administrative (G&amp;A) expenses to provide useful information to investors interested in comparing CRC's costs between periods and performance to our peers. CRC supplemented its non-GAAP measure of adjusted general and administrative expenses with adjusted general and administrative expenses of its exploration and production and corporate items (adjusted general &amp; administrative expenses for E&amp;P, Corporate &amp; Other) which it believes is a useful measure for investors to understand the results or CRC's core oil and gas business. CRC defines adjusted general &amp; administrative Expenses for E&amp;P, Corporate &amp; Other as consolidated adjusted general and administrative expenses less results attributable to its carbon management business (CMB).</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16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2nd Quarter</w:t>
            </w:r>
          </w:p>
        </w:tc>
        <w:tc>
          <w:tcPr>
            <w:tcW w:w="16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3rd Quarter</w:t>
            </w:r>
          </w:p>
        </w:tc>
        <w:tc>
          <w:tcPr>
            <w:tcW w:w="1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w:t>
            </w:r>
          </w:p>
        </w:tc>
        <w:tc>
          <w:tcPr>
            <w:tcW w:w="160" w:type="dxa"/>
            <w:vAlign w:val="bottom"/>
          </w:tcPr>
          <w:p>
            <w:pPr>
              <w:spacing w:after="0"/>
              <w:rPr>
                <w:sz w:val="16"/>
                <w:szCs w:val="16"/>
                <w:color w:val="auto"/>
              </w:rPr>
            </w:pPr>
          </w:p>
        </w:tc>
        <w:tc>
          <w:tcPr>
            <w:tcW w:w="1120" w:type="dxa"/>
            <w:vAlign w:val="bottom"/>
          </w:tcPr>
          <w:p>
            <w:pPr>
              <w:jc w:val="right"/>
              <w:ind w:right="149"/>
              <w:spacing w:after="0"/>
              <w:rPr>
                <w:sz w:val="20"/>
                <w:szCs w:val="20"/>
                <w:color w:val="auto"/>
              </w:rPr>
            </w:pPr>
            <w:r>
              <w:rPr>
                <w:rFonts w:ascii="Arial" w:cs="Arial" w:eastAsia="Arial" w:hAnsi="Arial"/>
                <w:sz w:val="14"/>
                <w:szCs w:val="14"/>
                <w:b w:val="1"/>
                <w:bCs w:val="1"/>
                <w:color w:val="auto"/>
              </w:rPr>
              <w:t>Nine Months</w:t>
            </w:r>
          </w:p>
        </w:tc>
      </w:tr>
      <w:tr>
        <w:trPr>
          <w:trHeight w:val="201"/>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2023</w:t>
            </w:r>
          </w:p>
        </w:tc>
      </w:tr>
      <w:tr>
        <w:trPr>
          <w:trHeight w:val="193"/>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General and administrative expenses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106</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63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226</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9"/>
              <w:spacing w:after="0"/>
              <w:rPr>
                <w:sz w:val="20"/>
                <w:szCs w:val="20"/>
                <w:color w:val="auto"/>
              </w:rPr>
            </w:pPr>
            <w:r>
              <w:rPr>
                <w:rFonts w:ascii="Arial" w:cs="Arial" w:eastAsia="Arial" w:hAnsi="Arial"/>
                <w:sz w:val="14"/>
                <w:szCs w:val="14"/>
                <w:b w:val="1"/>
                <w:bCs w:val="1"/>
                <w:color w:val="auto"/>
              </w:rPr>
              <w:t>201</w:t>
            </w:r>
          </w:p>
        </w:tc>
      </w:tr>
      <w:tr>
        <w:trPr>
          <w:trHeight w:val="200"/>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(21)</w:t>
            </w:r>
          </w:p>
        </w:tc>
      </w:tr>
      <w:tr>
        <w:trPr>
          <w:trHeight w:val="200"/>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Information technology infrastructure</w:t>
            </w:r>
          </w:p>
        </w:tc>
        <w:tc>
          <w:tcPr>
            <w:tcW w:w="1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(13)</w:t>
            </w:r>
          </w:p>
        </w:tc>
      </w:tr>
      <w:tr>
        <w:trPr>
          <w:trHeight w:val="200"/>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Accelerated vesting</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r>
      <w:tr>
        <w:trPr>
          <w:trHeight w:val="200"/>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Retention awards</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r>
      <w:tr>
        <w:trPr>
          <w:trHeight w:val="201"/>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w:t>
            </w:r>
          </w:p>
        </w:tc>
      </w:tr>
      <w:tr>
        <w:trPr>
          <w:trHeight w:val="194"/>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Adjusted G&amp;A expenses</w:t>
            </w: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89</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194</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163</w:t>
            </w:r>
          </w:p>
        </w:tc>
      </w:tr>
      <w:tr>
        <w:trPr>
          <w:trHeight w:val="20"/>
        </w:trPr>
        <w:tc>
          <w:tcPr>
            <w:tcW w:w="4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78"/>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E&amp;P, Corporate and Other adjusted G&amp;A expenses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87</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187</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9"/>
              <w:spacing w:after="0"/>
              <w:rPr>
                <w:sz w:val="20"/>
                <w:szCs w:val="20"/>
                <w:color w:val="auto"/>
              </w:rPr>
            </w:pPr>
            <w:r>
              <w:rPr>
                <w:rFonts w:ascii="Arial" w:cs="Arial" w:eastAsia="Arial" w:hAnsi="Arial"/>
                <w:sz w:val="14"/>
                <w:szCs w:val="14"/>
                <w:b w:val="1"/>
                <w:bCs w:val="1"/>
                <w:color w:val="auto"/>
              </w:rPr>
              <w:t>153</w:t>
            </w:r>
          </w:p>
        </w:tc>
      </w:tr>
      <w:tr>
        <w:trPr>
          <w:trHeight w:val="200"/>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CMB adjusted G&amp;A expenses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7</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9"/>
              <w:spacing w:after="0"/>
              <w:rPr>
                <w:sz w:val="20"/>
                <w:szCs w:val="20"/>
                <w:color w:val="auto"/>
              </w:rPr>
            </w:pPr>
            <w:r>
              <w:rPr>
                <w:rFonts w:ascii="Arial" w:cs="Arial" w:eastAsia="Arial" w:hAnsi="Arial"/>
                <w:sz w:val="14"/>
                <w:szCs w:val="14"/>
                <w:b w:val="1"/>
                <w:bCs w:val="1"/>
                <w:color w:val="auto"/>
              </w:rPr>
              <w:t>10</w:t>
            </w:r>
          </w:p>
        </w:tc>
      </w:tr>
      <w:tr>
        <w:trPr>
          <w:trHeight w:val="413"/>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Adjusted G&amp;A per BOE</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6.68</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8.15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6.49</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7.15</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9"/>
              <w:spacing w:after="0"/>
              <w:rPr>
                <w:sz w:val="20"/>
                <w:szCs w:val="20"/>
                <w:color w:val="auto"/>
              </w:rPr>
            </w:pPr>
            <w:r>
              <w:rPr>
                <w:rFonts w:ascii="Arial" w:cs="Arial" w:eastAsia="Arial" w:hAnsi="Arial"/>
                <w:sz w:val="14"/>
                <w:szCs w:val="14"/>
                <w:b w:val="1"/>
                <w:bCs w:val="1"/>
                <w:color w:val="auto"/>
              </w:rPr>
              <w:t>6.87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70326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326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144780</wp:posOffset>
            </wp:positionV>
            <wp:extent cx="70326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32625" cy="8255"/>
                    </a:xfrm>
                    <a:prstGeom prst="rect">
                      <a:avLst/>
                    </a:prstGeom>
                    <a:noFill/>
                  </pic:spPr>
                </pic:pic>
              </a:graphicData>
            </a:graphic>
          </wp:anchor>
        </w:drawing>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OPERATING COSTS PER BOE</w:t>
      </w:r>
    </w:p>
    <w:p>
      <w:pPr>
        <w:spacing w:after="0" w:line="132" w:lineRule="exact"/>
        <w:rPr>
          <w:sz w:val="20"/>
          <w:szCs w:val="20"/>
          <w:color w:val="auto"/>
        </w:rPr>
      </w:pPr>
    </w:p>
    <w:p>
      <w:pPr>
        <w:jc w:val="both"/>
        <w:ind w:left="20" w:right="20"/>
        <w:spacing w:after="0" w:line="259" w:lineRule="auto"/>
        <w:rPr>
          <w:sz w:val="20"/>
          <w:szCs w:val="20"/>
          <w:color w:val="auto"/>
        </w:rPr>
      </w:pPr>
      <w:r>
        <w:rPr>
          <w:rFonts w:ascii="Arial" w:cs="Arial" w:eastAsia="Arial" w:hAnsi="Arial"/>
          <w:sz w:val="14"/>
          <w:szCs w:val="14"/>
          <w:color w:val="auto"/>
        </w:rPr>
        <w:t>The reporting of PSC-type contracts creates a difference between reported operating costs, which are for the full field, and reported volumes, which are only CRC's net share, inflating the per barrel operating costs. The following table presents operating costs after adjusting for the excess costs attributable to PSCs.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16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2nd Quarter</w:t>
            </w:r>
          </w:p>
        </w:tc>
        <w:tc>
          <w:tcPr>
            <w:tcW w:w="16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3rd Quarter</w:t>
            </w:r>
          </w:p>
        </w:tc>
        <w:tc>
          <w:tcPr>
            <w:tcW w:w="1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w:t>
            </w:r>
          </w:p>
        </w:tc>
        <w:tc>
          <w:tcPr>
            <w:tcW w:w="160" w:type="dxa"/>
            <w:vAlign w:val="bottom"/>
          </w:tcPr>
          <w:p>
            <w:pPr>
              <w:spacing w:after="0"/>
              <w:rPr>
                <w:sz w:val="16"/>
                <w:szCs w:val="16"/>
                <w:color w:val="auto"/>
              </w:rPr>
            </w:pPr>
          </w:p>
        </w:tc>
        <w:tc>
          <w:tcPr>
            <w:tcW w:w="1120" w:type="dxa"/>
            <w:vAlign w:val="bottom"/>
          </w:tcPr>
          <w:p>
            <w:pPr>
              <w:jc w:val="right"/>
              <w:ind w:right="149"/>
              <w:spacing w:after="0"/>
              <w:rPr>
                <w:sz w:val="20"/>
                <w:szCs w:val="20"/>
                <w:color w:val="auto"/>
              </w:rPr>
            </w:pPr>
            <w:r>
              <w:rPr>
                <w:rFonts w:ascii="Arial" w:cs="Arial" w:eastAsia="Arial" w:hAnsi="Arial"/>
                <w:sz w:val="14"/>
                <w:szCs w:val="14"/>
                <w:b w:val="1"/>
                <w:bCs w:val="1"/>
                <w:color w:val="auto"/>
              </w:rPr>
              <w:t>Nine Months</w:t>
            </w:r>
          </w:p>
        </w:tc>
      </w:tr>
      <w:tr>
        <w:trPr>
          <w:trHeight w:val="201"/>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per BOE)</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2023</w:t>
            </w:r>
          </w:p>
        </w:tc>
      </w:tr>
      <w:tr>
        <w:trPr>
          <w:trHeight w:val="196"/>
        </w:trPr>
        <w:tc>
          <w:tcPr>
            <w:tcW w:w="4500" w:type="dxa"/>
            <w:vAlign w:val="bottom"/>
            <w:gridSpan w:val="2"/>
          </w:tcPr>
          <w:p>
            <w:pPr>
              <w:ind w:left="20"/>
              <w:spacing w:after="0" w:line="195" w:lineRule="exact"/>
              <w:rPr>
                <w:sz w:val="20"/>
                <w:szCs w:val="20"/>
                <w:color w:val="auto"/>
              </w:rPr>
            </w:pPr>
            <w:r>
              <w:rPr>
                <w:rFonts w:ascii="Arial" w:cs="Arial" w:eastAsia="Arial" w:hAnsi="Arial"/>
                <w:sz w:val="14"/>
                <w:szCs w:val="14"/>
                <w:color w:val="auto"/>
              </w:rPr>
              <w:t xml:space="preserve">Energy operating costs </w:t>
            </w:r>
            <w:r>
              <w:rPr>
                <w:rFonts w:ascii="Arial" w:cs="Arial" w:eastAsia="Arial" w:hAnsi="Arial"/>
                <w:sz w:val="18"/>
                <w:szCs w:val="18"/>
                <w:color w:val="auto"/>
                <w:vertAlign w:val="superscript"/>
              </w:rPr>
              <w:t>(1)</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7.29</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6.40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9.42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7.26</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9"/>
              <w:spacing w:after="0"/>
              <w:rPr>
                <w:sz w:val="20"/>
                <w:szCs w:val="20"/>
                <w:color w:val="auto"/>
              </w:rPr>
            </w:pPr>
            <w:r>
              <w:rPr>
                <w:rFonts w:ascii="Arial" w:cs="Arial" w:eastAsia="Arial" w:hAnsi="Arial"/>
                <w:sz w:val="14"/>
                <w:szCs w:val="14"/>
                <w:b w:val="1"/>
                <w:bCs w:val="1"/>
                <w:color w:val="auto"/>
              </w:rPr>
              <w:t>10.87</w:t>
            </w:r>
          </w:p>
        </w:tc>
      </w:tr>
      <w:tr>
        <w:trPr>
          <w:trHeight w:val="202"/>
        </w:trPr>
        <w:tc>
          <w:tcPr>
            <w:tcW w:w="450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Gas processing costs </w:t>
            </w:r>
            <w:r>
              <w:rPr>
                <w:rFonts w:ascii="Arial" w:cs="Arial" w:eastAsia="Arial" w:hAnsi="Arial"/>
                <w:sz w:val="18"/>
                <w:szCs w:val="18"/>
                <w:color w:val="auto"/>
                <w:vertAlign w:val="superscript"/>
              </w:rPr>
              <w:t>(2)</w:t>
            </w:r>
          </w:p>
        </w:tc>
        <w:tc>
          <w:tcPr>
            <w:tcW w:w="180" w:type="dxa"/>
            <w:vAlign w:val="bottom"/>
          </w:tcPr>
          <w:p>
            <w:pPr>
              <w:spacing w:after="0"/>
              <w:rPr>
                <w:sz w:val="17"/>
                <w:szCs w:val="17"/>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0.38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0.44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0.64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0.44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b w:val="1"/>
                <w:bCs w:val="1"/>
                <w:color w:val="auto"/>
              </w:rPr>
              <w:t>0.59</w:t>
            </w:r>
          </w:p>
        </w:tc>
      </w:tr>
      <w:tr>
        <w:trPr>
          <w:trHeight w:val="195"/>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Non-energy operating costs</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16.06</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14.90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16.41</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15.34</w:t>
            </w:r>
          </w:p>
        </w:tc>
      </w:tr>
      <w:tr>
        <w:trPr>
          <w:trHeight w:val="193"/>
        </w:trPr>
        <w:tc>
          <w:tcPr>
            <w:tcW w:w="4500" w:type="dxa"/>
            <w:vAlign w:val="bottom"/>
            <w:gridSpan w:val="2"/>
          </w:tcPr>
          <w:p>
            <w:pPr>
              <w:ind w:left="140"/>
              <w:spacing w:after="0"/>
              <w:rPr>
                <w:sz w:val="20"/>
                <w:szCs w:val="20"/>
                <w:color w:val="auto"/>
              </w:rPr>
            </w:pPr>
            <w:r>
              <w:rPr>
                <w:rFonts w:ascii="Arial" w:cs="Arial" w:eastAsia="Arial" w:hAnsi="Arial"/>
                <w:sz w:val="14"/>
                <w:szCs w:val="14"/>
                <w:b w:val="1"/>
                <w:bCs w:val="1"/>
                <w:color w:val="auto"/>
              </w:rPr>
              <w:t>Operating costs</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23.73</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23.14</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24.96</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24.11</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26.80</w:t>
            </w:r>
          </w:p>
        </w:tc>
      </w:tr>
      <w:tr>
        <w:trPr>
          <w:trHeight w:val="387"/>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Costs attributable to PSCs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6"/>
        </w:trPr>
        <w:tc>
          <w:tcPr>
            <w:tcW w:w="4500" w:type="dxa"/>
            <w:vAlign w:val="bottom"/>
            <w:gridSpan w:val="2"/>
          </w:tcPr>
          <w:p>
            <w:pPr>
              <w:ind w:left="140"/>
              <w:spacing w:after="0"/>
              <w:rPr>
                <w:sz w:val="20"/>
                <w:szCs w:val="20"/>
                <w:color w:val="auto"/>
              </w:rPr>
            </w:pPr>
            <w:r>
              <w:rPr>
                <w:rFonts w:ascii="Arial" w:cs="Arial" w:eastAsia="Arial" w:hAnsi="Arial"/>
                <w:sz w:val="14"/>
                <w:szCs w:val="14"/>
                <w:color w:val="auto"/>
              </w:rPr>
              <w:t>Excess energy operating costs attributable to PSCs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(0.75)</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(0.94)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(1.09)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(0.70)</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(1.01)</w:t>
            </w:r>
          </w:p>
        </w:tc>
      </w:tr>
      <w:tr>
        <w:trPr>
          <w:trHeight w:val="200"/>
        </w:trPr>
        <w:tc>
          <w:tcPr>
            <w:tcW w:w="4500" w:type="dxa"/>
            <w:vAlign w:val="bottom"/>
            <w:gridSpan w:val="2"/>
          </w:tcPr>
          <w:p>
            <w:pPr>
              <w:ind w:left="140"/>
              <w:spacing w:after="0"/>
              <w:rPr>
                <w:sz w:val="20"/>
                <w:szCs w:val="20"/>
                <w:color w:val="auto"/>
              </w:rPr>
            </w:pPr>
            <w:r>
              <w:rPr>
                <w:rFonts w:ascii="Arial" w:cs="Arial" w:eastAsia="Arial" w:hAnsi="Arial"/>
                <w:sz w:val="14"/>
                <w:szCs w:val="14"/>
                <w:color w:val="auto"/>
              </w:rPr>
              <w:t>Excess non-energy operating costs attributable to PSCs</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(0.48)</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(1.30)</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(1.18)</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(1.25)</w:t>
            </w:r>
          </w:p>
        </w:tc>
      </w:tr>
      <w:tr>
        <w:trPr>
          <w:trHeight w:val="193"/>
        </w:trPr>
        <w:tc>
          <w:tcPr>
            <w:tcW w:w="4500" w:type="dxa"/>
            <w:vAlign w:val="bottom"/>
            <w:gridSpan w:val="2"/>
          </w:tcPr>
          <w:p>
            <w:pPr>
              <w:ind w:left="260"/>
              <w:spacing w:after="0"/>
              <w:rPr>
                <w:sz w:val="20"/>
                <w:szCs w:val="20"/>
                <w:color w:val="auto"/>
              </w:rPr>
            </w:pPr>
            <w:r>
              <w:rPr>
                <w:rFonts w:ascii="Arial" w:cs="Arial" w:eastAsia="Arial" w:hAnsi="Arial"/>
                <w:sz w:val="14"/>
                <w:szCs w:val="14"/>
                <w:b w:val="1"/>
                <w:bCs w:val="1"/>
                <w:color w:val="auto"/>
              </w:rPr>
              <w:t>Excess costs attributable to PSCs</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(2.56)</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(2.39)</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(1.88)</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(2.26)</w:t>
            </w:r>
          </w:p>
        </w:tc>
      </w:tr>
      <w:tr>
        <w:trPr>
          <w:trHeight w:val="396"/>
        </w:trPr>
        <w:tc>
          <w:tcPr>
            <w:tcW w:w="4500" w:type="dxa"/>
            <w:vAlign w:val="bottom"/>
            <w:gridSpan w:val="2"/>
          </w:tcPr>
          <w:p>
            <w:pPr>
              <w:ind w:left="140"/>
              <w:spacing w:after="0"/>
              <w:rPr>
                <w:sz w:val="20"/>
                <w:szCs w:val="20"/>
                <w:color w:val="auto"/>
              </w:rPr>
            </w:pPr>
            <w:r>
              <w:rPr>
                <w:rFonts w:ascii="Arial" w:cs="Arial" w:eastAsia="Arial" w:hAnsi="Arial"/>
                <w:sz w:val="14"/>
                <w:szCs w:val="14"/>
                <w:color w:val="auto"/>
              </w:rPr>
              <w:t xml:space="preserve">Energy operating costs, excluding effect of PSCs </w:t>
            </w:r>
            <w:r>
              <w:rPr>
                <w:rFonts w:ascii="Arial" w:cs="Arial" w:eastAsia="Arial" w:hAnsi="Arial"/>
                <w:sz w:val="18"/>
                <w:szCs w:val="18"/>
                <w:color w:val="auto"/>
                <w:vertAlign w:val="superscript"/>
              </w:rPr>
              <w:t>(1)</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6.54</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5.46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8.33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6.56</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9"/>
              <w:spacing w:after="0"/>
              <w:rPr>
                <w:sz w:val="20"/>
                <w:szCs w:val="20"/>
                <w:color w:val="auto"/>
              </w:rPr>
            </w:pPr>
            <w:r>
              <w:rPr>
                <w:rFonts w:ascii="Arial" w:cs="Arial" w:eastAsia="Arial" w:hAnsi="Arial"/>
                <w:sz w:val="14"/>
                <w:szCs w:val="14"/>
                <w:b w:val="1"/>
                <w:bCs w:val="1"/>
                <w:color w:val="auto"/>
              </w:rPr>
              <w:t>9.86</w:t>
            </w:r>
          </w:p>
        </w:tc>
      </w:tr>
      <w:tr>
        <w:trPr>
          <w:trHeight w:val="202"/>
        </w:trPr>
        <w:tc>
          <w:tcPr>
            <w:tcW w:w="4500" w:type="dxa"/>
            <w:vAlign w:val="bottom"/>
            <w:gridSpan w:val="2"/>
          </w:tcPr>
          <w:p>
            <w:pPr>
              <w:ind w:left="140"/>
              <w:spacing w:after="0" w:line="202" w:lineRule="exact"/>
              <w:rPr>
                <w:sz w:val="20"/>
                <w:szCs w:val="20"/>
                <w:color w:val="auto"/>
              </w:rPr>
            </w:pPr>
            <w:r>
              <w:rPr>
                <w:rFonts w:ascii="Arial" w:cs="Arial" w:eastAsia="Arial" w:hAnsi="Arial"/>
                <w:sz w:val="14"/>
                <w:szCs w:val="14"/>
                <w:color w:val="auto"/>
              </w:rPr>
              <w:t xml:space="preserve">Gas processing costs, excluding effect of PSCs </w:t>
            </w:r>
            <w:r>
              <w:rPr>
                <w:rFonts w:ascii="Arial" w:cs="Arial" w:eastAsia="Arial" w:hAnsi="Arial"/>
                <w:sz w:val="18"/>
                <w:szCs w:val="18"/>
                <w:color w:val="auto"/>
                <w:vertAlign w:val="superscript"/>
              </w:rPr>
              <w:t>(2)</w:t>
            </w:r>
          </w:p>
        </w:tc>
        <w:tc>
          <w:tcPr>
            <w:tcW w:w="180" w:type="dxa"/>
            <w:vAlign w:val="bottom"/>
          </w:tcPr>
          <w:p>
            <w:pPr>
              <w:spacing w:after="0"/>
              <w:rPr>
                <w:sz w:val="17"/>
                <w:szCs w:val="17"/>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0.38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0.44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0.64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0.44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b w:val="1"/>
                <w:bCs w:val="1"/>
                <w:color w:val="auto"/>
              </w:rPr>
              <w:t>0.59</w:t>
            </w:r>
          </w:p>
        </w:tc>
      </w:tr>
      <w:tr>
        <w:trPr>
          <w:trHeight w:val="195"/>
        </w:trPr>
        <w:tc>
          <w:tcPr>
            <w:tcW w:w="4500" w:type="dxa"/>
            <w:vAlign w:val="bottom"/>
            <w:gridSpan w:val="2"/>
          </w:tcPr>
          <w:p>
            <w:pPr>
              <w:ind w:left="140"/>
              <w:spacing w:after="0"/>
              <w:rPr>
                <w:sz w:val="20"/>
                <w:szCs w:val="20"/>
                <w:color w:val="auto"/>
              </w:rPr>
            </w:pPr>
            <w:r>
              <w:rPr>
                <w:rFonts w:ascii="Arial" w:cs="Arial" w:eastAsia="Arial" w:hAnsi="Arial"/>
                <w:sz w:val="14"/>
                <w:szCs w:val="14"/>
                <w:color w:val="auto"/>
              </w:rPr>
              <w:t>Non-energy operating costs, excluding effect of PSCs</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15.58</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14.68</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13.60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15.23</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14.09</w:t>
            </w:r>
          </w:p>
        </w:tc>
      </w:tr>
      <w:tr>
        <w:trPr>
          <w:trHeight w:val="194"/>
        </w:trPr>
        <w:tc>
          <w:tcPr>
            <w:tcW w:w="450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costs, excluding effects of PSCs</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22.50</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20.58</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22.57</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22.23</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24.54</w:t>
            </w:r>
          </w:p>
        </w:tc>
      </w:tr>
      <w:tr>
        <w:trPr>
          <w:trHeight w:val="20"/>
        </w:trPr>
        <w:tc>
          <w:tcPr>
            <w:tcW w:w="4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20" w:right="320" w:hanging="2"/>
        <w:spacing w:after="0" w:line="212" w:lineRule="auto"/>
        <w:tabs>
          <w:tab w:leader="none" w:pos="153" w:val="left"/>
        </w:tabs>
        <w:numPr>
          <w:ilvl w:val="0"/>
          <w:numId w:val="13"/>
        </w:numPr>
        <w:rPr>
          <w:rFonts w:ascii="Arial" w:cs="Arial" w:eastAsia="Arial" w:hAnsi="Arial"/>
          <w:sz w:val="16"/>
          <w:szCs w:val="16"/>
          <w:color w:val="auto"/>
          <w:vertAlign w:val="superscript"/>
        </w:rPr>
      </w:pPr>
      <w:r>
        <w:rPr>
          <w:rFonts w:ascii="Arial" w:cs="Arial" w:eastAsia="Arial" w:hAnsi="Arial"/>
          <w:sz w:val="12"/>
          <w:szCs w:val="12"/>
          <w:color w:val="auto"/>
        </w:rPr>
        <w:t>Energy operating costs consist of purchased natural gas used to generate electricity for operations and steamfloods, purchased electricity and internal costs to generate electricity used in CRC's operations.</w:t>
      </w:r>
    </w:p>
    <w:p>
      <w:pPr>
        <w:spacing w:after="0" w:line="14" w:lineRule="exact"/>
        <w:rPr>
          <w:rFonts w:ascii="Arial" w:cs="Arial" w:eastAsia="Arial" w:hAnsi="Arial"/>
          <w:sz w:val="16"/>
          <w:szCs w:val="16"/>
          <w:color w:val="auto"/>
          <w:vertAlign w:val="superscript"/>
        </w:rPr>
      </w:pPr>
    </w:p>
    <w:p>
      <w:pPr>
        <w:ind w:left="140" w:hanging="122"/>
        <w:spacing w:after="0"/>
        <w:tabs>
          <w:tab w:leader="none" w:pos="140" w:val="left"/>
        </w:tabs>
        <w:numPr>
          <w:ilvl w:val="0"/>
          <w:numId w:val="13"/>
        </w:numPr>
        <w:rPr>
          <w:rFonts w:ascii="Arial" w:cs="Arial" w:eastAsia="Arial" w:hAnsi="Arial"/>
          <w:sz w:val="15"/>
          <w:szCs w:val="15"/>
          <w:color w:val="auto"/>
          <w:vertAlign w:val="superscript"/>
        </w:rPr>
      </w:pPr>
      <w:r>
        <w:rPr>
          <w:rFonts w:ascii="Arial" w:cs="Arial" w:eastAsia="Arial" w:hAnsi="Arial"/>
          <w:sz w:val="12"/>
          <w:szCs w:val="12"/>
          <w:color w:val="auto"/>
        </w:rPr>
        <w:t>Gas processing costs include costs associated with compression, maintenance and other activities needed to run CRC's gas processing facilities at Elk Hills.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080"/>
          </w:cols>
          <w:pgMar w:left="340" w:top="1103" w:right="479" w:bottom="1440" w:gutter="0" w:footer="0" w:header="0"/>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17</w:t>
      </w:r>
    </w:p>
    <w:p>
      <w:pPr>
        <w:sectPr>
          <w:pgSz w:w="11900" w:h="16838" w:orient="portrait"/>
          <w:cols w:equalWidth="0" w:num="1">
            <w:col w:w="9019"/>
          </w:cols>
          <w:pgMar w:left="1440" w:top="1440" w:right="1440" w:bottom="1440" w:gutter="0" w:footer="0" w:header="0"/>
        </w:sectPr>
      </w:pPr>
    </w:p>
    <w:bookmarkStart w:id="20" w:name="page21"/>
    <w:bookmarkEnd w:id="20"/>
    <w:p>
      <w:pPr>
        <w:jc w:val="right"/>
        <w:spacing w:after="0"/>
        <w:rPr>
          <w:sz w:val="20"/>
          <w:szCs w:val="20"/>
          <w:color w:val="auto"/>
        </w:rPr>
      </w:pPr>
      <w:r>
        <w:rPr>
          <w:rFonts w:ascii="Arial" w:cs="Arial" w:eastAsia="Arial" w:hAnsi="Arial"/>
          <w:sz w:val="14"/>
          <w:szCs w:val="14"/>
          <w:b w:val="1"/>
          <w:bCs w:val="1"/>
          <w:color w:val="auto"/>
        </w:rPr>
        <w:t>Attachment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70580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580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47625</wp:posOffset>
            </wp:positionV>
            <wp:extent cx="70580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58025" cy="8255"/>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PRODUCTION STATISTICS</w:t>
      </w:r>
    </w:p>
    <w:p>
      <w:pPr>
        <w:spacing w:after="0" w:line="106" w:lineRule="exact"/>
        <w:rPr>
          <w:sz w:val="20"/>
          <w:szCs w:val="20"/>
          <w:color w:val="auto"/>
        </w:rPr>
      </w:pPr>
    </w:p>
    <w:p>
      <w:pPr>
        <w:jc w:val="both"/>
        <w:ind w:right="180"/>
        <w:spacing w:after="0" w:line="278" w:lineRule="auto"/>
        <w:rPr>
          <w:sz w:val="20"/>
          <w:szCs w:val="20"/>
          <w:color w:val="auto"/>
        </w:rPr>
      </w:pPr>
      <w:r>
        <w:rPr>
          <w:rFonts w:ascii="Arial" w:cs="Arial" w:eastAsia="Arial" w:hAnsi="Arial"/>
          <w:sz w:val="14"/>
          <w:szCs w:val="14"/>
          <w:color w:val="auto"/>
        </w:rPr>
        <w:t>The tables below present production information on the basis of gross production, net production and production sold. The difference between gross production and net production primarily reflects the reduction for volumes attributable to working interest and royalty owners and volumes associated with PSC-type contracts to arrive at CRC's net share. The difference between net production and net production sold reflects (i) the reduction for natural gas that CRC produces that is used in its oil and gas operations, including steam in its steamflood operations, and (ii) marketing activities reflecting the storage of volumes that CRC produces and are sold at a later time.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Volumes Sold</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3rd Quarter</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2nd Quarter</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3rd Quarter</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Nine Months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Nine Months</w:t>
            </w:r>
          </w:p>
        </w:tc>
      </w:tr>
      <w:tr>
        <w:trPr>
          <w:trHeight w:val="201"/>
        </w:trPr>
        <w:tc>
          <w:tcPr>
            <w:tcW w:w="3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Net Production Per Day</w:t>
            </w:r>
          </w:p>
        </w:tc>
        <w:tc>
          <w:tcPr>
            <w:tcW w:w="14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r>
      <w:tr>
        <w:trPr>
          <w:trHeight w:val="193"/>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Oil (MBbl/d)</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0"/>
        </w:trPr>
        <w:tc>
          <w:tcPr>
            <w:tcW w:w="3860" w:type="dxa"/>
            <w:vAlign w:val="bottom"/>
            <w:gridSpan w:val="2"/>
          </w:tcPr>
          <w:p>
            <w:pPr>
              <w:ind w:left="40"/>
              <w:spacing w:after="0"/>
              <w:rPr>
                <w:sz w:val="20"/>
                <w:szCs w:val="20"/>
                <w:color w:val="auto"/>
              </w:rPr>
            </w:pPr>
            <w:r>
              <w:rPr>
                <w:rFonts w:ascii="Arial" w:cs="Arial" w:eastAsia="Arial" w:hAnsi="Arial"/>
                <w:sz w:val="14"/>
                <w:szCs w:val="14"/>
                <w:color w:val="auto"/>
              </w:rPr>
              <w:t>San Joaquin Basin</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90</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33</w:t>
            </w:r>
          </w:p>
        </w:tc>
        <w:tc>
          <w:tcPr>
            <w:tcW w:w="100" w:type="dxa"/>
            <w:vAlign w:val="bottom"/>
          </w:tcPr>
          <w:p>
            <w:pPr>
              <w:spacing w:after="0"/>
              <w:rPr>
                <w:sz w:val="17"/>
                <w:szCs w:val="17"/>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50</w:t>
            </w:r>
          </w:p>
        </w:tc>
        <w:tc>
          <w:tcPr>
            <w:tcW w:w="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34</w:t>
            </w:r>
          </w:p>
        </w:tc>
      </w:tr>
      <w:tr>
        <w:trPr>
          <w:trHeight w:val="200"/>
        </w:trPr>
        <w:tc>
          <w:tcPr>
            <w:tcW w:w="3860" w:type="dxa"/>
            <w:vAlign w:val="bottom"/>
            <w:gridSpan w:val="2"/>
          </w:tcPr>
          <w:p>
            <w:pPr>
              <w:ind w:left="40"/>
              <w:spacing w:after="0"/>
              <w:rPr>
                <w:sz w:val="20"/>
                <w:szCs w:val="20"/>
                <w:color w:val="auto"/>
              </w:rPr>
            </w:pPr>
            <w:r>
              <w:rPr>
                <w:rFonts w:ascii="Arial" w:cs="Arial" w:eastAsia="Arial" w:hAnsi="Arial"/>
                <w:sz w:val="14"/>
                <w:szCs w:val="14"/>
                <w:color w:val="auto"/>
              </w:rPr>
              <w:t>Los Angeles Basin</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17"/>
                <w:szCs w:val="17"/>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17</w:t>
            </w:r>
          </w:p>
        </w:tc>
        <w:tc>
          <w:tcPr>
            <w:tcW w:w="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19</w:t>
            </w:r>
          </w:p>
        </w:tc>
      </w:tr>
      <w:tr>
        <w:trPr>
          <w:trHeight w:val="200"/>
        </w:trPr>
        <w:tc>
          <w:tcPr>
            <w:tcW w:w="3860" w:type="dxa"/>
            <w:vAlign w:val="bottom"/>
            <w:gridSpan w:val="2"/>
          </w:tcPr>
          <w:p>
            <w:pPr>
              <w:ind w:left="40"/>
              <w:spacing w:after="0"/>
              <w:rPr>
                <w:sz w:val="20"/>
                <w:szCs w:val="20"/>
                <w:color w:val="auto"/>
              </w:rPr>
            </w:pPr>
            <w:r>
              <w:rPr>
                <w:rFonts w:ascii="Arial" w:cs="Arial" w:eastAsia="Arial" w:hAnsi="Arial"/>
                <w:sz w:val="14"/>
                <w:szCs w:val="14"/>
                <w:color w:val="auto"/>
              </w:rPr>
              <w:t>Ventura Basin</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r>
      <w:tr>
        <w:trPr>
          <w:trHeight w:val="193"/>
        </w:trPr>
        <w:tc>
          <w:tcPr>
            <w:tcW w:w="386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113</w:t>
            </w:r>
          </w:p>
        </w:tc>
        <w:tc>
          <w:tcPr>
            <w:tcW w:w="100" w:type="dxa"/>
            <w:vAlign w:val="bottom"/>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47</w:t>
            </w:r>
          </w:p>
        </w:tc>
        <w:tc>
          <w:tcPr>
            <w:tcW w:w="100" w:type="dxa"/>
            <w:vAlign w:val="bottom"/>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51</w:t>
            </w:r>
          </w:p>
        </w:tc>
        <w:tc>
          <w:tcPr>
            <w:tcW w:w="100" w:type="dxa"/>
            <w:vAlign w:val="bottom"/>
          </w:tcPr>
          <w:p>
            <w:pPr>
              <w:spacing w:after="0"/>
              <w:rPr>
                <w:sz w:val="16"/>
                <w:szCs w:val="16"/>
                <w:color w:val="auto"/>
              </w:rPr>
            </w:pPr>
          </w:p>
        </w:tc>
        <w:tc>
          <w:tcPr>
            <w:tcW w:w="14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69</w:t>
            </w:r>
          </w:p>
        </w:tc>
        <w:tc>
          <w:tcPr>
            <w:tcW w:w="80" w:type="dxa"/>
            <w:vAlign w:val="bottom"/>
          </w:tcPr>
          <w:p>
            <w:pPr>
              <w:spacing w:after="0"/>
              <w:rPr>
                <w:sz w:val="16"/>
                <w:szCs w:val="16"/>
                <w:color w:val="auto"/>
              </w:rPr>
            </w:pPr>
          </w:p>
        </w:tc>
        <w:tc>
          <w:tcPr>
            <w:tcW w:w="13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53</w:t>
            </w:r>
          </w:p>
        </w:tc>
      </w:tr>
      <w:tr>
        <w:trPr>
          <w:trHeight w:val="360"/>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NGLs (MBbl/d)</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0"/>
        </w:trPr>
        <w:tc>
          <w:tcPr>
            <w:tcW w:w="3860" w:type="dxa"/>
            <w:vAlign w:val="bottom"/>
            <w:gridSpan w:val="2"/>
          </w:tcPr>
          <w:p>
            <w:pPr>
              <w:ind w:left="40"/>
              <w:spacing w:after="0"/>
              <w:rPr>
                <w:sz w:val="20"/>
                <w:szCs w:val="20"/>
                <w:color w:val="auto"/>
              </w:rPr>
            </w:pPr>
            <w:r>
              <w:rPr>
                <w:rFonts w:ascii="Arial" w:cs="Arial" w:eastAsia="Arial" w:hAnsi="Arial"/>
                <w:sz w:val="14"/>
                <w:szCs w:val="14"/>
                <w:color w:val="auto"/>
              </w:rPr>
              <w:t>San Joaquin Basin</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11</w:t>
            </w:r>
          </w:p>
        </w:tc>
      </w:tr>
      <w:tr>
        <w:trPr>
          <w:trHeight w:val="193"/>
        </w:trPr>
        <w:tc>
          <w:tcPr>
            <w:tcW w:w="386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6"/>
                <w:szCs w:val="16"/>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6"/>
                <w:szCs w:val="16"/>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11</w:t>
            </w:r>
          </w:p>
        </w:tc>
      </w:tr>
      <w:tr>
        <w:trPr>
          <w:trHeight w:val="360"/>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Natural Gas (MMcf/d)</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0"/>
        </w:trPr>
        <w:tc>
          <w:tcPr>
            <w:tcW w:w="3860" w:type="dxa"/>
            <w:vAlign w:val="bottom"/>
            <w:gridSpan w:val="2"/>
          </w:tcPr>
          <w:p>
            <w:pPr>
              <w:ind w:left="40"/>
              <w:spacing w:after="0"/>
              <w:rPr>
                <w:sz w:val="20"/>
                <w:szCs w:val="20"/>
                <w:color w:val="auto"/>
              </w:rPr>
            </w:pPr>
            <w:r>
              <w:rPr>
                <w:rFonts w:ascii="Arial" w:cs="Arial" w:eastAsia="Arial" w:hAnsi="Arial"/>
                <w:sz w:val="14"/>
                <w:szCs w:val="14"/>
                <w:color w:val="auto"/>
              </w:rPr>
              <w:t>San Joaquin Basin</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111</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99</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122</w:t>
            </w:r>
          </w:p>
        </w:tc>
        <w:tc>
          <w:tcPr>
            <w:tcW w:w="100" w:type="dxa"/>
            <w:vAlign w:val="bottom"/>
          </w:tcPr>
          <w:p>
            <w:pPr>
              <w:spacing w:after="0"/>
              <w:rPr>
                <w:sz w:val="17"/>
                <w:szCs w:val="17"/>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99</w:t>
            </w:r>
          </w:p>
        </w:tc>
        <w:tc>
          <w:tcPr>
            <w:tcW w:w="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120</w:t>
            </w:r>
          </w:p>
        </w:tc>
      </w:tr>
      <w:tr>
        <w:trPr>
          <w:trHeight w:val="200"/>
        </w:trPr>
        <w:tc>
          <w:tcPr>
            <w:tcW w:w="3860" w:type="dxa"/>
            <w:vAlign w:val="bottom"/>
            <w:gridSpan w:val="2"/>
          </w:tcPr>
          <w:p>
            <w:pPr>
              <w:ind w:left="40"/>
              <w:spacing w:after="0"/>
              <w:rPr>
                <w:sz w:val="20"/>
                <w:szCs w:val="20"/>
                <w:color w:val="auto"/>
              </w:rPr>
            </w:pPr>
            <w:r>
              <w:rPr>
                <w:rFonts w:ascii="Arial" w:cs="Arial" w:eastAsia="Arial" w:hAnsi="Arial"/>
                <w:sz w:val="14"/>
                <w:szCs w:val="14"/>
                <w:color w:val="auto"/>
              </w:rPr>
              <w:t>Los Angeles Basin</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r>
      <w:tr>
        <w:trPr>
          <w:trHeight w:val="200"/>
        </w:trPr>
        <w:tc>
          <w:tcPr>
            <w:tcW w:w="3860" w:type="dxa"/>
            <w:vAlign w:val="bottom"/>
            <w:gridSpan w:val="2"/>
          </w:tcPr>
          <w:p>
            <w:pPr>
              <w:ind w:left="40"/>
              <w:spacing w:after="0"/>
              <w:rPr>
                <w:sz w:val="20"/>
                <w:szCs w:val="20"/>
                <w:color w:val="auto"/>
              </w:rPr>
            </w:pPr>
            <w:r>
              <w:rPr>
                <w:rFonts w:ascii="Arial" w:cs="Arial" w:eastAsia="Arial" w:hAnsi="Arial"/>
                <w:sz w:val="14"/>
                <w:szCs w:val="14"/>
                <w:color w:val="auto"/>
              </w:rPr>
              <w:t>Ventura Basin</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r>
      <w:tr>
        <w:trPr>
          <w:trHeight w:val="200"/>
        </w:trPr>
        <w:tc>
          <w:tcPr>
            <w:tcW w:w="3860" w:type="dxa"/>
            <w:vAlign w:val="bottom"/>
            <w:gridSpan w:val="2"/>
          </w:tcPr>
          <w:p>
            <w:pPr>
              <w:ind w:left="40"/>
              <w:spacing w:after="0"/>
              <w:rPr>
                <w:sz w:val="20"/>
                <w:szCs w:val="20"/>
                <w:color w:val="auto"/>
              </w:rPr>
            </w:pPr>
            <w:r>
              <w:rPr>
                <w:rFonts w:ascii="Arial" w:cs="Arial" w:eastAsia="Arial" w:hAnsi="Arial"/>
                <w:sz w:val="14"/>
                <w:szCs w:val="14"/>
                <w:color w:val="auto"/>
              </w:rPr>
              <w:t>Sacramento Basin</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14</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15</w:t>
            </w:r>
          </w:p>
        </w:tc>
      </w:tr>
      <w:tr>
        <w:trPr>
          <w:trHeight w:val="193"/>
        </w:trPr>
        <w:tc>
          <w:tcPr>
            <w:tcW w:w="386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126</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114</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138</w:t>
            </w:r>
          </w:p>
        </w:tc>
        <w:tc>
          <w:tcPr>
            <w:tcW w:w="100" w:type="dxa"/>
            <w:vAlign w:val="bottom"/>
          </w:tcPr>
          <w:p>
            <w:pPr>
              <w:spacing w:after="0"/>
              <w:rPr>
                <w:sz w:val="16"/>
                <w:szCs w:val="16"/>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114</w:t>
            </w:r>
          </w:p>
        </w:tc>
        <w:tc>
          <w:tcPr>
            <w:tcW w:w="80" w:type="dxa"/>
            <w:vAlign w:val="bottom"/>
          </w:tcPr>
          <w:p>
            <w:pPr>
              <w:spacing w:after="0"/>
              <w:rPr>
                <w:sz w:val="16"/>
                <w:szCs w:val="16"/>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136</w:t>
            </w:r>
          </w:p>
        </w:tc>
      </w:tr>
      <w:tr>
        <w:trPr>
          <w:trHeight w:val="161"/>
        </w:trPr>
        <w:tc>
          <w:tcPr>
            <w:tcW w:w="3860" w:type="dxa"/>
            <w:vAlign w:val="bottom"/>
            <w:gridSpan w:val="2"/>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r>
        <w:trPr>
          <w:trHeight w:val="193"/>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Total Production (MBoe/d)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145</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w:t>
            </w: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w:t>
            </w: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99</w:t>
            </w:r>
          </w:p>
        </w:tc>
        <w:tc>
          <w:tcPr>
            <w:tcW w:w="80" w:type="dxa"/>
            <w:vAlign w:val="bottom"/>
          </w:tcPr>
          <w:p>
            <w:pPr>
              <w:spacing w:after="0"/>
              <w:rPr>
                <w:sz w:val="16"/>
                <w:szCs w:val="16"/>
                <w:color w:val="auto"/>
              </w:rPr>
            </w:pPr>
          </w:p>
        </w:tc>
        <w:tc>
          <w:tcPr>
            <w:tcW w:w="1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87</w:t>
            </w:r>
          </w:p>
        </w:tc>
      </w:tr>
      <w:tr>
        <w:trPr>
          <w:trHeight w:val="20"/>
        </w:trPr>
        <w:tc>
          <w:tcPr>
            <w:tcW w:w="3860" w:type="dxa"/>
            <w:vAlign w:val="bottom"/>
            <w:gridSpan w:val="2"/>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525"/>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Volumes Produced</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3rd Quarter</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2nd Quarter</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3rd Quarter</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Nine Months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Nine Months</w:t>
            </w:r>
          </w:p>
        </w:tc>
      </w:tr>
      <w:tr>
        <w:trPr>
          <w:trHeight w:val="201"/>
        </w:trPr>
        <w:tc>
          <w:tcPr>
            <w:tcW w:w="3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Net Production Per Day</w:t>
            </w:r>
          </w:p>
        </w:tc>
        <w:tc>
          <w:tcPr>
            <w:tcW w:w="14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r>
      <w:tr>
        <w:trPr>
          <w:trHeight w:val="193"/>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Oil (MBbl/d)</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0"/>
        </w:trPr>
        <w:tc>
          <w:tcPr>
            <w:tcW w:w="3860" w:type="dxa"/>
            <w:vAlign w:val="bottom"/>
            <w:gridSpan w:val="2"/>
          </w:tcPr>
          <w:p>
            <w:pPr>
              <w:spacing w:after="0"/>
              <w:rPr>
                <w:sz w:val="20"/>
                <w:szCs w:val="20"/>
                <w:color w:val="auto"/>
              </w:rPr>
            </w:pPr>
            <w:r>
              <w:rPr>
                <w:rFonts w:ascii="Arial" w:cs="Arial" w:eastAsia="Arial" w:hAnsi="Arial"/>
                <w:sz w:val="14"/>
                <w:szCs w:val="14"/>
                <w:color w:val="auto"/>
              </w:rPr>
              <w:t>San Joaquin Basin</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90</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33</w:t>
            </w:r>
          </w:p>
        </w:tc>
        <w:tc>
          <w:tcPr>
            <w:tcW w:w="100" w:type="dxa"/>
            <w:vAlign w:val="bottom"/>
          </w:tcPr>
          <w:p>
            <w:pPr>
              <w:spacing w:after="0"/>
              <w:rPr>
                <w:sz w:val="17"/>
                <w:szCs w:val="17"/>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51</w:t>
            </w:r>
          </w:p>
        </w:tc>
        <w:tc>
          <w:tcPr>
            <w:tcW w:w="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34</w:t>
            </w:r>
          </w:p>
        </w:tc>
      </w:tr>
      <w:tr>
        <w:trPr>
          <w:trHeight w:val="200"/>
        </w:trPr>
        <w:tc>
          <w:tcPr>
            <w:tcW w:w="3860" w:type="dxa"/>
            <w:vAlign w:val="bottom"/>
            <w:gridSpan w:val="2"/>
          </w:tcPr>
          <w:p>
            <w:pPr>
              <w:spacing w:after="0"/>
              <w:rPr>
                <w:sz w:val="20"/>
                <w:szCs w:val="20"/>
                <w:color w:val="auto"/>
              </w:rPr>
            </w:pPr>
            <w:r>
              <w:rPr>
                <w:rFonts w:ascii="Arial" w:cs="Arial" w:eastAsia="Arial" w:hAnsi="Arial"/>
                <w:sz w:val="14"/>
                <w:szCs w:val="14"/>
                <w:color w:val="auto"/>
              </w:rPr>
              <w:t>Los Angeles Basin</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17"/>
                <w:szCs w:val="17"/>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17</w:t>
            </w:r>
          </w:p>
        </w:tc>
        <w:tc>
          <w:tcPr>
            <w:tcW w:w="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19</w:t>
            </w:r>
          </w:p>
        </w:tc>
      </w:tr>
      <w:tr>
        <w:trPr>
          <w:trHeight w:val="200"/>
        </w:trPr>
        <w:tc>
          <w:tcPr>
            <w:tcW w:w="3860" w:type="dxa"/>
            <w:vAlign w:val="bottom"/>
            <w:gridSpan w:val="2"/>
          </w:tcPr>
          <w:p>
            <w:pPr>
              <w:spacing w:after="0"/>
              <w:rPr>
                <w:sz w:val="20"/>
                <w:szCs w:val="20"/>
                <w:color w:val="auto"/>
              </w:rPr>
            </w:pPr>
            <w:r>
              <w:rPr>
                <w:rFonts w:ascii="Arial" w:cs="Arial" w:eastAsia="Arial" w:hAnsi="Arial"/>
                <w:sz w:val="14"/>
                <w:szCs w:val="14"/>
                <w:color w:val="auto"/>
              </w:rPr>
              <w:t>Ventura Basin</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r>
      <w:tr>
        <w:trPr>
          <w:trHeight w:val="193"/>
        </w:trPr>
        <w:tc>
          <w:tcPr>
            <w:tcW w:w="3860" w:type="dxa"/>
            <w:vAlign w:val="bottom"/>
            <w:gridSpan w:val="2"/>
          </w:tcPr>
          <w:p>
            <w:pPr>
              <w:spacing w:after="0"/>
              <w:rPr>
                <w:sz w:val="20"/>
                <w:szCs w:val="20"/>
                <w:color w:val="auto"/>
              </w:rPr>
            </w:pPr>
            <w:r>
              <w:rPr>
                <w:rFonts w:ascii="Arial" w:cs="Arial" w:eastAsia="Arial" w:hAnsi="Arial"/>
                <w:sz w:val="14"/>
                <w:szCs w:val="14"/>
                <w:color w:val="auto"/>
              </w:rPr>
              <w:t>Total</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113</w:t>
            </w:r>
          </w:p>
        </w:tc>
        <w:tc>
          <w:tcPr>
            <w:tcW w:w="100" w:type="dxa"/>
            <w:vAlign w:val="bottom"/>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46</w:t>
            </w:r>
          </w:p>
        </w:tc>
        <w:tc>
          <w:tcPr>
            <w:tcW w:w="100" w:type="dxa"/>
            <w:vAlign w:val="bottom"/>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51</w:t>
            </w:r>
          </w:p>
        </w:tc>
        <w:tc>
          <w:tcPr>
            <w:tcW w:w="100" w:type="dxa"/>
            <w:vAlign w:val="bottom"/>
          </w:tcPr>
          <w:p>
            <w:pPr>
              <w:spacing w:after="0"/>
              <w:rPr>
                <w:sz w:val="16"/>
                <w:szCs w:val="16"/>
                <w:color w:val="auto"/>
              </w:rPr>
            </w:pPr>
          </w:p>
        </w:tc>
        <w:tc>
          <w:tcPr>
            <w:tcW w:w="14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70</w:t>
            </w:r>
          </w:p>
        </w:tc>
        <w:tc>
          <w:tcPr>
            <w:tcW w:w="80" w:type="dxa"/>
            <w:vAlign w:val="bottom"/>
          </w:tcPr>
          <w:p>
            <w:pPr>
              <w:spacing w:after="0"/>
              <w:rPr>
                <w:sz w:val="16"/>
                <w:szCs w:val="16"/>
                <w:color w:val="auto"/>
              </w:rPr>
            </w:pPr>
          </w:p>
        </w:tc>
        <w:tc>
          <w:tcPr>
            <w:tcW w:w="13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53</w:t>
            </w:r>
          </w:p>
        </w:tc>
      </w:tr>
      <w:tr>
        <w:trPr>
          <w:trHeight w:val="360"/>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NGLs (MBbl/d)</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0"/>
        </w:trPr>
        <w:tc>
          <w:tcPr>
            <w:tcW w:w="3860" w:type="dxa"/>
            <w:vAlign w:val="bottom"/>
            <w:gridSpan w:val="2"/>
          </w:tcPr>
          <w:p>
            <w:pPr>
              <w:spacing w:after="0"/>
              <w:rPr>
                <w:sz w:val="20"/>
                <w:szCs w:val="20"/>
                <w:color w:val="auto"/>
              </w:rPr>
            </w:pPr>
            <w:r>
              <w:rPr>
                <w:rFonts w:ascii="Arial" w:cs="Arial" w:eastAsia="Arial" w:hAnsi="Arial"/>
                <w:sz w:val="14"/>
                <w:szCs w:val="14"/>
                <w:color w:val="auto"/>
              </w:rPr>
              <w:t>San Joaquin Basin</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10</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11</w:t>
            </w:r>
          </w:p>
        </w:tc>
      </w:tr>
      <w:tr>
        <w:trPr>
          <w:trHeight w:val="193"/>
        </w:trPr>
        <w:tc>
          <w:tcPr>
            <w:tcW w:w="3860" w:type="dxa"/>
            <w:vAlign w:val="bottom"/>
            <w:gridSpan w:val="2"/>
          </w:tcPr>
          <w:p>
            <w:pPr>
              <w:spacing w:after="0"/>
              <w:rPr>
                <w:sz w:val="20"/>
                <w:szCs w:val="20"/>
                <w:color w:val="auto"/>
              </w:rPr>
            </w:pPr>
            <w:r>
              <w:rPr>
                <w:rFonts w:ascii="Arial" w:cs="Arial" w:eastAsia="Arial" w:hAnsi="Arial"/>
                <w:sz w:val="14"/>
                <w:szCs w:val="14"/>
                <w:color w:val="auto"/>
              </w:rPr>
              <w:t>Total</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6"/>
                <w:szCs w:val="16"/>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10</w:t>
            </w:r>
          </w:p>
        </w:tc>
        <w:tc>
          <w:tcPr>
            <w:tcW w:w="80" w:type="dxa"/>
            <w:vAlign w:val="bottom"/>
          </w:tcPr>
          <w:p>
            <w:pPr>
              <w:spacing w:after="0"/>
              <w:rPr>
                <w:sz w:val="16"/>
                <w:szCs w:val="16"/>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11</w:t>
            </w:r>
          </w:p>
        </w:tc>
      </w:tr>
      <w:tr>
        <w:trPr>
          <w:trHeight w:val="360"/>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Natural Gas (MMcf/d)</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0"/>
        </w:trPr>
        <w:tc>
          <w:tcPr>
            <w:tcW w:w="3860" w:type="dxa"/>
            <w:vAlign w:val="bottom"/>
            <w:gridSpan w:val="2"/>
          </w:tcPr>
          <w:p>
            <w:pPr>
              <w:spacing w:after="0"/>
              <w:rPr>
                <w:sz w:val="20"/>
                <w:szCs w:val="20"/>
                <w:color w:val="auto"/>
              </w:rPr>
            </w:pPr>
            <w:r>
              <w:rPr>
                <w:rFonts w:ascii="Arial" w:cs="Arial" w:eastAsia="Arial" w:hAnsi="Arial"/>
                <w:sz w:val="14"/>
                <w:szCs w:val="14"/>
                <w:color w:val="auto"/>
              </w:rPr>
              <w:t>San Joaquin Basin</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130</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118</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128</w:t>
            </w:r>
          </w:p>
        </w:tc>
        <w:tc>
          <w:tcPr>
            <w:tcW w:w="100" w:type="dxa"/>
            <w:vAlign w:val="bottom"/>
          </w:tcPr>
          <w:p>
            <w:pPr>
              <w:spacing w:after="0"/>
              <w:rPr>
                <w:sz w:val="17"/>
                <w:szCs w:val="17"/>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123</w:t>
            </w:r>
          </w:p>
        </w:tc>
        <w:tc>
          <w:tcPr>
            <w:tcW w:w="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127</w:t>
            </w:r>
          </w:p>
        </w:tc>
      </w:tr>
      <w:tr>
        <w:trPr>
          <w:trHeight w:val="200"/>
        </w:trPr>
        <w:tc>
          <w:tcPr>
            <w:tcW w:w="3860" w:type="dxa"/>
            <w:vAlign w:val="bottom"/>
            <w:gridSpan w:val="2"/>
          </w:tcPr>
          <w:p>
            <w:pPr>
              <w:spacing w:after="0"/>
              <w:rPr>
                <w:sz w:val="20"/>
                <w:szCs w:val="20"/>
                <w:color w:val="auto"/>
              </w:rPr>
            </w:pPr>
            <w:r>
              <w:rPr>
                <w:rFonts w:ascii="Arial" w:cs="Arial" w:eastAsia="Arial" w:hAnsi="Arial"/>
                <w:sz w:val="14"/>
                <w:szCs w:val="14"/>
                <w:color w:val="auto"/>
              </w:rPr>
              <w:t>Los Angeles Basin</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r>
      <w:tr>
        <w:trPr>
          <w:trHeight w:val="200"/>
        </w:trPr>
        <w:tc>
          <w:tcPr>
            <w:tcW w:w="3860" w:type="dxa"/>
            <w:vAlign w:val="bottom"/>
            <w:gridSpan w:val="2"/>
          </w:tcPr>
          <w:p>
            <w:pPr>
              <w:spacing w:after="0"/>
              <w:rPr>
                <w:sz w:val="20"/>
                <w:szCs w:val="20"/>
                <w:color w:val="auto"/>
              </w:rPr>
            </w:pPr>
            <w:r>
              <w:rPr>
                <w:rFonts w:ascii="Arial" w:cs="Arial" w:eastAsia="Arial" w:hAnsi="Arial"/>
                <w:sz w:val="14"/>
                <w:szCs w:val="14"/>
                <w:color w:val="auto"/>
              </w:rPr>
              <w:t>Ventura Basin</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r>
      <w:tr>
        <w:trPr>
          <w:trHeight w:val="200"/>
        </w:trPr>
        <w:tc>
          <w:tcPr>
            <w:tcW w:w="3860" w:type="dxa"/>
            <w:vAlign w:val="bottom"/>
            <w:gridSpan w:val="2"/>
          </w:tcPr>
          <w:p>
            <w:pPr>
              <w:spacing w:after="0"/>
              <w:rPr>
                <w:sz w:val="20"/>
                <w:szCs w:val="20"/>
                <w:color w:val="auto"/>
              </w:rPr>
            </w:pPr>
            <w:r>
              <w:rPr>
                <w:rFonts w:ascii="Arial" w:cs="Arial" w:eastAsia="Arial" w:hAnsi="Arial"/>
                <w:sz w:val="14"/>
                <w:szCs w:val="14"/>
                <w:color w:val="auto"/>
              </w:rPr>
              <w:t>Sacramento Basin</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14</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16</w:t>
            </w:r>
          </w:p>
        </w:tc>
      </w:tr>
      <w:tr>
        <w:trPr>
          <w:trHeight w:val="193"/>
        </w:trPr>
        <w:tc>
          <w:tcPr>
            <w:tcW w:w="3860" w:type="dxa"/>
            <w:vAlign w:val="bottom"/>
            <w:gridSpan w:val="2"/>
          </w:tcPr>
          <w:p>
            <w:pPr>
              <w:spacing w:after="0"/>
              <w:rPr>
                <w:sz w:val="20"/>
                <w:szCs w:val="20"/>
                <w:color w:val="auto"/>
              </w:rPr>
            </w:pPr>
            <w:r>
              <w:rPr>
                <w:rFonts w:ascii="Arial" w:cs="Arial" w:eastAsia="Arial" w:hAnsi="Arial"/>
                <w:sz w:val="14"/>
                <w:szCs w:val="14"/>
                <w:color w:val="auto"/>
              </w:rPr>
              <w:t>Total</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147</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133</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144</w:t>
            </w:r>
          </w:p>
        </w:tc>
        <w:tc>
          <w:tcPr>
            <w:tcW w:w="100" w:type="dxa"/>
            <w:vAlign w:val="bottom"/>
          </w:tcPr>
          <w:p>
            <w:pPr>
              <w:spacing w:after="0"/>
              <w:rPr>
                <w:sz w:val="16"/>
                <w:szCs w:val="16"/>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139</w:t>
            </w:r>
          </w:p>
        </w:tc>
        <w:tc>
          <w:tcPr>
            <w:tcW w:w="80" w:type="dxa"/>
            <w:vAlign w:val="bottom"/>
          </w:tcPr>
          <w:p>
            <w:pPr>
              <w:spacing w:after="0"/>
              <w:rPr>
                <w:sz w:val="16"/>
                <w:szCs w:val="16"/>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144</w:t>
            </w:r>
          </w:p>
        </w:tc>
      </w:tr>
      <w:tr>
        <w:trPr>
          <w:trHeight w:val="161"/>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r>
        <w:trPr>
          <w:trHeight w:val="193"/>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Total Production (MBoe/d)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149</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w:t>
            </w:r>
          </w:p>
        </w:tc>
        <w:tc>
          <w:tcPr>
            <w:tcW w:w="100" w:type="dxa"/>
            <w:vAlign w:val="bottom"/>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87</w:t>
            </w: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103</w:t>
            </w:r>
          </w:p>
        </w:tc>
        <w:tc>
          <w:tcPr>
            <w:tcW w:w="80" w:type="dxa"/>
            <w:vAlign w:val="bottom"/>
          </w:tcPr>
          <w:p>
            <w:pPr>
              <w:spacing w:after="0"/>
              <w:rPr>
                <w:sz w:val="16"/>
                <w:szCs w:val="16"/>
                <w:color w:val="auto"/>
              </w:rPr>
            </w:pPr>
          </w:p>
        </w:tc>
        <w:tc>
          <w:tcPr>
            <w:tcW w:w="1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88</w:t>
            </w:r>
          </w:p>
        </w:tc>
      </w:tr>
      <w:tr>
        <w:trPr>
          <w:trHeight w:val="20"/>
        </w:trPr>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080"/>
          </w:cols>
          <w:pgMar w:left="400" w:top="1050" w:right="41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5"/>
        </w:trPr>
        <w:tc>
          <w:tcPr>
            <w:tcW w:w="3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rPr>
              <w:t>Attachment 4</w:t>
            </w:r>
          </w:p>
        </w:tc>
      </w:tr>
      <w:tr>
        <w:trPr>
          <w:trHeight w:val="21"/>
        </w:trPr>
        <w:tc>
          <w:tcPr>
            <w:tcW w:w="3860" w:type="dxa"/>
            <w:vAlign w:val="bottom"/>
            <w:tcBorders>
              <w:bottom w:val="single" w:sz="8" w:color="auto"/>
            </w:tcBorders>
            <w:gridSpan w:val="2"/>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192"/>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PRODUCTION STATISTICS</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400"/>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Gross Operated and Net Non-Operated</w:t>
            </w:r>
          </w:p>
        </w:tc>
        <w:tc>
          <w:tcPr>
            <w:tcW w:w="1400" w:type="dxa"/>
            <w:vAlign w:val="bottom"/>
            <w:gridSpan w:val="2"/>
          </w:tcPr>
          <w:p>
            <w:pPr>
              <w:ind w:left="260"/>
              <w:spacing w:after="0"/>
              <w:rPr>
                <w:sz w:val="20"/>
                <w:szCs w:val="20"/>
                <w:color w:val="auto"/>
              </w:rPr>
            </w:pPr>
            <w:r>
              <w:rPr>
                <w:rFonts w:ascii="Arial" w:cs="Arial" w:eastAsia="Arial" w:hAnsi="Arial"/>
                <w:sz w:val="14"/>
                <w:szCs w:val="14"/>
                <w:b w:val="1"/>
                <w:bCs w:val="1"/>
                <w:color w:val="auto"/>
              </w:rPr>
              <w:t>3rd Quarter</w:t>
            </w:r>
          </w:p>
        </w:tc>
        <w:tc>
          <w:tcPr>
            <w:tcW w:w="1400" w:type="dxa"/>
            <w:vAlign w:val="bottom"/>
            <w:gridSpan w:val="2"/>
          </w:tcPr>
          <w:p>
            <w:pPr>
              <w:ind w:left="240"/>
              <w:spacing w:after="0"/>
              <w:rPr>
                <w:sz w:val="20"/>
                <w:szCs w:val="20"/>
                <w:color w:val="auto"/>
              </w:rPr>
            </w:pPr>
            <w:r>
              <w:rPr>
                <w:rFonts w:ascii="Arial" w:cs="Arial" w:eastAsia="Arial" w:hAnsi="Arial"/>
                <w:sz w:val="14"/>
                <w:szCs w:val="14"/>
                <w:b w:val="1"/>
                <w:bCs w:val="1"/>
                <w:color w:val="auto"/>
              </w:rPr>
              <w:t>2nd Quarter</w:t>
            </w:r>
          </w:p>
        </w:tc>
        <w:tc>
          <w:tcPr>
            <w:tcW w:w="1480" w:type="dxa"/>
            <w:vAlign w:val="bottom"/>
            <w:gridSpan w:val="2"/>
          </w:tcPr>
          <w:p>
            <w:pPr>
              <w:ind w:left="300"/>
              <w:spacing w:after="0"/>
              <w:rPr>
                <w:sz w:val="20"/>
                <w:szCs w:val="20"/>
                <w:color w:val="auto"/>
              </w:rPr>
            </w:pPr>
            <w:r>
              <w:rPr>
                <w:rFonts w:ascii="Arial" w:cs="Arial" w:eastAsia="Arial" w:hAnsi="Arial"/>
                <w:sz w:val="14"/>
                <w:szCs w:val="14"/>
                <w:b w:val="1"/>
                <w:bCs w:val="1"/>
                <w:color w:val="auto"/>
              </w:rPr>
              <w:t>3rd Quarter</w:t>
            </w:r>
          </w:p>
        </w:tc>
        <w:tc>
          <w:tcPr>
            <w:tcW w:w="1480" w:type="dxa"/>
            <w:vAlign w:val="bottom"/>
            <w:gridSpan w:val="2"/>
          </w:tcPr>
          <w:p>
            <w:pPr>
              <w:ind w:left="260"/>
              <w:spacing w:after="0"/>
              <w:rPr>
                <w:sz w:val="20"/>
                <w:szCs w:val="20"/>
                <w:color w:val="auto"/>
              </w:rPr>
            </w:pPr>
            <w:r>
              <w:rPr>
                <w:rFonts w:ascii="Arial" w:cs="Arial" w:eastAsia="Arial" w:hAnsi="Arial"/>
                <w:sz w:val="14"/>
                <w:szCs w:val="14"/>
                <w:b w:val="1"/>
                <w:bCs w:val="1"/>
                <w:color w:val="auto"/>
              </w:rPr>
              <w:t>Nine Months</w:t>
            </w:r>
          </w:p>
        </w:tc>
        <w:tc>
          <w:tcPr>
            <w:tcW w:w="1480" w:type="dxa"/>
            <w:vAlign w:val="bottom"/>
            <w:gridSpan w:val="2"/>
          </w:tcPr>
          <w:p>
            <w:pPr>
              <w:ind w:left="220"/>
              <w:spacing w:after="0"/>
              <w:rPr>
                <w:sz w:val="20"/>
                <w:szCs w:val="20"/>
                <w:color w:val="auto"/>
              </w:rPr>
            </w:pPr>
            <w:r>
              <w:rPr>
                <w:rFonts w:ascii="Arial" w:cs="Arial" w:eastAsia="Arial" w:hAnsi="Arial"/>
                <w:sz w:val="14"/>
                <w:szCs w:val="14"/>
                <w:b w:val="1"/>
                <w:bCs w:val="1"/>
                <w:color w:val="auto"/>
              </w:rPr>
              <w:t>Nine Months</w:t>
            </w:r>
          </w:p>
        </w:tc>
      </w:tr>
      <w:tr>
        <w:trPr>
          <w:trHeight w:val="201"/>
        </w:trPr>
        <w:tc>
          <w:tcPr>
            <w:tcW w:w="3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Production Per Day</w:t>
            </w:r>
          </w:p>
        </w:tc>
        <w:tc>
          <w:tcPr>
            <w:tcW w:w="140" w:type="dxa"/>
            <w:vAlign w:val="bottom"/>
          </w:tcPr>
          <w:p>
            <w:pPr>
              <w:spacing w:after="0"/>
              <w:rPr>
                <w:sz w:val="17"/>
                <w:szCs w:val="17"/>
                <w:color w:val="auto"/>
              </w:rPr>
            </w:pPr>
          </w:p>
        </w:tc>
        <w:tc>
          <w:tcPr>
            <w:tcW w:w="13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7"/>
                <w:szCs w:val="17"/>
                <w:color w:val="auto"/>
              </w:rPr>
            </w:pPr>
          </w:p>
        </w:tc>
      </w:tr>
      <w:tr>
        <w:trPr>
          <w:trHeight w:val="193"/>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Oil (MBbl/d)</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0"/>
        </w:trPr>
        <w:tc>
          <w:tcPr>
            <w:tcW w:w="3860" w:type="dxa"/>
            <w:vAlign w:val="bottom"/>
            <w:gridSpan w:val="2"/>
          </w:tcPr>
          <w:p>
            <w:pPr>
              <w:ind w:left="40"/>
              <w:spacing w:after="0"/>
              <w:rPr>
                <w:sz w:val="20"/>
                <w:szCs w:val="20"/>
                <w:color w:val="auto"/>
              </w:rPr>
            </w:pPr>
            <w:r>
              <w:rPr>
                <w:rFonts w:ascii="Arial" w:cs="Arial" w:eastAsia="Arial" w:hAnsi="Arial"/>
                <w:sz w:val="14"/>
                <w:szCs w:val="14"/>
                <w:color w:val="auto"/>
              </w:rPr>
              <w:t>San Joaquin Basin</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96</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33</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36</w:t>
            </w:r>
          </w:p>
        </w:tc>
        <w:tc>
          <w:tcPr>
            <w:tcW w:w="100" w:type="dxa"/>
            <w:vAlign w:val="bottom"/>
          </w:tcPr>
          <w:p>
            <w:pPr>
              <w:spacing w:after="0"/>
              <w:rPr>
                <w:sz w:val="17"/>
                <w:szCs w:val="17"/>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54</w:t>
            </w:r>
          </w:p>
        </w:tc>
        <w:tc>
          <w:tcPr>
            <w:tcW w:w="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38</w:t>
            </w:r>
          </w:p>
        </w:tc>
        <w:tc>
          <w:tcPr>
            <w:tcW w:w="160" w:type="dxa"/>
            <w:vAlign w:val="bottom"/>
          </w:tcPr>
          <w:p>
            <w:pPr>
              <w:spacing w:after="0"/>
              <w:rPr>
                <w:sz w:val="17"/>
                <w:szCs w:val="17"/>
                <w:color w:val="auto"/>
              </w:rPr>
            </w:pPr>
          </w:p>
        </w:tc>
      </w:tr>
      <w:tr>
        <w:trPr>
          <w:trHeight w:val="200"/>
        </w:trPr>
        <w:tc>
          <w:tcPr>
            <w:tcW w:w="3860" w:type="dxa"/>
            <w:vAlign w:val="bottom"/>
            <w:gridSpan w:val="2"/>
          </w:tcPr>
          <w:p>
            <w:pPr>
              <w:ind w:left="40"/>
              <w:spacing w:after="0"/>
              <w:rPr>
                <w:sz w:val="20"/>
                <w:szCs w:val="20"/>
                <w:color w:val="auto"/>
              </w:rPr>
            </w:pPr>
            <w:r>
              <w:rPr>
                <w:rFonts w:ascii="Arial" w:cs="Arial" w:eastAsia="Arial" w:hAnsi="Arial"/>
                <w:sz w:val="14"/>
                <w:szCs w:val="14"/>
                <w:color w:val="auto"/>
              </w:rPr>
              <w:t>Los Angeles Basin</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17"/>
                <w:szCs w:val="17"/>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24</w:t>
            </w:r>
          </w:p>
        </w:tc>
        <w:tc>
          <w:tcPr>
            <w:tcW w:w="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25</w:t>
            </w:r>
          </w:p>
        </w:tc>
        <w:tc>
          <w:tcPr>
            <w:tcW w:w="160" w:type="dxa"/>
            <w:vAlign w:val="bottom"/>
          </w:tcPr>
          <w:p>
            <w:pPr>
              <w:spacing w:after="0"/>
              <w:rPr>
                <w:sz w:val="17"/>
                <w:szCs w:val="17"/>
                <w:color w:val="auto"/>
              </w:rPr>
            </w:pPr>
          </w:p>
        </w:tc>
      </w:tr>
      <w:tr>
        <w:trPr>
          <w:trHeight w:val="200"/>
        </w:trPr>
        <w:tc>
          <w:tcPr>
            <w:tcW w:w="3860" w:type="dxa"/>
            <w:vAlign w:val="bottom"/>
            <w:gridSpan w:val="2"/>
          </w:tcPr>
          <w:p>
            <w:pPr>
              <w:ind w:left="40"/>
              <w:spacing w:after="0"/>
              <w:rPr>
                <w:sz w:val="20"/>
                <w:szCs w:val="20"/>
                <w:color w:val="auto"/>
              </w:rPr>
            </w:pPr>
            <w:r>
              <w:rPr>
                <w:rFonts w:ascii="Arial" w:cs="Arial" w:eastAsia="Arial" w:hAnsi="Arial"/>
                <w:sz w:val="14"/>
                <w:szCs w:val="14"/>
                <w:color w:val="auto"/>
              </w:rPr>
              <w:t>Ventura Basin</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r>
      <w:tr>
        <w:trPr>
          <w:trHeight w:val="193"/>
        </w:trPr>
        <w:tc>
          <w:tcPr>
            <w:tcW w:w="386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127</w:t>
            </w:r>
          </w:p>
        </w:tc>
        <w:tc>
          <w:tcPr>
            <w:tcW w:w="100" w:type="dxa"/>
            <w:vAlign w:val="bottom"/>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57</w:t>
            </w:r>
          </w:p>
        </w:tc>
        <w:tc>
          <w:tcPr>
            <w:tcW w:w="100" w:type="dxa"/>
            <w:vAlign w:val="bottom"/>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61</w:t>
            </w:r>
          </w:p>
        </w:tc>
        <w:tc>
          <w:tcPr>
            <w:tcW w:w="100" w:type="dxa"/>
            <w:vAlign w:val="bottom"/>
          </w:tcPr>
          <w:p>
            <w:pPr>
              <w:spacing w:after="0"/>
              <w:rPr>
                <w:sz w:val="16"/>
                <w:szCs w:val="16"/>
                <w:color w:val="auto"/>
              </w:rPr>
            </w:pPr>
          </w:p>
        </w:tc>
        <w:tc>
          <w:tcPr>
            <w:tcW w:w="14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81</w:t>
            </w:r>
          </w:p>
        </w:tc>
        <w:tc>
          <w:tcPr>
            <w:tcW w:w="80" w:type="dxa"/>
            <w:vAlign w:val="bottom"/>
          </w:tcPr>
          <w:p>
            <w:pPr>
              <w:spacing w:after="0"/>
              <w:rPr>
                <w:sz w:val="16"/>
                <w:szCs w:val="16"/>
                <w:color w:val="auto"/>
              </w:rPr>
            </w:pPr>
          </w:p>
        </w:tc>
        <w:tc>
          <w:tcPr>
            <w:tcW w:w="13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63</w:t>
            </w:r>
          </w:p>
        </w:tc>
        <w:tc>
          <w:tcPr>
            <w:tcW w:w="160" w:type="dxa"/>
            <w:vAlign w:val="bottom"/>
          </w:tcPr>
          <w:p>
            <w:pPr>
              <w:spacing w:after="0"/>
              <w:rPr>
                <w:sz w:val="16"/>
                <w:szCs w:val="16"/>
                <w:color w:val="auto"/>
              </w:rPr>
            </w:pPr>
          </w:p>
        </w:tc>
      </w:tr>
      <w:tr>
        <w:trPr>
          <w:trHeight w:val="360"/>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NGLs (MBbl/d)</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0"/>
        </w:trPr>
        <w:tc>
          <w:tcPr>
            <w:tcW w:w="3860" w:type="dxa"/>
            <w:vAlign w:val="bottom"/>
            <w:gridSpan w:val="2"/>
          </w:tcPr>
          <w:p>
            <w:pPr>
              <w:ind w:left="40"/>
              <w:spacing w:after="0"/>
              <w:rPr>
                <w:sz w:val="20"/>
                <w:szCs w:val="20"/>
                <w:color w:val="auto"/>
              </w:rPr>
            </w:pPr>
            <w:r>
              <w:rPr>
                <w:rFonts w:ascii="Arial" w:cs="Arial" w:eastAsia="Arial" w:hAnsi="Arial"/>
                <w:sz w:val="14"/>
                <w:szCs w:val="14"/>
                <w:color w:val="auto"/>
              </w:rPr>
              <w:t>San Joaquin Basin</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12</w:t>
            </w:r>
          </w:p>
        </w:tc>
        <w:tc>
          <w:tcPr>
            <w:tcW w:w="160" w:type="dxa"/>
            <w:vAlign w:val="bottom"/>
          </w:tcPr>
          <w:p>
            <w:pPr>
              <w:spacing w:after="0"/>
              <w:rPr>
                <w:sz w:val="17"/>
                <w:szCs w:val="17"/>
                <w:color w:val="auto"/>
              </w:rPr>
            </w:pPr>
          </w:p>
        </w:tc>
      </w:tr>
      <w:tr>
        <w:trPr>
          <w:trHeight w:val="193"/>
        </w:trPr>
        <w:tc>
          <w:tcPr>
            <w:tcW w:w="386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6"/>
                <w:szCs w:val="16"/>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6"/>
                <w:szCs w:val="16"/>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12</w:t>
            </w:r>
          </w:p>
        </w:tc>
        <w:tc>
          <w:tcPr>
            <w:tcW w:w="160" w:type="dxa"/>
            <w:vAlign w:val="bottom"/>
          </w:tcPr>
          <w:p>
            <w:pPr>
              <w:spacing w:after="0"/>
              <w:rPr>
                <w:sz w:val="16"/>
                <w:szCs w:val="16"/>
                <w:color w:val="auto"/>
              </w:rPr>
            </w:pPr>
          </w:p>
        </w:tc>
      </w:tr>
      <w:tr>
        <w:trPr>
          <w:trHeight w:val="360"/>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Natural Gas (MMcf/d)</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0"/>
        </w:trPr>
        <w:tc>
          <w:tcPr>
            <w:tcW w:w="3860" w:type="dxa"/>
            <w:vAlign w:val="bottom"/>
            <w:gridSpan w:val="2"/>
          </w:tcPr>
          <w:p>
            <w:pPr>
              <w:ind w:left="40"/>
              <w:spacing w:after="0"/>
              <w:rPr>
                <w:sz w:val="20"/>
                <w:szCs w:val="20"/>
                <w:color w:val="auto"/>
              </w:rPr>
            </w:pPr>
            <w:r>
              <w:rPr>
                <w:rFonts w:ascii="Arial" w:cs="Arial" w:eastAsia="Arial" w:hAnsi="Arial"/>
                <w:sz w:val="14"/>
                <w:szCs w:val="14"/>
                <w:color w:val="auto"/>
              </w:rPr>
              <w:t>San Joaquin Basin</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137</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125</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135</w:t>
            </w:r>
          </w:p>
        </w:tc>
        <w:tc>
          <w:tcPr>
            <w:tcW w:w="100" w:type="dxa"/>
            <w:vAlign w:val="bottom"/>
          </w:tcPr>
          <w:p>
            <w:pPr>
              <w:spacing w:after="0"/>
              <w:rPr>
                <w:sz w:val="17"/>
                <w:szCs w:val="17"/>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130</w:t>
            </w:r>
          </w:p>
        </w:tc>
        <w:tc>
          <w:tcPr>
            <w:tcW w:w="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135</w:t>
            </w:r>
          </w:p>
        </w:tc>
        <w:tc>
          <w:tcPr>
            <w:tcW w:w="160" w:type="dxa"/>
            <w:vAlign w:val="bottom"/>
          </w:tcPr>
          <w:p>
            <w:pPr>
              <w:spacing w:after="0"/>
              <w:rPr>
                <w:sz w:val="17"/>
                <w:szCs w:val="17"/>
                <w:color w:val="auto"/>
              </w:rPr>
            </w:pPr>
          </w:p>
        </w:tc>
      </w:tr>
      <w:tr>
        <w:trPr>
          <w:trHeight w:val="200"/>
        </w:trPr>
        <w:tc>
          <w:tcPr>
            <w:tcW w:w="3860" w:type="dxa"/>
            <w:vAlign w:val="bottom"/>
            <w:gridSpan w:val="2"/>
          </w:tcPr>
          <w:p>
            <w:pPr>
              <w:ind w:left="40"/>
              <w:spacing w:after="0"/>
              <w:rPr>
                <w:sz w:val="20"/>
                <w:szCs w:val="20"/>
                <w:color w:val="auto"/>
              </w:rPr>
            </w:pPr>
            <w:r>
              <w:rPr>
                <w:rFonts w:ascii="Arial" w:cs="Arial" w:eastAsia="Arial" w:hAnsi="Arial"/>
                <w:sz w:val="14"/>
                <w:szCs w:val="14"/>
                <w:color w:val="auto"/>
              </w:rPr>
              <w:t>Los Angeles Basin</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7"/>
                <w:szCs w:val="17"/>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7</w:t>
            </w:r>
          </w:p>
        </w:tc>
        <w:tc>
          <w:tcPr>
            <w:tcW w:w="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7</w:t>
            </w:r>
          </w:p>
        </w:tc>
        <w:tc>
          <w:tcPr>
            <w:tcW w:w="160" w:type="dxa"/>
            <w:vAlign w:val="bottom"/>
          </w:tcPr>
          <w:p>
            <w:pPr>
              <w:spacing w:after="0"/>
              <w:rPr>
                <w:sz w:val="17"/>
                <w:szCs w:val="17"/>
                <w:color w:val="auto"/>
              </w:rPr>
            </w:pPr>
          </w:p>
        </w:tc>
      </w:tr>
      <w:tr>
        <w:trPr>
          <w:trHeight w:val="200"/>
        </w:trPr>
        <w:tc>
          <w:tcPr>
            <w:tcW w:w="3860" w:type="dxa"/>
            <w:vAlign w:val="bottom"/>
            <w:gridSpan w:val="2"/>
          </w:tcPr>
          <w:p>
            <w:pPr>
              <w:ind w:left="40"/>
              <w:spacing w:after="0"/>
              <w:rPr>
                <w:sz w:val="20"/>
                <w:szCs w:val="20"/>
                <w:color w:val="auto"/>
              </w:rPr>
            </w:pPr>
            <w:r>
              <w:rPr>
                <w:rFonts w:ascii="Arial" w:cs="Arial" w:eastAsia="Arial" w:hAnsi="Arial"/>
                <w:sz w:val="14"/>
                <w:szCs w:val="14"/>
                <w:color w:val="auto"/>
              </w:rPr>
              <w:t>Ventura Basin</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r>
      <w:tr>
        <w:trPr>
          <w:trHeight w:val="200"/>
        </w:trPr>
        <w:tc>
          <w:tcPr>
            <w:tcW w:w="3860" w:type="dxa"/>
            <w:vAlign w:val="bottom"/>
            <w:gridSpan w:val="2"/>
          </w:tcPr>
          <w:p>
            <w:pPr>
              <w:ind w:left="40"/>
              <w:spacing w:after="0"/>
              <w:rPr>
                <w:sz w:val="20"/>
                <w:szCs w:val="20"/>
                <w:color w:val="auto"/>
              </w:rPr>
            </w:pPr>
            <w:r>
              <w:rPr>
                <w:rFonts w:ascii="Arial" w:cs="Arial" w:eastAsia="Arial" w:hAnsi="Arial"/>
                <w:sz w:val="14"/>
                <w:szCs w:val="14"/>
                <w:color w:val="auto"/>
              </w:rPr>
              <w:t>Sacramento Basin</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17</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w:t>
            </w:r>
          </w:p>
        </w:tc>
        <w:tc>
          <w:tcPr>
            <w:tcW w:w="160" w:type="dxa"/>
            <w:vAlign w:val="bottom"/>
          </w:tcPr>
          <w:p>
            <w:pPr>
              <w:spacing w:after="0"/>
              <w:rPr>
                <w:sz w:val="17"/>
                <w:szCs w:val="17"/>
                <w:color w:val="auto"/>
              </w:rPr>
            </w:pPr>
          </w:p>
        </w:tc>
      </w:tr>
      <w:tr>
        <w:trPr>
          <w:trHeight w:val="193"/>
        </w:trPr>
        <w:tc>
          <w:tcPr>
            <w:tcW w:w="386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163</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149</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161</w:t>
            </w:r>
          </w:p>
        </w:tc>
        <w:tc>
          <w:tcPr>
            <w:tcW w:w="100" w:type="dxa"/>
            <w:vAlign w:val="bottom"/>
          </w:tcPr>
          <w:p>
            <w:pPr>
              <w:spacing w:after="0"/>
              <w:rPr>
                <w:sz w:val="16"/>
                <w:szCs w:val="16"/>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155</w:t>
            </w:r>
          </w:p>
        </w:tc>
        <w:tc>
          <w:tcPr>
            <w:tcW w:w="80" w:type="dxa"/>
            <w:vAlign w:val="bottom"/>
          </w:tcPr>
          <w:p>
            <w:pPr>
              <w:spacing w:after="0"/>
              <w:rPr>
                <w:sz w:val="16"/>
                <w:szCs w:val="16"/>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162</w:t>
            </w:r>
          </w:p>
        </w:tc>
        <w:tc>
          <w:tcPr>
            <w:tcW w:w="160" w:type="dxa"/>
            <w:vAlign w:val="bottom"/>
          </w:tcPr>
          <w:p>
            <w:pPr>
              <w:spacing w:after="0"/>
              <w:rPr>
                <w:sz w:val="16"/>
                <w:szCs w:val="16"/>
                <w:color w:val="auto"/>
              </w:rPr>
            </w:pPr>
          </w:p>
        </w:tc>
      </w:tr>
      <w:tr>
        <w:trPr>
          <w:trHeight w:val="161"/>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93"/>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Total Production (MBoe/d)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165</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w:t>
            </w:r>
          </w:p>
        </w:tc>
        <w:tc>
          <w:tcPr>
            <w:tcW w:w="100" w:type="dxa"/>
            <w:vAlign w:val="bottom"/>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w:t>
            </w: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118</w:t>
            </w:r>
          </w:p>
        </w:tc>
        <w:tc>
          <w:tcPr>
            <w:tcW w:w="80" w:type="dxa"/>
            <w:vAlign w:val="bottom"/>
          </w:tcPr>
          <w:p>
            <w:pPr>
              <w:spacing w:after="0"/>
              <w:rPr>
                <w:sz w:val="16"/>
                <w:szCs w:val="16"/>
                <w:color w:val="auto"/>
              </w:rPr>
            </w:pPr>
          </w:p>
        </w:tc>
        <w:tc>
          <w:tcPr>
            <w:tcW w:w="1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102</w:t>
            </w:r>
          </w:p>
        </w:tc>
        <w:tc>
          <w:tcPr>
            <w:tcW w:w="160" w:type="dxa"/>
            <w:vAlign w:val="bottom"/>
          </w:tcPr>
          <w:p>
            <w:pPr>
              <w:spacing w:after="0"/>
              <w:rPr>
                <w:sz w:val="16"/>
                <w:szCs w:val="16"/>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100"/>
          </w:cols>
          <w:pgMar w:left="400" w:top="1050" w:right="39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5"/>
        </w:trPr>
        <w:tc>
          <w:tcPr>
            <w:tcW w:w="35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Attachment 5</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PRICE STATISTICS</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3rd Quarter</w:t>
            </w:r>
          </w:p>
        </w:tc>
        <w:tc>
          <w:tcPr>
            <w:tcW w:w="200" w:type="dxa"/>
            <w:vAlign w:val="bottom"/>
          </w:tcPr>
          <w:p>
            <w:pPr>
              <w:spacing w:after="0"/>
              <w:rPr>
                <w:sz w:val="17"/>
                <w:szCs w:val="17"/>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2nd Quarter</w:t>
            </w:r>
          </w:p>
        </w:tc>
        <w:tc>
          <w:tcPr>
            <w:tcW w:w="22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3rd Quarter</w:t>
            </w:r>
          </w:p>
        </w:tc>
        <w:tc>
          <w:tcPr>
            <w:tcW w:w="160" w:type="dxa"/>
            <w:vAlign w:val="bottom"/>
          </w:tcPr>
          <w:p>
            <w:pPr>
              <w:spacing w:after="0"/>
              <w:rPr>
                <w:sz w:val="17"/>
                <w:szCs w:val="17"/>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Nine Months</w:t>
            </w:r>
          </w:p>
        </w:tc>
        <w:tc>
          <w:tcPr>
            <w:tcW w:w="200" w:type="dxa"/>
            <w:vAlign w:val="bottom"/>
          </w:tcPr>
          <w:p>
            <w:pPr>
              <w:spacing w:after="0"/>
              <w:rPr>
                <w:sz w:val="17"/>
                <w:szCs w:val="17"/>
                <w:color w:val="auto"/>
              </w:rPr>
            </w:pPr>
          </w:p>
        </w:tc>
        <w:tc>
          <w:tcPr>
            <w:tcW w:w="1280" w:type="dxa"/>
            <w:vAlign w:val="bottom"/>
          </w:tcPr>
          <w:p>
            <w:pPr>
              <w:jc w:val="right"/>
              <w:ind w:right="249"/>
              <w:spacing w:after="0"/>
              <w:rPr>
                <w:sz w:val="20"/>
                <w:szCs w:val="20"/>
                <w:color w:val="auto"/>
              </w:rPr>
            </w:pPr>
            <w:r>
              <w:rPr>
                <w:rFonts w:ascii="Arial" w:cs="Arial" w:eastAsia="Arial" w:hAnsi="Arial"/>
                <w:sz w:val="14"/>
                <w:szCs w:val="14"/>
                <w:b w:val="1"/>
                <w:bCs w:val="1"/>
                <w:color w:val="auto"/>
              </w:rPr>
              <w:t>Nine Months</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5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Oil ($ per Bbl)</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520" w:type="dxa"/>
            <w:vAlign w:val="bottom"/>
          </w:tcPr>
          <w:p>
            <w:pPr>
              <w:ind w:left="20"/>
              <w:spacing w:after="0"/>
              <w:rPr>
                <w:sz w:val="20"/>
                <w:szCs w:val="20"/>
                <w:color w:val="auto"/>
              </w:rPr>
            </w:pPr>
            <w:r>
              <w:rPr>
                <w:rFonts w:ascii="Arial" w:cs="Arial" w:eastAsia="Arial" w:hAnsi="Arial"/>
                <w:sz w:val="14"/>
                <w:szCs w:val="14"/>
                <w:color w:val="auto"/>
              </w:rPr>
              <w:t>Realized price with derivative settlements</w:t>
            </w: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Pr>
          <w:p>
            <w:pPr>
              <w:jc w:val="right"/>
              <w:ind w:right="109"/>
              <w:spacing w:after="0"/>
              <w:rPr>
                <w:sz w:val="20"/>
                <w:szCs w:val="20"/>
                <w:color w:val="auto"/>
              </w:rPr>
            </w:pPr>
            <w:r>
              <w:rPr>
                <w:rFonts w:ascii="Arial" w:cs="Arial" w:eastAsia="Arial" w:hAnsi="Arial"/>
                <w:sz w:val="14"/>
                <w:szCs w:val="14"/>
                <w:b w:val="1"/>
                <w:bCs w:val="1"/>
                <w:color w:val="auto"/>
              </w:rPr>
              <w:t>75.38</w:t>
            </w:r>
          </w:p>
        </w:tc>
        <w:tc>
          <w:tcPr>
            <w:tcW w:w="10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Pr>
          <w:p>
            <w:pPr>
              <w:jc w:val="right"/>
              <w:ind w:right="109"/>
              <w:spacing w:after="0"/>
              <w:rPr>
                <w:sz w:val="20"/>
                <w:szCs w:val="20"/>
                <w:color w:val="auto"/>
              </w:rPr>
            </w:pPr>
            <w:r>
              <w:rPr>
                <w:rFonts w:ascii="Arial" w:cs="Arial" w:eastAsia="Arial" w:hAnsi="Arial"/>
                <w:sz w:val="14"/>
                <w:szCs w:val="14"/>
                <w:b w:val="1"/>
                <w:bCs w:val="1"/>
                <w:color w:val="auto"/>
              </w:rPr>
              <w:t>81.29</w:t>
            </w:r>
          </w:p>
        </w:tc>
        <w:tc>
          <w:tcPr>
            <w:tcW w:w="1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66.12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77.10</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29"/>
              <w:spacing w:after="0"/>
              <w:rPr>
                <w:sz w:val="20"/>
                <w:szCs w:val="20"/>
                <w:color w:val="auto"/>
              </w:rPr>
            </w:pPr>
            <w:r>
              <w:rPr>
                <w:rFonts w:ascii="Arial" w:cs="Arial" w:eastAsia="Arial" w:hAnsi="Arial"/>
                <w:sz w:val="14"/>
                <w:szCs w:val="14"/>
                <w:b w:val="1"/>
                <w:bCs w:val="1"/>
                <w:color w:val="auto"/>
              </w:rPr>
              <w:t>64.25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520" w:type="dxa"/>
            <w:vAlign w:val="bottom"/>
          </w:tcPr>
          <w:p>
            <w:pPr>
              <w:ind w:left="20"/>
              <w:spacing w:after="0"/>
              <w:rPr>
                <w:sz w:val="20"/>
                <w:szCs w:val="20"/>
                <w:color w:val="auto"/>
              </w:rPr>
            </w:pPr>
            <w:r>
              <w:rPr>
                <w:rFonts w:ascii="Arial" w:cs="Arial" w:eastAsia="Arial" w:hAnsi="Arial"/>
                <w:sz w:val="14"/>
                <w:szCs w:val="14"/>
                <w:color w:val="auto"/>
              </w:rPr>
              <w:t>Realized price without derivative settlements</w:t>
            </w: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Pr>
          <w:p>
            <w:pPr>
              <w:jc w:val="right"/>
              <w:ind w:right="109"/>
              <w:spacing w:after="0"/>
              <w:rPr>
                <w:sz w:val="20"/>
                <w:szCs w:val="20"/>
                <w:color w:val="auto"/>
              </w:rPr>
            </w:pPr>
            <w:r>
              <w:rPr>
                <w:rFonts w:ascii="Arial" w:cs="Arial" w:eastAsia="Arial" w:hAnsi="Arial"/>
                <w:sz w:val="14"/>
                <w:szCs w:val="14"/>
                <w:b w:val="1"/>
                <w:bCs w:val="1"/>
                <w:color w:val="auto"/>
              </w:rPr>
              <w:t>77.10</w:t>
            </w:r>
          </w:p>
        </w:tc>
        <w:tc>
          <w:tcPr>
            <w:tcW w:w="10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Pr>
          <w:p>
            <w:pPr>
              <w:jc w:val="right"/>
              <w:ind w:right="109"/>
              <w:spacing w:after="0"/>
              <w:rPr>
                <w:sz w:val="20"/>
                <w:szCs w:val="20"/>
                <w:color w:val="auto"/>
              </w:rPr>
            </w:pPr>
            <w:r>
              <w:rPr>
                <w:rFonts w:ascii="Arial" w:cs="Arial" w:eastAsia="Arial" w:hAnsi="Arial"/>
                <w:sz w:val="14"/>
                <w:szCs w:val="14"/>
                <w:b w:val="1"/>
                <w:bCs w:val="1"/>
                <w:color w:val="auto"/>
              </w:rPr>
              <w:t>83.14</w:t>
            </w:r>
          </w:p>
        </w:tc>
        <w:tc>
          <w:tcPr>
            <w:tcW w:w="1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85.36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79.15</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29"/>
              <w:spacing w:after="0"/>
              <w:rPr>
                <w:sz w:val="20"/>
                <w:szCs w:val="20"/>
                <w:color w:val="auto"/>
              </w:rPr>
            </w:pPr>
            <w:r>
              <w:rPr>
                <w:rFonts w:ascii="Arial" w:cs="Arial" w:eastAsia="Arial" w:hAnsi="Arial"/>
                <w:sz w:val="14"/>
                <w:szCs w:val="14"/>
                <w:b w:val="1"/>
                <w:bCs w:val="1"/>
                <w:color w:val="auto"/>
              </w:rPr>
              <w:t>79.90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3520" w:type="dxa"/>
            <w:vAlign w:val="bottom"/>
          </w:tcPr>
          <w:p>
            <w:pPr>
              <w:ind w:left="20"/>
              <w:spacing w:after="0"/>
              <w:rPr>
                <w:sz w:val="20"/>
                <w:szCs w:val="20"/>
                <w:color w:val="auto"/>
              </w:rPr>
            </w:pPr>
            <w:r>
              <w:rPr>
                <w:rFonts w:ascii="Arial" w:cs="Arial" w:eastAsia="Arial" w:hAnsi="Arial"/>
                <w:sz w:val="14"/>
                <w:szCs w:val="14"/>
                <w:color w:val="auto"/>
              </w:rPr>
              <w:t>NGLs ($/Bbl)</w:t>
            </w: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Pr>
          <w:p>
            <w:pPr>
              <w:jc w:val="right"/>
              <w:ind w:right="109"/>
              <w:spacing w:after="0"/>
              <w:rPr>
                <w:sz w:val="20"/>
                <w:szCs w:val="20"/>
                <w:color w:val="auto"/>
              </w:rPr>
            </w:pPr>
            <w:r>
              <w:rPr>
                <w:rFonts w:ascii="Arial" w:cs="Arial" w:eastAsia="Arial" w:hAnsi="Arial"/>
                <w:sz w:val="14"/>
                <w:szCs w:val="14"/>
                <w:b w:val="1"/>
                <w:bCs w:val="1"/>
                <w:color w:val="auto"/>
              </w:rPr>
              <w:t>45.77</w:t>
            </w:r>
          </w:p>
        </w:tc>
        <w:tc>
          <w:tcPr>
            <w:tcW w:w="100" w:type="dxa"/>
            <w:vAlign w:val="bottom"/>
          </w:tcPr>
          <w:p>
            <w:pPr>
              <w:spacing w:after="0"/>
              <w:rPr>
                <w:sz w:val="22"/>
                <w:szCs w:val="22"/>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Pr>
          <w:p>
            <w:pPr>
              <w:jc w:val="right"/>
              <w:ind w:right="109"/>
              <w:spacing w:after="0"/>
              <w:rPr>
                <w:sz w:val="20"/>
                <w:szCs w:val="20"/>
                <w:color w:val="auto"/>
              </w:rPr>
            </w:pPr>
            <w:r>
              <w:rPr>
                <w:rFonts w:ascii="Arial" w:cs="Arial" w:eastAsia="Arial" w:hAnsi="Arial"/>
                <w:sz w:val="14"/>
                <w:szCs w:val="14"/>
                <w:b w:val="1"/>
                <w:bCs w:val="1"/>
                <w:color w:val="auto"/>
              </w:rPr>
              <w:t>46.96</w:t>
            </w:r>
          </w:p>
        </w:tc>
        <w:tc>
          <w:tcPr>
            <w:tcW w:w="180" w:type="dxa"/>
            <w:vAlign w:val="bottom"/>
          </w:tcPr>
          <w:p>
            <w:pPr>
              <w:spacing w:after="0"/>
              <w:rPr>
                <w:sz w:val="22"/>
                <w:szCs w:val="22"/>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44.95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47.77</w:t>
            </w:r>
          </w:p>
        </w:tc>
        <w:tc>
          <w:tcPr>
            <w:tcW w:w="100" w:type="dxa"/>
            <w:vAlign w:val="bottom"/>
          </w:tcPr>
          <w:p>
            <w:pPr>
              <w:spacing w:after="0"/>
              <w:rPr>
                <w:sz w:val="22"/>
                <w:szCs w:val="22"/>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29"/>
              <w:spacing w:after="0"/>
              <w:rPr>
                <w:sz w:val="20"/>
                <w:szCs w:val="20"/>
                <w:color w:val="auto"/>
              </w:rPr>
            </w:pPr>
            <w:r>
              <w:rPr>
                <w:rFonts w:ascii="Arial" w:cs="Arial" w:eastAsia="Arial" w:hAnsi="Arial"/>
                <w:sz w:val="14"/>
                <w:szCs w:val="14"/>
                <w:b w:val="1"/>
                <w:bCs w:val="1"/>
                <w:color w:val="auto"/>
              </w:rPr>
              <w:t>48.89</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520" w:type="dxa"/>
            <w:vAlign w:val="bottom"/>
          </w:tcPr>
          <w:p>
            <w:pPr>
              <w:ind w:left="20"/>
              <w:spacing w:after="0"/>
              <w:rPr>
                <w:sz w:val="20"/>
                <w:szCs w:val="20"/>
                <w:color w:val="auto"/>
              </w:rPr>
            </w:pPr>
            <w:r>
              <w:rPr>
                <w:rFonts w:ascii="Arial" w:cs="Arial" w:eastAsia="Arial" w:hAnsi="Arial"/>
                <w:sz w:val="14"/>
                <w:szCs w:val="14"/>
                <w:color w:val="auto"/>
              </w:rPr>
              <w:t>Natural gas ($/Mcf)</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3520" w:type="dxa"/>
            <w:vAlign w:val="bottom"/>
          </w:tcPr>
          <w:p>
            <w:pPr>
              <w:ind w:left="20"/>
              <w:spacing w:after="0"/>
              <w:rPr>
                <w:sz w:val="20"/>
                <w:szCs w:val="20"/>
                <w:color w:val="auto"/>
              </w:rPr>
            </w:pPr>
            <w:r>
              <w:rPr>
                <w:rFonts w:ascii="Arial" w:cs="Arial" w:eastAsia="Arial" w:hAnsi="Arial"/>
                <w:sz w:val="14"/>
                <w:szCs w:val="14"/>
                <w:color w:val="auto"/>
              </w:rPr>
              <w:t>Realized price with derivative settlements</w:t>
            </w: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Pr>
          <w:p>
            <w:pPr>
              <w:jc w:val="right"/>
              <w:ind w:right="109"/>
              <w:spacing w:after="0"/>
              <w:rPr>
                <w:sz w:val="20"/>
                <w:szCs w:val="20"/>
                <w:color w:val="auto"/>
              </w:rPr>
            </w:pPr>
            <w:r>
              <w:rPr>
                <w:rFonts w:ascii="Arial" w:cs="Arial" w:eastAsia="Arial" w:hAnsi="Arial"/>
                <w:sz w:val="14"/>
                <w:szCs w:val="14"/>
                <w:b w:val="1"/>
                <w:bCs w:val="1"/>
                <w:color w:val="auto"/>
              </w:rPr>
              <w:t>2.68</w:t>
            </w:r>
          </w:p>
        </w:tc>
        <w:tc>
          <w:tcPr>
            <w:tcW w:w="10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Pr>
          <w:p>
            <w:pPr>
              <w:jc w:val="right"/>
              <w:ind w:right="109"/>
              <w:spacing w:after="0"/>
              <w:rPr>
                <w:sz w:val="20"/>
                <w:szCs w:val="20"/>
                <w:color w:val="auto"/>
              </w:rPr>
            </w:pPr>
            <w:r>
              <w:rPr>
                <w:rFonts w:ascii="Arial" w:cs="Arial" w:eastAsia="Arial" w:hAnsi="Arial"/>
                <w:sz w:val="14"/>
                <w:szCs w:val="14"/>
                <w:b w:val="1"/>
                <w:bCs w:val="1"/>
                <w:color w:val="auto"/>
              </w:rPr>
              <w:t>1.78</w:t>
            </w:r>
          </w:p>
        </w:tc>
        <w:tc>
          <w:tcPr>
            <w:tcW w:w="1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4.83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2.76</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29"/>
              <w:spacing w:after="0"/>
              <w:rPr>
                <w:sz w:val="20"/>
                <w:szCs w:val="20"/>
                <w:color w:val="auto"/>
              </w:rPr>
            </w:pPr>
            <w:r>
              <w:rPr>
                <w:rFonts w:ascii="Arial" w:cs="Arial" w:eastAsia="Arial" w:hAnsi="Arial"/>
                <w:sz w:val="14"/>
                <w:szCs w:val="14"/>
                <w:b w:val="1"/>
                <w:bCs w:val="1"/>
                <w:color w:val="auto"/>
              </w:rPr>
              <w:t>9.85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520" w:type="dxa"/>
            <w:vAlign w:val="bottom"/>
          </w:tcPr>
          <w:p>
            <w:pPr>
              <w:ind w:left="20"/>
              <w:spacing w:after="0"/>
              <w:rPr>
                <w:sz w:val="20"/>
                <w:szCs w:val="20"/>
                <w:color w:val="auto"/>
              </w:rPr>
            </w:pPr>
            <w:r>
              <w:rPr>
                <w:rFonts w:ascii="Arial" w:cs="Arial" w:eastAsia="Arial" w:hAnsi="Arial"/>
                <w:sz w:val="14"/>
                <w:szCs w:val="14"/>
                <w:color w:val="auto"/>
              </w:rPr>
              <w:t>Realized price without derivative settlements</w:t>
            </w: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Pr>
          <w:p>
            <w:pPr>
              <w:jc w:val="right"/>
              <w:ind w:right="109"/>
              <w:spacing w:after="0"/>
              <w:rPr>
                <w:sz w:val="20"/>
                <w:szCs w:val="20"/>
                <w:color w:val="auto"/>
              </w:rPr>
            </w:pPr>
            <w:r>
              <w:rPr>
                <w:rFonts w:ascii="Arial" w:cs="Arial" w:eastAsia="Arial" w:hAnsi="Arial"/>
                <w:sz w:val="14"/>
                <w:szCs w:val="14"/>
                <w:b w:val="1"/>
                <w:bCs w:val="1"/>
                <w:color w:val="auto"/>
              </w:rPr>
              <w:t>2.68</w:t>
            </w:r>
          </w:p>
        </w:tc>
        <w:tc>
          <w:tcPr>
            <w:tcW w:w="10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Pr>
          <w:p>
            <w:pPr>
              <w:jc w:val="right"/>
              <w:ind w:right="109"/>
              <w:spacing w:after="0"/>
              <w:rPr>
                <w:sz w:val="20"/>
                <w:szCs w:val="20"/>
                <w:color w:val="auto"/>
              </w:rPr>
            </w:pPr>
            <w:r>
              <w:rPr>
                <w:rFonts w:ascii="Arial" w:cs="Arial" w:eastAsia="Arial" w:hAnsi="Arial"/>
                <w:sz w:val="14"/>
                <w:szCs w:val="14"/>
                <w:b w:val="1"/>
                <w:bCs w:val="1"/>
                <w:color w:val="auto"/>
              </w:rPr>
              <w:t>1.78</w:t>
            </w:r>
          </w:p>
        </w:tc>
        <w:tc>
          <w:tcPr>
            <w:tcW w:w="1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4.83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2.76</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29"/>
              <w:spacing w:after="0"/>
              <w:rPr>
                <w:sz w:val="20"/>
                <w:szCs w:val="20"/>
                <w:color w:val="auto"/>
              </w:rPr>
            </w:pPr>
            <w:r>
              <w:rPr>
                <w:rFonts w:ascii="Arial" w:cs="Arial" w:eastAsia="Arial" w:hAnsi="Arial"/>
                <w:sz w:val="14"/>
                <w:szCs w:val="14"/>
                <w:b w:val="1"/>
                <w:bCs w:val="1"/>
                <w:color w:val="auto"/>
              </w:rPr>
              <w:t>9.85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3"/>
        </w:trPr>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Index Prices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520" w:type="dxa"/>
            <w:vAlign w:val="bottom"/>
          </w:tcPr>
          <w:p>
            <w:pPr>
              <w:ind w:left="60"/>
              <w:spacing w:after="0"/>
              <w:rPr>
                <w:sz w:val="20"/>
                <w:szCs w:val="20"/>
                <w:color w:val="auto"/>
              </w:rPr>
            </w:pPr>
            <w:r>
              <w:rPr>
                <w:rFonts w:ascii="Arial" w:cs="Arial" w:eastAsia="Arial" w:hAnsi="Arial"/>
                <w:sz w:val="14"/>
                <w:szCs w:val="14"/>
                <w:color w:val="auto"/>
              </w:rPr>
              <w:t>Brent oil ($/Bbl)</w:t>
            </w: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Pr>
          <w:p>
            <w:pPr>
              <w:jc w:val="right"/>
              <w:ind w:right="109"/>
              <w:spacing w:after="0"/>
              <w:rPr>
                <w:sz w:val="20"/>
                <w:szCs w:val="20"/>
                <w:color w:val="auto"/>
              </w:rPr>
            </w:pPr>
            <w:r>
              <w:rPr>
                <w:rFonts w:ascii="Arial" w:cs="Arial" w:eastAsia="Arial" w:hAnsi="Arial"/>
                <w:sz w:val="14"/>
                <w:szCs w:val="14"/>
                <w:b w:val="1"/>
                <w:bCs w:val="1"/>
                <w:color w:val="auto"/>
              </w:rPr>
              <w:t>78.54</w:t>
            </w:r>
          </w:p>
        </w:tc>
        <w:tc>
          <w:tcPr>
            <w:tcW w:w="10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Pr>
          <w:p>
            <w:pPr>
              <w:jc w:val="right"/>
              <w:ind w:right="109"/>
              <w:spacing w:after="0"/>
              <w:rPr>
                <w:sz w:val="20"/>
                <w:szCs w:val="20"/>
                <w:color w:val="auto"/>
              </w:rPr>
            </w:pPr>
            <w:r>
              <w:rPr>
                <w:rFonts w:ascii="Arial" w:cs="Arial" w:eastAsia="Arial" w:hAnsi="Arial"/>
                <w:sz w:val="14"/>
                <w:szCs w:val="14"/>
                <w:b w:val="1"/>
                <w:bCs w:val="1"/>
                <w:color w:val="auto"/>
              </w:rPr>
              <w:t>85.00</w:t>
            </w:r>
          </w:p>
        </w:tc>
        <w:tc>
          <w:tcPr>
            <w:tcW w:w="1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85.95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81.79</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29"/>
              <w:spacing w:after="0"/>
              <w:rPr>
                <w:sz w:val="20"/>
                <w:szCs w:val="20"/>
                <w:color w:val="auto"/>
              </w:rPr>
            </w:pPr>
            <w:r>
              <w:rPr>
                <w:rFonts w:ascii="Arial" w:cs="Arial" w:eastAsia="Arial" w:hAnsi="Arial"/>
                <w:sz w:val="14"/>
                <w:szCs w:val="14"/>
                <w:b w:val="1"/>
                <w:bCs w:val="1"/>
                <w:color w:val="auto"/>
              </w:rPr>
              <w:t>82.06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520" w:type="dxa"/>
            <w:vAlign w:val="bottom"/>
          </w:tcPr>
          <w:p>
            <w:pPr>
              <w:ind w:left="60"/>
              <w:spacing w:after="0"/>
              <w:rPr>
                <w:sz w:val="20"/>
                <w:szCs w:val="20"/>
                <w:color w:val="auto"/>
              </w:rPr>
            </w:pPr>
            <w:r>
              <w:rPr>
                <w:rFonts w:ascii="Arial" w:cs="Arial" w:eastAsia="Arial" w:hAnsi="Arial"/>
                <w:sz w:val="14"/>
                <w:szCs w:val="14"/>
                <w:color w:val="auto"/>
              </w:rPr>
              <w:t>WTI oil ($/Bbl)</w:t>
            </w: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Pr>
          <w:p>
            <w:pPr>
              <w:jc w:val="right"/>
              <w:ind w:right="109"/>
              <w:spacing w:after="0"/>
              <w:rPr>
                <w:sz w:val="20"/>
                <w:szCs w:val="20"/>
                <w:color w:val="auto"/>
              </w:rPr>
            </w:pPr>
            <w:r>
              <w:rPr>
                <w:rFonts w:ascii="Arial" w:cs="Arial" w:eastAsia="Arial" w:hAnsi="Arial"/>
                <w:sz w:val="14"/>
                <w:szCs w:val="14"/>
                <w:b w:val="1"/>
                <w:bCs w:val="1"/>
                <w:color w:val="auto"/>
              </w:rPr>
              <w:t>75.09</w:t>
            </w:r>
          </w:p>
        </w:tc>
        <w:tc>
          <w:tcPr>
            <w:tcW w:w="10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Pr>
          <w:p>
            <w:pPr>
              <w:jc w:val="right"/>
              <w:ind w:right="109"/>
              <w:spacing w:after="0"/>
              <w:rPr>
                <w:sz w:val="20"/>
                <w:szCs w:val="20"/>
                <w:color w:val="auto"/>
              </w:rPr>
            </w:pPr>
            <w:r>
              <w:rPr>
                <w:rFonts w:ascii="Arial" w:cs="Arial" w:eastAsia="Arial" w:hAnsi="Arial"/>
                <w:sz w:val="14"/>
                <w:szCs w:val="14"/>
                <w:b w:val="1"/>
                <w:bCs w:val="1"/>
                <w:color w:val="auto"/>
              </w:rPr>
              <w:t>80.57</w:t>
            </w:r>
          </w:p>
        </w:tc>
        <w:tc>
          <w:tcPr>
            <w:tcW w:w="1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82.26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77.54</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29"/>
              <w:spacing w:after="0"/>
              <w:rPr>
                <w:sz w:val="20"/>
                <w:szCs w:val="20"/>
                <w:color w:val="auto"/>
              </w:rPr>
            </w:pPr>
            <w:r>
              <w:rPr>
                <w:rFonts w:ascii="Arial" w:cs="Arial" w:eastAsia="Arial" w:hAnsi="Arial"/>
                <w:sz w:val="14"/>
                <w:szCs w:val="14"/>
                <w:b w:val="1"/>
                <w:bCs w:val="1"/>
                <w:color w:val="auto"/>
              </w:rPr>
              <w:t>77.39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520" w:type="dxa"/>
            <w:vAlign w:val="bottom"/>
          </w:tcPr>
          <w:p>
            <w:pPr>
              <w:ind w:left="20"/>
              <w:spacing w:after="0"/>
              <w:rPr>
                <w:sz w:val="20"/>
                <w:szCs w:val="20"/>
                <w:color w:val="auto"/>
              </w:rPr>
            </w:pPr>
            <w:r>
              <w:rPr>
                <w:rFonts w:ascii="Arial" w:cs="Arial" w:eastAsia="Arial" w:hAnsi="Arial"/>
                <w:sz w:val="14"/>
                <w:szCs w:val="14"/>
                <w:color w:val="auto"/>
              </w:rPr>
              <w:t>NYMEX average monthly settled price ($/MMBtu)</w:t>
            </w: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Pr>
          <w:p>
            <w:pPr>
              <w:jc w:val="right"/>
              <w:ind w:right="109"/>
              <w:spacing w:after="0"/>
              <w:rPr>
                <w:sz w:val="20"/>
                <w:szCs w:val="20"/>
                <w:color w:val="auto"/>
              </w:rPr>
            </w:pPr>
            <w:r>
              <w:rPr>
                <w:rFonts w:ascii="Arial" w:cs="Arial" w:eastAsia="Arial" w:hAnsi="Arial"/>
                <w:sz w:val="14"/>
                <w:szCs w:val="14"/>
                <w:b w:val="1"/>
                <w:bCs w:val="1"/>
                <w:color w:val="auto"/>
              </w:rPr>
              <w:t>2.16</w:t>
            </w:r>
          </w:p>
        </w:tc>
        <w:tc>
          <w:tcPr>
            <w:tcW w:w="10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Pr>
          <w:p>
            <w:pPr>
              <w:jc w:val="right"/>
              <w:ind w:right="109"/>
              <w:spacing w:after="0"/>
              <w:rPr>
                <w:sz w:val="20"/>
                <w:szCs w:val="20"/>
                <w:color w:val="auto"/>
              </w:rPr>
            </w:pPr>
            <w:r>
              <w:rPr>
                <w:rFonts w:ascii="Arial" w:cs="Arial" w:eastAsia="Arial" w:hAnsi="Arial"/>
                <w:sz w:val="14"/>
                <w:szCs w:val="14"/>
                <w:b w:val="1"/>
                <w:bCs w:val="1"/>
                <w:color w:val="auto"/>
              </w:rPr>
              <w:t>1.89</w:t>
            </w:r>
          </w:p>
        </w:tc>
        <w:tc>
          <w:tcPr>
            <w:tcW w:w="1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2.55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2.10</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29"/>
              <w:spacing w:after="0"/>
              <w:rPr>
                <w:sz w:val="20"/>
                <w:szCs w:val="20"/>
                <w:color w:val="auto"/>
              </w:rPr>
            </w:pPr>
            <w:r>
              <w:rPr>
                <w:rFonts w:ascii="Arial" w:cs="Arial" w:eastAsia="Arial" w:hAnsi="Arial"/>
                <w:sz w:val="14"/>
                <w:szCs w:val="14"/>
                <w:b w:val="1"/>
                <w:bCs w:val="1"/>
                <w:color w:val="auto"/>
              </w:rPr>
              <w:t>2.69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3"/>
        </w:trPr>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Realized Prices as Percentage of Index Prices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520" w:type="dxa"/>
            <w:vAlign w:val="bottom"/>
          </w:tcPr>
          <w:p>
            <w:pPr>
              <w:ind w:left="20"/>
              <w:spacing w:after="0" w:line="152" w:lineRule="exact"/>
              <w:rPr>
                <w:sz w:val="20"/>
                <w:szCs w:val="20"/>
                <w:color w:val="auto"/>
              </w:rPr>
            </w:pPr>
            <w:r>
              <w:rPr>
                <w:rFonts w:ascii="Arial" w:cs="Arial" w:eastAsia="Arial" w:hAnsi="Arial"/>
                <w:sz w:val="14"/>
                <w:szCs w:val="14"/>
                <w:color w:val="auto"/>
              </w:rPr>
              <w:t>Oil with derivative settlements as a percentage of</w:t>
            </w:r>
          </w:p>
        </w:tc>
        <w:tc>
          <w:tcPr>
            <w:tcW w:w="20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96 %</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96 %</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77 %</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94 %</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78 %</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520" w:type="dxa"/>
            <w:vAlign w:val="bottom"/>
          </w:tcPr>
          <w:p>
            <w:pPr>
              <w:ind w:left="20"/>
              <w:spacing w:after="0"/>
              <w:rPr>
                <w:sz w:val="20"/>
                <w:szCs w:val="20"/>
                <w:color w:val="auto"/>
              </w:rPr>
            </w:pPr>
            <w:r>
              <w:rPr>
                <w:rFonts w:ascii="Arial" w:cs="Arial" w:eastAsia="Arial" w:hAnsi="Arial"/>
                <w:sz w:val="14"/>
                <w:szCs w:val="14"/>
                <w:color w:val="auto"/>
              </w:rPr>
              <w:t>Brent</w:t>
            </w: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520" w:type="dxa"/>
            <w:vAlign w:val="bottom"/>
          </w:tcPr>
          <w:p>
            <w:pPr>
              <w:ind w:left="20"/>
              <w:spacing w:after="0" w:line="147" w:lineRule="exact"/>
              <w:rPr>
                <w:sz w:val="20"/>
                <w:szCs w:val="20"/>
                <w:color w:val="auto"/>
              </w:rPr>
            </w:pPr>
            <w:r>
              <w:rPr>
                <w:rFonts w:ascii="Arial" w:cs="Arial" w:eastAsia="Arial" w:hAnsi="Arial"/>
                <w:sz w:val="14"/>
                <w:szCs w:val="14"/>
                <w:color w:val="auto"/>
              </w:rPr>
              <w:t>Oil without derivative settlements as a percentage of</w:t>
            </w:r>
          </w:p>
        </w:tc>
        <w:tc>
          <w:tcPr>
            <w:tcW w:w="20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98 %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98 %</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99 %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97 %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97 %</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20" w:type="dxa"/>
            <w:vAlign w:val="bottom"/>
          </w:tcPr>
          <w:p>
            <w:pPr>
              <w:ind w:left="20"/>
              <w:spacing w:after="0"/>
              <w:rPr>
                <w:sz w:val="20"/>
                <w:szCs w:val="20"/>
                <w:color w:val="auto"/>
              </w:rPr>
            </w:pPr>
            <w:r>
              <w:rPr>
                <w:rFonts w:ascii="Arial" w:cs="Arial" w:eastAsia="Arial" w:hAnsi="Arial"/>
                <w:sz w:val="14"/>
                <w:szCs w:val="14"/>
                <w:color w:val="auto"/>
              </w:rPr>
              <w:t>Brent</w:t>
            </w: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3520" w:type="dxa"/>
            <w:vAlign w:val="bottom"/>
          </w:tcPr>
          <w:p>
            <w:pPr>
              <w:ind w:left="20"/>
              <w:spacing w:after="0"/>
              <w:rPr>
                <w:sz w:val="20"/>
                <w:szCs w:val="20"/>
                <w:color w:val="auto"/>
              </w:rPr>
            </w:pPr>
            <w:r>
              <w:rPr>
                <w:rFonts w:ascii="Arial" w:cs="Arial" w:eastAsia="Arial" w:hAnsi="Arial"/>
                <w:sz w:val="14"/>
                <w:szCs w:val="14"/>
                <w:color w:val="auto"/>
              </w:rPr>
              <w:t>Oil with derivative settlements as a percentage of WTI</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100 %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101 %</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80 %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99 %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83 %</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3520" w:type="dxa"/>
            <w:vAlign w:val="bottom"/>
          </w:tcPr>
          <w:p>
            <w:pPr>
              <w:ind w:left="20"/>
              <w:spacing w:after="0" w:line="152" w:lineRule="exact"/>
              <w:rPr>
                <w:sz w:val="20"/>
                <w:szCs w:val="20"/>
                <w:color w:val="auto"/>
              </w:rPr>
            </w:pPr>
            <w:r>
              <w:rPr>
                <w:rFonts w:ascii="Arial" w:cs="Arial" w:eastAsia="Arial" w:hAnsi="Arial"/>
                <w:sz w:val="14"/>
                <w:szCs w:val="14"/>
                <w:color w:val="auto"/>
              </w:rPr>
              <w:t>Oil without derivative settlements as a percentage of</w:t>
            </w:r>
          </w:p>
        </w:tc>
        <w:tc>
          <w:tcPr>
            <w:tcW w:w="20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103 %</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103 %</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104 %</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102 %</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103 %</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520" w:type="dxa"/>
            <w:vAlign w:val="bottom"/>
          </w:tcPr>
          <w:p>
            <w:pPr>
              <w:ind w:left="20"/>
              <w:spacing w:after="0"/>
              <w:rPr>
                <w:sz w:val="20"/>
                <w:szCs w:val="20"/>
                <w:color w:val="auto"/>
              </w:rPr>
            </w:pPr>
            <w:r>
              <w:rPr>
                <w:rFonts w:ascii="Arial" w:cs="Arial" w:eastAsia="Arial" w:hAnsi="Arial"/>
                <w:sz w:val="14"/>
                <w:szCs w:val="14"/>
                <w:color w:val="auto"/>
              </w:rPr>
              <w:t>WTI</w:t>
            </w: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3520" w:type="dxa"/>
            <w:vAlign w:val="bottom"/>
          </w:tcPr>
          <w:p>
            <w:pPr>
              <w:ind w:left="20"/>
              <w:spacing w:after="0"/>
              <w:rPr>
                <w:sz w:val="20"/>
                <w:szCs w:val="20"/>
                <w:color w:val="auto"/>
              </w:rPr>
            </w:pPr>
            <w:r>
              <w:rPr>
                <w:rFonts w:ascii="Arial" w:cs="Arial" w:eastAsia="Arial" w:hAnsi="Arial"/>
                <w:sz w:val="14"/>
                <w:szCs w:val="14"/>
                <w:color w:val="auto"/>
              </w:rPr>
              <w:t>NGLs as a percentage of Brent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58 %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55 %</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52 %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58 %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60 %</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520" w:type="dxa"/>
            <w:vAlign w:val="bottom"/>
          </w:tcPr>
          <w:p>
            <w:pPr>
              <w:ind w:left="20"/>
              <w:spacing w:after="0"/>
              <w:rPr>
                <w:sz w:val="20"/>
                <w:szCs w:val="20"/>
                <w:color w:val="auto"/>
              </w:rPr>
            </w:pPr>
            <w:r>
              <w:rPr>
                <w:rFonts w:ascii="Arial" w:cs="Arial" w:eastAsia="Arial" w:hAnsi="Arial"/>
                <w:sz w:val="14"/>
                <w:szCs w:val="14"/>
                <w:color w:val="auto"/>
              </w:rPr>
              <w:t>NGLs as a percentage of WTI</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61 %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58 %</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55 %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62 %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63 %</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20" w:type="dxa"/>
            <w:vAlign w:val="bottom"/>
          </w:tcPr>
          <w:p>
            <w:pPr>
              <w:ind w:left="20"/>
              <w:spacing w:after="0"/>
              <w:rPr>
                <w:sz w:val="20"/>
                <w:szCs w:val="20"/>
                <w:color w:val="auto"/>
              </w:rPr>
            </w:pPr>
            <w:r>
              <w:rPr>
                <w:rFonts w:ascii="Arial" w:cs="Arial" w:eastAsia="Arial" w:hAnsi="Arial"/>
                <w:sz w:val="14"/>
                <w:szCs w:val="14"/>
                <w:color w:val="auto"/>
              </w:rPr>
              <w:t>Natural gas with derivative settlements as a</w:t>
            </w:r>
          </w:p>
        </w:tc>
        <w:tc>
          <w:tcPr>
            <w:tcW w:w="20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124 %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94 %</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189 %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131 %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366 %</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20" w:type="dxa"/>
            <w:vAlign w:val="bottom"/>
          </w:tcPr>
          <w:p>
            <w:pPr>
              <w:ind w:left="20"/>
              <w:spacing w:after="0"/>
              <w:rPr>
                <w:sz w:val="20"/>
                <w:szCs w:val="20"/>
                <w:color w:val="auto"/>
              </w:rPr>
            </w:pPr>
            <w:r>
              <w:rPr>
                <w:rFonts w:ascii="Arial" w:cs="Arial" w:eastAsia="Arial" w:hAnsi="Arial"/>
                <w:sz w:val="14"/>
                <w:szCs w:val="14"/>
                <w:color w:val="auto"/>
              </w:rPr>
              <w:t>percentage of NYMEX contract month average</w:t>
            </w: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520" w:type="dxa"/>
            <w:vAlign w:val="bottom"/>
          </w:tcPr>
          <w:p>
            <w:pPr>
              <w:ind w:left="20"/>
              <w:spacing w:after="0"/>
              <w:rPr>
                <w:sz w:val="20"/>
                <w:szCs w:val="20"/>
                <w:color w:val="auto"/>
              </w:rPr>
            </w:pPr>
            <w:r>
              <w:rPr>
                <w:rFonts w:ascii="Arial" w:cs="Arial" w:eastAsia="Arial" w:hAnsi="Arial"/>
                <w:sz w:val="14"/>
                <w:szCs w:val="14"/>
                <w:color w:val="auto"/>
              </w:rPr>
              <w:t>Natural gas without derivative settlements as a</w:t>
            </w:r>
          </w:p>
        </w:tc>
        <w:tc>
          <w:tcPr>
            <w:tcW w:w="20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124 %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94 %</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189 %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131 %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366 %</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20" w:type="dxa"/>
            <w:vAlign w:val="bottom"/>
          </w:tcPr>
          <w:p>
            <w:pPr>
              <w:ind w:left="20"/>
              <w:spacing w:after="0"/>
              <w:rPr>
                <w:sz w:val="20"/>
                <w:szCs w:val="20"/>
                <w:color w:val="auto"/>
              </w:rPr>
            </w:pPr>
            <w:r>
              <w:rPr>
                <w:rFonts w:ascii="Arial" w:cs="Arial" w:eastAsia="Arial" w:hAnsi="Arial"/>
                <w:sz w:val="14"/>
                <w:szCs w:val="14"/>
                <w:color w:val="auto"/>
              </w:rPr>
              <w:t>percentage of NYMEX contract month average</w:t>
            </w: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240"/>
          </w:cols>
          <w:pgMar w:left="320" w:top="1050" w:right="339" w:bottom="1440" w:gutter="0" w:footer="0" w:header="0"/>
        </w:sectPr>
      </w:pPr>
    </w:p>
    <w:bookmarkStart w:id="23" w:name="page24"/>
    <w:bookmarkEnd w:id="23"/>
    <w:tbl>
      <w:tblPr>
        <w:tblLayout w:type="fixed"/>
        <w:tblInd w:w="40" w:type="dxa"/>
        <w:tblCellMar>
          <w:top w:w="0" w:type="dxa"/>
          <w:left w:w="0" w:type="dxa"/>
          <w:bottom w:w="0" w:type="dxa"/>
          <w:right w:w="0" w:type="dxa"/>
        </w:tblCellMar>
      </w:tblPr>
      <w:tr>
        <w:trPr>
          <w:trHeight w:val="195"/>
        </w:trPr>
        <w:tc>
          <w:tcPr>
            <w:tcW w:w="4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Attachment 6</w:t>
            </w:r>
          </w:p>
        </w:tc>
        <w:tc>
          <w:tcPr>
            <w:tcW w:w="0" w:type="dxa"/>
            <w:vAlign w:val="bottom"/>
          </w:tcPr>
          <w:p>
            <w:pPr>
              <w:spacing w:after="0"/>
              <w:rPr>
                <w:sz w:val="1"/>
                <w:szCs w:val="1"/>
                <w:color w:val="auto"/>
              </w:rPr>
            </w:pPr>
          </w:p>
        </w:tc>
      </w:tr>
      <w:tr>
        <w:trPr>
          <w:trHeight w:val="21"/>
        </w:trPr>
        <w:tc>
          <w:tcPr>
            <w:tcW w:w="4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THIRD QUARTER 2024 DRILLING ACTIVITY</w:t>
            </w: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320" w:type="dxa"/>
            <w:vAlign w:val="bottom"/>
          </w:tcPr>
          <w:p>
            <w:pPr>
              <w:spacing w:after="0"/>
              <w:rPr>
                <w:sz w:val="17"/>
                <w:szCs w:val="17"/>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San Joaquin</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Los Angeles</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Ventura</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Sacramento</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Wells Drilled</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Basin</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Basin</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Basin</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Basin</w:t>
            </w:r>
          </w:p>
        </w:tc>
        <w:tc>
          <w:tcPr>
            <w:tcW w:w="1240" w:type="dxa"/>
            <w:vAlign w:val="bottom"/>
          </w:tcPr>
          <w:p>
            <w:pPr>
              <w:ind w:lef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32"/>
        </w:trPr>
        <w:tc>
          <w:tcPr>
            <w:tcW w:w="43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Development Wells</w:t>
            </w:r>
          </w:p>
        </w:tc>
        <w:tc>
          <w:tcPr>
            <w:tcW w:w="13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320" w:type="dxa"/>
            <w:vAlign w:val="bottom"/>
          </w:tcPr>
          <w:p>
            <w:pPr>
              <w:ind w:left="140"/>
              <w:spacing w:after="0"/>
              <w:rPr>
                <w:sz w:val="20"/>
                <w:szCs w:val="20"/>
                <w:color w:val="auto"/>
              </w:rPr>
            </w:pPr>
            <w:r>
              <w:rPr>
                <w:rFonts w:ascii="Arial" w:cs="Arial" w:eastAsia="Arial" w:hAnsi="Arial"/>
                <w:sz w:val="14"/>
                <w:szCs w:val="14"/>
                <w:color w:val="auto"/>
              </w:rPr>
              <w:t>Primary</w:t>
            </w:r>
          </w:p>
        </w:tc>
        <w:tc>
          <w:tcPr>
            <w:tcW w:w="1320" w:type="dxa"/>
            <w:vAlign w:val="bottom"/>
          </w:tcPr>
          <w:p>
            <w:pPr>
              <w:jc w:val="center"/>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0"/>
        </w:trPr>
        <w:tc>
          <w:tcPr>
            <w:tcW w:w="4320" w:type="dxa"/>
            <w:vAlign w:val="bottom"/>
          </w:tcPr>
          <w:p>
            <w:pPr>
              <w:ind w:left="140"/>
              <w:spacing w:after="0"/>
              <w:rPr>
                <w:sz w:val="20"/>
                <w:szCs w:val="20"/>
                <w:color w:val="auto"/>
              </w:rPr>
            </w:pPr>
            <w:r>
              <w:rPr>
                <w:rFonts w:ascii="Arial" w:cs="Arial" w:eastAsia="Arial" w:hAnsi="Arial"/>
                <w:sz w:val="14"/>
                <w:szCs w:val="14"/>
                <w:color w:val="auto"/>
              </w:rPr>
              <w:t>Waterflood</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4"/>
        </w:trPr>
        <w:tc>
          <w:tcPr>
            <w:tcW w:w="4320" w:type="dxa"/>
            <w:vAlign w:val="bottom"/>
          </w:tcPr>
          <w:p>
            <w:pPr>
              <w:ind w:left="140"/>
              <w:spacing w:after="0"/>
              <w:rPr>
                <w:sz w:val="20"/>
                <w:szCs w:val="20"/>
                <w:color w:val="auto"/>
              </w:rPr>
            </w:pPr>
            <w:r>
              <w:rPr>
                <w:rFonts w:ascii="Arial" w:cs="Arial" w:eastAsia="Arial" w:hAnsi="Arial"/>
                <w:sz w:val="14"/>
                <w:szCs w:val="14"/>
                <w:color w:val="auto"/>
              </w:rPr>
              <w:t>Steamflood</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7"/>
        </w:trPr>
        <w:tc>
          <w:tcPr>
            <w:tcW w:w="4320" w:type="dxa"/>
            <w:vAlign w:val="bottom"/>
          </w:tcPr>
          <w:p>
            <w:pPr>
              <w:ind w:left="20"/>
              <w:spacing w:after="0" w:line="197" w:lineRule="exact"/>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8"/>
                <w:szCs w:val="18"/>
                <w:b w:val="1"/>
                <w:bCs w:val="1"/>
                <w:color w:val="auto"/>
                <w:vertAlign w:val="superscript"/>
              </w:rPr>
              <w:t>(1)</w:t>
            </w:r>
          </w:p>
        </w:tc>
        <w:tc>
          <w:tcPr>
            <w:tcW w:w="1320" w:type="dxa"/>
            <w:vAlign w:val="bottom"/>
          </w:tcPr>
          <w:p>
            <w:pPr>
              <w:jc w:val="center"/>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NINE MONTHS 2024 DRILLING ACTIVITY</w:t>
            </w: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2"/>
        </w:trPr>
        <w:tc>
          <w:tcPr>
            <w:tcW w:w="432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320" w:type="dxa"/>
            <w:vAlign w:val="bottom"/>
          </w:tcPr>
          <w:p>
            <w:pPr>
              <w:spacing w:after="0"/>
              <w:rPr>
                <w:sz w:val="17"/>
                <w:szCs w:val="17"/>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San Joaquin</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Los Angeles</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Ventura</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Sacramento</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Wells Drilled</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Basin</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Basin</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Basin</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Basin</w:t>
            </w:r>
          </w:p>
        </w:tc>
        <w:tc>
          <w:tcPr>
            <w:tcW w:w="1240" w:type="dxa"/>
            <w:vAlign w:val="bottom"/>
          </w:tcPr>
          <w:p>
            <w:pPr>
              <w:ind w:lef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32"/>
        </w:trPr>
        <w:tc>
          <w:tcPr>
            <w:tcW w:w="43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Development Wells</w:t>
            </w:r>
          </w:p>
        </w:tc>
        <w:tc>
          <w:tcPr>
            <w:tcW w:w="13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320" w:type="dxa"/>
            <w:vAlign w:val="bottom"/>
          </w:tcPr>
          <w:p>
            <w:pPr>
              <w:ind w:left="140"/>
              <w:spacing w:after="0"/>
              <w:rPr>
                <w:sz w:val="20"/>
                <w:szCs w:val="20"/>
                <w:color w:val="auto"/>
              </w:rPr>
            </w:pPr>
            <w:r>
              <w:rPr>
                <w:rFonts w:ascii="Arial" w:cs="Arial" w:eastAsia="Arial" w:hAnsi="Arial"/>
                <w:sz w:val="14"/>
                <w:szCs w:val="14"/>
                <w:color w:val="auto"/>
              </w:rPr>
              <w:t>Primary</w:t>
            </w:r>
          </w:p>
        </w:tc>
        <w:tc>
          <w:tcPr>
            <w:tcW w:w="1320" w:type="dxa"/>
            <w:vAlign w:val="bottom"/>
          </w:tcPr>
          <w:p>
            <w:pPr>
              <w:jc w:val="center"/>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0"/>
        </w:trPr>
        <w:tc>
          <w:tcPr>
            <w:tcW w:w="4320" w:type="dxa"/>
            <w:vAlign w:val="bottom"/>
          </w:tcPr>
          <w:p>
            <w:pPr>
              <w:ind w:left="140"/>
              <w:spacing w:after="0"/>
              <w:rPr>
                <w:sz w:val="20"/>
                <w:szCs w:val="20"/>
                <w:color w:val="auto"/>
              </w:rPr>
            </w:pPr>
            <w:r>
              <w:rPr>
                <w:rFonts w:ascii="Arial" w:cs="Arial" w:eastAsia="Arial" w:hAnsi="Arial"/>
                <w:sz w:val="14"/>
                <w:szCs w:val="14"/>
                <w:color w:val="auto"/>
              </w:rPr>
              <w:t>Waterflood</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4"/>
        </w:trPr>
        <w:tc>
          <w:tcPr>
            <w:tcW w:w="4320" w:type="dxa"/>
            <w:vAlign w:val="bottom"/>
          </w:tcPr>
          <w:p>
            <w:pPr>
              <w:ind w:left="140"/>
              <w:spacing w:after="0"/>
              <w:rPr>
                <w:sz w:val="20"/>
                <w:szCs w:val="20"/>
                <w:color w:val="auto"/>
              </w:rPr>
            </w:pPr>
            <w:r>
              <w:rPr>
                <w:rFonts w:ascii="Arial" w:cs="Arial" w:eastAsia="Arial" w:hAnsi="Arial"/>
                <w:sz w:val="14"/>
                <w:szCs w:val="14"/>
                <w:color w:val="auto"/>
              </w:rPr>
              <w:t>Steamflood</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7"/>
        </w:trPr>
        <w:tc>
          <w:tcPr>
            <w:tcW w:w="4320" w:type="dxa"/>
            <w:vAlign w:val="bottom"/>
          </w:tcPr>
          <w:p>
            <w:pPr>
              <w:ind w:left="20"/>
              <w:spacing w:after="0" w:line="197" w:lineRule="exact"/>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8"/>
                <w:szCs w:val="18"/>
                <w:b w:val="1"/>
                <w:bCs w:val="1"/>
                <w:color w:val="auto"/>
                <w:vertAlign w:val="superscript"/>
              </w:rPr>
              <w:t>(1)</w:t>
            </w:r>
          </w:p>
        </w:tc>
        <w:tc>
          <w:tcPr>
            <w:tcW w:w="1320" w:type="dxa"/>
            <w:vAlign w:val="bottom"/>
          </w:tcPr>
          <w:p>
            <w:pPr>
              <w:jc w:val="center"/>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ind w:left="200" w:hanging="149"/>
        <w:spacing w:after="0"/>
        <w:tabs>
          <w:tab w:leader="none" w:pos="20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Includes steam injectors and drilled but uncompleted wells, which are not included in the SEC definition of wells drilled.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Attachment 7</w:t>
            </w:r>
          </w:p>
        </w:tc>
      </w:tr>
      <w:tr>
        <w:trPr>
          <w:trHeight w:val="21"/>
        </w:trPr>
        <w:tc>
          <w:tcPr>
            <w:tcW w:w="386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2"/>
        </w:trPr>
        <w:tc>
          <w:tcPr>
            <w:tcW w:w="3860" w:type="dxa"/>
            <w:vAlign w:val="bottom"/>
            <w:gridSpan w:val="2"/>
          </w:tcPr>
          <w:p>
            <w:pPr>
              <w:ind w:left="20"/>
              <w:spacing w:after="0"/>
              <w:rPr>
                <w:sz w:val="20"/>
                <w:szCs w:val="20"/>
                <w:color w:val="auto"/>
              </w:rPr>
            </w:pPr>
            <w:r>
              <w:rPr>
                <w:rFonts w:ascii="Arial" w:cs="Arial" w:eastAsia="Arial" w:hAnsi="Arial"/>
                <w:sz w:val="14"/>
                <w:szCs w:val="14"/>
                <w:b w:val="1"/>
                <w:bCs w:val="1"/>
                <w:color w:val="auto"/>
              </w:rPr>
              <w:t>OIL HEDGES AS OF SEPTEMBER 30, 2024</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414"/>
        </w:trPr>
        <w:tc>
          <w:tcPr>
            <w:tcW w:w="36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Q4 2024</w:t>
            </w:r>
          </w:p>
        </w:tc>
        <w:tc>
          <w:tcPr>
            <w:tcW w:w="100" w:type="dxa"/>
            <w:vAlign w:val="bottom"/>
          </w:tcPr>
          <w:p>
            <w:pPr>
              <w:spacing w:after="0"/>
              <w:rPr>
                <w:sz w:val="24"/>
                <w:szCs w:val="2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Q1 2025</w:t>
            </w:r>
          </w:p>
        </w:tc>
        <w:tc>
          <w:tcPr>
            <w:tcW w:w="80" w:type="dxa"/>
            <w:vAlign w:val="bottom"/>
          </w:tcPr>
          <w:p>
            <w:pPr>
              <w:spacing w:after="0"/>
              <w:rPr>
                <w:sz w:val="24"/>
                <w:szCs w:val="2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Q2 2025</w:t>
            </w:r>
          </w:p>
        </w:tc>
        <w:tc>
          <w:tcPr>
            <w:tcW w:w="100" w:type="dxa"/>
            <w:vAlign w:val="bottom"/>
          </w:tcPr>
          <w:p>
            <w:pPr>
              <w:spacing w:after="0"/>
              <w:rPr>
                <w:sz w:val="24"/>
                <w:szCs w:val="2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Q3 2025</w:t>
            </w:r>
          </w:p>
        </w:tc>
        <w:tc>
          <w:tcPr>
            <w:tcW w:w="80" w:type="dxa"/>
            <w:vAlign w:val="bottom"/>
          </w:tcPr>
          <w:p>
            <w:pPr>
              <w:spacing w:after="0"/>
              <w:rPr>
                <w:sz w:val="24"/>
                <w:szCs w:val="2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Q4 2025</w:t>
            </w:r>
          </w:p>
        </w:tc>
        <w:tc>
          <w:tcPr>
            <w:tcW w:w="100" w:type="dxa"/>
            <w:vAlign w:val="bottom"/>
          </w:tcPr>
          <w:p>
            <w:pPr>
              <w:spacing w:after="0"/>
              <w:rPr>
                <w:sz w:val="24"/>
                <w:szCs w:val="2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24"/>
                <w:szCs w:val="2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80" w:type="dxa"/>
            <w:vAlign w:val="bottom"/>
          </w:tcPr>
          <w:p>
            <w:pPr>
              <w:spacing w:after="0"/>
              <w:rPr>
                <w:sz w:val="24"/>
                <w:szCs w:val="2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2028</w:t>
            </w:r>
          </w:p>
        </w:tc>
      </w:tr>
      <w:tr>
        <w:trPr>
          <w:trHeight w:val="432"/>
        </w:trPr>
        <w:tc>
          <w:tcPr>
            <w:tcW w:w="3860" w:type="dxa"/>
            <w:vAlign w:val="bottom"/>
            <w:gridSpan w:val="2"/>
          </w:tcPr>
          <w:p>
            <w:pPr>
              <w:ind w:left="20"/>
              <w:spacing w:after="0"/>
              <w:rPr>
                <w:sz w:val="20"/>
                <w:szCs w:val="20"/>
                <w:color w:val="auto"/>
              </w:rPr>
            </w:pPr>
            <w:r>
              <w:rPr>
                <w:rFonts w:ascii="Arial" w:cs="Arial" w:eastAsia="Arial" w:hAnsi="Arial"/>
                <w:sz w:val="14"/>
                <w:szCs w:val="14"/>
                <w:b w:val="1"/>
                <w:bCs w:val="1"/>
                <w:color w:val="auto"/>
              </w:rPr>
              <w:t>Sold Calls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4"/>
        </w:trPr>
        <w:tc>
          <w:tcPr>
            <w:tcW w:w="386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840" w:type="dxa"/>
            <w:vAlign w:val="bottom"/>
          </w:tcPr>
          <w:p>
            <w:pPr>
              <w:jc w:val="center"/>
              <w:spacing w:after="0"/>
              <w:rPr>
                <w:sz w:val="20"/>
                <w:szCs w:val="20"/>
                <w:color w:val="auto"/>
              </w:rPr>
            </w:pPr>
            <w:r>
              <w:rPr>
                <w:rFonts w:ascii="Arial" w:cs="Arial" w:eastAsia="Arial" w:hAnsi="Arial"/>
                <w:sz w:val="14"/>
                <w:szCs w:val="14"/>
                <w:color w:val="auto"/>
              </w:rPr>
              <w:t>29,000</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7"/>
              </w:rPr>
              <w:t>30,000</w:t>
            </w:r>
          </w:p>
        </w:tc>
        <w:tc>
          <w:tcPr>
            <w:tcW w:w="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30,000</w:t>
            </w:r>
          </w:p>
        </w:tc>
        <w:tc>
          <w:tcPr>
            <w:tcW w:w="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7"/>
              </w:rPr>
              <w:t>29,000</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200"/>
        </w:trPr>
        <w:tc>
          <w:tcPr>
            <w:tcW w:w="386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840" w:type="dxa"/>
            <w:vAlign w:val="bottom"/>
          </w:tcPr>
          <w:p>
            <w:pPr>
              <w:jc w:val="center"/>
              <w:spacing w:after="0"/>
              <w:rPr>
                <w:sz w:val="20"/>
                <w:szCs w:val="20"/>
                <w:color w:val="auto"/>
              </w:rPr>
            </w:pPr>
            <w:r>
              <w:rPr>
                <w:rFonts w:ascii="Arial" w:cs="Arial" w:eastAsia="Arial" w:hAnsi="Arial"/>
                <w:sz w:val="14"/>
                <w:szCs w:val="14"/>
                <w:color w:val="auto"/>
              </w:rPr>
              <w:t>$90.07</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7"/>
              </w:rPr>
              <w:t>$87.08</w:t>
            </w:r>
          </w:p>
        </w:tc>
        <w:tc>
          <w:tcPr>
            <w:tcW w:w="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$87.08</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$87.08</w:t>
            </w:r>
          </w:p>
        </w:tc>
        <w:tc>
          <w:tcPr>
            <w:tcW w:w="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7"/>
              </w:rPr>
              <w:t>$87.13</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$85.00</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459"/>
        </w:trPr>
        <w:tc>
          <w:tcPr>
            <w:tcW w:w="3860" w:type="dxa"/>
            <w:vAlign w:val="bottom"/>
            <w:gridSpan w:val="2"/>
          </w:tcPr>
          <w:p>
            <w:pPr>
              <w:ind w:left="20"/>
              <w:spacing w:after="0"/>
              <w:rPr>
                <w:sz w:val="20"/>
                <w:szCs w:val="20"/>
                <w:color w:val="auto"/>
              </w:rPr>
            </w:pPr>
            <w:r>
              <w:rPr>
                <w:rFonts w:ascii="Arial" w:cs="Arial" w:eastAsia="Arial" w:hAnsi="Arial"/>
                <w:sz w:val="14"/>
                <w:szCs w:val="14"/>
                <w:b w:val="1"/>
                <w:bCs w:val="1"/>
                <w:color w:val="auto"/>
              </w:rPr>
              <w:t>Swaps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4"/>
        </w:trPr>
        <w:tc>
          <w:tcPr>
            <w:tcW w:w="386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840" w:type="dxa"/>
            <w:vAlign w:val="bottom"/>
          </w:tcPr>
          <w:p>
            <w:pPr>
              <w:jc w:val="center"/>
              <w:spacing w:after="0"/>
              <w:rPr>
                <w:sz w:val="20"/>
                <w:szCs w:val="20"/>
                <w:color w:val="auto"/>
              </w:rPr>
            </w:pPr>
            <w:r>
              <w:rPr>
                <w:rFonts w:ascii="Arial" w:cs="Arial" w:eastAsia="Arial" w:hAnsi="Arial"/>
                <w:sz w:val="14"/>
                <w:szCs w:val="14"/>
                <w:color w:val="auto"/>
              </w:rPr>
              <w:t>59,014</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7"/>
              </w:rPr>
              <w:t>52,837</w:t>
            </w:r>
          </w:p>
        </w:tc>
        <w:tc>
          <w:tcPr>
            <w:tcW w:w="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45,631</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44,126</w:t>
            </w:r>
          </w:p>
        </w:tc>
        <w:tc>
          <w:tcPr>
            <w:tcW w:w="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7"/>
              </w:rPr>
              <w:t>42,626</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30,449</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13,882</w:t>
            </w:r>
          </w:p>
        </w:tc>
        <w:tc>
          <w:tcPr>
            <w:tcW w:w="940" w:type="dxa"/>
            <w:vAlign w:val="bottom"/>
            <w:gridSpan w:val="2"/>
          </w:tcPr>
          <w:p>
            <w:pPr>
              <w:jc w:val="center"/>
              <w:ind w:left="29"/>
              <w:spacing w:after="0"/>
              <w:rPr>
                <w:sz w:val="20"/>
                <w:szCs w:val="20"/>
                <w:color w:val="auto"/>
              </w:rPr>
            </w:pPr>
            <w:r>
              <w:rPr>
                <w:rFonts w:ascii="Arial" w:cs="Arial" w:eastAsia="Arial" w:hAnsi="Arial"/>
                <w:sz w:val="14"/>
                <w:szCs w:val="14"/>
                <w:color w:val="auto"/>
              </w:rPr>
              <w:t>10,353</w:t>
            </w:r>
          </w:p>
        </w:tc>
      </w:tr>
      <w:tr>
        <w:trPr>
          <w:trHeight w:val="200"/>
        </w:trPr>
        <w:tc>
          <w:tcPr>
            <w:tcW w:w="386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840" w:type="dxa"/>
            <w:vAlign w:val="bottom"/>
          </w:tcPr>
          <w:p>
            <w:pPr>
              <w:jc w:val="center"/>
              <w:spacing w:after="0"/>
              <w:rPr>
                <w:sz w:val="20"/>
                <w:szCs w:val="20"/>
                <w:color w:val="auto"/>
              </w:rPr>
            </w:pPr>
            <w:r>
              <w:rPr>
                <w:rFonts w:ascii="Arial" w:cs="Arial" w:eastAsia="Arial" w:hAnsi="Arial"/>
                <w:sz w:val="14"/>
                <w:szCs w:val="14"/>
                <w:color w:val="auto"/>
              </w:rPr>
              <w:t>$74.90</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7"/>
              </w:rPr>
              <w:t>$72.48</w:t>
            </w:r>
          </w:p>
        </w:tc>
        <w:tc>
          <w:tcPr>
            <w:tcW w:w="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$71.31</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$70.62</w:t>
            </w:r>
          </w:p>
        </w:tc>
        <w:tc>
          <w:tcPr>
            <w:tcW w:w="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7"/>
              </w:rPr>
              <w:t>$69.94</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$67.95</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$65.53</w:t>
            </w:r>
          </w:p>
        </w:tc>
        <w:tc>
          <w:tcPr>
            <w:tcW w:w="940" w:type="dxa"/>
            <w:vAlign w:val="bottom"/>
            <w:gridSpan w:val="2"/>
          </w:tcPr>
          <w:p>
            <w:pPr>
              <w:jc w:val="center"/>
              <w:ind w:left="29"/>
              <w:spacing w:after="0"/>
              <w:rPr>
                <w:sz w:val="20"/>
                <w:szCs w:val="20"/>
                <w:color w:val="auto"/>
              </w:rPr>
            </w:pPr>
            <w:r>
              <w:rPr>
                <w:rFonts w:ascii="Arial" w:cs="Arial" w:eastAsia="Arial" w:hAnsi="Arial"/>
                <w:sz w:val="14"/>
                <w:szCs w:val="14"/>
                <w:color w:val="auto"/>
              </w:rPr>
              <w:t>$65.00</w:t>
            </w:r>
          </w:p>
        </w:tc>
      </w:tr>
      <w:tr>
        <w:trPr>
          <w:trHeight w:val="459"/>
        </w:trPr>
        <w:tc>
          <w:tcPr>
            <w:tcW w:w="3860" w:type="dxa"/>
            <w:vAlign w:val="bottom"/>
            <w:gridSpan w:val="2"/>
          </w:tcPr>
          <w:p>
            <w:pPr>
              <w:ind w:left="20"/>
              <w:spacing w:after="0"/>
              <w:rPr>
                <w:sz w:val="20"/>
                <w:szCs w:val="20"/>
                <w:color w:val="auto"/>
              </w:rPr>
            </w:pPr>
            <w:r>
              <w:rPr>
                <w:rFonts w:ascii="Arial" w:cs="Arial" w:eastAsia="Arial" w:hAnsi="Arial"/>
                <w:sz w:val="14"/>
                <w:szCs w:val="14"/>
                <w:b w:val="1"/>
                <w:bCs w:val="1"/>
                <w:color w:val="auto"/>
              </w:rPr>
              <w:t>Purchased Puts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4"/>
        </w:trPr>
        <w:tc>
          <w:tcPr>
            <w:tcW w:w="386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840" w:type="dxa"/>
            <w:vAlign w:val="bottom"/>
          </w:tcPr>
          <w:p>
            <w:pPr>
              <w:jc w:val="center"/>
              <w:spacing w:after="0"/>
              <w:rPr>
                <w:sz w:val="20"/>
                <w:szCs w:val="20"/>
                <w:color w:val="auto"/>
              </w:rPr>
            </w:pPr>
            <w:r>
              <w:rPr>
                <w:rFonts w:ascii="Arial" w:cs="Arial" w:eastAsia="Arial" w:hAnsi="Arial"/>
                <w:sz w:val="14"/>
                <w:szCs w:val="14"/>
                <w:color w:val="auto"/>
              </w:rPr>
              <w:t>29,000</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7"/>
              </w:rPr>
              <w:t>30,000</w:t>
            </w:r>
          </w:p>
        </w:tc>
        <w:tc>
          <w:tcPr>
            <w:tcW w:w="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30,000</w:t>
            </w:r>
          </w:p>
        </w:tc>
        <w:tc>
          <w:tcPr>
            <w:tcW w:w="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7"/>
              </w:rPr>
              <w:t>29,000</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200"/>
        </w:trPr>
        <w:tc>
          <w:tcPr>
            <w:tcW w:w="386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840" w:type="dxa"/>
            <w:vAlign w:val="bottom"/>
          </w:tcPr>
          <w:p>
            <w:pPr>
              <w:jc w:val="center"/>
              <w:spacing w:after="0"/>
              <w:rPr>
                <w:sz w:val="20"/>
                <w:szCs w:val="20"/>
                <w:color w:val="auto"/>
              </w:rPr>
            </w:pPr>
            <w:r>
              <w:rPr>
                <w:rFonts w:ascii="Arial" w:cs="Arial" w:eastAsia="Arial" w:hAnsi="Arial"/>
                <w:sz w:val="14"/>
                <w:szCs w:val="14"/>
                <w:color w:val="auto"/>
              </w:rPr>
              <w:t>$65.17</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7"/>
              </w:rPr>
              <w:t>$61.67</w:t>
            </w:r>
          </w:p>
        </w:tc>
        <w:tc>
          <w:tcPr>
            <w:tcW w:w="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$61.67</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$61.67</w:t>
            </w:r>
          </w:p>
        </w:tc>
        <w:tc>
          <w:tcPr>
            <w:tcW w:w="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7"/>
              </w:rPr>
              <w:t>$61.72</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$60.00</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240"/>
          </w:cols>
          <w:pgMar w:left="320" w:top="1050"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5"/>
        </w:trPr>
        <w:tc>
          <w:tcPr>
            <w:tcW w:w="35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Attachment 7</w:t>
            </w:r>
          </w:p>
        </w:tc>
      </w:tr>
      <w:tr>
        <w:trPr>
          <w:trHeight w:val="21"/>
        </w:trPr>
        <w:tc>
          <w:tcPr>
            <w:tcW w:w="388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44"/>
        </w:trPr>
        <w:tc>
          <w:tcPr>
            <w:tcW w:w="3880" w:type="dxa"/>
            <w:vAlign w:val="bottom"/>
            <w:gridSpan w:val="2"/>
          </w:tcPr>
          <w:p>
            <w:pPr>
              <w:ind w:left="20"/>
              <w:spacing w:after="0" w:line="144" w:lineRule="exact"/>
              <w:rPr>
                <w:sz w:val="20"/>
                <w:szCs w:val="20"/>
                <w:color w:val="auto"/>
              </w:rPr>
            </w:pPr>
            <w:r>
              <w:rPr>
                <w:rFonts w:ascii="Arial" w:cs="Arial" w:eastAsia="Arial" w:hAnsi="Arial"/>
                <w:sz w:val="14"/>
                <w:szCs w:val="14"/>
                <w:b w:val="1"/>
                <w:bCs w:val="1"/>
                <w:color w:val="auto"/>
              </w:rPr>
              <w:t>NATURAL GAS HEDGES AS OF SEPTEMBER 30,</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95"/>
        </w:trPr>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2024</w:t>
            </w: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400"/>
        </w:trPr>
        <w:tc>
          <w:tcPr>
            <w:tcW w:w="35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Q4 2024</w:t>
            </w:r>
          </w:p>
        </w:tc>
        <w:tc>
          <w:tcPr>
            <w:tcW w:w="80" w:type="dxa"/>
            <w:vAlign w:val="bottom"/>
          </w:tcPr>
          <w:p>
            <w:pPr>
              <w:spacing w:after="0"/>
              <w:rPr>
                <w:sz w:val="24"/>
                <w:szCs w:val="2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Q1 2025</w:t>
            </w:r>
          </w:p>
        </w:tc>
        <w:tc>
          <w:tcPr>
            <w:tcW w:w="100" w:type="dxa"/>
            <w:vAlign w:val="bottom"/>
          </w:tcPr>
          <w:p>
            <w:pPr>
              <w:spacing w:after="0"/>
              <w:rPr>
                <w:sz w:val="24"/>
                <w:szCs w:val="2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Q2 2025</w:t>
            </w:r>
          </w:p>
        </w:tc>
        <w:tc>
          <w:tcPr>
            <w:tcW w:w="100" w:type="dxa"/>
            <w:vAlign w:val="bottom"/>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Q3 2025</w:t>
            </w:r>
          </w:p>
        </w:tc>
        <w:tc>
          <w:tcPr>
            <w:tcW w:w="100" w:type="dxa"/>
            <w:vAlign w:val="bottom"/>
          </w:tcPr>
          <w:p>
            <w:pPr>
              <w:spacing w:after="0"/>
              <w:rPr>
                <w:sz w:val="24"/>
                <w:szCs w:val="2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Q4 2025</w:t>
            </w:r>
          </w:p>
        </w:tc>
        <w:tc>
          <w:tcPr>
            <w:tcW w:w="100" w:type="dxa"/>
            <w:vAlign w:val="bottom"/>
          </w:tcPr>
          <w:p>
            <w:pPr>
              <w:spacing w:after="0"/>
              <w:rPr>
                <w:sz w:val="24"/>
                <w:szCs w:val="2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24"/>
                <w:szCs w:val="2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2027</w:t>
            </w:r>
          </w:p>
        </w:tc>
        <w:tc>
          <w:tcPr>
            <w:tcW w:w="100" w:type="dxa"/>
            <w:vAlign w:val="bottom"/>
          </w:tcPr>
          <w:p>
            <w:pPr>
              <w:spacing w:after="0"/>
              <w:rPr>
                <w:sz w:val="24"/>
                <w:szCs w:val="2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2028</w:t>
            </w:r>
          </w:p>
        </w:tc>
      </w:tr>
      <w:tr>
        <w:trPr>
          <w:trHeight w:val="432"/>
        </w:trPr>
        <w:tc>
          <w:tcPr>
            <w:tcW w:w="3880" w:type="dxa"/>
            <w:vAlign w:val="bottom"/>
            <w:gridSpan w:val="2"/>
          </w:tcPr>
          <w:p>
            <w:pPr>
              <w:ind w:left="20"/>
              <w:spacing w:after="0"/>
              <w:rPr>
                <w:sz w:val="20"/>
                <w:szCs w:val="20"/>
                <w:color w:val="auto"/>
              </w:rPr>
            </w:pPr>
            <w:r>
              <w:rPr>
                <w:rFonts w:ascii="Arial" w:cs="Arial" w:eastAsia="Arial" w:hAnsi="Arial"/>
                <w:sz w:val="14"/>
                <w:szCs w:val="14"/>
                <w:b w:val="1"/>
                <w:bCs w:val="1"/>
                <w:color w:val="auto"/>
              </w:rPr>
              <w:t>SoCal Border</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4"/>
        </w:trPr>
        <w:tc>
          <w:tcPr>
            <w:tcW w:w="3880" w:type="dxa"/>
            <w:vAlign w:val="bottom"/>
            <w:gridSpan w:val="2"/>
          </w:tcPr>
          <w:p>
            <w:pPr>
              <w:ind w:left="140"/>
              <w:spacing w:after="0"/>
              <w:rPr>
                <w:sz w:val="20"/>
                <w:szCs w:val="20"/>
                <w:color w:val="auto"/>
              </w:rPr>
            </w:pPr>
            <w:r>
              <w:rPr>
                <w:rFonts w:ascii="Arial" w:cs="Arial" w:eastAsia="Arial" w:hAnsi="Arial"/>
                <w:sz w:val="14"/>
                <w:szCs w:val="14"/>
                <w:color w:val="auto"/>
              </w:rPr>
              <w:t>MMBtu per day</w:t>
            </w:r>
          </w:p>
        </w:tc>
        <w:tc>
          <w:tcPr>
            <w:tcW w:w="840" w:type="dxa"/>
            <w:vAlign w:val="bottom"/>
          </w:tcPr>
          <w:p>
            <w:pPr>
              <w:jc w:val="center"/>
              <w:spacing w:after="0"/>
              <w:rPr>
                <w:sz w:val="20"/>
                <w:szCs w:val="20"/>
                <w:color w:val="auto"/>
              </w:rPr>
            </w:pPr>
            <w:r>
              <w:rPr>
                <w:rFonts w:ascii="Arial" w:cs="Arial" w:eastAsia="Arial" w:hAnsi="Arial"/>
                <w:sz w:val="14"/>
                <w:szCs w:val="14"/>
                <w:color w:val="auto"/>
                <w:w w:val="97"/>
              </w:rPr>
              <w:t>20,000</w:t>
            </w:r>
          </w:p>
        </w:tc>
        <w:tc>
          <w:tcPr>
            <w:tcW w:w="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29,074</w:t>
            </w:r>
          </w:p>
        </w:tc>
        <w:tc>
          <w:tcPr>
            <w:tcW w:w="1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7"/>
              </w:rPr>
              <w:t>25,750</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22,408</w:t>
            </w:r>
          </w:p>
        </w:tc>
        <w:tc>
          <w:tcPr>
            <w:tcW w:w="100" w:type="dxa"/>
            <w:vAlign w:val="bottom"/>
          </w:tcPr>
          <w:p>
            <w:pPr>
              <w:spacing w:after="0"/>
              <w:rPr>
                <w:sz w:val="16"/>
                <w:szCs w:val="16"/>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200"/>
        </w:trPr>
        <w:tc>
          <w:tcPr>
            <w:tcW w:w="3880" w:type="dxa"/>
            <w:vAlign w:val="bottom"/>
            <w:gridSpan w:val="2"/>
          </w:tcPr>
          <w:p>
            <w:pPr>
              <w:ind w:left="140"/>
              <w:spacing w:after="0"/>
              <w:rPr>
                <w:sz w:val="20"/>
                <w:szCs w:val="20"/>
                <w:color w:val="auto"/>
              </w:rPr>
            </w:pPr>
            <w:r>
              <w:rPr>
                <w:rFonts w:ascii="Arial" w:cs="Arial" w:eastAsia="Arial" w:hAnsi="Arial"/>
                <w:sz w:val="14"/>
                <w:szCs w:val="14"/>
                <w:color w:val="auto"/>
              </w:rPr>
              <w:t>Weighted-average price per MMBtu</w:t>
            </w:r>
          </w:p>
        </w:tc>
        <w:tc>
          <w:tcPr>
            <w:tcW w:w="840" w:type="dxa"/>
            <w:vAlign w:val="bottom"/>
          </w:tcPr>
          <w:p>
            <w:pPr>
              <w:jc w:val="center"/>
              <w:spacing w:after="0"/>
              <w:rPr>
                <w:sz w:val="20"/>
                <w:szCs w:val="20"/>
                <w:color w:val="auto"/>
              </w:rPr>
            </w:pPr>
            <w:r>
              <w:rPr>
                <w:rFonts w:ascii="Arial" w:cs="Arial" w:eastAsia="Arial" w:hAnsi="Arial"/>
                <w:sz w:val="14"/>
                <w:szCs w:val="14"/>
                <w:color w:val="auto"/>
                <w:w w:val="96"/>
              </w:rPr>
              <w:t>$5.49</w:t>
            </w:r>
          </w:p>
        </w:tc>
        <w:tc>
          <w:tcPr>
            <w:tcW w:w="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$6.02</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6"/>
              </w:rPr>
              <w:t>$3.48</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17"/>
                <w:szCs w:val="17"/>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459"/>
        </w:trPr>
        <w:tc>
          <w:tcPr>
            <w:tcW w:w="3880" w:type="dxa"/>
            <w:vAlign w:val="bottom"/>
            <w:gridSpan w:val="2"/>
          </w:tcPr>
          <w:p>
            <w:pPr>
              <w:ind w:left="20"/>
              <w:spacing w:after="0"/>
              <w:rPr>
                <w:sz w:val="20"/>
                <w:szCs w:val="20"/>
                <w:color w:val="auto"/>
              </w:rPr>
            </w:pPr>
            <w:r>
              <w:rPr>
                <w:rFonts w:ascii="Arial" w:cs="Arial" w:eastAsia="Arial" w:hAnsi="Arial"/>
                <w:sz w:val="14"/>
                <w:szCs w:val="14"/>
                <w:b w:val="1"/>
                <w:bCs w:val="1"/>
                <w:color w:val="auto"/>
              </w:rPr>
              <w:t>Northwest Pipeline (NWPL) Rockies</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4"/>
        </w:trPr>
        <w:tc>
          <w:tcPr>
            <w:tcW w:w="3880" w:type="dxa"/>
            <w:vAlign w:val="bottom"/>
            <w:gridSpan w:val="2"/>
          </w:tcPr>
          <w:p>
            <w:pPr>
              <w:ind w:left="140"/>
              <w:spacing w:after="0"/>
              <w:rPr>
                <w:sz w:val="20"/>
                <w:szCs w:val="20"/>
                <w:color w:val="auto"/>
              </w:rPr>
            </w:pPr>
            <w:r>
              <w:rPr>
                <w:rFonts w:ascii="Arial" w:cs="Arial" w:eastAsia="Arial" w:hAnsi="Arial"/>
                <w:sz w:val="14"/>
                <w:szCs w:val="14"/>
                <w:color w:val="auto"/>
              </w:rPr>
              <w:t>MMBtu per day</w:t>
            </w:r>
          </w:p>
        </w:tc>
        <w:tc>
          <w:tcPr>
            <w:tcW w:w="840" w:type="dxa"/>
            <w:vAlign w:val="bottom"/>
          </w:tcPr>
          <w:p>
            <w:pPr>
              <w:jc w:val="center"/>
              <w:spacing w:after="0"/>
              <w:rPr>
                <w:sz w:val="20"/>
                <w:szCs w:val="20"/>
                <w:color w:val="auto"/>
              </w:rPr>
            </w:pPr>
            <w:r>
              <w:rPr>
                <w:rFonts w:ascii="Arial" w:cs="Arial" w:eastAsia="Arial" w:hAnsi="Arial"/>
                <w:sz w:val="14"/>
                <w:szCs w:val="14"/>
                <w:color w:val="auto"/>
                <w:w w:val="97"/>
              </w:rPr>
              <w:t>50,999</w:t>
            </w:r>
          </w:p>
        </w:tc>
        <w:tc>
          <w:tcPr>
            <w:tcW w:w="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50,999</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51,750</w:t>
            </w:r>
          </w:p>
        </w:tc>
        <w:tc>
          <w:tcPr>
            <w:tcW w:w="1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7"/>
              </w:rPr>
              <w:t>51,750</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51,750</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35,336</w:t>
            </w:r>
          </w:p>
        </w:tc>
        <w:tc>
          <w:tcPr>
            <w:tcW w:w="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7"/>
              </w:rPr>
              <w:t>12,616</w:t>
            </w:r>
          </w:p>
        </w:tc>
        <w:tc>
          <w:tcPr>
            <w:tcW w:w="940" w:type="dxa"/>
            <w:vAlign w:val="bottom"/>
            <w:gridSpan w:val="2"/>
          </w:tcPr>
          <w:p>
            <w:pPr>
              <w:jc w:val="center"/>
              <w:ind w:left="29"/>
              <w:spacing w:after="0"/>
              <w:rPr>
                <w:sz w:val="20"/>
                <w:szCs w:val="20"/>
                <w:color w:val="auto"/>
              </w:rPr>
            </w:pPr>
            <w:r>
              <w:rPr>
                <w:rFonts w:ascii="Arial" w:cs="Arial" w:eastAsia="Arial" w:hAnsi="Arial"/>
                <w:sz w:val="14"/>
                <w:szCs w:val="14"/>
                <w:color w:val="auto"/>
              </w:rPr>
              <w:t>9,613</w:t>
            </w:r>
          </w:p>
        </w:tc>
      </w:tr>
      <w:tr>
        <w:trPr>
          <w:trHeight w:val="200"/>
        </w:trPr>
        <w:tc>
          <w:tcPr>
            <w:tcW w:w="3880" w:type="dxa"/>
            <w:vAlign w:val="bottom"/>
            <w:gridSpan w:val="2"/>
          </w:tcPr>
          <w:p>
            <w:pPr>
              <w:ind w:left="140"/>
              <w:spacing w:after="0"/>
              <w:rPr>
                <w:sz w:val="20"/>
                <w:szCs w:val="20"/>
                <w:color w:val="auto"/>
              </w:rPr>
            </w:pPr>
            <w:r>
              <w:rPr>
                <w:rFonts w:ascii="Arial" w:cs="Arial" w:eastAsia="Arial" w:hAnsi="Arial"/>
                <w:sz w:val="14"/>
                <w:szCs w:val="14"/>
                <w:color w:val="auto"/>
              </w:rPr>
              <w:t>Weighted-average price per MMBtu</w:t>
            </w:r>
          </w:p>
        </w:tc>
        <w:tc>
          <w:tcPr>
            <w:tcW w:w="840" w:type="dxa"/>
            <w:vAlign w:val="bottom"/>
          </w:tcPr>
          <w:p>
            <w:pPr>
              <w:jc w:val="center"/>
              <w:spacing w:after="0"/>
              <w:rPr>
                <w:sz w:val="20"/>
                <w:szCs w:val="20"/>
                <w:color w:val="auto"/>
              </w:rPr>
            </w:pPr>
            <w:r>
              <w:rPr>
                <w:rFonts w:ascii="Arial" w:cs="Arial" w:eastAsia="Arial" w:hAnsi="Arial"/>
                <w:sz w:val="14"/>
                <w:szCs w:val="14"/>
                <w:color w:val="auto"/>
                <w:w w:val="96"/>
              </w:rPr>
              <w:t>$4.67</w:t>
            </w:r>
          </w:p>
        </w:tc>
        <w:tc>
          <w:tcPr>
            <w:tcW w:w="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$5.48</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6"/>
              </w:rPr>
              <w:t>$2.95</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$4.22</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$4.04</w:t>
            </w:r>
          </w:p>
        </w:tc>
        <w:tc>
          <w:tcPr>
            <w:tcW w:w="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6"/>
              </w:rPr>
              <w:t>$4.34</w:t>
            </w:r>
          </w:p>
        </w:tc>
        <w:tc>
          <w:tcPr>
            <w:tcW w:w="940" w:type="dxa"/>
            <w:vAlign w:val="bottom"/>
            <w:gridSpan w:val="2"/>
          </w:tcPr>
          <w:p>
            <w:pPr>
              <w:jc w:val="center"/>
              <w:ind w:left="29"/>
              <w:spacing w:after="0"/>
              <w:rPr>
                <w:sz w:val="20"/>
                <w:szCs w:val="20"/>
                <w:color w:val="auto"/>
              </w:rPr>
            </w:pPr>
            <w:r>
              <w:rPr>
                <w:rFonts w:ascii="Arial" w:cs="Arial" w:eastAsia="Arial" w:hAnsi="Arial"/>
                <w:sz w:val="14"/>
                <w:szCs w:val="14"/>
                <w:color w:val="auto"/>
              </w:rPr>
              <w:t>$3.95</w:t>
            </w:r>
          </w:p>
        </w:tc>
      </w:tr>
      <w:tr>
        <w:trPr>
          <w:trHeight w:val="459"/>
        </w:trPr>
        <w:tc>
          <w:tcPr>
            <w:tcW w:w="3880" w:type="dxa"/>
            <w:vAlign w:val="bottom"/>
            <w:gridSpan w:val="2"/>
          </w:tcPr>
          <w:p>
            <w:pPr>
              <w:ind w:left="20"/>
              <w:spacing w:after="0"/>
              <w:rPr>
                <w:sz w:val="20"/>
                <w:szCs w:val="20"/>
                <w:color w:val="auto"/>
              </w:rPr>
            </w:pPr>
            <w:r>
              <w:rPr>
                <w:rFonts w:ascii="Arial" w:cs="Arial" w:eastAsia="Arial" w:hAnsi="Arial"/>
                <w:sz w:val="14"/>
                <w:szCs w:val="14"/>
                <w:b w:val="1"/>
                <w:bCs w:val="1"/>
                <w:color w:val="auto"/>
              </w:rPr>
              <w:t>PG&amp;E Citygate</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4"/>
        </w:trPr>
        <w:tc>
          <w:tcPr>
            <w:tcW w:w="3880" w:type="dxa"/>
            <w:vAlign w:val="bottom"/>
            <w:gridSpan w:val="2"/>
          </w:tcPr>
          <w:p>
            <w:pPr>
              <w:ind w:left="140"/>
              <w:spacing w:after="0"/>
              <w:rPr>
                <w:sz w:val="20"/>
                <w:szCs w:val="20"/>
                <w:color w:val="auto"/>
              </w:rPr>
            </w:pPr>
            <w:r>
              <w:rPr>
                <w:rFonts w:ascii="Arial" w:cs="Arial" w:eastAsia="Arial" w:hAnsi="Arial"/>
                <w:sz w:val="14"/>
                <w:szCs w:val="14"/>
                <w:color w:val="auto"/>
              </w:rPr>
              <w:t>MMBtu per day</w:t>
            </w:r>
          </w:p>
        </w:tc>
        <w:tc>
          <w:tcPr>
            <w:tcW w:w="840" w:type="dxa"/>
            <w:vAlign w:val="bottom"/>
          </w:tcPr>
          <w:p>
            <w:pPr>
              <w:jc w:val="center"/>
              <w:spacing w:after="0"/>
              <w:rPr>
                <w:sz w:val="20"/>
                <w:szCs w:val="20"/>
                <w:color w:val="auto"/>
              </w:rPr>
            </w:pPr>
            <w:r>
              <w:rPr>
                <w:rFonts w:ascii="Arial" w:cs="Arial" w:eastAsia="Arial" w:hAnsi="Arial"/>
                <w:sz w:val="14"/>
                <w:szCs w:val="14"/>
                <w:color w:val="auto"/>
                <w:w w:val="97"/>
              </w:rPr>
              <w:t>14,000</w:t>
            </w:r>
          </w:p>
        </w:tc>
        <w:tc>
          <w:tcPr>
            <w:tcW w:w="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14,000</w:t>
            </w:r>
          </w:p>
        </w:tc>
        <w:tc>
          <w:tcPr>
            <w:tcW w:w="100" w:type="dxa"/>
            <w:vAlign w:val="bottom"/>
          </w:tcPr>
          <w:p>
            <w:pPr>
              <w:spacing w:after="0"/>
              <w:rPr>
                <w:sz w:val="16"/>
                <w:szCs w:val="16"/>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200"/>
        </w:trPr>
        <w:tc>
          <w:tcPr>
            <w:tcW w:w="3880" w:type="dxa"/>
            <w:vAlign w:val="bottom"/>
            <w:gridSpan w:val="2"/>
          </w:tcPr>
          <w:p>
            <w:pPr>
              <w:ind w:left="140"/>
              <w:spacing w:after="0"/>
              <w:rPr>
                <w:sz w:val="20"/>
                <w:szCs w:val="20"/>
                <w:color w:val="auto"/>
              </w:rPr>
            </w:pPr>
            <w:r>
              <w:rPr>
                <w:rFonts w:ascii="Arial" w:cs="Arial" w:eastAsia="Arial" w:hAnsi="Arial"/>
                <w:sz w:val="14"/>
                <w:szCs w:val="14"/>
                <w:color w:val="auto"/>
              </w:rPr>
              <w:t>Weighted-average price per MMBtu</w:t>
            </w:r>
          </w:p>
        </w:tc>
        <w:tc>
          <w:tcPr>
            <w:tcW w:w="840" w:type="dxa"/>
            <w:vAlign w:val="bottom"/>
          </w:tcPr>
          <w:p>
            <w:pPr>
              <w:jc w:val="center"/>
              <w:spacing w:after="0"/>
              <w:rPr>
                <w:sz w:val="20"/>
                <w:szCs w:val="20"/>
                <w:color w:val="auto"/>
              </w:rPr>
            </w:pPr>
            <w:r>
              <w:rPr>
                <w:rFonts w:ascii="Arial" w:cs="Arial" w:eastAsia="Arial" w:hAnsi="Arial"/>
                <w:sz w:val="14"/>
                <w:szCs w:val="14"/>
                <w:color w:val="auto"/>
                <w:w w:val="96"/>
              </w:rPr>
              <w:t>$5.60</w:t>
            </w:r>
          </w:p>
        </w:tc>
        <w:tc>
          <w:tcPr>
            <w:tcW w:w="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$6.10</w:t>
            </w:r>
          </w:p>
        </w:tc>
        <w:tc>
          <w:tcPr>
            <w:tcW w:w="100" w:type="dxa"/>
            <w:vAlign w:val="bottom"/>
          </w:tcPr>
          <w:p>
            <w:pPr>
              <w:spacing w:after="0"/>
              <w:rPr>
                <w:sz w:val="17"/>
                <w:szCs w:val="17"/>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w:t>
      </w:r>
    </w:p>
    <w:sectPr>
      <w:pgSz w:w="11900" w:h="16838" w:orient="portrait"/>
      <w:cols w:equalWidth="0" w:num="1">
        <w:col w:w="11240"/>
      </w:cols>
      <w:pgMar w:left="320" w:top="105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amp;"/>
      <w:numFmt w:val="bullet"/>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2024-11-05T15:53:39Z</dcterms:created>
  <dcterms:modified xsi:type="dcterms:W3CDTF">2024-11-05T15:53:39Z</dcterms:modified>
</cp:coreProperties>
</file>