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Repetti Noelle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Senior VP and Controller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266</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19,150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January 25, 2022. Each RSU represents a contingent right to receive one share of common stock of the Issuer. Subject to certain exceptions, RSUs will be settled in shares of Common Stock within 45 days following January 25,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Ulrik Damborg,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03/24/2022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in-Fact for Noelle M. Repetti</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505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2022-03-24T15:27:34Z</dcterms:created>
  <dcterms:modified xsi:type="dcterms:W3CDTF">2022-03-24T15:27:34Z</dcterms:modified>
</cp:coreProperties>
</file>