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5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0" w:type="dxa"/>
            <w:vAlign w:val="bottom"/>
            <w:gridSpan w:val="7"/>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0" w:type="dxa"/>
            <w:vAlign w:val="bottom"/>
            <w:gridSpan w:val="7"/>
            <w:vMerge w:val="continue"/>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0" w:type="dxa"/>
            <w:vAlign w:val="bottom"/>
            <w:gridSpan w:val="7"/>
            <w:vMerge w:val="continue"/>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color w:val="auto"/>
              </w:rPr>
              <w:t>Director</w:t>
            </w:r>
          </w:p>
        </w:tc>
        <w:tc>
          <w:tcPr>
            <w:tcW w:w="16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0" w:type="dxa"/>
            <w:vAlign w:val="bottom"/>
            <w:gridSpan w:val="7"/>
            <w:vMerge w:val="continue"/>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92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6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4"/>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2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68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6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2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3"/>
                <w:szCs w:val="13"/>
                <w:color w:val="auto"/>
              </w:rPr>
              <w:t>below)</w:t>
            </w:r>
          </w:p>
        </w:tc>
        <w:tc>
          <w:tcPr>
            <w:tcW w:w="900" w:type="dxa"/>
            <w:vAlign w:val="bottom"/>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7"/>
                <w:szCs w:val="17"/>
                <w:color w:val="0000FF"/>
                <w:w w:val="95"/>
              </w:rPr>
              <w:t>2000 AVENUE OF THE STARS, 12TH FLOOR</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6"/>
          </w:tcPr>
          <w:p>
            <w:pPr>
              <w:ind w:left="80"/>
              <w:spacing w:after="0"/>
              <w:rPr>
                <w:sz w:val="20"/>
                <w:szCs w:val="20"/>
                <w:color w:val="auto"/>
              </w:rPr>
            </w:pPr>
            <w:r>
              <w:rPr>
                <w:rFonts w:ascii="Arial" w:cs="Arial" w:eastAsia="Arial" w:hAnsi="Arial"/>
                <w:sz w:val="17"/>
                <w:szCs w:val="17"/>
                <w:color w:val="0000FF"/>
              </w:rPr>
              <w:t>01/13/2022</w:t>
            </w: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0" w:type="dxa"/>
            <w:vAlign w:val="bottom"/>
            <w:gridSpan w:val="7"/>
            <w:vMerge w:val="continue"/>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gridSpan w:val="2"/>
          </w:tcPr>
          <w:p>
            <w:pPr>
              <w:spacing w:after="0"/>
              <w:rPr>
                <w:sz w:val="18"/>
                <w:szCs w:val="18"/>
                <w:color w:val="auto"/>
              </w:rPr>
            </w:pPr>
          </w:p>
        </w:tc>
        <w:tc>
          <w:tcPr>
            <w:tcW w:w="3260" w:type="dxa"/>
            <w:vAlign w:val="bottom"/>
            <w:tcBorders>
              <w:bottom w:val="single" w:sz="8" w:color="2C2C2C"/>
            </w:tcBorders>
            <w:gridSpan w:val="6"/>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3100" w:type="dxa"/>
            <w:vAlign w:val="bottom"/>
            <w:tcBorders>
              <w:bottom w:val="single" w:sz="8" w:color="2C2C2C"/>
            </w:tcBorders>
            <w:gridSpan w:val="5"/>
          </w:tcPr>
          <w:p>
            <w:pPr>
              <w:spacing w:after="0"/>
              <w:rPr>
                <w:sz w:val="18"/>
                <w:szCs w:val="18"/>
                <w:color w:val="auto"/>
              </w:rPr>
            </w:pP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gridSpan w:val="10"/>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840" w:type="dxa"/>
            <w:vAlign w:val="bottom"/>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900" w:type="dxa"/>
            <w:vAlign w:val="bottom"/>
            <w:gridSpan w:val="2"/>
            <w:vMerge w:val="restart"/>
          </w:tcPr>
          <w:p>
            <w:pPr>
              <w:ind w:left="140"/>
              <w:spacing w:after="0"/>
              <w:rPr>
                <w:sz w:val="20"/>
                <w:szCs w:val="20"/>
                <w:color w:val="auto"/>
              </w:rPr>
            </w:pPr>
            <w:r>
              <w:rPr>
                <w:rFonts w:ascii="Arial" w:cs="Arial" w:eastAsia="Arial" w:hAnsi="Arial"/>
                <w:sz w:val="17"/>
                <w:szCs w:val="17"/>
                <w:color w:val="0000FF"/>
              </w:rPr>
              <w:t>90067</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80" w:type="dxa"/>
            <w:vAlign w:val="bottom"/>
            <w:gridSpan w:val="6"/>
          </w:tcPr>
          <w:p>
            <w:pPr>
              <w:ind w:left="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ANGELES</w:t>
            </w:r>
          </w:p>
        </w:tc>
        <w:tc>
          <w:tcPr>
            <w:tcW w:w="110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880" w:type="dxa"/>
            <w:vAlign w:val="bottom"/>
            <w:gridSpan w:val="6"/>
            <w:vMerge w:val="restart"/>
          </w:tcPr>
          <w:p>
            <w:pPr>
              <w:ind w:left="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288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326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900" w:type="dxa"/>
            <w:vAlign w:val="bottom"/>
            <w:tcBorders>
              <w:top w:val="single" w:sz="8" w:color="2C2C2C"/>
            </w:tcBorders>
            <w:gridSpan w:val="22"/>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5"/>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w:t>
            </w:r>
          </w:p>
        </w:tc>
        <w:tc>
          <w:tcPr>
            <w:tcW w:w="580" w:type="dxa"/>
            <w:vAlign w:val="bottom"/>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 Disposed Of</w:t>
            </w:r>
          </w:p>
        </w:tc>
        <w:tc>
          <w:tcPr>
            <w:tcW w:w="1620" w:type="dxa"/>
            <w:vAlign w:val="bottom"/>
            <w:gridSpan w:val="5"/>
          </w:tcPr>
          <w:p>
            <w:pPr>
              <w:ind w:left="80"/>
              <w:spacing w:after="0"/>
              <w:rPr>
                <w:sz w:val="20"/>
                <w:szCs w:val="20"/>
                <w:color w:val="auto"/>
              </w:rPr>
            </w:pPr>
            <w:r>
              <w:rPr>
                <w:rFonts w:ascii="Arial" w:cs="Arial" w:eastAsia="Arial" w:hAnsi="Arial"/>
                <w:sz w:val="12"/>
                <w:szCs w:val="12"/>
                <w:b w:val="1"/>
                <w:bCs w:val="1"/>
                <w:color w:val="auto"/>
              </w:rPr>
              <w:t>5. Amount of Securities</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300" w:type="dxa"/>
            <w:vAlign w:val="bottom"/>
            <w:gridSpan w:val="3"/>
          </w:tcPr>
          <w:p>
            <w:pPr>
              <w:ind w:left="60"/>
              <w:spacing w:after="0" w:line="147" w:lineRule="exact"/>
              <w:rPr>
                <w:sz w:val="20"/>
                <w:szCs w:val="20"/>
                <w:color w:val="auto"/>
              </w:rPr>
            </w:pPr>
            <w:r>
              <w:rPr>
                <w:rFonts w:ascii="Arial" w:cs="Arial" w:eastAsia="Arial" w:hAnsi="Arial"/>
                <w:sz w:val="13"/>
                <w:szCs w:val="13"/>
                <w:b w:val="1"/>
                <w:bCs w:val="1"/>
                <w:color w:val="auto"/>
              </w:rPr>
              <w:t>Security (Instr. 3)</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Execution Date,</w:t>
            </w:r>
          </w:p>
        </w:tc>
        <w:tc>
          <w:tcPr>
            <w:tcW w:w="860" w:type="dxa"/>
            <w:vAlign w:val="bottom"/>
            <w:gridSpan w:val="6"/>
          </w:tcPr>
          <w:p>
            <w:pPr>
              <w:ind w:left="80"/>
              <w:spacing w:after="0"/>
              <w:rPr>
                <w:sz w:val="20"/>
                <w:szCs w:val="20"/>
                <w:color w:val="auto"/>
              </w:rPr>
            </w:pPr>
            <w:r>
              <w:rPr>
                <w:rFonts w:ascii="Arial" w:cs="Arial" w:eastAsia="Arial" w:hAnsi="Arial"/>
                <w:sz w:val="12"/>
                <w:szCs w:val="12"/>
                <w:b w:val="1"/>
                <w:bCs w:val="1"/>
                <w:color w:val="auto"/>
              </w:rPr>
              <w:t>Transaction</w:t>
            </w:r>
          </w:p>
        </w:tc>
        <w:tc>
          <w:tcPr>
            <w:tcW w:w="1420" w:type="dxa"/>
            <w:vAlign w:val="bottom"/>
            <w:gridSpan w:val="4"/>
          </w:tcPr>
          <w:p>
            <w:pPr>
              <w:ind w:left="20"/>
              <w:spacing w:after="0"/>
              <w:rPr>
                <w:sz w:val="20"/>
                <w:szCs w:val="20"/>
                <w:color w:val="auto"/>
              </w:rPr>
            </w:pPr>
            <w:r>
              <w:rPr>
                <w:rFonts w:ascii="Arial" w:cs="Arial" w:eastAsia="Arial" w:hAnsi="Arial"/>
                <w:sz w:val="12"/>
                <w:szCs w:val="12"/>
                <w:b w:val="1"/>
                <w:bCs w:val="1"/>
                <w:color w:val="auto"/>
              </w:rPr>
              <w:t>(D) (Instr. 3, 4 and 5)</w:t>
            </w: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60" w:type="dxa"/>
            <w:vAlign w:val="bottom"/>
            <w:gridSpan w:val="4"/>
          </w:tcPr>
          <w:p>
            <w:pPr>
              <w:ind w:left="80"/>
              <w:spacing w:after="0"/>
              <w:rPr>
                <w:sz w:val="20"/>
                <w:szCs w:val="20"/>
                <w:color w:val="auto"/>
              </w:rPr>
            </w:pPr>
            <w:r>
              <w:rPr>
                <w:rFonts w:ascii="Arial" w:cs="Arial" w:eastAsia="Arial" w:hAnsi="Arial"/>
                <w:sz w:val="12"/>
                <w:szCs w:val="12"/>
                <w:b w:val="1"/>
                <w:bCs w:val="1"/>
                <w:color w:val="auto"/>
              </w:rPr>
              <w:t>Beneficially Owned</w:t>
            </w:r>
          </w:p>
        </w:tc>
        <w:tc>
          <w:tcPr>
            <w:tcW w:w="36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Ownership</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00" w:type="dxa"/>
            <w:vAlign w:val="bottom"/>
            <w:gridSpan w:val="2"/>
          </w:tcPr>
          <w:p>
            <w:pPr>
              <w:ind w:left="40"/>
              <w:spacing w:after="0" w:line="118"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60"/>
              <w:spacing w:after="0" w:line="118"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6"/>
          </w:tcPr>
          <w:p>
            <w:pPr>
              <w:ind w:left="80"/>
              <w:spacing w:after="0" w:line="118" w:lineRule="exact"/>
              <w:rPr>
                <w:sz w:val="20"/>
                <w:szCs w:val="20"/>
                <w:color w:val="auto"/>
              </w:rPr>
            </w:pPr>
            <w:r>
              <w:rPr>
                <w:rFonts w:ascii="Arial" w:cs="Arial" w:eastAsia="Arial" w:hAnsi="Arial"/>
                <w:sz w:val="12"/>
                <w:szCs w:val="12"/>
                <w:b w:val="1"/>
                <w:bCs w:val="1"/>
                <w:color w:val="auto"/>
              </w:rPr>
              <w:t>Code (Instr.</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60" w:type="dxa"/>
            <w:vAlign w:val="bottom"/>
            <w:gridSpan w:val="4"/>
          </w:tcPr>
          <w:p>
            <w:pPr>
              <w:ind w:left="80"/>
              <w:spacing w:after="0" w:line="118" w:lineRule="exact"/>
              <w:rPr>
                <w:sz w:val="20"/>
                <w:szCs w:val="20"/>
                <w:color w:val="auto"/>
              </w:rPr>
            </w:pPr>
            <w:r>
              <w:rPr>
                <w:rFonts w:ascii="Arial" w:cs="Arial" w:eastAsia="Arial" w:hAnsi="Arial"/>
                <w:sz w:val="12"/>
                <w:szCs w:val="12"/>
                <w:b w:val="1"/>
                <w:bCs w:val="1"/>
                <w:color w:val="auto"/>
              </w:rPr>
              <w:t>Following Reported</w:t>
            </w:r>
          </w:p>
        </w:tc>
        <w:tc>
          <w:tcPr>
            <w:tcW w:w="360" w:type="dxa"/>
            <w:vAlign w:val="bottom"/>
          </w:tcPr>
          <w:p>
            <w:pPr>
              <w:spacing w:after="0"/>
              <w:rPr>
                <w:sz w:val="10"/>
                <w:szCs w:val="10"/>
                <w:color w:val="auto"/>
              </w:rPr>
            </w:pPr>
          </w:p>
        </w:tc>
        <w:tc>
          <w:tcPr>
            <w:tcW w:w="840" w:type="dxa"/>
            <w:vAlign w:val="bottom"/>
          </w:tcPr>
          <w:p>
            <w:pPr>
              <w:ind w:left="60"/>
              <w:spacing w:after="0" w:line="118" w:lineRule="exact"/>
              <w:rPr>
                <w:sz w:val="20"/>
                <w:szCs w:val="20"/>
                <w:color w:val="auto"/>
              </w:rPr>
            </w:pPr>
            <w:r>
              <w:rPr>
                <w:rFonts w:ascii="Arial" w:cs="Arial" w:eastAsia="Arial" w:hAnsi="Arial"/>
                <w:sz w:val="12"/>
                <w:szCs w:val="12"/>
                <w:b w:val="1"/>
                <w:bCs w:val="1"/>
                <w:color w:val="auto"/>
              </w:rPr>
              <w:t>Form:</w:t>
            </w:r>
          </w:p>
        </w:tc>
        <w:tc>
          <w:tcPr>
            <w:tcW w:w="900" w:type="dxa"/>
            <w:vAlign w:val="bottom"/>
          </w:tcPr>
          <w:p>
            <w:pPr>
              <w:ind w:left="20"/>
              <w:spacing w:after="0" w:line="118"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Transaction(s) (Instr.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and 4)</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jc w:val="center"/>
              <w:ind w:right="9"/>
              <w:spacing w:after="0" w:line="133" w:lineRule="exact"/>
              <w:rPr>
                <w:sz w:val="20"/>
                <w:szCs w:val="20"/>
                <w:color w:val="auto"/>
              </w:rPr>
            </w:pPr>
            <w:r>
              <w:rPr>
                <w:rFonts w:ascii="Arial" w:cs="Arial" w:eastAsia="Arial" w:hAnsi="Arial"/>
                <w:sz w:val="12"/>
                <w:szCs w:val="12"/>
                <w:b w:val="1"/>
                <w:bCs w:val="1"/>
                <w:color w:val="auto"/>
              </w:rPr>
              <w:t>(A)</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Code   V</w:t>
            </w:r>
          </w:p>
        </w:tc>
        <w:tc>
          <w:tcPr>
            <w:tcW w:w="9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1"/>
                <w:szCs w:val="11"/>
                <w:color w:val="auto"/>
              </w:rPr>
            </w:pPr>
          </w:p>
        </w:tc>
        <w:tc>
          <w:tcPr>
            <w:tcW w:w="380" w:type="dxa"/>
            <w:vAlign w:val="bottom"/>
          </w:tcPr>
          <w:p>
            <w:pPr>
              <w:jc w:val="center"/>
              <w:ind w:right="69"/>
              <w:spacing w:after="0" w:line="133" w:lineRule="exact"/>
              <w:rPr>
                <w:sz w:val="20"/>
                <w:szCs w:val="20"/>
                <w:color w:val="auto"/>
              </w:rPr>
            </w:pPr>
            <w:r>
              <w:rPr>
                <w:rFonts w:ascii="Arial" w:cs="Arial" w:eastAsia="Arial" w:hAnsi="Arial"/>
                <w:sz w:val="12"/>
                <w:szCs w:val="12"/>
                <w:b w:val="1"/>
                <w:bCs w:val="1"/>
                <w:color w:val="auto"/>
                <w:w w:val="99"/>
              </w:rPr>
              <w:t>or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jc w:val="center"/>
              <w:ind w:right="9"/>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gridSpan w:val="2"/>
          </w:tcPr>
          <w:p>
            <w:pPr>
              <w:ind w:left="140"/>
              <w:spacing w:after="0"/>
              <w:rPr>
                <w:sz w:val="20"/>
                <w:szCs w:val="20"/>
                <w:color w:val="auto"/>
              </w:rPr>
            </w:pPr>
            <w:r>
              <w:rPr>
                <w:rFonts w:ascii="Arial" w:cs="Arial" w:eastAsia="Arial" w:hAnsi="Arial"/>
                <w:sz w:val="17"/>
                <w:szCs w:val="17"/>
                <w:color w:val="0000FF"/>
              </w:rPr>
              <w:t>01/13/2022</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gridSpan w:val="3"/>
          </w:tcPr>
          <w:p>
            <w:pPr>
              <w:ind w:left="200"/>
              <w:spacing w:after="0"/>
              <w:rPr>
                <w:sz w:val="20"/>
                <w:szCs w:val="20"/>
                <w:color w:val="auto"/>
              </w:rPr>
            </w:pPr>
            <w:r>
              <w:rPr>
                <w:rFonts w:ascii="Arial" w:cs="Arial" w:eastAsia="Arial" w:hAnsi="Arial"/>
                <w:sz w:val="13"/>
                <w:szCs w:val="13"/>
                <w:color w:val="0000FF"/>
              </w:rPr>
              <w:t>S</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4"/>
          </w:tcPr>
          <w:p>
            <w:pPr>
              <w:jc w:val="center"/>
              <w:spacing w:after="0" w:line="320" w:lineRule="exact"/>
              <w:rPr>
                <w:sz w:val="20"/>
                <w:szCs w:val="20"/>
                <w:color w:val="auto"/>
              </w:rPr>
            </w:pPr>
            <w:r>
              <w:rPr>
                <w:rFonts w:ascii="Arial" w:cs="Arial" w:eastAsia="Arial" w:hAnsi="Arial"/>
                <w:sz w:val="34"/>
                <w:szCs w:val="34"/>
                <w:color w:val="0000FF"/>
                <w:w w:val="82"/>
                <w:vertAlign w:val="subscript"/>
              </w:rPr>
              <w:t>150,000</w:t>
            </w:r>
            <w:r>
              <w:rPr>
                <w:rFonts w:ascii="Arial" w:cs="Arial" w:eastAsia="Arial" w:hAnsi="Arial"/>
                <w:sz w:val="11"/>
                <w:szCs w:val="11"/>
                <w:color w:val="008000"/>
                <w:w w:val="82"/>
              </w:rPr>
              <w:t>(1)(2)(3)(4)(5)(6)</w:t>
            </w:r>
          </w:p>
        </w:tc>
        <w:tc>
          <w:tcPr>
            <w:tcW w:w="3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760" w:type="dxa"/>
            <w:vAlign w:val="bottom"/>
          </w:tcPr>
          <w:p>
            <w:pPr>
              <w:ind w:left="4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44.8803</w:t>
            </w:r>
          </w:p>
        </w:tc>
        <w:tc>
          <w:tcPr>
            <w:tcW w:w="1620" w:type="dxa"/>
            <w:vAlign w:val="bottom"/>
            <w:gridSpan w:val="5"/>
          </w:tcPr>
          <w:p>
            <w:pPr>
              <w:ind w:left="80"/>
              <w:spacing w:after="0" w:line="320" w:lineRule="exact"/>
              <w:rPr>
                <w:sz w:val="20"/>
                <w:szCs w:val="20"/>
                <w:color w:val="auto"/>
              </w:rPr>
            </w:pPr>
            <w:r>
              <w:rPr>
                <w:rFonts w:ascii="Arial" w:cs="Arial" w:eastAsia="Arial" w:hAnsi="Arial"/>
                <w:sz w:val="34"/>
                <w:szCs w:val="34"/>
                <w:color w:val="0000FF"/>
                <w:w w:val="83"/>
                <w:vertAlign w:val="subscript"/>
              </w:rPr>
              <w:t>9,666,968</w:t>
            </w:r>
            <w:r>
              <w:rPr>
                <w:rFonts w:ascii="Arial" w:cs="Arial" w:eastAsia="Arial" w:hAnsi="Arial"/>
                <w:sz w:val="11"/>
                <w:szCs w:val="11"/>
                <w:color w:val="008000"/>
                <w:w w:val="83"/>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38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gridSpan w:val="2"/>
          </w:tcPr>
          <w:p>
            <w:pPr>
              <w:ind w:left="140"/>
              <w:spacing w:after="0"/>
              <w:rPr>
                <w:sz w:val="20"/>
                <w:szCs w:val="20"/>
                <w:color w:val="auto"/>
              </w:rPr>
            </w:pPr>
            <w:r>
              <w:rPr>
                <w:rFonts w:ascii="Arial" w:cs="Arial" w:eastAsia="Arial" w:hAnsi="Arial"/>
                <w:sz w:val="17"/>
                <w:szCs w:val="17"/>
                <w:color w:val="0000FF"/>
              </w:rPr>
              <w:t>01/14/2022</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gridSpan w:val="3"/>
          </w:tcPr>
          <w:p>
            <w:pPr>
              <w:ind w:left="200"/>
              <w:spacing w:after="0"/>
              <w:rPr>
                <w:sz w:val="20"/>
                <w:szCs w:val="20"/>
                <w:color w:val="auto"/>
              </w:rPr>
            </w:pPr>
            <w:r>
              <w:rPr>
                <w:rFonts w:ascii="Arial" w:cs="Arial" w:eastAsia="Arial" w:hAnsi="Arial"/>
                <w:sz w:val="13"/>
                <w:szCs w:val="13"/>
                <w:color w:val="0000FF"/>
              </w:rPr>
              <w:t>S</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4"/>
          </w:tcPr>
          <w:p>
            <w:pPr>
              <w:jc w:val="center"/>
              <w:ind w:right="40"/>
              <w:spacing w:after="0" w:line="320" w:lineRule="exact"/>
              <w:rPr>
                <w:sz w:val="20"/>
                <w:szCs w:val="20"/>
                <w:color w:val="auto"/>
              </w:rPr>
            </w:pPr>
            <w:r>
              <w:rPr>
                <w:rFonts w:ascii="Arial" w:cs="Arial" w:eastAsia="Arial" w:hAnsi="Arial"/>
                <w:sz w:val="34"/>
                <w:szCs w:val="34"/>
                <w:color w:val="0000FF"/>
                <w:w w:val="85"/>
                <w:vertAlign w:val="subscript"/>
              </w:rPr>
              <w:t>50,000</w:t>
            </w:r>
            <w:r>
              <w:rPr>
                <w:rFonts w:ascii="Arial" w:cs="Arial" w:eastAsia="Arial" w:hAnsi="Arial"/>
                <w:sz w:val="11"/>
                <w:szCs w:val="11"/>
                <w:color w:val="008000"/>
                <w:w w:val="85"/>
              </w:rPr>
              <w:t>(1)(2)(3)(4)(5)(6)</w:t>
            </w:r>
          </w:p>
        </w:tc>
        <w:tc>
          <w:tcPr>
            <w:tcW w:w="3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760" w:type="dxa"/>
            <w:vAlign w:val="bottom"/>
          </w:tcPr>
          <w:p>
            <w:pPr>
              <w:ind w:left="4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44.0787</w:t>
            </w:r>
          </w:p>
        </w:tc>
        <w:tc>
          <w:tcPr>
            <w:tcW w:w="1620" w:type="dxa"/>
            <w:vAlign w:val="bottom"/>
            <w:gridSpan w:val="5"/>
          </w:tcPr>
          <w:p>
            <w:pPr>
              <w:ind w:left="80"/>
              <w:spacing w:after="0" w:line="320" w:lineRule="exact"/>
              <w:rPr>
                <w:sz w:val="20"/>
                <w:szCs w:val="20"/>
                <w:color w:val="auto"/>
              </w:rPr>
            </w:pPr>
            <w:r>
              <w:rPr>
                <w:rFonts w:ascii="Arial" w:cs="Arial" w:eastAsia="Arial" w:hAnsi="Arial"/>
                <w:sz w:val="34"/>
                <w:szCs w:val="34"/>
                <w:color w:val="0000FF"/>
                <w:w w:val="83"/>
                <w:vertAlign w:val="subscript"/>
              </w:rPr>
              <w:t>9,616,968</w:t>
            </w:r>
            <w:r>
              <w:rPr>
                <w:rFonts w:ascii="Arial" w:cs="Arial" w:eastAsia="Arial" w:hAnsi="Arial"/>
                <w:sz w:val="11"/>
                <w:szCs w:val="11"/>
                <w:color w:val="008000"/>
                <w:w w:val="83"/>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60"/>
        </w:trPr>
        <w:tc>
          <w:tcPr>
            <w:tcW w:w="20" w:type="dxa"/>
            <w:vAlign w:val="bottom"/>
            <w:tcBorders>
              <w:bottom w:val="single" w:sz="8" w:color="2C2C2C"/>
            </w:tcBorders>
          </w:tcPr>
          <w:p>
            <w:pPr>
              <w:spacing w:after="0"/>
              <w:rPr>
                <w:sz w:val="22"/>
                <w:szCs w:val="22"/>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60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24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980" w:type="dxa"/>
            <w:vAlign w:val="bottom"/>
            <w:tcBorders>
              <w:top w:val="single" w:sz="8" w:color="2C2C2C"/>
            </w:tcBorders>
            <w:gridSpan w:val="2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80" w:type="dxa"/>
            <w:vAlign w:val="bottom"/>
            <w:gridSpan w:val="18"/>
          </w:tcPr>
          <w:p>
            <w:pPr>
              <w:ind w:left="4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3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w w:val="98"/>
              </w:rPr>
              <w:t>9. Number of</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2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8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50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gridSpan w:val="7"/>
          </w:tcPr>
          <w:p>
            <w:pPr>
              <w:spacing w:after="0"/>
              <w:rPr>
                <w:sz w:val="20"/>
                <w:szCs w:val="20"/>
                <w:color w:val="auto"/>
              </w:rPr>
            </w:pPr>
            <w:r>
              <w:rPr>
                <w:rFonts w:ascii="Arial" w:cs="Arial" w:eastAsia="Arial" w:hAnsi="Arial"/>
                <w:sz w:val="17"/>
                <w:szCs w:val="17"/>
                <w:color w:val="0000FF"/>
                <w:w w:val="95"/>
              </w:rPr>
              <w:t>2000 AVENUE OF THE STARS, 12TH FLOOR</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5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tcPr>
          <w:p>
            <w:pPr>
              <w:spacing w:after="0" w:line="221" w:lineRule="exact"/>
              <w:rPr>
                <w:rFonts w:ascii="Arial" w:cs="Arial" w:eastAsia="Arial" w:hAnsi="Arial"/>
                <w:sz w:val="21"/>
                <w:szCs w:val="21"/>
                <w:color w:val="0000EE"/>
                <w:w w:val="99"/>
              </w:rPr>
            </w:pPr>
            <w:hyperlink r:id="rId14">
              <w:r>
                <w:rPr>
                  <w:rFonts w:ascii="Arial" w:cs="Arial" w:eastAsia="Arial" w:hAnsi="Arial"/>
                  <w:sz w:val="21"/>
                  <w:szCs w:val="21"/>
                  <w:color w:val="0000EE"/>
                  <w:w w:val="99"/>
                </w:rPr>
                <w:t>ACOF Investment Management LLC</w:t>
              </w:r>
            </w:hyperlink>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gridSpan w:val="7"/>
          </w:tcPr>
          <w:p>
            <w:pPr>
              <w:spacing w:after="0"/>
              <w:rPr>
                <w:sz w:val="20"/>
                <w:szCs w:val="20"/>
                <w:color w:val="auto"/>
              </w:rPr>
            </w:pPr>
            <w:r>
              <w:rPr>
                <w:rFonts w:ascii="Arial" w:cs="Arial" w:eastAsia="Arial" w:hAnsi="Arial"/>
                <w:sz w:val="17"/>
                <w:szCs w:val="17"/>
                <w:color w:val="0000FF"/>
                <w:w w:val="95"/>
              </w:rPr>
              <w:t>2000 AVENUE OF THE STARS, 12TH FLOOR</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-5046980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Ares Management Holdings L.P.</w:t>
        </w:r>
      </w:hyperlink>
    </w:p>
    <w:p>
      <w:pPr>
        <w:sectPr>
          <w:pgSz w:w="11900" w:h="16838" w:orient="portrait"/>
          <w:cols w:equalWidth="0" w:num="1">
            <w:col w:w="11080"/>
          </w:cols>
          <w:pgMar w:left="460" w:top="225" w:right="359" w:bottom="0" w:gutter="0" w:footer="0" w:header="0"/>
          <w:type w:val="continuous"/>
        </w:sectPr>
      </w:pPr>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-118110</wp:posOffset>
            </wp:positionV>
            <wp:extent cx="2809240" cy="9236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923607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Ares Holdco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Ares Management Corp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Ares Management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Ares Voting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Ares Partners Holdco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020" w:type="dxa"/>
            <w:vAlign w:val="bottom"/>
          </w:tcPr>
          <w:p>
            <w:pPr>
              <w:ind w:left="120"/>
              <w:spacing w:after="0"/>
              <w:rPr>
                <w:sz w:val="20"/>
                <w:szCs w:val="20"/>
                <w:color w:val="auto"/>
              </w:rPr>
            </w:pPr>
            <w:r>
              <w:rPr>
                <w:rFonts w:ascii="Arial" w:cs="Arial" w:eastAsia="Arial" w:hAnsi="Arial"/>
                <w:sz w:val="17"/>
                <w:szCs w:val="17"/>
                <w:color w:val="0000FF"/>
              </w:rPr>
              <w:t>CA</w:t>
            </w:r>
          </w:p>
        </w:tc>
        <w:tc>
          <w:tcPr>
            <w:tcW w:w="1860" w:type="dxa"/>
            <w:vAlign w:val="bottom"/>
          </w:tcPr>
          <w:p>
            <w:pPr>
              <w:ind w:left="500"/>
              <w:spacing w:after="0"/>
              <w:rPr>
                <w:sz w:val="20"/>
                <w:szCs w:val="20"/>
                <w:color w:val="auto"/>
              </w:rPr>
            </w:pPr>
            <w:r>
              <w:rPr>
                <w:rFonts w:ascii="Arial" w:cs="Arial" w:eastAsia="Arial" w:hAnsi="Arial"/>
                <w:sz w:val="17"/>
                <w:szCs w:val="17"/>
                <w:color w:val="0000FF"/>
              </w:rPr>
              <w:t>90067</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20" w:right="40" w:firstLine="7"/>
        <w:spacing w:after="0" w:line="281"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Ares Management LLC, (Continued in footnote 2)</w:t>
      </w:r>
    </w:p>
    <w:p>
      <w:pPr>
        <w:spacing w:after="0" w:line="8" w:lineRule="exact"/>
        <w:rPr>
          <w:rFonts w:ascii="Arial" w:cs="Arial" w:eastAsia="Arial" w:hAnsi="Arial"/>
          <w:sz w:val="12"/>
          <w:szCs w:val="12"/>
          <w:color w:val="008000"/>
        </w:rPr>
      </w:pPr>
    </w:p>
    <w:p>
      <w:pPr>
        <w:ind w:left="20" w:right="2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(ix) Ares Management Holdings L.P. ("Ares Management Holdings"), (x) Ares Holdco LLC ("Ares Holdco"), (xi) Ares Management Corporation ("Ares Management"), (xii) Ares Voting LLC ("Ares Voting"), (xiii) Ares Management GP LLC ("Ares Management GP") and (xiv)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2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is the sole holder of the Class C common stock, $0.01 par value per share, of Ares Management (the "Ares Class C Common Stock"). (Continued in footnote 4)</w:t>
      </w:r>
    </w:p>
    <w:p>
      <w:pPr>
        <w:spacing w:after="0" w:line="29"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Pursuant to Ares Management's Certificate of Incorporation, the holders of the Ares Class B Common Stock and the Ares Class C Common Stock, collectively, will generally have the majority of the</w:t>
      </w:r>
    </w:p>
    <w:p>
      <w:pPr>
        <w:sectPr>
          <w:pgSz w:w="11900" w:h="16859" w:orient="portrait"/>
          <w:cols w:equalWidth="0" w:num="1">
            <w:col w:w="10800"/>
          </w:cols>
          <w:pgMar w:left="480" w:top="131" w:right="619" w:bottom="0" w:gutter="0" w:footer="0" w:header="0"/>
        </w:sectPr>
      </w:pPr>
    </w:p>
    <w:bookmarkStart w:id="2" w:name="page3"/>
    <w:bookmarkEnd w:id="2"/>
    <w:p>
      <w:pPr>
        <w:ind w:right="120"/>
        <w:spacing w:after="0" w:line="250" w:lineRule="auto"/>
        <w:rPr>
          <w:sz w:val="20"/>
          <w:szCs w:val="20"/>
          <w:color w:val="auto"/>
        </w:rPr>
      </w:pPr>
      <w:r>
        <w:rPr>
          <w:rFonts w:ascii="Arial" w:cs="Arial" w:eastAsia="Arial" w:hAnsi="Arial"/>
          <w:sz w:val="13"/>
          <w:szCs w:val="13"/>
          <w:color w:val="008000"/>
        </w:rPr>
        <w:t>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Antony Ressler and Bennett Rosenthal (collectively, the "Board Members"). Mr. Ressler generally has veto authority over decisions by the Board Members.</w:t>
      </w:r>
    </w:p>
    <w:p>
      <w:pPr>
        <w:spacing w:after="0" w:line="26" w:lineRule="exact"/>
        <w:rPr>
          <w:sz w:val="20"/>
          <w:szCs w:val="20"/>
          <w:color w:val="auto"/>
        </w:rPr>
      </w:pPr>
    </w:p>
    <w:p>
      <w:pPr>
        <w:ind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9,616,968 shares of Common Stock by reason of the direct or indirect beneficial ownership of such shares as follows: (i) ACOF AIV 1A directly holds 542,810 shares of Common Stock, (ii) ACOF AIV 1B directly holds 1,986,410 shares of Common Stock, (iii) ACOF AIV 2 directly holds 2,023,567 shares of Common Stock, (iv) AEOF AIV A-B directly holds 1,894,861 shares of Common Stock, (v) AEOF AIV C directly holds 804,524 shares of Common Stock and (vi) AF Energy Feeder, L.P. directly holds 2,364,796 shares of Common Stock.</w:t>
      </w:r>
    </w:p>
    <w:p>
      <w:pPr>
        <w:spacing w:after="0" w:line="29" w:lineRule="exact"/>
        <w:rPr>
          <w:rFonts w:ascii="Arial" w:cs="Arial" w:eastAsia="Arial" w:hAnsi="Arial"/>
          <w:sz w:val="13"/>
          <w:szCs w:val="13"/>
          <w:color w:val="008000"/>
        </w:rPr>
      </w:pPr>
    </w:p>
    <w:p>
      <w:pPr>
        <w:ind w:right="20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900"/>
          </w:cols>
          <w:pgMar w:left="500" w:top="131" w:right="499" w:bottom="1440" w:gutter="0" w:footer="0" w:header="0"/>
        </w:sectPr>
      </w:pPr>
    </w:p>
    <w:p>
      <w:pPr>
        <w:spacing w:after="0" w:line="5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236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07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HOLDINGS L.P. By: 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60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HOLDCO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69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HOLDCO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34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CORPORATION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LLC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22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95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VOTING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518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ARES PARTNERS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98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LLC Its: Sole Member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03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7"/>
          <w:szCs w:val="17"/>
          <w:color w:val="0000FF"/>
        </w:rPr>
        <w:t>ARES PARTNERS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98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LLC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22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95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96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01/18/2022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01/18/2022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01/18/2022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01/18/2022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01/18/2022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01/18/2022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01/18/2022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01/18/2022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60" w:space="80"/>
            <w:col w:w="2160"/>
          </w:cols>
          <w:pgMar w:left="500" w:top="131" w:right="49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31"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684171" TargetMode="External"/><Relationship Id="rId16" Type="http://schemas.openxmlformats.org/officeDocument/2006/relationships/hyperlink" Target="http://www.sec.gov/cgi-bin/browse-edgar?action=getcompany&amp;CIK=0001536937" TargetMode="External"/><Relationship Id="rId18" Type="http://schemas.openxmlformats.org/officeDocument/2006/relationships/hyperlink" Target="http://www.sec.gov/cgi-bin/browse-edgar?action=getcompany&amp;CIK=0001669983" TargetMode="External"/><Relationship Id="rId19" Type="http://schemas.openxmlformats.org/officeDocument/2006/relationships/hyperlink" Target="http://www.sec.gov/cgi-bin/browse-edgar?action=getcompany&amp;CIK=0001176948" TargetMode="External"/><Relationship Id="rId20" Type="http://schemas.openxmlformats.org/officeDocument/2006/relationships/hyperlink" Target="http://www.sec.gov/cgi-bin/browse-edgar?action=getcompany&amp;CIK=0001620264" TargetMode="External"/><Relationship Id="rId21" Type="http://schemas.openxmlformats.org/officeDocument/2006/relationships/hyperlink" Target="http://www.sec.gov/cgi-bin/browse-edgar?action=getcompany&amp;CIK=0001761656" TargetMode="External"/><Relationship Id="rId22" Type="http://schemas.openxmlformats.org/officeDocument/2006/relationships/hyperlink" Target="http://www.sec.gov/cgi-bin/browse-edgar?action=getcompany&amp;CIK=00016202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2022-01-18T15:15:05Z</dcterms:created>
  <dcterms:modified xsi:type="dcterms:W3CDTF">2022-01-18T15:15:05Z</dcterms:modified>
</cp:coreProperties>
</file>