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0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0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jc w:val="right"/>
              <w:ind w:right="29"/>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40" w:type="dxa"/>
            <w:vAlign w:val="bottom"/>
          </w:tcPr>
          <w:p>
            <w:pPr>
              <w:jc w:val="right"/>
              <w:ind w:right="89"/>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jc w:val="right"/>
              <w:ind w:right="29"/>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02/01/2022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4"/>
                <w:vertAlign w:val="subscript"/>
              </w:rPr>
              <w:t>150,000</w:t>
            </w:r>
            <w:r>
              <w:rPr>
                <w:rFonts w:ascii="Arial" w:cs="Arial" w:eastAsia="Arial" w:hAnsi="Arial"/>
                <w:sz w:val="11"/>
                <w:szCs w:val="11"/>
                <w:color w:val="008000"/>
                <w:w w:val="84"/>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44.4441</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8,967,002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02/02/2022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4"/>
                <w:vertAlign w:val="subscript"/>
              </w:rPr>
              <w:t>150,000</w:t>
            </w:r>
            <w:r>
              <w:rPr>
                <w:rFonts w:ascii="Arial" w:cs="Arial" w:eastAsia="Arial" w:hAnsi="Arial"/>
                <w:sz w:val="11"/>
                <w:szCs w:val="11"/>
                <w:color w:val="008000"/>
                <w:w w:val="84"/>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45.3589</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8,817,002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03"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903"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609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09240" cy="86099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8,817,002 shares of Common Stock by reason of the direct or indirect beneficial ownership of such shares as follows: (i) ACOF AIV 1A directly holds 480,039 shares of Common Stock, (ii) ACOF AIV 1B directly holds 1,756,698 shares of Common Stock, (iii) ACOF AIV 2 directly holds</w:t>
      </w:r>
    </w:p>
    <w:p>
      <w:pPr>
        <w:sectPr>
          <w:pgSz w:w="11900" w:h="16838" w:orient="portrait"/>
          <w:cols w:equalWidth="0" w:num="1">
            <w:col w:w="10880"/>
          </w:cols>
          <w:pgMar w:left="480" w:top="459" w:right="539" w:bottom="0" w:gutter="0" w:footer="0" w:header="0"/>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1,789,563 shares of Common Stock, (iv) AEOF AIV A-B directly holds 1,894,861 shares of Common Stock, (v) AEOF AIV C directly holds 804,524 shares of Common Stock and (vi) AF Energy Feeder, L.P. directly holds 2,091,317 shares of Common Stock.</w:t>
      </w:r>
    </w:p>
    <w:p>
      <w:pPr>
        <w:spacing w:after="0" w:line="15" w:lineRule="exact"/>
        <w:rPr>
          <w:sz w:val="20"/>
          <w:szCs w:val="20"/>
          <w:color w:val="auto"/>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02/03/2022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7" Type="http://schemas.openxmlformats.org/officeDocument/2006/relationships/hyperlink" Target="http://www.sec.gov/cgi-bin/browse-edgar?action=getcompany&amp;CIK=0001831196" TargetMode="External"/><Relationship Id="rId18" Type="http://schemas.openxmlformats.org/officeDocument/2006/relationships/hyperlink" Target="http://www.sec.gov/cgi-bin/browse-edgar?action=getcompany&amp;CIK=0001831200" TargetMode="External"/><Relationship Id="rId19" Type="http://schemas.openxmlformats.org/officeDocument/2006/relationships/hyperlink" Target="http://www.sec.gov/cgi-bin/browse-edgar?action=getcompany&amp;CIK=0001831202" TargetMode="External"/><Relationship Id="rId20"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2022-02-03T15:09:53Z</dcterms:created>
  <dcterms:modified xsi:type="dcterms:W3CDTF">2022-02-03T15:09:53Z</dcterms:modified>
</cp:coreProperties>
</file>