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25, 2024</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36" w:lineRule="exact"/>
        <w:rPr>
          <w:sz w:val="24"/>
          <w:szCs w:val="24"/>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required waiting period under the Hart-Scott-Rodino Antitrust Improvements Act of 1976, as amended, expired at 11:59 p.m. Eastern Time on March 25, 2024, with respect to the pending combination upon the completion of which Aera Energy, LLC and its operating affiliate Aera Energy Services Company (collectively, the “Companies”) will be indirect wholly-owned subsidiaries of California Resources Corporation (“CRC”).</w:t>
      </w:r>
    </w:p>
    <w:p>
      <w:pPr>
        <w:spacing w:after="0" w:line="14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Consummation of the transaction remains subject to other customary conditions, including CRC shareholder approval, prior authorization by the Federal Energy Regulatory Commission under Section 203 of the Federal Power Act and other customary governmental approvals, as described in our Current Report on Form 8-K, dated February 9, 2024. The transaction is expected to close around mid-year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Information set forth in this communication, including statements as to the expected timing, completion and effects of the pending combination of CRC and the Companies pursuant to the Agreement and Plan of Merger (the “Merger Agreement”) described in our Current Report on Form 8-K, dated February 9, 2024, constitute forward-looking statements within the meaning of the safe harbor provisions of the Private Securities Litigation Reform Act of 1995. All statements other than historical facts are forward-looking statements, and include statements regarding the benefits of the transaction, CRC’s future financial position and operating results,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are subject to risks and uncertainties that could cause actual results to differ materially from those expressed in, projected in, or implied by, such statements. 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from those described in the forward-looking statements include: (i) the timing, receipt and terms and conditions of any required governmental and regulatory approvals of the transaction that could reduce anticipated benefits or cause the parties to abandon the transaction,</w:t>
      </w:r>
    </w:p>
    <w:p>
      <w:pPr>
        <w:spacing w:after="0" w:line="1" w:lineRule="exact"/>
        <w:rPr>
          <w:sz w:val="20"/>
          <w:szCs w:val="20"/>
          <w:color w:val="auto"/>
        </w:rPr>
      </w:pPr>
    </w:p>
    <w:p>
      <w:pPr>
        <w:ind w:right="80" w:firstLine="8"/>
        <w:spacing w:after="0" w:line="252" w:lineRule="auto"/>
        <w:tabs>
          <w:tab w:leader="none" w:pos="26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event, change or other circumstances that could give rise to the termination of the Merger Agreement, (iii) the possibility that stockholders of CRC may not approve the issuance of new shares of common stock in the transaction, (iv) the risk that the any of the other closing conditions to the transaction may not be satisfied in a timely manner, (v) transaction costs, (vi) unknown liabilities, (vii) the risk that any announcements relating to the transaction could have adverse effects on the market price of CRC’s common stock, (viii) the ability to successfully integrate the businesses,</w:t>
      </w:r>
    </w:p>
    <w:p>
      <w:pPr>
        <w:spacing w:after="0" w:line="2" w:lineRule="exact"/>
        <w:rPr>
          <w:rFonts w:ascii="Times New Roman" w:cs="Times New Roman" w:eastAsia="Times New Roman" w:hAnsi="Times New Roman"/>
          <w:sz w:val="17"/>
          <w:szCs w:val="17"/>
          <w:color w:val="auto"/>
        </w:rPr>
      </w:pPr>
    </w:p>
    <w:p>
      <w:pPr>
        <w:ind w:right="20" w:firstLine="8"/>
        <w:spacing w:after="0"/>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projected operational and capital synergies or it may take longer than expected to achieve those synergies, (x) the risk the pending transaction could distract management from ongoing operations, (xi) the effects of disruption to CRC’s or the Companies’ respective businesses and operations, including the ability of CRC and the Companies to retain customers and retain and hire key personnel and maintain relationships with their suppliers and customers, (xii) the ability of CRC to obtain the debt financing pursuant to its commitment letters and, if obtained, the potential impact of additional debt on CRC’s business and the financial impacts and restrictions due to the additional debt, (xiii) risks related to potential litigation brought in connection with the transaction, (xiv) risks related to financial community and rating agency perceptions of CRC or the Companies or their respective businesses, operations, financial condition and the industry in which they operate, (xv) risks related to the potential impact of general economic, political and market factors on CRC, the Companies or the transaction and (xvi) those expressed in its forward-looking statements include those factors discussed in Part I, Item 1A – Risk Factors in CRC’s Annual Report on Form 10-K and its other SEC filings available at www.crc.com. CRC cautions you not to place undue reliance on forward-looking statements contained in this communication, which speak only as of the filing date, and CRC is under no obligation, and expressly disclaims any obligation to update, alter or otherwise revise any forward-looking statements, whether as a result of new information, future events or otherwise. This communication may also contain information from third party sources. This data may involve a number of assumptions and limitations, and CRC has not independently verified them and do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document may be deemed to be solicitation material in respect of the proposed transaction, including the proposed issuance of CRC’s common stock pursuant to the Merger Agreement. In connection with the proposed transaction, CRC will file a proxy statement on Schedule 14A with the SEC, as well as other relevant materials. Following the filing of the definitive proxy statement, CRC will mail the definitive proxy statement and a proxy card to its stockholders. INVESTORS AND SECURITY HOLDERS OF CRC ARE URGED TO READ THE PROXY STATEMENT AND OTHER RELEVANT DOCUMENTS FILED OR TO BE FILED WITH THE SEC CAREFULLY WHEN THEY BECOME AVAILABLE BECAUSE THEY WILL CONTAIN IMPORTANT INFORMATION ABOUT CRC, THE COMPANIES, THE PROPOSED TRANSACTION AND RELATED MATTERS. Investors and security holders will be able to obtain copies of the proxy statement (when available) as well as other filings containing information about CRC, the Companies and the proposed transaction, without charge, at the SEC’s website, www.sec.gov. Copies of documents filed with the SEC by CRC will be available, without charge, at CRC’s website, www.crc.com.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75"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CRC and its directors and executive officers may be deemed to be participants in the solicitation of proxies in connection with the proposed transaction. Information about the directors and executive officers of CRC is set forth in the proxy statement for CRC’s 2024 Annual Meeting of Stockholders, which was filed with the SEC on March 21, 2024. Investors may obtain additional information regarding the interest of such participants by reading the proxy statement regarding the proposed transaction when it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26,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2024-03-26T08:18:20Z</dcterms:created>
  <dcterms:modified xsi:type="dcterms:W3CDTF">2024-03-26T08:18:20Z</dcterms:modified>
</cp:coreProperties>
</file>