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Gould Christopher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06/14/2022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&amp; Chief Sustainability Off</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796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44.44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37,784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surrendered to satisfy tax withholding for RSUs vested on June 14, 2022. Each RSU represents a contingent right to receive one share of common stock of the Issuer. Subject to certain exceptions, RSUs will be settled in shares of Common Stock within 45 days following June 14,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Christopher D.</w:t>
      </w:r>
      <w:r>
        <w:rPr>
          <w:sz w:val="20"/>
          <w:szCs w:val="20"/>
          <w:color w:val="auto"/>
        </w:rPr>
        <w:tab/>
      </w:r>
      <w:r>
        <w:rPr>
          <w:rFonts w:ascii="Times New Roman" w:cs="Times New Roman" w:eastAsia="Times New Roman" w:hAnsi="Times New Roman"/>
          <w:sz w:val="17"/>
          <w:szCs w:val="17"/>
          <w:color w:val="0000FF"/>
        </w:rPr>
        <w:t>06/16/2022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6661"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2022-06-16T15:58:43Z</dcterms:created>
  <dcterms:modified xsi:type="dcterms:W3CDTF">2022-06-16T15:58:43Z</dcterms:modified>
</cp:coreProperties>
</file>