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As filed with the Securities and Exchange Commission on May 11, 2018</w:t>
      </w:r>
    </w:p>
    <w:p>
      <w:pPr>
        <w:spacing w:after="0" w:line="6" w:lineRule="exact"/>
        <w:rPr>
          <w:sz w:val="24"/>
          <w:szCs w:val="24"/>
          <w:color w:val="auto"/>
        </w:rPr>
      </w:pPr>
    </w:p>
    <w:p>
      <w:pPr>
        <w:ind w:left="946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53975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97155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5"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117475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9" w:lineRule="exact"/>
        <w:rPr>
          <w:sz w:val="24"/>
          <w:szCs w:val="24"/>
          <w:color w:val="auto"/>
        </w:rPr>
      </w:pPr>
    </w:p>
    <w:p>
      <w:pPr>
        <w:jc w:val="center"/>
        <w:ind w:right="-199"/>
        <w:spacing w:after="0"/>
        <w:rPr>
          <w:sz w:val="20"/>
          <w:szCs w:val="20"/>
          <w:color w:val="auto"/>
        </w:rPr>
      </w:pPr>
      <w:r>
        <w:rPr>
          <w:rFonts w:ascii="Arial" w:cs="Arial" w:eastAsia="Arial" w:hAnsi="Arial"/>
          <w:sz w:val="38"/>
          <w:szCs w:val="38"/>
          <w:b w:val="1"/>
          <w:bCs w:val="1"/>
          <w:color w:val="auto"/>
        </w:rPr>
        <w:t>California Resources Corporation</w:t>
      </w:r>
    </w:p>
    <w:p>
      <w:pPr>
        <w:spacing w:after="0" w:line="37"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114300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4" w:lineRule="exact"/>
        <w:rPr>
          <w:sz w:val="24"/>
          <w:szCs w:val="24"/>
          <w:color w:val="auto"/>
        </w:rPr>
      </w:pPr>
    </w:p>
    <w:tbl>
      <w:tblPr>
        <w:tblLayout w:type="fixed"/>
        <w:tblInd w:w="2040" w:type="dxa"/>
        <w:tblCellMar>
          <w:top w:w="0" w:type="dxa"/>
          <w:left w:w="0" w:type="dxa"/>
          <w:bottom w:w="0" w:type="dxa"/>
          <w:right w:w="0" w:type="dxa"/>
        </w:tblCellMar>
      </w:tblPr>
      <w:tr>
        <w:trPr>
          <w:trHeight w:val="194"/>
        </w:trPr>
        <w:tc>
          <w:tcPr>
            <w:tcW w:w="3920" w:type="dxa"/>
            <w:vAlign w:val="bottom"/>
          </w:tcPr>
          <w:p>
            <w:pPr>
              <w:jc w:val="center"/>
              <w:ind w:right="1945"/>
              <w:spacing w:after="0"/>
              <w:rPr>
                <w:sz w:val="20"/>
                <w:szCs w:val="20"/>
                <w:color w:val="auto"/>
              </w:rPr>
            </w:pPr>
            <w:r>
              <w:rPr>
                <w:rFonts w:ascii="Arial" w:cs="Arial" w:eastAsia="Arial" w:hAnsi="Arial"/>
                <w:sz w:val="16"/>
                <w:szCs w:val="16"/>
                <w:b w:val="1"/>
                <w:bCs w:val="1"/>
                <w:color w:val="auto"/>
                <w:w w:val="93"/>
              </w:rPr>
              <w:t>Delaware</w:t>
            </w:r>
          </w:p>
        </w:tc>
        <w:tc>
          <w:tcPr>
            <w:tcW w:w="3160" w:type="dxa"/>
            <w:vAlign w:val="bottom"/>
          </w:tcPr>
          <w:p>
            <w:pPr>
              <w:jc w:val="center"/>
              <w:ind w:left="1945"/>
              <w:spacing w:after="0"/>
              <w:rPr>
                <w:sz w:val="20"/>
                <w:szCs w:val="20"/>
                <w:color w:val="auto"/>
              </w:rPr>
            </w:pPr>
            <w:r>
              <w:rPr>
                <w:rFonts w:ascii="Arial" w:cs="Arial" w:eastAsia="Arial" w:hAnsi="Arial"/>
                <w:sz w:val="16"/>
                <w:szCs w:val="16"/>
                <w:b w:val="1"/>
                <w:bCs w:val="1"/>
                <w:color w:val="auto"/>
                <w:w w:val="91"/>
              </w:rPr>
              <w:t>46-5670947</w:t>
            </w:r>
          </w:p>
        </w:tc>
      </w:tr>
      <w:tr>
        <w:trPr>
          <w:trHeight w:val="149"/>
        </w:trPr>
        <w:tc>
          <w:tcPr>
            <w:tcW w:w="3920" w:type="dxa"/>
            <w:vAlign w:val="bottom"/>
          </w:tcPr>
          <w:p>
            <w:pPr>
              <w:jc w:val="center"/>
              <w:ind w:right="200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2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5"/>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45"/>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2"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9200 Oakdale Avenue, Suite 900</w:t>
      </w:r>
    </w:p>
    <w:p>
      <w:pPr>
        <w:jc w:val="center"/>
        <w:ind w:right="-199"/>
        <w:spacing w:after="0" w:line="233" w:lineRule="auto"/>
        <w:rPr>
          <w:sz w:val="20"/>
          <w:szCs w:val="20"/>
          <w:color w:val="auto"/>
        </w:rPr>
      </w:pPr>
      <w:r>
        <w:rPr>
          <w:rFonts w:ascii="Arial" w:cs="Arial" w:eastAsia="Arial" w:hAnsi="Arial"/>
          <w:sz w:val="15"/>
          <w:szCs w:val="15"/>
          <w:b w:val="1"/>
          <w:bCs w:val="1"/>
          <w:color w:val="auto"/>
        </w:rPr>
        <w:t>Los Angeles, California 91311</w:t>
      </w:r>
    </w:p>
    <w:p>
      <w:pPr>
        <w:jc w:val="center"/>
        <w:ind w:right="-199"/>
        <w:spacing w:after="0" w:line="218" w:lineRule="auto"/>
        <w:rPr>
          <w:sz w:val="20"/>
          <w:szCs w:val="20"/>
          <w:color w:val="auto"/>
        </w:rPr>
      </w:pPr>
      <w:r>
        <w:rPr>
          <w:rFonts w:ascii="Arial" w:cs="Arial" w:eastAsia="Arial" w:hAnsi="Arial"/>
          <w:sz w:val="15"/>
          <w:szCs w:val="15"/>
          <w:b w:val="1"/>
          <w:bCs w:val="1"/>
          <w:color w:val="auto"/>
        </w:rPr>
        <w:t>(888) 848-4754</w:t>
      </w: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Michael L. Preston</w:t>
      </w:r>
    </w:p>
    <w:p>
      <w:pPr>
        <w:jc w:val="center"/>
        <w:ind w:right="-199"/>
        <w:spacing w:after="0" w:line="233" w:lineRule="auto"/>
        <w:rPr>
          <w:sz w:val="20"/>
          <w:szCs w:val="20"/>
          <w:color w:val="auto"/>
        </w:rPr>
      </w:pPr>
      <w:r>
        <w:rPr>
          <w:rFonts w:ascii="Arial" w:cs="Arial" w:eastAsia="Arial" w:hAnsi="Arial"/>
          <w:sz w:val="15"/>
          <w:szCs w:val="15"/>
          <w:b w:val="1"/>
          <w:bCs w:val="1"/>
          <w:color w:val="auto"/>
        </w:rPr>
        <w:t>Executive Vice President, General Counsel and Corporate Secretary</w:t>
      </w:r>
    </w:p>
    <w:p>
      <w:pPr>
        <w:jc w:val="center"/>
        <w:ind w:right="-199"/>
        <w:spacing w:after="0" w:line="225" w:lineRule="auto"/>
        <w:rPr>
          <w:sz w:val="20"/>
          <w:szCs w:val="20"/>
          <w:color w:val="auto"/>
        </w:rPr>
      </w:pPr>
      <w:r>
        <w:rPr>
          <w:rFonts w:ascii="Arial" w:cs="Arial" w:eastAsia="Arial" w:hAnsi="Arial"/>
          <w:sz w:val="15"/>
          <w:szCs w:val="15"/>
          <w:b w:val="1"/>
          <w:bCs w:val="1"/>
          <w:color w:val="auto"/>
        </w:rPr>
        <w:t>9200 Oakdale Avenue, Suite 900</w:t>
      </w:r>
    </w:p>
    <w:p>
      <w:pPr>
        <w:jc w:val="center"/>
        <w:ind w:right="-199"/>
        <w:spacing w:after="0" w:line="226" w:lineRule="auto"/>
        <w:rPr>
          <w:sz w:val="20"/>
          <w:szCs w:val="20"/>
          <w:color w:val="auto"/>
        </w:rPr>
      </w:pPr>
      <w:r>
        <w:rPr>
          <w:rFonts w:ascii="Arial" w:cs="Arial" w:eastAsia="Arial" w:hAnsi="Arial"/>
          <w:sz w:val="15"/>
          <w:szCs w:val="15"/>
          <w:b w:val="1"/>
          <w:bCs w:val="1"/>
          <w:color w:val="auto"/>
        </w:rPr>
        <w:t>Los Angeles, California 91311</w:t>
      </w:r>
    </w:p>
    <w:p>
      <w:pPr>
        <w:jc w:val="center"/>
        <w:ind w:right="-199"/>
        <w:spacing w:after="0" w:line="218" w:lineRule="auto"/>
        <w:rPr>
          <w:sz w:val="20"/>
          <w:szCs w:val="20"/>
          <w:color w:val="auto"/>
        </w:rPr>
      </w:pPr>
      <w:r>
        <w:rPr>
          <w:rFonts w:ascii="Arial" w:cs="Arial" w:eastAsia="Arial" w:hAnsi="Arial"/>
          <w:sz w:val="15"/>
          <w:szCs w:val="15"/>
          <w:b w:val="1"/>
          <w:bCs w:val="1"/>
          <w:color w:val="auto"/>
        </w:rPr>
        <w:t>(888) 848-4754</w:t>
      </w:r>
    </w:p>
    <w:p>
      <w:pPr>
        <w:jc w:val="center"/>
        <w:ind w:right="-1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i w:val="1"/>
          <w:iCs w:val="1"/>
          <w:color w:val="auto"/>
        </w:rPr>
        <w:t>Copies to:</w:t>
      </w:r>
    </w:p>
    <w:p>
      <w:pPr>
        <w:spacing w:after="0" w:line="40"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Sarah K. Morgan</w:t>
      </w:r>
    </w:p>
    <w:p>
      <w:pPr>
        <w:jc w:val="center"/>
        <w:ind w:right="-199"/>
        <w:spacing w:after="0" w:line="233" w:lineRule="auto"/>
        <w:rPr>
          <w:sz w:val="20"/>
          <w:szCs w:val="20"/>
          <w:color w:val="auto"/>
        </w:rPr>
      </w:pPr>
      <w:r>
        <w:rPr>
          <w:rFonts w:ascii="Arial" w:cs="Arial" w:eastAsia="Arial" w:hAnsi="Arial"/>
          <w:sz w:val="15"/>
          <w:szCs w:val="15"/>
          <w:b w:val="1"/>
          <w:bCs w:val="1"/>
          <w:color w:val="auto"/>
        </w:rPr>
        <w:t>Vinson &amp; Elkins L.L.P.</w:t>
      </w:r>
    </w:p>
    <w:p>
      <w:pPr>
        <w:jc w:val="center"/>
        <w:ind w:right="-199"/>
        <w:spacing w:after="0" w:line="225" w:lineRule="auto"/>
        <w:rPr>
          <w:sz w:val="20"/>
          <w:szCs w:val="20"/>
          <w:color w:val="auto"/>
        </w:rPr>
      </w:pPr>
      <w:r>
        <w:rPr>
          <w:rFonts w:ascii="Arial" w:cs="Arial" w:eastAsia="Arial" w:hAnsi="Arial"/>
          <w:sz w:val="15"/>
          <w:szCs w:val="15"/>
          <w:b w:val="1"/>
          <w:bCs w:val="1"/>
          <w:color w:val="auto"/>
        </w:rPr>
        <w:t>1001 Fannin, Suite 2500</w:t>
      </w:r>
    </w:p>
    <w:p>
      <w:pPr>
        <w:jc w:val="center"/>
        <w:ind w:right="-199"/>
        <w:spacing w:after="0" w:line="226" w:lineRule="auto"/>
        <w:rPr>
          <w:sz w:val="20"/>
          <w:szCs w:val="20"/>
          <w:color w:val="auto"/>
        </w:rPr>
      </w:pPr>
      <w:r>
        <w:rPr>
          <w:rFonts w:ascii="Arial" w:cs="Arial" w:eastAsia="Arial" w:hAnsi="Arial"/>
          <w:sz w:val="15"/>
          <w:szCs w:val="15"/>
          <w:b w:val="1"/>
          <w:bCs w:val="1"/>
          <w:color w:val="auto"/>
        </w:rPr>
        <w:t>Houston, Texas 77002-6760</w:t>
      </w:r>
    </w:p>
    <w:p>
      <w:pPr>
        <w:jc w:val="center"/>
        <w:ind w:right="-199"/>
        <w:spacing w:after="0"/>
        <w:rPr>
          <w:sz w:val="20"/>
          <w:szCs w:val="20"/>
          <w:color w:val="auto"/>
        </w:rPr>
      </w:pPr>
      <w:r>
        <w:rPr>
          <w:rFonts w:ascii="Arial" w:cs="Arial" w:eastAsia="Arial" w:hAnsi="Arial"/>
          <w:sz w:val="15"/>
          <w:szCs w:val="15"/>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105410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7" w:lineRule="exact"/>
        <w:rPr>
          <w:sz w:val="24"/>
          <w:szCs w:val="24"/>
          <w:color w:val="auto"/>
        </w:rPr>
      </w:pPr>
    </w:p>
    <w:p>
      <w:pPr>
        <w:ind w:left="540"/>
        <w:spacing w:after="0"/>
        <w:rPr>
          <w:sz w:val="20"/>
          <w:szCs w:val="20"/>
          <w:color w:val="auto"/>
        </w:rPr>
      </w:pPr>
      <w:r>
        <w:rPr>
          <w:rFonts w:ascii="Arial" w:cs="Arial" w:eastAsia="Arial" w:hAnsi="Arial"/>
          <w:sz w:val="15"/>
          <w:szCs w:val="15"/>
          <w:b w:val="1"/>
          <w:bCs w:val="1"/>
          <w:color w:val="auto"/>
        </w:rPr>
        <w:t>Approximate date of commencement of proposed sale to the public</w:t>
      </w:r>
      <w:r>
        <w:rPr>
          <w:rFonts w:ascii="Arial" w:cs="Arial" w:eastAsia="Arial" w:hAnsi="Arial"/>
          <w:sz w:val="15"/>
          <w:szCs w:val="15"/>
          <w:color w:val="auto"/>
        </w:rPr>
        <w:t>: From time to time after the effective date of this Registration Statement.</w:t>
      </w:r>
    </w:p>
    <w:p>
      <w:pPr>
        <w:spacing w:after="0" w:line="31" w:lineRule="exact"/>
        <w:rPr>
          <w:sz w:val="24"/>
          <w:szCs w:val="24"/>
          <w:color w:val="auto"/>
        </w:rPr>
      </w:pPr>
    </w:p>
    <w:p>
      <w:pPr>
        <w:ind w:left="54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87" w:lineRule="exact"/>
        <w:rPr>
          <w:sz w:val="24"/>
          <w:szCs w:val="24"/>
          <w:color w:val="auto"/>
        </w:rPr>
      </w:pPr>
    </w:p>
    <w:p>
      <w:pPr>
        <w:ind w:left="200" w:right="400" w:firstLine="331"/>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20" w:lineRule="exact"/>
        <w:rPr>
          <w:sz w:val="24"/>
          <w:szCs w:val="24"/>
          <w:color w:val="auto"/>
        </w:rPr>
      </w:pPr>
    </w:p>
    <w:p>
      <w:pPr>
        <w:ind w:left="200" w:right="60" w:firstLine="331"/>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ind w:left="200" w:right="260" w:firstLine="331"/>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ind w:left="200" w:right="40" w:firstLine="331"/>
        <w:spacing w:after="0" w:line="193"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20" w:lineRule="exact"/>
        <w:rPr>
          <w:sz w:val="24"/>
          <w:szCs w:val="24"/>
          <w:color w:val="auto"/>
        </w:rPr>
      </w:pPr>
    </w:p>
    <w:p>
      <w:pPr>
        <w:ind w:left="200" w:right="260" w:firstLine="331"/>
        <w:spacing w:after="0" w:line="193"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20" w:lineRule="exact"/>
        <w:rPr>
          <w:sz w:val="24"/>
          <w:szCs w:val="24"/>
          <w:color w:val="auto"/>
        </w:rPr>
      </w:pPr>
    </w:p>
    <w:p>
      <w:pPr>
        <w:ind w:left="200" w:right="280" w:firstLine="331"/>
        <w:spacing w:after="0" w:line="30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240" w:top="230" w:right="419" w:bottom="1440" w:gutter="0" w:footer="0" w:header="0"/>
        </w:sectPr>
      </w:pP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92"/>
        </w:trPr>
        <w:tc>
          <w:tcPr>
            <w:tcW w:w="15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5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3780" w:type="dxa"/>
            <w:vAlign w:val="bottom"/>
          </w:tcPr>
          <w:p>
            <w:pPr>
              <w:ind w:left="2100"/>
              <w:spacing w:after="0"/>
              <w:rPr>
                <w:sz w:val="20"/>
                <w:szCs w:val="20"/>
                <w:color w:val="auto"/>
              </w:rPr>
            </w:pPr>
            <w:r>
              <w:rPr>
                <w:rFonts w:ascii="Arial" w:cs="Arial" w:eastAsia="Arial" w:hAnsi="Arial"/>
                <w:sz w:val="15"/>
                <w:szCs w:val="15"/>
                <w:color w:val="auto"/>
              </w:rPr>
              <w:t>Accelerated filer</w:t>
            </w:r>
          </w:p>
        </w:tc>
      </w:tr>
      <w:tr>
        <w:trPr>
          <w:trHeight w:val="230"/>
        </w:trPr>
        <w:tc>
          <w:tcPr>
            <w:tcW w:w="1520" w:type="dxa"/>
            <w:vAlign w:val="bottom"/>
          </w:tcPr>
          <w:p>
            <w:pPr>
              <w:spacing w:after="0"/>
              <w:rPr>
                <w:sz w:val="20"/>
                <w:szCs w:val="20"/>
                <w:color w:val="auto"/>
              </w:rPr>
            </w:pPr>
            <w:r>
              <w:rPr>
                <w:rFonts w:ascii="Arial" w:cs="Arial" w:eastAsia="Arial" w:hAnsi="Arial"/>
                <w:sz w:val="15"/>
                <w:szCs w:val="15"/>
                <w:color w:val="auto"/>
              </w:rPr>
              <w:t>Non-accelerated filer</w:t>
            </w:r>
          </w:p>
        </w:tc>
        <w:tc>
          <w:tcPr>
            <w:tcW w:w="5300" w:type="dxa"/>
            <w:vAlign w:val="bottom"/>
          </w:tcPr>
          <w:p>
            <w:pPr>
              <w:ind w:left="1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3780" w:type="dxa"/>
            <w:vAlign w:val="bottom"/>
          </w:tcPr>
          <w:p>
            <w:pPr>
              <w:ind w:left="2100"/>
              <w:spacing w:after="0"/>
              <w:rPr>
                <w:sz w:val="20"/>
                <w:szCs w:val="20"/>
                <w:color w:val="auto"/>
              </w:rPr>
            </w:pPr>
            <w:r>
              <w:rPr>
                <w:rFonts w:ascii="Arial" w:cs="Arial" w:eastAsia="Arial" w:hAnsi="Arial"/>
                <w:sz w:val="15"/>
                <w:szCs w:val="15"/>
                <w:color w:val="auto"/>
                <w:w w:val="92"/>
              </w:rPr>
              <w:t>Smaller reporting company</w:t>
            </w:r>
          </w:p>
        </w:tc>
      </w:tr>
      <w:tr>
        <w:trPr>
          <w:trHeight w:val="194"/>
        </w:trPr>
        <w:tc>
          <w:tcPr>
            <w:tcW w:w="15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780" w:type="dxa"/>
            <w:vAlign w:val="bottom"/>
          </w:tcPr>
          <w:p>
            <w:pPr>
              <w:ind w:left="2100"/>
              <w:spacing w:after="0"/>
              <w:rPr>
                <w:sz w:val="20"/>
                <w:szCs w:val="20"/>
                <w:color w:val="auto"/>
              </w:rPr>
            </w:pPr>
            <w:r>
              <w:rPr>
                <w:rFonts w:ascii="Arial" w:cs="Arial" w:eastAsia="Arial" w:hAnsi="Arial"/>
                <w:sz w:val="15"/>
                <w:szCs w:val="15"/>
                <w:color w:val="auto"/>
                <w:w w:val="93"/>
              </w:rPr>
              <w:t>Emerging growth company</w:t>
            </w:r>
          </w:p>
        </w:tc>
      </w:tr>
    </w:tbl>
    <w:p>
      <w:pPr>
        <w:spacing w:after="0" w:line="25" w:lineRule="exact"/>
        <w:rPr>
          <w:sz w:val="24"/>
          <w:szCs w:val="24"/>
          <w:color w:val="auto"/>
        </w:rPr>
      </w:pPr>
    </w:p>
    <w:p>
      <w:pPr>
        <w:ind w:left="20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113030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8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12" w:lineRule="exact"/>
        <w:rPr>
          <w:sz w:val="24"/>
          <w:szCs w:val="24"/>
          <w:color w:val="auto"/>
        </w:rPr>
      </w:pPr>
    </w:p>
    <w:p>
      <w:pPr>
        <w:sectPr>
          <w:pgSz w:w="11900" w:h="16838" w:orient="portrait"/>
          <w:cols w:equalWidth="0" w:num="2">
            <w:col w:w="10860" w:space="220"/>
            <w:col w:w="160"/>
          </w:cols>
          <w:pgMar w:left="240" w:top="230" w:right="419" w:bottom="1440" w:gutter="0" w:footer="0" w:header="0"/>
          <w:type w:val="continuous"/>
        </w:sectPr>
      </w:pP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CALCULATION OF REGISTRATION FEE</w:t>
      </w:r>
    </w:p>
    <w:p>
      <w:pPr>
        <w:spacing w:after="0" w:line="10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7"/>
        </w:trPr>
        <w:tc>
          <w:tcPr>
            <w:tcW w:w="20" w:type="dxa"/>
            <w:vAlign w:val="bottom"/>
          </w:tcPr>
          <w:p>
            <w:pPr>
              <w:spacing w:after="0"/>
              <w:rPr>
                <w:sz w:val="8"/>
                <w:szCs w:val="8"/>
                <w:color w:val="auto"/>
              </w:rPr>
            </w:pPr>
          </w:p>
        </w:tc>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5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52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53"/>
        </w:trPr>
        <w:tc>
          <w:tcPr>
            <w:tcW w:w="20" w:type="dxa"/>
            <w:vAlign w:val="bottom"/>
          </w:tcPr>
          <w:p>
            <w:pPr>
              <w:spacing w:after="0"/>
              <w:rPr>
                <w:sz w:val="13"/>
                <w:szCs w:val="13"/>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Share(2)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Registration Fee</w:t>
            </w:r>
          </w:p>
        </w:tc>
      </w:tr>
      <w:tr>
        <w:trPr>
          <w:trHeight w:val="156"/>
        </w:trPr>
        <w:tc>
          <w:tcPr>
            <w:tcW w:w="20" w:type="dxa"/>
            <w:vAlign w:val="bottom"/>
            <w:tcBorders>
              <w:bottom w:val="single" w:sz="8" w:color="auto"/>
            </w:tcBorders>
          </w:tcPr>
          <w:p>
            <w:pPr>
              <w:spacing w:after="0"/>
              <w:rPr>
                <w:sz w:val="13"/>
                <w:szCs w:val="13"/>
                <w:color w:val="auto"/>
              </w:rPr>
            </w:pPr>
          </w:p>
        </w:tc>
        <w:tc>
          <w:tcPr>
            <w:tcW w:w="488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Common Stock, par value $0.01 per share</w:t>
            </w:r>
          </w:p>
        </w:tc>
        <w:tc>
          <w:tcPr>
            <w:tcW w:w="1540" w:type="dxa"/>
            <w:vAlign w:val="bottom"/>
            <w:tcBorders>
              <w:bottom w:val="single" w:sz="8" w:color="auto"/>
              <w:right w:val="single" w:sz="8" w:color="auto"/>
            </w:tcBorders>
          </w:tcPr>
          <w:p>
            <w:pPr>
              <w:jc w:val="right"/>
              <w:ind w:right="374"/>
              <w:spacing w:after="0" w:line="156" w:lineRule="exact"/>
              <w:rPr>
                <w:sz w:val="20"/>
                <w:szCs w:val="20"/>
                <w:color w:val="auto"/>
              </w:rPr>
            </w:pPr>
            <w:r>
              <w:rPr>
                <w:rFonts w:ascii="Arial" w:cs="Arial" w:eastAsia="Arial" w:hAnsi="Arial"/>
                <w:sz w:val="15"/>
                <w:szCs w:val="15"/>
                <w:color w:val="auto"/>
              </w:rPr>
              <w:t>2,850,000</w:t>
            </w:r>
          </w:p>
        </w:tc>
        <w:tc>
          <w:tcPr>
            <w:tcW w:w="1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1"/>
              </w:rPr>
              <w:t>$30.51</w:t>
            </w:r>
          </w:p>
        </w:tc>
        <w:tc>
          <w:tcPr>
            <w:tcW w:w="1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3"/>
              </w:rPr>
              <w:t>$86,953,500</w:t>
            </w:r>
          </w:p>
        </w:tc>
        <w:tc>
          <w:tcPr>
            <w:tcW w:w="15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w w:val="93"/>
              </w:rPr>
              <w:t>$10,825.71</w:t>
            </w: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20" w:right="20" w:hanging="316"/>
        <w:spacing w:after="0" w:line="231" w:lineRule="auto"/>
        <w:tabs>
          <w:tab w:leader="none" w:pos="520"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Rule 416(a) of the Securities Act of 1933, as amended (the “Securities Act”), the number of shares of common stock being registered on behalf of the selling stockholder shall be adjusted automatically to include any additional shares of common stock that may become issuable as a result of any stock dividend, split, combination or similar transaction.</w:t>
      </w:r>
    </w:p>
    <w:p>
      <w:pPr>
        <w:ind w:left="520" w:right="280" w:hanging="316"/>
        <w:spacing w:after="0" w:line="239" w:lineRule="auto"/>
        <w:tabs>
          <w:tab w:leader="none" w:pos="52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 457(c) under the Securities Act, based on the average of the high and low prices of our common stock as reported on the New York Stock Exchange on May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48260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172085</wp:posOffset>
            </wp:positionV>
            <wp:extent cx="228092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09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California Resources Corporation</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2,850,000 Shares</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This prospectus relates to the offer and sale from time to time by the selling stockholder named in this prospectus of up to an aggregate of 2,850,000 shares of our common stock. The selling stockholder may sell none, some or all of the shares owned by the selling stockholder and offered by this prospectus. Sales may be at fixed prices, which may be changed, at prices related to the prevailing market prices at the time of sale or at negotiated prices. Such sales may occur in transactions on the New York Stock Exchange (the “NYSE”), in the over-the-counter market or through negotiated transactions or in a combination of these methods. We will not receive any of the proceeds from the sale of the shares covered by this prospectus.</w:t>
      </w:r>
    </w:p>
    <w:p>
      <w:pPr>
        <w:spacing w:after="0" w:line="15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are registering the shares of common stock covered by this prospectus for sale by the selling stockholder named in this prospectus pursuant to the Registration Rights Agreement, dated as of April 9, 2018, by and between California Resources Corporation and Chevron U.S.A. Inc. (the “Registration Rights Agreement”) in connection with our acquisition from Chevron of certain working, surface and mineral interests in the Elk Hills field in the San Joaquin Basin of California.</w:t>
      </w:r>
    </w:p>
    <w:p>
      <w:pPr>
        <w:spacing w:after="0" w:line="18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Pursuant to the Registration Rights Agreement, Chevron may only sell: (1) up to 1,000,000 shares of common stock in the first 30 days following effectiveness of the registration statement of which this prospectus forms a part, (2) up to 1,000,000 additional shares of common stock (plus the balance of any unsold shares in the first 30-day period) in the 30 days thereafter, and (3) any remaining shares of common stock thereafter.</w:t>
      </w:r>
    </w:p>
    <w:p>
      <w:pPr>
        <w:spacing w:after="0" w:line="14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common stock is listed on the NYSE under the symbol “CRC.” On May 9, 2018, the last reported sale price of our shares on the NYSE was $31.41 per share.</w:t>
      </w:r>
    </w:p>
    <w:p>
      <w:pPr>
        <w:spacing w:after="0" w:line="157" w:lineRule="exact"/>
        <w:rPr>
          <w:sz w:val="20"/>
          <w:szCs w:val="20"/>
          <w:color w:val="auto"/>
        </w:rPr>
      </w:pPr>
    </w:p>
    <w:p>
      <w:pPr>
        <w:ind w:left="200" w:right="640" w:firstLine="441"/>
        <w:spacing w:after="0" w:line="239" w:lineRule="auto"/>
        <w:rPr>
          <w:rFonts w:ascii="Arial" w:cs="Arial" w:eastAsia="Arial" w:hAnsi="Arial"/>
          <w:sz w:val="22"/>
          <w:szCs w:val="22"/>
          <w:b w:val="1"/>
          <w:bCs w:val="1"/>
          <w:color w:val="0000EE"/>
        </w:rPr>
      </w:pPr>
      <w:hyperlink w:anchor="page8">
        <w:r>
          <w:rPr>
            <w:rFonts w:ascii="Arial" w:cs="Arial" w:eastAsia="Arial" w:hAnsi="Arial"/>
            <w:sz w:val="22"/>
            <w:szCs w:val="22"/>
            <w:b w:val="1"/>
            <w:bCs w:val="1"/>
            <w:color w:val="auto"/>
          </w:rPr>
          <w:t>Investing in our common stock involves risk. Please read carefully the information under the heading “</w:t>
        </w:r>
        <w:r>
          <w:rPr>
            <w:rFonts w:ascii="Arial" w:cs="Arial" w:eastAsia="Arial" w:hAnsi="Arial"/>
            <w:sz w:val="22"/>
            <w:szCs w:val="22"/>
            <w:b w:val="1"/>
            <w:bCs w:val="1"/>
            <w:u w:val="single" w:color="auto"/>
            <w:color w:val="0000EE"/>
          </w:rPr>
          <w:t>Risk</w:t>
        </w:r>
      </w:hyperlink>
      <w:r>
        <w:rPr>
          <w:rFonts w:ascii="Arial" w:cs="Arial" w:eastAsia="Arial" w:hAnsi="Arial"/>
          <w:sz w:val="22"/>
          <w:szCs w:val="22"/>
          <w:b w:val="1"/>
          <w:bCs w:val="1"/>
          <w:color w:val="auto"/>
        </w:rPr>
        <w:t xml:space="preserve"> </w:t>
      </w:r>
      <w:hyperlink w:anchor="page8">
        <w:r>
          <w:rPr>
            <w:rFonts w:ascii="Arial" w:cs="Arial" w:eastAsia="Arial" w:hAnsi="Arial"/>
            <w:sz w:val="22"/>
            <w:szCs w:val="22"/>
            <w:b w:val="1"/>
            <w:bCs w:val="1"/>
            <w:u w:val="single" w:color="auto"/>
            <w:color w:val="0000EE"/>
          </w:rPr>
          <w:t>Factors</w:t>
        </w:r>
        <w:r>
          <w:rPr>
            <w:rFonts w:ascii="Arial" w:cs="Arial" w:eastAsia="Arial" w:hAnsi="Arial"/>
            <w:sz w:val="22"/>
            <w:szCs w:val="22"/>
            <w:b w:val="1"/>
            <w:bCs w:val="1"/>
            <w:color w:val="000000"/>
          </w:rPr>
          <w:t>” beginning on page 2 of this prospectus and any applicable prospectus supplement and in the documents</w:t>
        </w:r>
      </w:hyperlink>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incorporated by reference in this prospectus and in any applicable prospectus supplement before you make an investment decision.</w:t>
      </w:r>
    </w:p>
    <w:p>
      <w:pPr>
        <w:spacing w:after="0" w:line="190" w:lineRule="exact"/>
        <w:rPr>
          <w:sz w:val="20"/>
          <w:szCs w:val="20"/>
          <w:color w:val="auto"/>
        </w:rPr>
      </w:pPr>
    </w:p>
    <w:p>
      <w:pPr>
        <w:ind w:left="200" w:right="12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This prospectus is dated May 11, 2018.</w:t>
      </w:r>
    </w:p>
    <w:p>
      <w:pPr>
        <w:sectPr>
          <w:pgSz w:w="11900" w:h="16838" w:orient="portrait"/>
          <w:cols w:equalWidth="0" w:num="1">
            <w:col w:w="11200"/>
          </w:cols>
          <w:pgMar w:left="240" w:top="459"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40" w:type="dxa"/>
            <w:vAlign w:val="bottom"/>
            <w:gridSpan w:val="1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w:t>
              </w:r>
            </w:hyperlink>
          </w:p>
        </w:tc>
        <w:tc>
          <w:tcPr>
            <w:tcW w:w="640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WHERE YOU CAN FIND MORE INFORMATION</w:t>
              </w:r>
            </w:hyperlink>
          </w:p>
        </w:tc>
        <w:tc>
          <w:tcPr>
            <w:tcW w:w="48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200" w:type="dxa"/>
            <w:vAlign w:val="bottom"/>
          </w:tcPr>
          <w:p>
            <w:pPr>
              <w:spacing w:after="0"/>
              <w:rPr>
                <w:sz w:val="17"/>
                <w:szCs w:val="17"/>
                <w:color w:val="auto"/>
              </w:rPr>
            </w:pPr>
          </w:p>
        </w:tc>
        <w:tc>
          <w:tcPr>
            <w:tcW w:w="864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CAUTIONARY STATEMENT REGARDING FORWARD-LOOKING STATEMENTS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200" w:type="dxa"/>
            <w:vAlign w:val="bottom"/>
          </w:tcPr>
          <w:p>
            <w:pPr>
              <w:spacing w:after="0"/>
              <w:rPr>
                <w:sz w:val="17"/>
                <w:szCs w:val="17"/>
                <w:color w:val="auto"/>
              </w:rPr>
            </w:pPr>
          </w:p>
        </w:tc>
        <w:tc>
          <w:tcPr>
            <w:tcW w:w="63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THE COMPANY</w:t>
              </w:r>
            </w:hyperlink>
          </w:p>
        </w:tc>
        <w:tc>
          <w:tcPr>
            <w:tcW w:w="23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736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864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DESCRIPTION OF CAPITAL STOCK</w:t>
              </w:r>
            </w:hyperlink>
          </w:p>
        </w:tc>
        <w:tc>
          <w:tcPr>
            <w:tcW w:w="57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212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SELLING STOCKHOLDER</w:t>
              </w:r>
            </w:hyperlink>
          </w:p>
        </w:tc>
        <w:tc>
          <w:tcPr>
            <w:tcW w:w="652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PLAN OF DISTRIBUTION</w:t>
              </w:r>
            </w:hyperlink>
          </w:p>
        </w:tc>
        <w:tc>
          <w:tcPr>
            <w:tcW w:w="65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LEGAL MATTERS</w:t>
              </w:r>
            </w:hyperlink>
          </w:p>
        </w:tc>
        <w:tc>
          <w:tcPr>
            <w:tcW w:w="71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EXPERTS</w:t>
              </w:r>
            </w:hyperlink>
          </w:p>
        </w:tc>
        <w:tc>
          <w:tcPr>
            <w:tcW w:w="786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40" w:firstLine="441"/>
        <w:spacing w:after="0" w:line="271"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and any prospectus supplement. We have not, and the selling stockholder has not, authorized any dealer, salesman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this shelf registration process, the selling stockholder may offer and sell, from time to time, up to 2,850,000 shares of our common stock under this shelf registration statement. This prospectus provides you with a general description of the securities the selling stockholder may offer. We may provide you with a prospectus supplement containing specific information about the terms of a particular offering by the selling stockholder. The prospectus supplement may also add, update or change information contained in this prospectus. Any statement that we make in this prospectus will be modified or superseded by any inconsistent statement made by us in a prospectus supplement.</w:t>
      </w:r>
    </w:p>
    <w:p>
      <w:pPr>
        <w:spacing w:after="0" w:line="165"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common stock.</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Unless the context requires otherwise or unless otherwise noted, all references in this prospectus or any accompanying prospectus supplement to “CRC,” the “Company,” “we,” “us” or “our” are to California Resources Corporation and its subsidiaries.</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file annual, quarterly and current reports and other information with the SEC (File No. 001-36478) pursuant to the Securities Exchange Act of 1934 (the “Exchange Act”). You may read and copy any documents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that are filed at the SEC’s public reference room at 100 F Street, N.E., Washington, D.C. 20549. You may also obtain copies of these documents at prescribed rates from the public reference section of the SEC at its Washington address. Please call the SEC at 1-800-SEC-0330 for further information.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Our filings are also available to the public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documents previously filed with the SEC. The information incorporated by reference is an important part of this prospectus, and the information that we later file with the SEC will automatically update and supersede this information. The following documents that we filed with the SEC pursuant to the Exchange Act are incorporated herein by reference:</w:t>
      </w:r>
    </w:p>
    <w:p>
      <w:pPr>
        <w:spacing w:after="0" w:line="92" w:lineRule="exact"/>
        <w:rPr>
          <w:sz w:val="20"/>
          <w:szCs w:val="20"/>
          <w:color w:val="auto"/>
        </w:rPr>
      </w:pPr>
    </w:p>
    <w:p>
      <w:pPr>
        <w:ind w:left="1060" w:right="80" w:hanging="316"/>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Annual Report on Form 10-K for the year ended December 31, 2017, including information specifically incorporated by reference into such Annual Report on Form 10-K from our Proxy Statement for our 2018 Annual Meeting of Stockholders filed on March 27, 2018;</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2018 filed on May 9, 2018;</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on January 19, 2018, February 7, 2018 and April 9, 2018 and Form 8-K/A filed on April 11, 2018; and</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capital stock contained in our information statement on Form 10 filed on October 8, 2014, including any amendment to that form that we may file in the future for the purpose of updating the description of our capital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reports contain important information about us, our financial condition and our results of operations.</w:t>
      </w:r>
    </w:p>
    <w:p>
      <w:pPr>
        <w:spacing w:after="0" w:line="225"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Any future filings with make with the SEC pursuant to Sections 13(a), 13(c), 14 or 15(d) of the Exchange Act (excluding any information furnished pursuant to Item 2.02 or Item 7.01 on any Current Report on Form 8-K) until the termination of each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modifies or supersedes such statement.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and telephone number:</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9200 Oakdale Avenue, Suite 900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Los Angeles, California, 91311</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Phone: (888) 848-4754</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www.crc.com</w:t>
      </w:r>
      <w:r>
        <w:rPr>
          <w:rFonts w:ascii="Arial" w:cs="Arial" w:eastAsia="Arial" w:hAnsi="Arial"/>
          <w:sz w:val="18"/>
          <w:szCs w:val="18"/>
          <w:color w:val="auto"/>
        </w:rPr>
        <w:t>. The information on our website, however, is not part of this prospectus.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24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information in this prospectus, including the documents incorporated by reference herein,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words such as “aim,” “anticipate,” “believe,” “budget,” “continue,” “could,” “effort,” “estimate,” “expect,” “forecast,” “goal,” “guidance,” “intend,” “likely,” “may,” “might,” “objective,” “outlook,” “plan,” “potential,” “predict,” “project,” “seek,” “should,” “target,” “will” or “would” and other similar words. Such statements specifically include expectations as to our future financial position, liquidity, cash flows and results of operations, business prospects, transactions and projects, operating costs, Value Creation Index metrics (which are based on certain estimates including future rates, costs and commodity prices), operations and operational results including production, hedging and capital investment, budgets and maintenance capital requirements and reserves. 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When considering forward-looking statements, you should keep in mind the risk factors and other cautionary statements described under the heading “Risk Factors” included in this prospectus.</w:t>
      </w:r>
    </w:p>
    <w:p>
      <w:pPr>
        <w:spacing w:after="0" w:line="17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Factors (but not necessarily all of the factors) that could cause actual results to differ materially from those expressed in any forward-looking statement made by, or on behalf of, our company include:</w:t>
      </w:r>
    </w:p>
    <w:p>
      <w:pPr>
        <w:spacing w:after="0" w:line="76" w:lineRule="exact"/>
        <w:rPr>
          <w:sz w:val="20"/>
          <w:szCs w:val="20"/>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insufficient cash flow to fund planned investment;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desirable transactions including acquisitions, asset sales and joint ventures;</w:t>
      </w:r>
    </w:p>
    <w:p>
      <w:pPr>
        <w:spacing w:after="0" w:line="130"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geologic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replace reserves;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insufficient capital, including as a result of lender restrictions, unavailability of capital markets or inability to attract potential investors;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efficient hedges;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lower-than-expected production, reserves or resources from development projects or acquisitions or higher-than-expected decline rates; and</w:t>
      </w:r>
    </w:p>
    <w:p>
      <w:pPr>
        <w:spacing w:after="0" w:line="153" w:lineRule="exact"/>
        <w:rPr>
          <w:rFonts w:ascii="Arial" w:cs="Arial" w:eastAsia="Arial" w:hAnsi="Arial"/>
          <w:sz w:val="16"/>
          <w:szCs w:val="16"/>
          <w:color w:val="auto"/>
        </w:rPr>
      </w:pPr>
    </w:p>
    <w:p>
      <w:pPr>
        <w:ind w:left="1060" w:right="22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due to accidents, mechanical failures, transportation or storage constraints, natural disasters, labor difficulties, cyber attacks or other catastrophic events.</w:t>
      </w:r>
    </w:p>
    <w:p>
      <w:pPr>
        <w:spacing w:after="0" w:line="170"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Readers are cautioned not to place undue reliance on forward-looking statements, which speak only as of the date they are made. Unless legally required, we undertake no responsibility to publicly release the result of any revision of our forward-looking statements after the date they are made.</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w:t>
      </w:r>
    </w:p>
    <w:p>
      <w:pPr>
        <w:spacing w:after="0" w:line="1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60"/>
          </w:cols>
          <w:pgMar w:left="240" w:top="459" w:right="5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are an independent oil and natural gas exploration and production company operating properties within California. We are the largest oil and gas producer in California on a gross operated basis and we believe we have the largest privately held mineral acreage position in the state, consisting of approximately 2.3 million net mineral acres spanning the state’s four major oil and gas basins. We produced approximately 124 thousand barrels of oil equivalent per day (MBoe/d) for the three months ended March 31, 2018. As of December 31, 2017, we had net proved reserves of 618 million barrels of oil equivalent (MMBoe), of which approximately 71% was categorized as proved developed reserves. Oil represented 72% of our proved reserves. We were formed in April 2014 and listed on the New York Stock Exchange on December 1, 2014.</w:t>
      </w:r>
    </w:p>
    <w:p>
      <w:pPr>
        <w:spacing w:after="0" w:line="178"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 xml:space="preserve">Our principal executive offices are located at 9200 Oakdale Avenue, Suite 900, Los Angeles, California 91311. Our telephone number is (888) 848-4754. Our website is located at </w:t>
      </w:r>
      <w:r>
        <w:rPr>
          <w:rFonts w:ascii="Arial" w:cs="Arial" w:eastAsia="Arial" w:hAnsi="Arial"/>
          <w:sz w:val="17"/>
          <w:szCs w:val="17"/>
          <w:i w:val="1"/>
          <w:iCs w:val="1"/>
          <w:color w:val="auto"/>
        </w:rPr>
        <w:t>www.crc.com</w:t>
      </w:r>
      <w:r>
        <w:rPr>
          <w:rFonts w:ascii="Arial" w:cs="Arial" w:eastAsia="Arial" w:hAnsi="Arial"/>
          <w:sz w:val="17"/>
          <w:szCs w:val="17"/>
          <w:color w:val="auto"/>
        </w:rPr>
        <w:t>. No information is incorporated herein by reference from our website or any other website and no website constitutes a part of this prospectus. Our common stock is listed on the NYSE under the symbol “CRC.”</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An investment in our common stock involves a significant degree of risk. Before you invest in our common stock you should carefully consider the risk factors below, those risk factors included in our most recent Annual Report on Form 10-K, any subsequently filed Quarterly Reports on Form</w:t>
      </w:r>
    </w:p>
    <w:p>
      <w:pPr>
        <w:ind w:left="200"/>
        <w:spacing w:after="0" w:line="253" w:lineRule="auto"/>
        <w:rPr>
          <w:sz w:val="20"/>
          <w:szCs w:val="20"/>
          <w:color w:val="auto"/>
        </w:rPr>
      </w:pPr>
      <w:r>
        <w:rPr>
          <w:rFonts w:ascii="Arial" w:cs="Arial" w:eastAsia="Arial" w:hAnsi="Arial"/>
          <w:sz w:val="18"/>
          <w:szCs w:val="18"/>
          <w:color w:val="auto"/>
        </w:rPr>
        <w:t>10-Q and any subsequently filed Current Reports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common stock. If any of the risks discussed in the foregoing documents were to occur, our business, financial condition, results of operations and cash flows could be materially adversely affected. Please read “Cautionary Statement Regarding Forward-Looking Statements.”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 volatility may affect the price of our common stock and the value of your investment.</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market price of our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us, our business and our assets; our level of indebtedness and/or adverse market reaction to any indebtedness we incur in the future; our ability to raise capital on favorable terms or at all; loss of any major funding source; additions or departures of our key personnel; changes in market valuations of similar independent oil and natural gas exploration and production companies; and speculation in the press or investment community regarding us. Securities markets in general have experienced extreme volatility that has often been unrelated to the operating performance of particular companies. Any broad market fluctuations may adversely affect the trading price of our common stock.</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experience dilution of your ownership interest due to the future issuance of additional shares of our common stock.</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We are in a capital intensive business, and may not have sufficient funds to finance the growth of our business, future acquisitions or to support our projected capital expenditures. As a result, we may require additional funds from equity or debt financings, including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common stock offered hereby.</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Under our amended and restated certificate of incorporation, we are authorized to issue 220,000,000 shares of capital stock, of which 200,000,000 shares shall be common stock and 20,000,000 shares shall be preferred stock. The potential issuance of preferred stock, additional shares of common stock or convertible debt may create downward pressure on the trading price of our common stock. We may also issue additional shares of our common stock or other securities that are convertible into or exercisable for our common stock in future public offerings or private placements for capital raising purposes or for other business purposes, potentially at an offering price, conversion price or exercise price that is below the offering price for our common stock offered hereby.</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All of the shares offered pursuant to this prospectus are being offered by the selling stockholder. We will not receive any of the proceeds from any sale of such shares.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is a description of the material terms of our capital stock as provided in our amended and restated certificate of incorporation and amended and restated bylaws. The summaries and descriptions below do not purport to be complete statements of the relevant provisions of these documents. For a complete description, we refer you to, and the following summaries and descriptions are qualified in their entirety by reference to, our amended and restated certificate of incorporation and amended and restated bylaws, copies of which will be filed as exhibits to the registration statement of which this prospectus forms a part.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Our authorized capital stock consists of (i) 20,000,000 shares of preferred stock, par value $0.01 per share, of which no shares were issued and outstanding as of April 30, 2018 and (ii) 200,000,000 shares of common stock, par value $0.01 per share, of which 48,223,741 shares were issued and outstanding as of April 30,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Except as provided by law or in a preferred stock designation, holders of our common stock are entitled to one vote for each share held of record on all matters submitted to a vote of the stockholders, have the exclusive right to vote for the election of directors and do not have cumulative voting rights. Directors are elected to our board if the number of the validly cast “for” votes exceeds the number of validly cast “against” or “withheld” votes, collectively, with respect to such election except, that directors are elected by a plurality of the validly cast votes represented in person or by proxy with respect to their election if the number of nominees for director exceeds the number of directors to be elected as set forth in our bylaws. Except as otherwise required by law, holders of our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Delaware General Corporation Law (“DGCL”). Subject to prior rights and preferences that may be applicable to any outstanding shares or series of our preferred stock, holders of our common stock are entitled to receive ratably in proportion to the shares of our common stock held by them such dividends (payable in cash, stock or otherwise), if any, as may be declared from time to time by our board of directors out of funds legally available for dividend payments. All outstanding shares of our common stock are fully paid and non-assessable. The holders of our common stock have no preferences or rights of conversion, exchange, pre-emption or other subscription rights. There are no redemption or sinking fund provisions applicable to our common stock. In the event of any voluntary or involuntary liquidation, dissolution or winding-up of our affairs, holders of our common stock are entitled to share ratably in our assets in proportion to the shares of common stock held by then that are remaining after payment or provision for payment of all of our debts and obligations and after distribution in full of preferential amounts to be distributed to holders of outstanding shares of preferred stock, if any.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subject to any limitations prescribed by law, without further stockholder approval, to establish and to issue from time to time one or more series of preferred stock, par value $0.01 per share, covering up to an aggregate of 20,000,000 shares of preferred stock. Each series of our preferred stock will cover the number of shares and will have the powers, preferences, rights, qualifications, limitations and restrictions determined by board of directors, which may include, among others, dividend rights, liquidation preferences, voting rights, conversion or exchange rights, preemptive rights and redemption rights. Except as provided by law or in a preferred stock designation, the holders of our preferred stock will not be entitled to vote at or receive notice of any meeting of stockholders.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8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could make acquisition of control of our company by means of a tender offer, a proxy contest or otherwise or removal of our incumbent officers and directors more difficult. These provisions may also have the effect of preventing changes in our management.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unfriendly or unsolicited proposal to acquire control of our company outweigh the disadvantages of discouraging these proposals because, among other things, negotiation of these proposals could result in an improvement of their terms.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are subject to Section 203 of the DGCL, which generally prohibits a Delaware corporation, including those whose securities are listed for trading on the NYSE, from engaging in any business combination with any interested stockholder (which is defined generally as a person owning 15% or more of a Delaware corporation’s outstanding voting stock) or its affiliates or associates for a period of three years following the time that the stockholder became an interested stockholder, unless:</w:t>
      </w:r>
    </w:p>
    <w:p>
      <w:pPr>
        <w:spacing w:after="0" w:line="92"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time the interested stockholder attained that status;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elect in the future to not be subject to the provisions of Section 203 of the DGCL.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or transactions that our stockholders might otherwise deem to be in their best interests or in our best interests, including transactions that might result in a premium over the market price for our shares. Therefore, these provisions could adversely affect the price of our common stock.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31" w:lineRule="exact"/>
        <w:rPr>
          <w:sz w:val="20"/>
          <w:szCs w:val="20"/>
          <w:color w:val="auto"/>
        </w:rPr>
      </w:pPr>
    </w:p>
    <w:p>
      <w:pPr>
        <w:ind w:left="1060" w:hanging="316"/>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90 days nor earlier than</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257" w:lineRule="auto"/>
        <w:rPr>
          <w:sz w:val="20"/>
          <w:szCs w:val="20"/>
          <w:color w:val="auto"/>
        </w:rPr>
      </w:pPr>
      <w:r>
        <w:rPr>
          <w:rFonts w:ascii="Arial" w:cs="Arial" w:eastAsia="Arial" w:hAnsi="Arial"/>
          <w:sz w:val="18"/>
          <w:szCs w:val="18"/>
          <w:color w:val="auto"/>
        </w:rPr>
        <w:t>120 days prior to the first anniversary date of the annual meeting for the preceding year. Our amended and restated bylaws specify the requirements as to form and content of all stockholder notices. These requirements may preclude stockholders from bringing matters before the stockholders at an annual or special meeting, and may discourage or deter a third party from conducting a solicitation of proxies to elect its slate of directors or to approve its proposal, without regard to whether consideration of those nominees or proposals might be harmful or beneficial to us and our stockholders;</w:t>
      </w:r>
    </w:p>
    <w:p>
      <w:pPr>
        <w:spacing w:after="0" w:line="94" w:lineRule="exact"/>
        <w:rPr>
          <w:sz w:val="20"/>
          <w:szCs w:val="20"/>
          <w:color w:val="auto"/>
        </w:rPr>
      </w:pPr>
    </w:p>
    <w:p>
      <w:pPr>
        <w:ind w:left="1060" w:right="140" w:hanging="316"/>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provisions may have the effect of deterring hostile takeovers or delaying changes in control or management of our company;</w:t>
      </w:r>
    </w:p>
    <w:p>
      <w:pPr>
        <w:spacing w:after="0" w:line="92" w:lineRule="exact"/>
        <w:rPr>
          <w:rFonts w:ascii="Arial" w:cs="Arial" w:eastAsia="Arial" w:hAnsi="Arial"/>
          <w:sz w:val="18"/>
          <w:szCs w:val="18"/>
          <w:color w:val="auto"/>
        </w:rPr>
      </w:pPr>
    </w:p>
    <w:p>
      <w:pPr>
        <w:ind w:left="1060" w:hanging="316"/>
        <w:spacing w:after="0" w:line="271"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that (x) the authorized number of directors may be changed only by resolution of the board of directors and (y) all vacancies, including newly created directorships, may, except as otherwise required by law or, if applicable, the rights of holders of a series of preferred stock, only be filled by the affirmative vote of a majority of directors then in office, even if less than a quorum. “Cause” is defined as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CRC or any of its subsidiaries and which act, if made the subject of criminal charges, would be reasonably likely to be charged as a felony; or (iii) adjudication as legally incompetent by a court of competent jurisdiction. These provisions may have the effect of deterring hostile takeovers or delaying changes in control or management of our company;</w:t>
      </w:r>
    </w:p>
    <w:p>
      <w:pPr>
        <w:spacing w:after="0" w:line="84" w:lineRule="exact"/>
        <w:rPr>
          <w:rFonts w:ascii="Arial" w:cs="Arial" w:eastAsia="Arial" w:hAnsi="Arial"/>
          <w:sz w:val="17"/>
          <w:szCs w:val="17"/>
          <w:color w:val="auto"/>
        </w:rPr>
      </w:pPr>
    </w:p>
    <w:p>
      <w:pPr>
        <w:ind w:left="1060" w:right="120" w:hanging="316"/>
        <w:spacing w:after="0" w:line="297"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provide that (x)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our preferred stock with respect to such series, and (y) special meetings of our stockholders may only be called by the board of directors, the chief executive officer or the chairman of the board. These provisions regarding our stockholder meetings may have the effect of deterring hostile takeovers or delaying changes in control or management of our company; and</w:t>
      </w:r>
    </w:p>
    <w:p>
      <w:pPr>
        <w:spacing w:after="0" w:line="63" w:lineRule="exact"/>
        <w:rPr>
          <w:rFonts w:ascii="Arial" w:cs="Arial" w:eastAsia="Arial" w:hAnsi="Arial"/>
          <w:sz w:val="16"/>
          <w:szCs w:val="16"/>
          <w:color w:val="auto"/>
        </w:rPr>
      </w:pPr>
    </w:p>
    <w:p>
      <w:pPr>
        <w:ind w:left="1060" w:right="20" w:hanging="316"/>
        <w:spacing w:after="0" w:line="289"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provide that (x) certain provisions of our certificate of incorporation related to the voting rights of stockholders, our board of directors, special meetings of our stockholders, the ability of our stockholders to act by written consent, the forum for certain disputes related to us or our stockholders, and the applicability of Section 203 DGCL may be amended only by the affirmative vote of the holders of at least 75% of the voting power of our then outstanding common stock and that other provisions of our certificate of incorporation may be amended upon the affirmative vote of the holders of at least a majority of our then outstanding common stock, in each case, in addition to the approval of a majority of our directors then in office and (y) our bylaws can be amended or repealed at any regular or special meeting of stockholders or by the board of directors but any amendment by the stockholders will require the affirmative vote of the holders of at least 75% of the voting power of the shares of our common stock outstanding and entitled to vote thereon. These provisions regarding the amendment of our constituent documents may have the effect of deterring hostile takeovers or delaying changes in control or management of our company.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to the fullest extent permitted by applicable law, be the sole and exclusive forum for:</w:t>
      </w:r>
    </w:p>
    <w:p>
      <w:pPr>
        <w:spacing w:after="0" w:line="52"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72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our amended and restated certificate of incorporation or our bylaws (as either may be amended from time to time); or</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in each such case subject to such Court of Chancery having personal jurisdiction over the indispensable parties named as defendants therein.</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holding any interest in shares of our capital stock will be deemed to have notice of and to have consented to this forum selection provision. However, it is possible that a court could find our forum selection provision to be inapplicable or unenforceable.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240" w:top="459" w:right="5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This prospectus covers the offer and sale from time to time of up to an aggregate 2,850,000 shares of our common stock owned by the selling stockholder listed in the table below. As used herein, “selling stockholder” means the selling stockholder listed in the table below as well as its donees, pledgees, transferees or other successors-in-interest selling shares of common stock or interests in shares of common stock received after the date of this prospectus from the selling stockholder as a gift, pledge, partnership distribution or other transfer.</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are registering the shares of common stock covered by this prospectus for sale by the selling stockholder named in this prospectus pursuant to the Registration Rights Agreement, dated as of April 9, 2018, by and between California Resources Corporation and Chevron U.S.A. Inc. (the “Registration Rights Agreement”) in connection with our acquisition from Chevron of certain working, surface and mineral interests in the Elk Hills field in the San Joaquin Basin of California.</w:t>
      </w:r>
    </w:p>
    <w:p>
      <w:pPr>
        <w:spacing w:after="0" w:line="18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Pursuant to the Registration Rights Agreement, Chevron may only sell: (1) up to 1,000,000 shares of common stock in the first 30 days following effectiveness of the registration statement of which this prospectus forms a part, (2) up to 1,000,000 additional shares of common stock (plus the balance of any unsold shares in the first 30-day period) in the 30 days thereafter, and (3) any remaining shares of common stock thereafter.</w:t>
      </w:r>
    </w:p>
    <w:p>
      <w:pPr>
        <w:spacing w:after="0" w:line="147"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No offer or sale under this prospectus may be made by a stockholder other than the selling stockholder named herein, in a supplement to this prospectus or in an amendment to the related registration statement that has become effective under the Securities Act. We may supplement or amend this prospectus to include additional selling stockholders upon request and upon provision of all required information to us.</w:t>
      </w:r>
    </w:p>
    <w:p>
      <w:pPr>
        <w:spacing w:after="0" w:line="14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following table sets forth the name of the selling stockholder, the maximum number of shares of our common stock to be sold by the selling stockholder and the number of shares of our common stock beneficially owned by the selling stockholder. The selling stockholder has sole voting and dispositive power with respect to such shares.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do not know when or in what amounts the selling stockholder may offer its shares for sale, if at all. Because the selling stockholder may offer all, some or none of its shares pursuant to this prospectus and because we are unaware of any agreements, arrangements or understanding with respect to the sale of any such shares, no definitive estimate can be provided as to the number of shares that will be held, or percentage of shares beneficially owned, by the selling stockholder after completion of any offerings pursuant to this prospectus. For purposes of the table below, the information regarding shares of common stock owned after the offering assumes the sale of all shares offered by the selling stockholder and that the selling stockholder does not acquire any additional shares.</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information in the below table is based on information provided by or on behalf of the selling stockholder to us in a selling stockholder questionnaire and is as of the date specified by the selling stockholder in such questionnaire. We have not sought to verify such information. Additionally, the selling stockholder may have sold or transferred some or all of its shares in exempt or non-exempt transactions since the date of this prospectus. Other information about the selling stockholder may also change over time. Any changed information will be set forth in supplements to this prospectus, if required. The selling stockholder is not a broker-dealer registered under Section 15 of the Exchange Act or an affiliate of a broker-dealer registered under Section 15 of the Exchange Act.</w:t>
      </w: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60" w:type="dxa"/>
            <w:vAlign w:val="bottom"/>
            <w:gridSpan w:val="4"/>
          </w:tcPr>
          <w:p>
            <w:pPr>
              <w:jc w:val="center"/>
              <w:ind w:right="535"/>
              <w:spacing w:after="0"/>
              <w:rPr>
                <w:sz w:val="20"/>
                <w:szCs w:val="20"/>
                <w:color w:val="auto"/>
              </w:rPr>
            </w:pPr>
            <w:r>
              <w:rPr>
                <w:rFonts w:ascii="Arial" w:cs="Arial" w:eastAsia="Arial" w:hAnsi="Arial"/>
                <w:sz w:val="14"/>
                <w:szCs w:val="14"/>
                <w:b w:val="1"/>
                <w:bCs w:val="1"/>
                <w:color w:val="auto"/>
                <w:w w:val="91"/>
              </w:rPr>
              <w:t>Shares of Common Stock</w:t>
            </w:r>
          </w:p>
        </w:tc>
        <w:tc>
          <w:tcPr>
            <w:tcW w:w="240" w:type="dxa"/>
            <w:vAlign w:val="bottom"/>
          </w:tcPr>
          <w:p>
            <w:pPr>
              <w:spacing w:after="0"/>
              <w:rPr>
                <w:sz w:val="14"/>
                <w:szCs w:val="14"/>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Shares of</w:t>
            </w:r>
          </w:p>
        </w:tc>
        <w:tc>
          <w:tcPr>
            <w:tcW w:w="2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Shares of Common Stock</w:t>
            </w: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60" w:type="dxa"/>
            <w:vAlign w:val="bottom"/>
            <w:gridSpan w:val="4"/>
          </w:tcPr>
          <w:p>
            <w:pPr>
              <w:jc w:val="center"/>
              <w:ind w:right="575"/>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24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Common</w:t>
            </w:r>
          </w:p>
        </w:tc>
        <w:tc>
          <w:tcPr>
            <w:tcW w:w="20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Beneficially Owned</w:t>
            </w:r>
          </w:p>
        </w:tc>
      </w:tr>
      <w:tr>
        <w:trPr>
          <w:trHeight w:val="16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60" w:type="dxa"/>
            <w:vAlign w:val="bottom"/>
            <w:gridSpan w:val="4"/>
          </w:tcPr>
          <w:p>
            <w:pPr>
              <w:jc w:val="center"/>
              <w:ind w:right="535"/>
              <w:spacing w:after="0"/>
              <w:rPr>
                <w:sz w:val="20"/>
                <w:szCs w:val="20"/>
                <w:color w:val="auto"/>
              </w:rPr>
            </w:pPr>
            <w:r>
              <w:rPr>
                <w:rFonts w:ascii="Arial" w:cs="Arial" w:eastAsia="Arial" w:hAnsi="Arial"/>
                <w:sz w:val="14"/>
                <w:szCs w:val="14"/>
                <w:b w:val="1"/>
                <w:bCs w:val="1"/>
                <w:color w:val="auto"/>
                <w:w w:val="96"/>
              </w:rPr>
              <w:t>Prior to Offering</w:t>
            </w:r>
          </w:p>
        </w:tc>
        <w:tc>
          <w:tcPr>
            <w:tcW w:w="240" w:type="dxa"/>
            <w:vAlign w:val="bottom"/>
          </w:tcPr>
          <w:p>
            <w:pPr>
              <w:spacing w:after="0"/>
              <w:rPr>
                <w:sz w:val="14"/>
                <w:szCs w:val="14"/>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Stock</w:t>
            </w:r>
          </w:p>
        </w:tc>
        <w:tc>
          <w:tcPr>
            <w:tcW w:w="2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6"/>
              </w:rPr>
              <w:t>After Offering</w:t>
            </w:r>
          </w:p>
        </w:tc>
      </w:tr>
      <w:tr>
        <w:trPr>
          <w:trHeight w:val="162"/>
        </w:trPr>
        <w:tc>
          <w:tcPr>
            <w:tcW w:w="3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Selling Stockholder</w:t>
            </w:r>
          </w:p>
        </w:tc>
        <w:tc>
          <w:tcPr>
            <w:tcW w:w="7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Number</w:t>
            </w:r>
          </w:p>
        </w:tc>
        <w:tc>
          <w:tcPr>
            <w:tcW w:w="1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600" w:type="dxa"/>
            <w:vAlign w:val="bottom"/>
          </w:tcPr>
          <w:p>
            <w:pPr>
              <w:spacing w:after="0"/>
              <w:rPr>
                <w:sz w:val="14"/>
                <w:szCs w:val="14"/>
                <w:color w:val="auto"/>
              </w:rPr>
            </w:pPr>
          </w:p>
        </w:tc>
        <w:tc>
          <w:tcPr>
            <w:tcW w:w="170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92"/>
              </w:rPr>
              <w:t>Being Offered</w:t>
            </w:r>
          </w:p>
        </w:tc>
        <w:tc>
          <w:tcPr>
            <w:tcW w:w="11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Number</w:t>
            </w:r>
          </w:p>
        </w:tc>
        <w:tc>
          <w:tcPr>
            <w:tcW w:w="8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Percentage</w:t>
            </w:r>
          </w:p>
        </w:tc>
        <w:tc>
          <w:tcPr>
            <w:tcW w:w="4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Chevron U.S.A.</w:t>
            </w:r>
          </w:p>
        </w:tc>
        <w:tc>
          <w:tcPr>
            <w:tcW w:w="256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Inc.(1)</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2,850,000</w:t>
            </w:r>
          </w:p>
        </w:tc>
        <w:tc>
          <w:tcPr>
            <w:tcW w:w="5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5.</w:t>
            </w:r>
          </w:p>
        </w:tc>
        <w:tc>
          <w:tcPr>
            <w:tcW w:w="600" w:type="dxa"/>
            <w:vAlign w:val="bottom"/>
            <w:tcBorders>
              <w:top w:val="single" w:sz="8" w:color="CCEEFF"/>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w w:val="70"/>
              </w:rPr>
              <w:t>9%(2)</w:t>
            </w: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2,850,000</w:t>
            </w:r>
          </w:p>
        </w:tc>
        <w:tc>
          <w:tcPr>
            <w:tcW w:w="5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300"/>
              <w:spacing w:after="0" w:line="189"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6"/>
                <w:szCs w:val="16"/>
                <w:color w:val="auto"/>
              </w:rPr>
            </w:pPr>
          </w:p>
        </w:tc>
      </w:tr>
    </w:tbl>
    <w:p>
      <w:pPr>
        <w:spacing w:after="0" w:line="229" w:lineRule="exact"/>
        <w:rPr>
          <w:sz w:val="20"/>
          <w:szCs w:val="20"/>
          <w:color w:val="auto"/>
        </w:rPr>
      </w:pPr>
    </w:p>
    <w:p>
      <w:pPr>
        <w:ind w:left="640" w:right="560" w:hanging="436"/>
        <w:spacing w:after="0" w:line="258"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Chevron U.S.A. Inc. is an indirect wholly-owned subsidiary of Chevron Corporation. Chevron Corporation does not own any shares of our common stock.</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upon 48,223,741 shares of our common stock outstanding as of April 30, 2018.</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selling stockholder may, from time to time, sell, transfer or otherwise dispose of any or all of its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selling stockholder may use any one or more of the following methods when disposing of shares or interests therein:</w:t>
      </w:r>
    </w:p>
    <w:p>
      <w:pPr>
        <w:spacing w:after="0" w:line="131"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or more underwritten offerings on a firm commitment or best efforts basis;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selling stockholder may, from time to time, pledge or grant a security interest in some or all of the shares of common stock it owns and, if it defaults in the performance of its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 also may transfer the shares.</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connection with the sale of our common stock or interests therein, the selling stockholder may enter into hedging transactions with broker-dealers or other financial institutions, which may in turn engage in short sales of the common stock in the course of hedging the positions it assumes. The selling stockholder may also sell shares of our common stock short and deliver these securities to close out its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8"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The aggregate proceeds to the selling stockholder from the sale of the common stock offered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will not receive any of the proceeds from this offering.</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selling stockholder also may resell all or a portion of the shares in open market transactions in reliance upon Rule 144 under the Securities Act of 1933, provided that its meets the criteria and conform to the requirements of that rule.</w:t>
      </w:r>
    </w:p>
    <w:p>
      <w:pPr>
        <w:spacing w:after="0" w:line="170"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The selling stockholder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7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have advised the selling stockholder that the anti-manipulation rules of Regulation M under the Exchange Act may apply to sales of shares in the market and to the activities of the selling stockholder and its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agreed to indemnify the selling stockholder against certain liabilities relating to the registration of the shares offered by this prospectus.</w:t>
      </w:r>
    </w:p>
    <w:p>
      <w:pPr>
        <w:spacing w:after="0" w:line="248"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have agreed with the selling stockholder to keep the registration statement of which this prospectus constitutes a part effective until the earlier of (1) such time as all of the shares covered by this prospectus have been disposed of pursuant to and in accordance with the registration statement or</w:t>
      </w:r>
    </w:p>
    <w:p>
      <w:pPr>
        <w:ind w:left="5620" w:right="3280" w:hanging="5416"/>
        <w:spacing w:after="0" w:line="433"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on which the shares may be sold without restriction pursuant to Rule 144 of the Securities Act. 10</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legal matters in connection with the securities will be passed upon by Vinson &amp; Elkins L.L.P., Houston, Texas.</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consolidated financial statements of California Resources Corporation and subsidiaries as of December 31, 2017 and 2016, and for each of the years in the three-year period ended December 31, 2017 and management’s assessment of the effectiveness of internal control over financial reporting as of December 31, 2017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8"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Certain information included in or incorporated by reference into this prospectus with respect to the oil and gas reserves associated with California Resources Corporation’s oil and gas properties is confirmed in a methods and analytical procedures review letter of Ryder Scott &amp; Company, L.P., independent petroleum engineers. We have included this information in reliance on the authority of such firm as an expert in these matters.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31"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Set forth below are the expenses expected to be incurred in connection with the issuance and distribution of the securities registered hereby:</w:t>
      </w:r>
    </w:p>
    <w:p>
      <w:pPr>
        <w:spacing w:after="0" w:line="278"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fees are calculated based on the number of issuances and amount of securities offered and accordingly cannot be estimated at this time.</w:t>
      </w:r>
    </w:p>
    <w:p>
      <w:pPr>
        <w:spacing w:after="0" w:line="393"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Our amended and restated certificate of incorporation limits the liability of our directors for monetary damages for breach of their fiduciary duty as directors, except for liability that cannot be eliminated under the DGCL. Delaware law permits a certificate of incorporation to provide that directors of a company will not be personally liable for monetary damages for breach of their fiduciary duty as directors, except for liabilities:</w:t>
      </w:r>
    </w:p>
    <w:p>
      <w:pPr>
        <w:spacing w:after="0" w:line="71"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 acts or omissions not in good faith or which involve intentional misconduct or a knowing violation of law;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amended and restated bylaws also provide that we will indemnify our directors and officers to the fullest extent permitted by Delaware law. Our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may from time to time enter into indemnification agreements with our directors and officers. These agreements will typically require us to indemnify these individuals to the fullest extent permitted under Delaware law against liability that may arise by reason of their service to us, and to advance expenses incurred as a result of any proceeding against them as to which they could be indemnified.</w:t>
      </w:r>
    </w:p>
    <w:p>
      <w:pPr>
        <w:spacing w:after="0" w:line="323"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20" w:type="dxa"/>
            <w:vAlign w:val="bottom"/>
            <w:gridSpan w:val="20"/>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20" w:type="dxa"/>
            <w:vAlign w:val="bottom"/>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22"/>
                <w:szCs w:val="22"/>
                <w:color w:val="auto"/>
              </w:rPr>
            </w:pPr>
          </w:p>
        </w:tc>
        <w:tc>
          <w:tcPr>
            <w:tcW w:w="9540" w:type="dxa"/>
            <w:vAlign w:val="bottom"/>
            <w:tcBorders>
              <w:top w:val="single" w:sz="8" w:color="auto"/>
              <w:bottom w:val="single" w:sz="8" w:color="0000EE"/>
            </w:tcBorders>
            <w:gridSpan w:val="19"/>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Separation and Distribution Agreement, dated as of November 25, 2014, between Occidental Petroleum Corporation and California</w:t>
              </w:r>
            </w:hyperlink>
          </w:p>
        </w:tc>
        <w:tc>
          <w:tcPr>
            <w:tcW w:w="220" w:type="dxa"/>
            <w:vAlign w:val="bottom"/>
            <w:tcBorders>
              <w:top w:val="single" w:sz="8" w:color="auto"/>
            </w:tcBorders>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Resources Corporation (filed as Exhibit 2.1 to Registrant’s Current Report on Form 8-K filed December 1, 2014 and incorporated</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540" w:type="dxa"/>
            <w:vAlign w:val="bottom"/>
            <w:tcBorders>
              <w:bottom w:val="single" w:sz="8" w:color="0000EE"/>
            </w:tcBorders>
            <w:gridSpan w:val="19"/>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Amended and Restated Certificate of Incorporation of California Resources Corporation (filed as Exhibit 3.1 to Registrant’s Current</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Report on Form 8-K filed June 3, 2016 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560" w:type="dxa"/>
            <w:vAlign w:val="bottom"/>
            <w:tcBorders>
              <w:bottom w:val="single" w:sz="8" w:color="0000EE"/>
            </w:tcBorders>
            <w:gridSpan w:val="20"/>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Amended and Restated Bylaws of California Resources Corporation (filed as Exhibit 3.2 to the Registrant’s Current Report on Form</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8-K filed November 10, 2015 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520" w:type="dxa"/>
            <w:vAlign w:val="bottom"/>
            <w:tcBorders>
              <w:bottom w:val="single" w:sz="8" w:color="0000EE"/>
            </w:tcBorders>
            <w:gridSpan w:val="18"/>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Indenture, dated October 1, 2014, by and among California Resources Corporation, the Guarantors and Wells Fargo Bank, National</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Association (filed as Exhibit 4.2 to Amendment No. 4 to the Registrant’s Information Statement on Form 10 filed October 8, 2014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incorporated herein by reference).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380" w:type="dxa"/>
            <w:vAlign w:val="bottom"/>
            <w:tcBorders>
              <w:bottom w:val="single" w:sz="8" w:color="0000EE"/>
            </w:tcBorders>
            <w:gridSpan w:val="14"/>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Indenture, dated December 15, 2015, by and among California Resources Corporation, the Guarantors and the Bank of New York</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Mellon Trust Company, N.A. (filed as Exhibit 4.1 to Registrant’s Current Report on Form 8-K filed December 18, 2015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9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incorporated herein by reference).</w:t>
              </w:r>
            </w:hyperlink>
          </w:p>
        </w:tc>
        <w:tc>
          <w:tcPr>
            <w:tcW w:w="8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440" w:type="dxa"/>
            <w:vAlign w:val="bottom"/>
            <w:tcBorders>
              <w:bottom w:val="single" w:sz="8" w:color="0000EE"/>
            </w:tcBorders>
            <w:gridSpan w:val="16"/>
          </w:tcPr>
          <w:p>
            <w:pPr>
              <w:spacing w:after="0"/>
              <w:rPr>
                <w:rFonts w:ascii="Arial" w:cs="Arial" w:eastAsia="Arial" w:hAnsi="Arial"/>
                <w:sz w:val="18"/>
                <w:szCs w:val="18"/>
                <w:color w:val="0000EE"/>
                <w:w w:val="90"/>
              </w:rPr>
            </w:pPr>
            <w:hyperlink r:id="rId44">
              <w:r>
                <w:rPr>
                  <w:rFonts w:ascii="Arial" w:cs="Arial" w:eastAsia="Arial" w:hAnsi="Arial"/>
                  <w:sz w:val="18"/>
                  <w:szCs w:val="18"/>
                  <w:color w:val="0000EE"/>
                  <w:w w:val="90"/>
                </w:rPr>
                <w:t>Guarantor Supplemental Indenture dated as of March 5, 2015, among California Resources Corporation, certain guarantors named</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5"/>
              </w:rPr>
            </w:pPr>
            <w:hyperlink r:id="rId44">
              <w:r>
                <w:rPr>
                  <w:rFonts w:ascii="Arial" w:cs="Arial" w:eastAsia="Arial" w:hAnsi="Arial"/>
                  <w:sz w:val="18"/>
                  <w:szCs w:val="18"/>
                  <w:color w:val="0000EE"/>
                  <w:w w:val="95"/>
                </w:rPr>
                <w:t>therein and Wells Fargo Bank, National Association (filed as Exhibit 4.2 to Registrant’s Registration Statement on Form S-4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March 12, 2015 and incorporated herein by reference).</w:t>
              </w:r>
            </w:hyperlink>
          </w:p>
        </w:tc>
        <w:tc>
          <w:tcPr>
            <w:tcW w:w="5380" w:type="dxa"/>
            <w:vAlign w:val="bottom"/>
            <w:tcBorders>
              <w:top w:val="single" w:sz="8" w:color="0000EE"/>
            </w:tcBorders>
            <w:gridSpan w:val="9"/>
          </w:tcPr>
          <w:p>
            <w:pPr>
              <w:spacing w:after="0"/>
              <w:rPr>
                <w:sz w:val="17"/>
                <w:szCs w:val="17"/>
                <w:color w:val="auto"/>
              </w:rPr>
            </w:pPr>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9440" w:type="dxa"/>
            <w:vAlign w:val="bottom"/>
            <w:tcBorders>
              <w:bottom w:val="single" w:sz="8" w:color="0000EE"/>
            </w:tcBorders>
            <w:gridSpan w:val="16"/>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Guarantor Supplemental Indenture dated as of March 4, 2016, among California Resources Corporation, certain guarantors named</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4"/>
              </w:rPr>
            </w:pPr>
            <w:hyperlink r:id="rId45">
              <w:r>
                <w:rPr>
                  <w:rFonts w:ascii="Arial" w:cs="Arial" w:eastAsia="Arial" w:hAnsi="Arial"/>
                  <w:sz w:val="18"/>
                  <w:szCs w:val="18"/>
                  <w:color w:val="0000EE"/>
                  <w:w w:val="94"/>
                </w:rPr>
                <w:t>therein and The Bank of New York Mellon Trust Company, N.A., as trustee (filed as Exhibit 4.1 to Registrant’s Quarterly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Form 10-Q filed August 4, 2016 and incorporated herein by reference).</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9300" w:type="dxa"/>
            <w:vAlign w:val="bottom"/>
            <w:tcBorders>
              <w:bottom w:val="single" w:sz="8" w:color="0000EE"/>
            </w:tcBorders>
            <w:gridSpan w:val="12"/>
          </w:tcPr>
          <w:p>
            <w:pPr>
              <w:spacing w:after="0"/>
              <w:rPr>
                <w:rFonts w:ascii="Arial" w:cs="Arial" w:eastAsia="Arial" w:hAnsi="Arial"/>
                <w:sz w:val="18"/>
                <w:szCs w:val="18"/>
                <w:color w:val="0000EE"/>
                <w:w w:val="90"/>
              </w:rPr>
            </w:pPr>
            <w:hyperlink r:id="rId46">
              <w:r>
                <w:rPr>
                  <w:rFonts w:ascii="Arial" w:cs="Arial" w:eastAsia="Arial" w:hAnsi="Arial"/>
                  <w:sz w:val="18"/>
                  <w:szCs w:val="18"/>
                  <w:color w:val="0000EE"/>
                  <w:w w:val="90"/>
                </w:rPr>
                <w:t>Guarantor Supplement Indenture dated as of March 4, 2016, among California Resources Corporation, certain guarantors named</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4"/>
              </w:rPr>
            </w:pPr>
            <w:hyperlink r:id="rId46">
              <w:r>
                <w:rPr>
                  <w:rFonts w:ascii="Arial" w:cs="Arial" w:eastAsia="Arial" w:hAnsi="Arial"/>
                  <w:sz w:val="18"/>
                  <w:szCs w:val="18"/>
                  <w:color w:val="0000EE"/>
                  <w:w w:val="94"/>
                </w:rPr>
                <w:t>therein and The Bank of New York Mellon Trust Company, N.A., as trustee (filed as Exhibit 4.2 to Registrant’s Quarterly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Form 10-Q filed August 4, 2016 and incorporated herein by reference).</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24"/>
                <w:szCs w:val="24"/>
                <w:color w:val="auto"/>
              </w:rPr>
            </w:pPr>
          </w:p>
        </w:tc>
        <w:tc>
          <w:tcPr>
            <w:tcW w:w="9400" w:type="dxa"/>
            <w:vAlign w:val="bottom"/>
            <w:tcBorders>
              <w:bottom w:val="single" w:sz="8" w:color="0000EE"/>
            </w:tcBorders>
            <w:gridSpan w:val="15"/>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Guarantor Supplemental Indenture No. 2, dated as of April 29, 2016, among California Resources Corporation, certain guarantors</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named therein and Wilmington Trust, National Association, as trustee (filed as Exhibit 10.4 to Registrant’s Quarterly Report on Form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10-Q filed August 4, 2016 and incorporated herein by reference).</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EE"/>
                <w:w w:val="93"/>
              </w:rPr>
            </w:pPr>
            <w:hyperlink r:id="rId48">
              <w:r>
                <w:rPr>
                  <w:rFonts w:ascii="Arial" w:cs="Arial" w:eastAsia="Arial" w:hAnsi="Arial"/>
                  <w:sz w:val="18"/>
                  <w:szCs w:val="18"/>
                  <w:color w:val="0000EE"/>
                  <w:w w:val="93"/>
                </w:rPr>
                <w:t>Assumption Agreement dated as of March 6, 2015, among CRC Construction Services, LLC and JP Morgan Chase Bank, N.A.,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720" w:type="dxa"/>
            <w:vAlign w:val="bottom"/>
            <w:gridSpan w:val="6"/>
            <w:shd w:val="clear" w:color="auto" w:fill="0000EE"/>
          </w:tcPr>
          <w:p>
            <w:pPr>
              <w:spacing w:after="0" w:line="20" w:lineRule="exact"/>
              <w:rPr>
                <w:sz w:val="1"/>
                <w:szCs w:val="1"/>
                <w:color w:val="auto"/>
              </w:rPr>
            </w:pPr>
          </w:p>
        </w:tc>
        <w:tc>
          <w:tcPr>
            <w:tcW w:w="1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Administrative Agent for lenders (filed as Exhibit 10.31 to Registrant’s Registration Statement on Form S-4 filed March 12, 2015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incorporated herein by reference).</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4.8</w:t>
            </w:r>
          </w:p>
        </w:tc>
        <w:tc>
          <w:tcPr>
            <w:tcW w:w="760" w:type="dxa"/>
            <w:vAlign w:val="bottom"/>
          </w:tcPr>
          <w:p>
            <w:pPr>
              <w:spacing w:after="0"/>
              <w:rPr>
                <w:sz w:val="24"/>
                <w:szCs w:val="24"/>
                <w:color w:val="auto"/>
              </w:rPr>
            </w:pPr>
          </w:p>
        </w:tc>
        <w:tc>
          <w:tcPr>
            <w:tcW w:w="9280" w:type="dxa"/>
            <w:vAlign w:val="bottom"/>
            <w:tcBorders>
              <w:bottom w:val="single" w:sz="8" w:color="0000EE"/>
            </w:tcBorders>
            <w:gridSpan w:val="11"/>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Registration Rights Agreement, dated October 1, 2014, by and among California Resources Corporation, the Guarantors and the</w:t>
              </w:r>
            </w:hyperlink>
          </w:p>
        </w:tc>
        <w:tc>
          <w:tcPr>
            <w:tcW w:w="4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5"/>
              </w:rPr>
            </w:pPr>
            <w:hyperlink r:id="rId49">
              <w:r>
                <w:rPr>
                  <w:rFonts w:ascii="Arial" w:cs="Arial" w:eastAsia="Arial" w:hAnsi="Arial"/>
                  <w:sz w:val="18"/>
                  <w:szCs w:val="18"/>
                  <w:color w:val="0000EE"/>
                  <w:w w:val="95"/>
                </w:rPr>
                <w:t>Initial Purchasers (filed as Exhibit 4.3 to Amendment No. 4 to the Registrant’s Information Statement on Form 10 filed October 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2014 and incorporated herein by reference).</w:t>
              </w:r>
            </w:hyperlink>
          </w:p>
        </w:tc>
        <w:tc>
          <w:tcPr>
            <w:tcW w:w="6280" w:type="dxa"/>
            <w:vAlign w:val="bottom"/>
            <w:tcBorders>
              <w:top w:val="single" w:sz="8" w:color="0000EE"/>
            </w:tcBorders>
            <w:gridSpan w:val="13"/>
          </w:tcPr>
          <w:p>
            <w:pPr>
              <w:spacing w:after="0"/>
              <w:rPr>
                <w:sz w:val="17"/>
                <w:szCs w:val="17"/>
                <w:color w:val="auto"/>
              </w:rPr>
            </w:pPr>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4.9</w:t>
            </w:r>
          </w:p>
        </w:tc>
        <w:tc>
          <w:tcPr>
            <w:tcW w:w="760" w:type="dxa"/>
            <w:vAlign w:val="bottom"/>
          </w:tcPr>
          <w:p>
            <w:pPr>
              <w:spacing w:after="0"/>
              <w:rPr>
                <w:sz w:val="24"/>
                <w:szCs w:val="24"/>
                <w:color w:val="auto"/>
              </w:rPr>
            </w:pPr>
          </w:p>
        </w:tc>
        <w:tc>
          <w:tcPr>
            <w:tcW w:w="9540" w:type="dxa"/>
            <w:vAlign w:val="bottom"/>
            <w:tcBorders>
              <w:bottom w:val="single" w:sz="8" w:color="0000EE"/>
            </w:tcBorders>
            <w:gridSpan w:val="19"/>
          </w:tcPr>
          <w:p>
            <w:pPr>
              <w:spacing w:after="0"/>
              <w:rPr>
                <w:rFonts w:ascii="Arial" w:cs="Arial" w:eastAsia="Arial" w:hAnsi="Arial"/>
                <w:sz w:val="18"/>
                <w:szCs w:val="18"/>
                <w:color w:val="0000EE"/>
                <w:w w:val="92"/>
              </w:rPr>
            </w:pPr>
            <w:hyperlink r:id="rId42">
              <w:r>
                <w:rPr>
                  <w:rFonts w:ascii="Arial" w:cs="Arial" w:eastAsia="Arial" w:hAnsi="Arial"/>
                  <w:sz w:val="18"/>
                  <w:szCs w:val="18"/>
                  <w:color w:val="0000EE"/>
                  <w:w w:val="92"/>
                </w:rPr>
                <w:t>Form of 5% Senior Note due 2020 (included in Exhibit 4.2 to Amendment No. 4 to the Registrant’s Information Statement on Form</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10 filed October 8, 2014 and incorporated herein by reference).</w:t>
              </w:r>
            </w:hyperlink>
          </w:p>
        </w:tc>
        <w:tc>
          <w:tcPr>
            <w:tcW w:w="52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gridSpan w:val="11"/>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0" w:type="dxa"/>
            <w:vAlign w:val="bottom"/>
            <w:tcBorders>
              <w:top w:val="single" w:sz="8" w:color="auto"/>
              <w:bottom w:val="single" w:sz="8" w:color="auto"/>
            </w:tcBorders>
            <w:vMerge w:val="restart"/>
          </w:tcPr>
          <w:p>
            <w:pPr>
              <w:jc w:val="right"/>
              <w:ind w:right="39"/>
              <w:spacing w:after="0"/>
              <w:rPr>
                <w:sz w:val="20"/>
                <w:szCs w:val="20"/>
                <w:color w:val="auto"/>
              </w:rPr>
            </w:pPr>
            <w:r>
              <w:rPr>
                <w:rFonts w:ascii="Arial" w:cs="Arial" w:eastAsia="Arial" w:hAnsi="Arial"/>
                <w:sz w:val="18"/>
                <w:szCs w:val="18"/>
                <w:color w:val="auto"/>
              </w:rPr>
              <w:t>4.10</w:t>
            </w:r>
          </w:p>
        </w:tc>
        <w:tc>
          <w:tcPr>
            <w:tcW w:w="640" w:type="dxa"/>
            <w:vAlign w:val="bottom"/>
          </w:tcPr>
          <w:p>
            <w:pPr>
              <w:spacing w:after="0"/>
              <w:rPr>
                <w:sz w:val="20"/>
                <w:szCs w:val="20"/>
                <w:color w:val="auto"/>
              </w:rPr>
            </w:pPr>
          </w:p>
        </w:tc>
        <w:tc>
          <w:tcPr>
            <w:tcW w:w="720" w:type="dxa"/>
            <w:vAlign w:val="bottom"/>
            <w:tcBorders>
              <w:top w:val="single" w:sz="8" w:color="auto"/>
              <w:bottom w:val="single" w:sz="8" w:color="auto"/>
            </w:tcBorders>
            <w:vMerge w:val="restart"/>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Form of 5</w:t>
              </w:r>
            </w:hyperlink>
          </w:p>
        </w:tc>
        <w:tc>
          <w:tcPr>
            <w:tcW w:w="140" w:type="dxa"/>
            <w:vAlign w:val="bottom"/>
            <w:tcBorders>
              <w:top w:val="single" w:sz="8" w:color="auto"/>
              <w:bottom w:val="single" w:sz="8" w:color="0000EE"/>
            </w:tcBorders>
          </w:tcPr>
          <w:p>
            <w:pPr>
              <w:jc w:val="right"/>
              <w:spacing w:after="0"/>
              <w:rPr>
                <w:rFonts w:ascii="Arial" w:cs="Arial" w:eastAsia="Arial" w:hAnsi="Arial"/>
                <w:sz w:val="15"/>
                <w:szCs w:val="15"/>
                <w:color w:val="0000EE"/>
              </w:rPr>
            </w:pPr>
            <w:hyperlink r:id="rId42">
              <w:r>
                <w:rPr>
                  <w:rFonts w:ascii="Arial" w:cs="Arial" w:eastAsia="Arial" w:hAnsi="Arial"/>
                  <w:sz w:val="15"/>
                  <w:szCs w:val="15"/>
                  <w:color w:val="0000EE"/>
                </w:rPr>
                <w:t>1</w:t>
              </w:r>
            </w:hyperlink>
          </w:p>
        </w:tc>
        <w:tc>
          <w:tcPr>
            <w:tcW w:w="100" w:type="dxa"/>
            <w:vAlign w:val="bottom"/>
            <w:tcBorders>
              <w:top w:val="single" w:sz="8" w:color="auto"/>
              <w:bottom w:val="single" w:sz="8" w:color="auto"/>
            </w:tcBorders>
            <w:gridSpan w:val="2"/>
            <w:vMerge w:val="restart"/>
          </w:tcPr>
          <w:p>
            <w:pPr>
              <w:spacing w:after="0"/>
              <w:rPr>
                <w:rFonts w:ascii="Arial" w:cs="Arial" w:eastAsia="Arial" w:hAnsi="Arial"/>
                <w:sz w:val="18"/>
                <w:szCs w:val="18"/>
                <w:color w:val="0000EE"/>
                <w:w w:val="70"/>
              </w:rPr>
            </w:pPr>
            <w:hyperlink r:id="rId42">
              <w:r>
                <w:rPr>
                  <w:rFonts w:ascii="Arial" w:cs="Arial" w:eastAsia="Arial" w:hAnsi="Arial"/>
                  <w:sz w:val="18"/>
                  <w:szCs w:val="18"/>
                  <w:u w:val="single" w:color="auto"/>
                  <w:color w:val="0000EE"/>
                  <w:w w:val="70"/>
                </w:rPr>
                <w:t>⁄</w:t>
              </w:r>
              <w:r>
                <w:rPr>
                  <w:rFonts w:ascii="Arial" w:cs="Arial" w:eastAsia="Arial" w:hAnsi="Arial"/>
                  <w:sz w:val="15"/>
                  <w:szCs w:val="15"/>
                  <w:color w:val="0000EE"/>
                  <w:w w:val="70"/>
                </w:rPr>
                <w:t>2</w:t>
              </w:r>
            </w:hyperlink>
          </w:p>
        </w:tc>
        <w:tc>
          <w:tcPr>
            <w:tcW w:w="8780" w:type="dxa"/>
            <w:vAlign w:val="bottom"/>
            <w:tcBorders>
              <w:top w:val="single" w:sz="8" w:color="auto"/>
              <w:bottom w:val="single" w:sz="8" w:color="auto"/>
            </w:tcBorders>
            <w:gridSpan w:val="16"/>
            <w:vMerge w:val="restart"/>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 Senior Note due 2021 (included in Exhibit 4.2 to Amendment No. 4 to the Registrant’s Information Statement on Form</w:t>
              </w:r>
            </w:hyperlink>
          </w:p>
        </w:tc>
        <w:tc>
          <w:tcPr>
            <w:tcW w:w="20" w:type="dxa"/>
            <w:vAlign w:val="bottom"/>
            <w:tcBorders>
              <w:top w:val="single" w:sz="8" w:color="auto"/>
              <w:bottom w:val="single" w:sz="8" w:color="auto"/>
            </w:tcBorders>
            <w:vMerge w:val="restart"/>
          </w:tcPr>
          <w:p>
            <w:pPr>
              <w:spacing w:after="0"/>
              <w:rPr>
                <w:sz w:val="20"/>
                <w:szCs w:val="20"/>
                <w:color w:val="auto"/>
              </w:rPr>
            </w:pPr>
          </w:p>
        </w:tc>
        <w:tc>
          <w:tcPr>
            <w:tcW w:w="120" w:type="dxa"/>
            <w:vAlign w:val="bottom"/>
            <w:tcBorders>
              <w:top w:val="single" w:sz="8" w:color="auto"/>
              <w:bottom w:val="single" w:sz="8" w:color="auto"/>
            </w:tcBorders>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500" w:type="dxa"/>
            <w:vAlign w:val="bottom"/>
            <w:tcBorders>
              <w:bottom w:val="single" w:sz="8" w:color="auto"/>
            </w:tcBorders>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bottom w:val="single" w:sz="8" w:color="0000EE"/>
            </w:tcBorders>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gridSpan w:val="2"/>
            <w:vMerge w:val="continue"/>
          </w:tcPr>
          <w:p>
            <w:pPr>
              <w:spacing w:after="0" w:line="20" w:lineRule="exact"/>
              <w:rPr>
                <w:sz w:val="1"/>
                <w:szCs w:val="1"/>
                <w:color w:val="auto"/>
              </w:rPr>
            </w:pPr>
          </w:p>
        </w:tc>
        <w:tc>
          <w:tcPr>
            <w:tcW w:w="8780" w:type="dxa"/>
            <w:vAlign w:val="bottom"/>
            <w:tcBorders>
              <w:bottom w:val="single" w:sz="8" w:color="0000EE"/>
            </w:tcBorders>
            <w:gridSpan w:val="16"/>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12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0" w:type="dxa"/>
            <w:vAlign w:val="bottom"/>
            <w:tcBorders>
              <w:bottom w:val="single" w:sz="8" w:color="0000EE"/>
            </w:tcBorders>
            <w:gridSpan w:val="12"/>
          </w:tcPr>
          <w:p>
            <w:pPr>
              <w:spacing w:after="0" w:line="143" w:lineRule="exact"/>
              <w:rPr>
                <w:rFonts w:ascii="Arial" w:cs="Arial" w:eastAsia="Arial" w:hAnsi="Arial"/>
                <w:sz w:val="16"/>
                <w:szCs w:val="16"/>
                <w:color w:val="0000EE"/>
              </w:rPr>
            </w:pPr>
            <w:hyperlink r:id="rId42">
              <w:r>
                <w:rPr>
                  <w:rFonts w:ascii="Arial" w:cs="Arial" w:eastAsia="Arial" w:hAnsi="Arial"/>
                  <w:sz w:val="16"/>
                  <w:szCs w:val="16"/>
                  <w:color w:val="0000EE"/>
                </w:rPr>
                <w:t>10 filed October 8, 2014 and incorporated herein by reference).</w:t>
              </w:r>
            </w:hyperlink>
          </w:p>
        </w:tc>
        <w:tc>
          <w:tcPr>
            <w:tcW w:w="528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4.11</w:t>
            </w:r>
          </w:p>
        </w:tc>
        <w:tc>
          <w:tcPr>
            <w:tcW w:w="640" w:type="dxa"/>
            <w:vAlign w:val="bottom"/>
          </w:tcPr>
          <w:p>
            <w:pPr>
              <w:spacing w:after="0"/>
              <w:rPr>
                <w:sz w:val="24"/>
                <w:szCs w:val="24"/>
                <w:color w:val="auto"/>
              </w:rPr>
            </w:pPr>
          </w:p>
        </w:tc>
        <w:tc>
          <w:tcPr>
            <w:tcW w:w="9760" w:type="dxa"/>
            <w:vAlign w:val="bottom"/>
            <w:tcBorders>
              <w:bottom w:val="single" w:sz="8" w:color="0000EE"/>
            </w:tcBorders>
            <w:gridSpan w:val="21"/>
          </w:tcPr>
          <w:p>
            <w:pPr>
              <w:spacing w:after="0"/>
              <w:rPr>
                <w:rFonts w:ascii="Arial" w:cs="Arial" w:eastAsia="Arial" w:hAnsi="Arial"/>
                <w:sz w:val="18"/>
                <w:szCs w:val="18"/>
                <w:color w:val="0000EE"/>
                <w:w w:val="92"/>
              </w:rPr>
            </w:pPr>
            <w:hyperlink r:id="rId42">
              <w:r>
                <w:rPr>
                  <w:rFonts w:ascii="Arial" w:cs="Arial" w:eastAsia="Arial" w:hAnsi="Arial"/>
                  <w:sz w:val="18"/>
                  <w:szCs w:val="18"/>
                  <w:color w:val="0000EE"/>
                  <w:w w:val="92"/>
                </w:rPr>
                <w:t>Form of 6% Senior Note due 2024 (included in Exhibit 4.2 to Amendment No. 4 to the Registrant’s Information Statement on Form 10</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2"/>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filed October 8, 2014 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4.12</w:t>
            </w:r>
          </w:p>
        </w:tc>
        <w:tc>
          <w:tcPr>
            <w:tcW w:w="64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EE"/>
                <w:w w:val="96"/>
              </w:rPr>
            </w:pPr>
            <w:hyperlink r:id="rId43">
              <w:r>
                <w:rPr>
                  <w:rFonts w:ascii="Arial" w:cs="Arial" w:eastAsia="Arial" w:hAnsi="Arial"/>
                  <w:sz w:val="18"/>
                  <w:szCs w:val="18"/>
                  <w:color w:val="0000EE"/>
                  <w:w w:val="96"/>
                </w:rPr>
                <w:t>Form of 8% Senior Secured Second Lien Note due 2022 (included in Exhibit 4.1 to Registrant’s Current Report on Form 8-K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December 18, 2015 and incorporated herein by reference).</w:t>
              </w:r>
            </w:hyperlink>
          </w:p>
        </w:tc>
        <w:tc>
          <w:tcPr>
            <w:tcW w:w="5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4.13</w:t>
            </w:r>
          </w:p>
        </w:tc>
        <w:tc>
          <w:tcPr>
            <w:tcW w:w="640" w:type="dxa"/>
            <w:vAlign w:val="bottom"/>
          </w:tcPr>
          <w:p>
            <w:pPr>
              <w:spacing w:after="0"/>
              <w:rPr>
                <w:sz w:val="24"/>
                <w:szCs w:val="24"/>
                <w:color w:val="auto"/>
              </w:rPr>
            </w:pPr>
          </w:p>
        </w:tc>
        <w:tc>
          <w:tcPr>
            <w:tcW w:w="9680" w:type="dxa"/>
            <w:vAlign w:val="bottom"/>
            <w:tcBorders>
              <w:bottom w:val="single" w:sz="8" w:color="0000EE"/>
            </w:tcBorders>
            <w:gridSpan w:val="18"/>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Registration Rights Agreement, dated as of February 7, 2018, by and between California Resources Corporation and AF V Energy IV</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AIV 2, L.P., AF V Energy IV AIV 3, L.P., Ares Special Situations Fund IV, L.P., AEOF Holdings I, L.P. and AEOF GP Sub, LLC</w:t>
              </w:r>
            </w:hyperlink>
          </w:p>
        </w:tc>
        <w:tc>
          <w:tcPr>
            <w:tcW w:w="5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(included in Exhibit 10.5 to the Registrant’s Current Report on Form 8-K filed February 7, 2018 and incorporated herein by reference).</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4.14</w:t>
            </w:r>
          </w:p>
        </w:tc>
        <w:tc>
          <w:tcPr>
            <w:tcW w:w="640" w:type="dxa"/>
            <w:vAlign w:val="bottom"/>
          </w:tcPr>
          <w:p>
            <w:pPr>
              <w:spacing w:after="0"/>
              <w:rPr>
                <w:sz w:val="24"/>
                <w:szCs w:val="24"/>
                <w:color w:val="auto"/>
              </w:rPr>
            </w:pPr>
          </w:p>
        </w:tc>
        <w:tc>
          <w:tcPr>
            <w:tcW w:w="9680" w:type="dxa"/>
            <w:vAlign w:val="bottom"/>
            <w:tcBorders>
              <w:bottom w:val="single" w:sz="8" w:color="0000EE"/>
            </w:tcBorders>
            <w:gridSpan w:val="18"/>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Registration Rights Agreement, dated as of April 9, 2018, by and between California Resources Corporation and Chevron U.S.A. Inc.</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2"/>
          </w:tcPr>
          <w:p>
            <w:pPr>
              <w:spacing w:after="0" w:line="196" w:lineRule="exact"/>
              <w:rPr>
                <w:rFonts w:ascii="Arial" w:cs="Arial" w:eastAsia="Arial" w:hAnsi="Arial"/>
                <w:sz w:val="18"/>
                <w:szCs w:val="18"/>
                <w:color w:val="0000EE"/>
                <w:w w:val="98"/>
              </w:rPr>
            </w:pPr>
            <w:hyperlink r:id="rId52">
              <w:r>
                <w:rPr>
                  <w:rFonts w:ascii="Arial" w:cs="Arial" w:eastAsia="Arial" w:hAnsi="Arial"/>
                  <w:sz w:val="18"/>
                  <w:szCs w:val="18"/>
                  <w:color w:val="0000EE"/>
                  <w:w w:val="98"/>
                </w:rPr>
                <w:t>(filed as Exhibit 4.01 to the Registrant’s Current Report on Form 8-K filed April 9, 2018 and incorporated herein by reference).</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616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91"/>
              </w:rPr>
              <w:t>Opinion of Vinson &amp; Elkins L.L.P. as to the legality of the securities being registered.</w:t>
            </w:r>
          </w:p>
        </w:tc>
        <w:tc>
          <w:tcPr>
            <w:tcW w:w="3040" w:type="dxa"/>
            <w:vAlign w:val="bottom"/>
            <w:tcBorders>
              <w:top w:val="single" w:sz="8" w:color="0000EE"/>
            </w:tcBorders>
          </w:tcPr>
          <w:p>
            <w:pPr>
              <w:spacing w:after="0"/>
              <w:rPr>
                <w:sz w:val="24"/>
                <w:szCs w:val="24"/>
                <w:color w:val="auto"/>
              </w:rPr>
            </w:pPr>
          </w:p>
        </w:tc>
        <w:tc>
          <w:tcPr>
            <w:tcW w:w="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w w:val="90"/>
              </w:rPr>
              <w:t>23.1*</w:t>
            </w:r>
          </w:p>
        </w:tc>
        <w:tc>
          <w:tcPr>
            <w:tcW w:w="640" w:type="dxa"/>
            <w:vAlign w:val="bottom"/>
          </w:tcPr>
          <w:p>
            <w:pPr>
              <w:spacing w:after="0"/>
              <w:rPr>
                <w:sz w:val="24"/>
                <w:szCs w:val="24"/>
                <w:color w:val="auto"/>
              </w:rPr>
            </w:pPr>
          </w:p>
        </w:tc>
        <w:tc>
          <w:tcPr>
            <w:tcW w:w="43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55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w w:val="90"/>
              </w:rPr>
              <w:t>23.2*</w:t>
            </w:r>
          </w:p>
        </w:tc>
        <w:tc>
          <w:tcPr>
            <w:tcW w:w="640" w:type="dxa"/>
            <w:vAlign w:val="bottom"/>
          </w:tcPr>
          <w:p>
            <w:pPr>
              <w:spacing w:after="0"/>
              <w:rPr>
                <w:sz w:val="24"/>
                <w:szCs w:val="24"/>
                <w:color w:val="auto"/>
              </w:rPr>
            </w:pPr>
          </w:p>
        </w:tc>
        <w:tc>
          <w:tcPr>
            <w:tcW w:w="9880" w:type="dxa"/>
            <w:vAlign w:val="bottom"/>
            <w:gridSpan w:val="22"/>
          </w:tcPr>
          <w:p>
            <w:pPr>
              <w:spacing w:after="0"/>
              <w:rPr>
                <w:sz w:val="20"/>
                <w:szCs w:val="20"/>
                <w:color w:val="auto"/>
              </w:rPr>
            </w:pPr>
            <w:r>
              <w:rPr>
                <w:rFonts w:ascii="Arial" w:cs="Arial" w:eastAsia="Arial" w:hAnsi="Arial"/>
                <w:sz w:val="18"/>
                <w:szCs w:val="18"/>
                <w:color w:val="0000EE"/>
              </w:rPr>
              <w:t>Consent of Independent Petroleum Engineers.</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w w:val="90"/>
              </w:rPr>
              <w:t>23.3*</w:t>
            </w:r>
          </w:p>
        </w:tc>
        <w:tc>
          <w:tcPr>
            <w:tcW w:w="640" w:type="dxa"/>
            <w:vAlign w:val="bottom"/>
          </w:tcPr>
          <w:p>
            <w:pPr>
              <w:spacing w:after="0"/>
              <w:rPr>
                <w:sz w:val="24"/>
                <w:szCs w:val="24"/>
                <w:color w:val="auto"/>
              </w:rPr>
            </w:pPr>
          </w:p>
        </w:tc>
        <w:tc>
          <w:tcPr>
            <w:tcW w:w="9880" w:type="dxa"/>
            <w:vAlign w:val="bottom"/>
            <w:gridSpan w:val="22"/>
          </w:tcPr>
          <w:p>
            <w:pPr>
              <w:spacing w:after="0"/>
              <w:rPr>
                <w:sz w:val="20"/>
                <w:szCs w:val="20"/>
                <w:color w:val="auto"/>
              </w:rPr>
            </w:pPr>
            <w:r>
              <w:rPr>
                <w:rFonts w:ascii="Arial" w:cs="Arial" w:eastAsia="Arial" w:hAnsi="Arial"/>
                <w:sz w:val="18"/>
                <w:szCs w:val="18"/>
                <w:color w:val="auto"/>
              </w:rPr>
              <w:t xml:space="preserve">Consent of Vinson &amp; Elkins L.L.P. (contained in </w:t>
            </w:r>
            <w:r>
              <w:rPr>
                <w:rFonts w:ascii="Arial" w:cs="Arial" w:eastAsia="Arial" w:hAnsi="Arial"/>
                <w:sz w:val="18"/>
                <w:szCs w:val="18"/>
                <w:color w:val="0000EE"/>
              </w:rPr>
              <w:t>Exhibit 5.1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w w:val="90"/>
              </w:rPr>
              <w:t>24.1*</w:t>
            </w:r>
          </w:p>
        </w:tc>
        <w:tc>
          <w:tcPr>
            <w:tcW w:w="64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Power of Attorney (included on the signature page to this Registration Statement).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30" w:lineRule="exact"/>
        <w:rPr>
          <w:rFonts w:ascii="Arial" w:cs="Arial" w:eastAsia="Arial" w:hAnsi="Arial"/>
          <w:sz w:val="18"/>
          <w:szCs w:val="18"/>
          <w:color w:val="auto"/>
        </w:rPr>
      </w:pPr>
    </w:p>
    <w:p>
      <w:pPr>
        <w:ind w:left="1620" w:right="100" w:hanging="538"/>
        <w:spacing w:after="0" w:line="254"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7" w:lineRule="exact"/>
        <w:rPr>
          <w:rFonts w:ascii="Arial" w:cs="Arial" w:eastAsia="Arial" w:hAnsi="Arial"/>
          <w:sz w:val="18"/>
          <w:szCs w:val="18"/>
          <w:color w:val="auto"/>
        </w:rPr>
      </w:pPr>
    </w:p>
    <w:p>
      <w:pPr>
        <w:ind w:left="1620" w:right="180" w:hanging="538"/>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80" w:firstLine="383"/>
        <w:spacing w:after="0" w:line="30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1(a), 1(b) and 1(c) of this section do not apply if the information required to be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a post-effective amendment by those paragraphs is contained in reports filed with or furnished to the Commission by the registrant pursuant to section 13 or 15(d) of the Exchange Act of 1934 (the “Exchange Act”) that are incorporated by reference in the registration statement, or is contained in a form of prospectus filed pursuant to Rule 424(b) that is part of the registration statement.</w:t>
      </w:r>
    </w:p>
    <w:p>
      <w:pPr>
        <w:spacing w:after="0" w:line="60" w:lineRule="exact"/>
        <w:rPr>
          <w:sz w:val="20"/>
          <w:szCs w:val="20"/>
          <w:color w:val="auto"/>
        </w:rPr>
      </w:pPr>
    </w:p>
    <w:p>
      <w:pPr>
        <w:jc w:val="both"/>
        <w:ind w:left="1060" w:hanging="424"/>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060" w:right="48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620" w:right="220" w:hanging="538"/>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620" w:hanging="538"/>
        <w:spacing w:after="0" w:line="269"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5" w:lineRule="exact"/>
        <w:rPr>
          <w:rFonts w:ascii="Arial" w:cs="Arial" w:eastAsia="Arial" w:hAnsi="Arial"/>
          <w:sz w:val="17"/>
          <w:szCs w:val="17"/>
          <w:color w:val="auto"/>
        </w:rPr>
      </w:pPr>
    </w:p>
    <w:p>
      <w:pPr>
        <w:ind w:left="1060" w:right="80" w:hanging="424"/>
        <w:spacing w:after="0" w:line="25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620" w:right="140" w:hanging="538"/>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620" w:right="200" w:hanging="538"/>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620" w:right="500" w:hanging="538"/>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59"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8"/>
          <w:szCs w:val="18"/>
          <w:color w:val="auto"/>
        </w:rPr>
      </w:pPr>
    </w:p>
    <w:p>
      <w:pPr>
        <w:ind w:left="1060" w:right="20" w:hanging="424"/>
        <w:spacing w:after="0" w:line="290"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SIGNATORIES</w:t>
      </w:r>
    </w:p>
    <w:p>
      <w:pPr>
        <w:spacing w:after="0" w:line="22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Los Angeles, State of California, on the 11th day of May, 2018.</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Resources Corporation</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Todd A. Stevens</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President and Chief Executive Officer and Director</w:t>
      </w: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Todd A. Stevens, Marshall D. Smith, Michael L. Preston, Jody L. Johnson and Ulrik Damborg, and each of them severally, his true and lawful attorney or attorneys-in-fact and agents, with full power to act with or without the others and with full power of substitution and resubstitution, to execute in his or her name, place and stead, in any and all capacities, any or all amendments (including pre-effective and post-effective amendments)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in the name of on behalf of the undersigned, in any and all capacities, each and every act and thing necessary or desirable to be done in and about the premises, to all intents and purposes and as fully as they might or could do in person, hereby ratifying, approving and confirming all that said attorneys-in-fact and agents or their substitutes may lawfully do or cause to be done by virtue hereof.</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May 11, 2018.</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260" w:type="dxa"/>
            <w:vAlign w:val="bottom"/>
            <w:gridSpan w:val="3"/>
          </w:tcPr>
          <w:p>
            <w:pPr>
              <w:jc w:val="center"/>
              <w:ind w:right="3711"/>
              <w:spacing w:after="0"/>
              <w:rPr>
                <w:sz w:val="20"/>
                <w:szCs w:val="20"/>
                <w:color w:val="auto"/>
              </w:rPr>
            </w:pPr>
            <w:r>
              <w:rPr>
                <w:rFonts w:ascii="Arial" w:cs="Arial" w:eastAsia="Arial" w:hAnsi="Arial"/>
                <w:sz w:val="18"/>
                <w:szCs w:val="18"/>
                <w:b w:val="1"/>
                <w:bCs w:val="1"/>
                <w:color w:val="auto"/>
                <w:w w:val="90"/>
              </w:rPr>
              <w:t>California Resources Corporation</w:t>
            </w:r>
          </w:p>
        </w:tc>
      </w:tr>
      <w:tr>
        <w:trPr>
          <w:trHeight w:val="405"/>
        </w:trPr>
        <w:tc>
          <w:tcPr>
            <w:tcW w:w="3760" w:type="dxa"/>
            <w:vAlign w:val="bottom"/>
            <w:tcBorders>
              <w:bottom w:val="single" w:sz="8" w:color="auto"/>
            </w:tcBorders>
          </w:tcPr>
          <w:p>
            <w:pPr>
              <w:jc w:val="center"/>
              <w:ind w:left="1111"/>
              <w:spacing w:after="0"/>
              <w:rPr>
                <w:sz w:val="20"/>
                <w:szCs w:val="20"/>
                <w:color w:val="auto"/>
              </w:rPr>
            </w:pPr>
            <w:r>
              <w:rPr>
                <w:rFonts w:ascii="Arial" w:cs="Arial" w:eastAsia="Arial" w:hAnsi="Arial"/>
                <w:sz w:val="14"/>
                <w:szCs w:val="14"/>
                <w:b w:val="1"/>
                <w:bCs w:val="1"/>
                <w:color w:val="auto"/>
                <w:w w:val="94"/>
              </w:rPr>
              <w:t>Name</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3760" w:type="dxa"/>
            <w:vAlign w:val="bottom"/>
            <w:tcBorders>
              <w:bottom w:val="single" w:sz="8" w:color="auto"/>
            </w:tcBorders>
          </w:tcPr>
          <w:p>
            <w:pPr>
              <w:jc w:val="center"/>
              <w:ind w:left="1111"/>
              <w:spacing w:after="0"/>
              <w:rPr>
                <w:sz w:val="20"/>
                <w:szCs w:val="20"/>
                <w:color w:val="auto"/>
              </w:rPr>
            </w:pPr>
            <w:r>
              <w:rPr>
                <w:rFonts w:ascii="Arial" w:cs="Arial" w:eastAsia="Arial" w:hAnsi="Arial"/>
                <w:sz w:val="18"/>
                <w:szCs w:val="18"/>
                <w:color w:val="auto"/>
                <w:w w:val="89"/>
              </w:rPr>
              <w:t>/s/ Todd A. Stevens</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24"/>
        </w:trPr>
        <w:tc>
          <w:tcPr>
            <w:tcW w:w="3760" w:type="dxa"/>
            <w:vAlign w:val="bottom"/>
          </w:tcPr>
          <w:p>
            <w:pPr>
              <w:jc w:val="center"/>
              <w:ind w:left="1111"/>
              <w:spacing w:after="0"/>
              <w:rPr>
                <w:sz w:val="20"/>
                <w:szCs w:val="20"/>
                <w:color w:val="auto"/>
              </w:rPr>
            </w:pPr>
            <w:r>
              <w:rPr>
                <w:rFonts w:ascii="Arial" w:cs="Arial" w:eastAsia="Arial" w:hAnsi="Arial"/>
                <w:sz w:val="18"/>
                <w:szCs w:val="18"/>
                <w:color w:val="auto"/>
                <w:w w:val="90"/>
              </w:rPr>
              <w:t>Todd A. Stevens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3760" w:type="dxa"/>
            <w:vAlign w:val="bottom"/>
            <w:tcBorders>
              <w:bottom w:val="single" w:sz="8" w:color="auto"/>
            </w:tcBorders>
          </w:tcPr>
          <w:p>
            <w:pPr>
              <w:jc w:val="center"/>
              <w:ind w:left="1111"/>
              <w:spacing w:after="0"/>
              <w:rPr>
                <w:sz w:val="20"/>
                <w:szCs w:val="20"/>
                <w:color w:val="auto"/>
              </w:rPr>
            </w:pPr>
            <w:r>
              <w:rPr>
                <w:rFonts w:ascii="Arial" w:cs="Arial" w:eastAsia="Arial" w:hAnsi="Arial"/>
                <w:sz w:val="18"/>
                <w:szCs w:val="18"/>
                <w:color w:val="auto"/>
                <w:w w:val="93"/>
              </w:rPr>
              <w:t>/s/ Marshall D. Smith</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Arial" w:cs="Arial" w:eastAsia="Arial" w:hAnsi="Arial"/>
                <w:sz w:val="18"/>
                <w:szCs w:val="18"/>
                <w:color w:val="auto"/>
                <w:w w:val="92"/>
              </w:rPr>
              <w:t xml:space="preserve">Senior Executive Vice President and Chief Financial Officer </w:t>
            </w:r>
            <w:r>
              <w:rPr>
                <w:rFonts w:ascii="Arial" w:cs="Arial" w:eastAsia="Arial" w:hAnsi="Arial"/>
                <w:sz w:val="18"/>
                <w:szCs w:val="18"/>
                <w:i w:val="1"/>
                <w:iCs w:val="1"/>
                <w:color w:val="auto"/>
                <w:w w:val="92"/>
              </w:rPr>
              <w:t>(Principal</w:t>
            </w:r>
          </w:p>
        </w:tc>
      </w:tr>
      <w:tr>
        <w:trPr>
          <w:trHeight w:val="224"/>
        </w:trPr>
        <w:tc>
          <w:tcPr>
            <w:tcW w:w="3760" w:type="dxa"/>
            <w:vAlign w:val="bottom"/>
          </w:tcPr>
          <w:p>
            <w:pPr>
              <w:jc w:val="center"/>
              <w:ind w:left="1111"/>
              <w:spacing w:after="0"/>
              <w:rPr>
                <w:sz w:val="20"/>
                <w:szCs w:val="20"/>
                <w:color w:val="auto"/>
              </w:rPr>
            </w:pPr>
            <w:r>
              <w:rPr>
                <w:rFonts w:ascii="Arial" w:cs="Arial" w:eastAsia="Arial" w:hAnsi="Arial"/>
                <w:sz w:val="18"/>
                <w:szCs w:val="18"/>
                <w:color w:val="auto"/>
                <w:w w:val="92"/>
              </w:rPr>
              <w:t>Marshall D. Smith</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20" w:type="dxa"/>
            <w:vAlign w:val="bottom"/>
          </w:tcPr>
          <w:p>
            <w:pPr>
              <w:ind w:left="2340"/>
              <w:spacing w:after="0"/>
              <w:rPr>
                <w:sz w:val="20"/>
                <w:szCs w:val="20"/>
                <w:color w:val="auto"/>
              </w:rPr>
            </w:pPr>
            <w:r>
              <w:rPr>
                <w:rFonts w:ascii="Arial" w:cs="Arial" w:eastAsia="Arial" w:hAnsi="Arial"/>
                <w:sz w:val="18"/>
                <w:szCs w:val="18"/>
                <w:i w:val="1"/>
                <w:iCs w:val="1"/>
                <w:color w:val="auto"/>
              </w:rPr>
              <w:t>Financial Officer)</w:t>
            </w:r>
          </w:p>
        </w:tc>
      </w:tr>
      <w:tr>
        <w:trPr>
          <w:trHeight w:val="431"/>
        </w:trPr>
        <w:tc>
          <w:tcPr>
            <w:tcW w:w="3760" w:type="dxa"/>
            <w:vAlign w:val="bottom"/>
            <w:tcBorders>
              <w:bottom w:val="single" w:sz="8" w:color="auto"/>
            </w:tcBorders>
          </w:tcPr>
          <w:p>
            <w:pPr>
              <w:jc w:val="center"/>
              <w:ind w:left="1111"/>
              <w:spacing w:after="0"/>
              <w:rPr>
                <w:sz w:val="20"/>
                <w:szCs w:val="20"/>
                <w:color w:val="auto"/>
              </w:rPr>
            </w:pPr>
            <w:r>
              <w:rPr>
                <w:rFonts w:ascii="Arial" w:cs="Arial" w:eastAsia="Arial" w:hAnsi="Arial"/>
                <w:sz w:val="18"/>
                <w:szCs w:val="18"/>
                <w:color w:val="auto"/>
                <w:w w:val="90"/>
              </w:rPr>
              <w:t>/s/ Roy Pineci</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Arial" w:cs="Arial" w:eastAsia="Arial" w:hAnsi="Arial"/>
                <w:sz w:val="18"/>
                <w:szCs w:val="18"/>
                <w:color w:val="auto"/>
                <w:w w:val="90"/>
              </w:rPr>
              <w:t>Executive Vice President – Finance</w:t>
            </w:r>
          </w:p>
        </w:tc>
      </w:tr>
      <w:tr>
        <w:trPr>
          <w:trHeight w:val="224"/>
        </w:trPr>
        <w:tc>
          <w:tcPr>
            <w:tcW w:w="3760" w:type="dxa"/>
            <w:vAlign w:val="bottom"/>
          </w:tcPr>
          <w:p>
            <w:pPr>
              <w:jc w:val="center"/>
              <w:ind w:left="1111"/>
              <w:spacing w:after="0"/>
              <w:rPr>
                <w:sz w:val="20"/>
                <w:szCs w:val="20"/>
                <w:color w:val="auto"/>
              </w:rPr>
            </w:pPr>
            <w:r>
              <w:rPr>
                <w:rFonts w:ascii="Arial" w:cs="Arial" w:eastAsia="Arial" w:hAnsi="Arial"/>
                <w:sz w:val="18"/>
                <w:szCs w:val="18"/>
                <w:color w:val="auto"/>
                <w:w w:val="92"/>
              </w:rPr>
              <w:t>Roy Pineci</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431"/>
        </w:trPr>
        <w:tc>
          <w:tcPr>
            <w:tcW w:w="3760" w:type="dxa"/>
            <w:vAlign w:val="bottom"/>
            <w:tcBorders>
              <w:bottom w:val="single" w:sz="8" w:color="auto"/>
            </w:tcBorders>
          </w:tcPr>
          <w:p>
            <w:pPr>
              <w:jc w:val="center"/>
              <w:ind w:left="1111"/>
              <w:spacing w:after="0"/>
              <w:rPr>
                <w:sz w:val="20"/>
                <w:szCs w:val="20"/>
                <w:color w:val="auto"/>
              </w:rPr>
            </w:pPr>
            <w:r>
              <w:rPr>
                <w:rFonts w:ascii="Arial" w:cs="Arial" w:eastAsia="Arial" w:hAnsi="Arial"/>
                <w:sz w:val="18"/>
                <w:szCs w:val="18"/>
                <w:color w:val="auto"/>
                <w:w w:val="95"/>
              </w:rPr>
              <w:t>/s/ William E. Albrecht</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Arial" w:cs="Arial" w:eastAsia="Arial" w:hAnsi="Arial"/>
                <w:sz w:val="18"/>
                <w:szCs w:val="18"/>
                <w:color w:val="auto"/>
                <w:w w:val="90"/>
              </w:rPr>
              <w:t>Chairman of the Board</w:t>
            </w:r>
          </w:p>
        </w:tc>
      </w:tr>
      <w:tr>
        <w:trPr>
          <w:trHeight w:val="224"/>
        </w:trPr>
        <w:tc>
          <w:tcPr>
            <w:tcW w:w="3760" w:type="dxa"/>
            <w:vAlign w:val="bottom"/>
          </w:tcPr>
          <w:p>
            <w:pPr>
              <w:jc w:val="center"/>
              <w:ind w:left="1131"/>
              <w:spacing w:after="0"/>
              <w:rPr>
                <w:sz w:val="20"/>
                <w:szCs w:val="20"/>
                <w:color w:val="auto"/>
              </w:rPr>
            </w:pPr>
            <w:r>
              <w:rPr>
                <w:rFonts w:ascii="Arial" w:cs="Arial" w:eastAsia="Arial" w:hAnsi="Arial"/>
                <w:sz w:val="18"/>
                <w:szCs w:val="18"/>
                <w:color w:val="auto"/>
                <w:w w:val="96"/>
              </w:rPr>
              <w:t>William E. Albrecht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3760" w:type="dxa"/>
            <w:vAlign w:val="bottom"/>
            <w:tcBorders>
              <w:bottom w:val="single" w:sz="8" w:color="auto"/>
            </w:tcBorders>
          </w:tcPr>
          <w:p>
            <w:pPr>
              <w:jc w:val="center"/>
              <w:ind w:left="1111"/>
              <w:spacing w:after="0"/>
              <w:rPr>
                <w:sz w:val="20"/>
                <w:szCs w:val="20"/>
                <w:color w:val="auto"/>
              </w:rPr>
            </w:pPr>
            <w:r>
              <w:rPr>
                <w:rFonts w:ascii="Arial" w:cs="Arial" w:eastAsia="Arial" w:hAnsi="Arial"/>
                <w:sz w:val="18"/>
                <w:szCs w:val="18"/>
                <w:color w:val="auto"/>
                <w:w w:val="91"/>
              </w:rPr>
              <w:t>/s/ Justin A. Gannon</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760" w:type="dxa"/>
            <w:vAlign w:val="bottom"/>
          </w:tcPr>
          <w:p>
            <w:pPr>
              <w:jc w:val="center"/>
              <w:ind w:left="1111"/>
              <w:spacing w:after="0"/>
              <w:rPr>
                <w:sz w:val="20"/>
                <w:szCs w:val="20"/>
                <w:color w:val="auto"/>
              </w:rPr>
            </w:pPr>
            <w:r>
              <w:rPr>
                <w:rFonts w:ascii="Arial" w:cs="Arial" w:eastAsia="Arial" w:hAnsi="Arial"/>
                <w:sz w:val="18"/>
                <w:szCs w:val="18"/>
                <w:color w:val="auto"/>
                <w:w w:val="89"/>
              </w:rPr>
              <w:t>Justin A. Gannon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3760" w:type="dxa"/>
            <w:vAlign w:val="bottom"/>
            <w:tcBorders>
              <w:bottom w:val="single" w:sz="8" w:color="auto"/>
            </w:tcBorders>
          </w:tcPr>
          <w:p>
            <w:pPr>
              <w:jc w:val="center"/>
              <w:ind w:left="1111"/>
              <w:spacing w:after="0"/>
              <w:rPr>
                <w:sz w:val="20"/>
                <w:szCs w:val="20"/>
                <w:color w:val="auto"/>
              </w:rPr>
            </w:pPr>
            <w:r>
              <w:rPr>
                <w:rFonts w:ascii="Arial" w:cs="Arial" w:eastAsia="Arial" w:hAnsi="Arial"/>
                <w:sz w:val="18"/>
                <w:szCs w:val="18"/>
                <w:color w:val="auto"/>
                <w:w w:val="96"/>
              </w:rPr>
              <w:t>/s/ Harold M. Korell</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760" w:type="dxa"/>
            <w:vAlign w:val="bottom"/>
          </w:tcPr>
          <w:p>
            <w:pPr>
              <w:jc w:val="center"/>
              <w:ind w:left="1111"/>
              <w:spacing w:after="0"/>
              <w:rPr>
                <w:sz w:val="20"/>
                <w:szCs w:val="20"/>
                <w:color w:val="auto"/>
              </w:rPr>
            </w:pPr>
            <w:r>
              <w:rPr>
                <w:rFonts w:ascii="Arial" w:cs="Arial" w:eastAsia="Arial" w:hAnsi="Arial"/>
                <w:sz w:val="18"/>
                <w:szCs w:val="18"/>
                <w:color w:val="auto"/>
                <w:w w:val="96"/>
              </w:rPr>
              <w:t>Harold M. Korell</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3760" w:type="dxa"/>
            <w:vAlign w:val="bottom"/>
            <w:tcBorders>
              <w:bottom w:val="single" w:sz="8" w:color="auto"/>
            </w:tcBorders>
          </w:tcPr>
          <w:p>
            <w:pPr>
              <w:jc w:val="center"/>
              <w:ind w:left="1131"/>
              <w:spacing w:after="0"/>
              <w:rPr>
                <w:sz w:val="20"/>
                <w:szCs w:val="20"/>
                <w:color w:val="auto"/>
              </w:rPr>
            </w:pPr>
            <w:r>
              <w:rPr>
                <w:rFonts w:ascii="Arial" w:cs="Arial" w:eastAsia="Arial" w:hAnsi="Arial"/>
                <w:sz w:val="18"/>
                <w:szCs w:val="18"/>
                <w:color w:val="auto"/>
                <w:w w:val="93"/>
              </w:rPr>
              <w:t>/s/ Harry T. McMahon</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760" w:type="dxa"/>
            <w:vAlign w:val="bottom"/>
          </w:tcPr>
          <w:p>
            <w:pPr>
              <w:jc w:val="center"/>
              <w:ind w:left="1111"/>
              <w:spacing w:after="0"/>
              <w:rPr>
                <w:sz w:val="20"/>
                <w:szCs w:val="20"/>
                <w:color w:val="auto"/>
              </w:rPr>
            </w:pPr>
            <w:r>
              <w:rPr>
                <w:rFonts w:ascii="Arial" w:cs="Arial" w:eastAsia="Arial" w:hAnsi="Arial"/>
                <w:sz w:val="18"/>
                <w:szCs w:val="18"/>
                <w:color w:val="auto"/>
                <w:w w:val="93"/>
              </w:rPr>
              <w:t>Harry T. McMahon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3760" w:type="dxa"/>
            <w:vAlign w:val="bottom"/>
            <w:tcBorders>
              <w:bottom w:val="single" w:sz="8" w:color="auto"/>
            </w:tcBorders>
          </w:tcPr>
          <w:p>
            <w:pPr>
              <w:jc w:val="center"/>
              <w:ind w:left="1131"/>
              <w:spacing w:after="0"/>
              <w:rPr>
                <w:sz w:val="20"/>
                <w:szCs w:val="20"/>
                <w:color w:val="auto"/>
              </w:rPr>
            </w:pPr>
            <w:r>
              <w:rPr>
                <w:rFonts w:ascii="Arial" w:cs="Arial" w:eastAsia="Arial" w:hAnsi="Arial"/>
                <w:sz w:val="18"/>
                <w:szCs w:val="18"/>
                <w:color w:val="auto"/>
                <w:w w:val="93"/>
              </w:rPr>
              <w:t>/s/ Richard W. Moncrief</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760" w:type="dxa"/>
            <w:vAlign w:val="bottom"/>
          </w:tcPr>
          <w:p>
            <w:pPr>
              <w:jc w:val="center"/>
              <w:ind w:left="1111"/>
              <w:spacing w:after="0"/>
              <w:rPr>
                <w:sz w:val="20"/>
                <w:szCs w:val="20"/>
                <w:color w:val="auto"/>
              </w:rPr>
            </w:pPr>
            <w:r>
              <w:rPr>
                <w:rFonts w:ascii="Arial" w:cs="Arial" w:eastAsia="Arial" w:hAnsi="Arial"/>
                <w:sz w:val="18"/>
                <w:szCs w:val="18"/>
                <w:color w:val="auto"/>
                <w:w w:val="93"/>
              </w:rPr>
              <w:t>Richard W. Moncrief</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3760" w:type="dxa"/>
            <w:vAlign w:val="bottom"/>
            <w:tcBorders>
              <w:bottom w:val="single" w:sz="8" w:color="auto"/>
            </w:tcBorders>
          </w:tcPr>
          <w:p>
            <w:pPr>
              <w:jc w:val="center"/>
              <w:ind w:left="1131"/>
              <w:spacing w:after="0"/>
              <w:rPr>
                <w:sz w:val="20"/>
                <w:szCs w:val="20"/>
                <w:color w:val="auto"/>
              </w:rPr>
            </w:pPr>
            <w:r>
              <w:rPr>
                <w:rFonts w:ascii="Arial" w:cs="Arial" w:eastAsia="Arial" w:hAnsi="Arial"/>
                <w:sz w:val="18"/>
                <w:szCs w:val="18"/>
                <w:color w:val="auto"/>
                <w:w w:val="92"/>
              </w:rPr>
              <w:t>/s/ Avedick B. Poladian</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760" w:type="dxa"/>
            <w:vAlign w:val="bottom"/>
          </w:tcPr>
          <w:p>
            <w:pPr>
              <w:jc w:val="center"/>
              <w:ind w:left="1111"/>
              <w:spacing w:after="0"/>
              <w:rPr>
                <w:sz w:val="20"/>
                <w:szCs w:val="20"/>
                <w:color w:val="auto"/>
              </w:rPr>
            </w:pPr>
            <w:r>
              <w:rPr>
                <w:rFonts w:ascii="Arial" w:cs="Arial" w:eastAsia="Arial" w:hAnsi="Arial"/>
                <w:sz w:val="18"/>
                <w:szCs w:val="18"/>
                <w:color w:val="auto"/>
                <w:w w:val="92"/>
              </w:rPr>
              <w:t>Avedick B. Poladian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3760" w:type="dxa"/>
            <w:vAlign w:val="bottom"/>
            <w:tcBorders>
              <w:bottom w:val="single" w:sz="8" w:color="auto"/>
            </w:tcBorders>
          </w:tcPr>
          <w:p>
            <w:pPr>
              <w:jc w:val="center"/>
              <w:ind w:left="1111"/>
              <w:spacing w:after="0"/>
              <w:rPr>
                <w:sz w:val="20"/>
                <w:szCs w:val="20"/>
                <w:color w:val="auto"/>
              </w:rPr>
            </w:pPr>
            <w:r>
              <w:rPr>
                <w:rFonts w:ascii="Arial" w:cs="Arial" w:eastAsia="Arial" w:hAnsi="Arial"/>
                <w:sz w:val="18"/>
                <w:szCs w:val="18"/>
                <w:color w:val="auto"/>
                <w:w w:val="92"/>
              </w:rPr>
              <w:t>/s/ Anita M. Powers</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3760" w:type="dxa"/>
            <w:vAlign w:val="bottom"/>
          </w:tcPr>
          <w:p>
            <w:pPr>
              <w:jc w:val="center"/>
              <w:ind w:left="1131"/>
              <w:spacing w:after="0"/>
              <w:rPr>
                <w:sz w:val="20"/>
                <w:szCs w:val="20"/>
                <w:color w:val="auto"/>
              </w:rPr>
            </w:pPr>
            <w:r>
              <w:rPr>
                <w:rFonts w:ascii="Arial" w:cs="Arial" w:eastAsia="Arial" w:hAnsi="Arial"/>
                <w:sz w:val="18"/>
                <w:szCs w:val="18"/>
                <w:color w:val="auto"/>
                <w:w w:val="93"/>
              </w:rPr>
              <w:t>Anita M. Powers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364"/>
        </w:trPr>
        <w:tc>
          <w:tcPr>
            <w:tcW w:w="3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jc w:val="center"/>
              <w:ind w:right="5151"/>
              <w:spacing w:after="0"/>
              <w:rPr>
                <w:sz w:val="20"/>
                <w:szCs w:val="20"/>
                <w:color w:val="auto"/>
              </w:rPr>
            </w:pPr>
            <w:r>
              <w:rPr>
                <w:rFonts w:ascii="Arial" w:cs="Arial" w:eastAsia="Arial" w:hAnsi="Arial"/>
                <w:sz w:val="18"/>
                <w:szCs w:val="18"/>
                <w:color w:val="auto"/>
                <w:w w:val="99"/>
              </w:rPr>
              <w:t>II-7</w:t>
            </w:r>
          </w:p>
        </w:tc>
      </w:tr>
    </w:tbl>
    <w:p>
      <w:pPr>
        <w:sectPr>
          <w:pgSz w:w="11900" w:h="16838" w:orient="portrait"/>
          <w:cols w:equalWidth="0" w:num="1">
            <w:col w:w="11240"/>
          </w:cols>
          <w:pgMar w:left="240" w:top="459" w:right="4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45796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14579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May 11,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9200 Oakdale Avenue,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91311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firstLine="441"/>
        <w:spacing w:after="0" w:line="277" w:lineRule="auto"/>
        <w:rPr>
          <w:sz w:val="20"/>
          <w:szCs w:val="20"/>
          <w:color w:val="auto"/>
        </w:rPr>
      </w:pPr>
      <w:r>
        <w:rPr>
          <w:rFonts w:ascii="Arial" w:cs="Arial" w:eastAsia="Arial" w:hAnsi="Arial"/>
          <w:sz w:val="17"/>
          <w:szCs w:val="17"/>
          <w:color w:val="auto"/>
        </w:rPr>
        <w:t>We have acted as counsel to California Resources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preparation and filing of a registration statement on Form S-3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on the date hereof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in connection with the registration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relating to the proposed offer and sale from time to time (the “</w:t>
      </w:r>
      <w:r>
        <w:rPr>
          <w:rFonts w:ascii="Arial" w:cs="Arial" w:eastAsia="Arial" w:hAnsi="Arial"/>
          <w:sz w:val="17"/>
          <w:szCs w:val="17"/>
          <w:b w:val="1"/>
          <w:bCs w:val="1"/>
          <w:color w:val="auto"/>
        </w:rPr>
        <w:t>Offering</w:t>
      </w:r>
      <w:r>
        <w:rPr>
          <w:rFonts w:ascii="Arial" w:cs="Arial" w:eastAsia="Arial" w:hAnsi="Arial"/>
          <w:sz w:val="17"/>
          <w:szCs w:val="17"/>
          <w:color w:val="auto"/>
        </w:rPr>
        <w:t>”) by the selling stockholder named in the Registration Statement (the “</w:t>
      </w:r>
      <w:r>
        <w:rPr>
          <w:rFonts w:ascii="Arial" w:cs="Arial" w:eastAsia="Arial" w:hAnsi="Arial"/>
          <w:sz w:val="17"/>
          <w:szCs w:val="17"/>
          <w:b w:val="1"/>
          <w:bCs w:val="1"/>
          <w:color w:val="auto"/>
        </w:rPr>
        <w:t>Selling Stockholder</w:t>
      </w:r>
      <w:r>
        <w:rPr>
          <w:rFonts w:ascii="Arial" w:cs="Arial" w:eastAsia="Arial" w:hAnsi="Arial"/>
          <w:sz w:val="17"/>
          <w:szCs w:val="17"/>
          <w:color w:val="auto"/>
        </w:rPr>
        <w:t>”) of up to 2,850,000 shares of common stock, par value $0.01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172" w:lineRule="exact"/>
        <w:rPr>
          <w:sz w:val="20"/>
          <w:szCs w:val="20"/>
          <w:color w:val="auto"/>
        </w:rPr>
      </w:pPr>
    </w:p>
    <w:p>
      <w:pPr>
        <w:ind w:right="120" w:firstLine="441"/>
        <w:spacing w:after="0" w:line="253" w:lineRule="auto"/>
        <w:rPr>
          <w:sz w:val="20"/>
          <w:szCs w:val="20"/>
          <w:color w:val="auto"/>
        </w:rPr>
      </w:pPr>
      <w:r>
        <w:rPr>
          <w:rFonts w:ascii="Arial" w:cs="Arial" w:eastAsia="Arial" w:hAnsi="Arial"/>
          <w:sz w:val="18"/>
          <w:szCs w:val="18"/>
          <w:color w:val="auto"/>
        </w:rPr>
        <w:t>In connection with the opinion expressed herein, we have examined, among other things, (i) the Amended and Restated Certificate of Incorporation and the Amended and Restated Bylaws of the Company, (ii) the records of corporate proceedings that have occurred prior to the date hereof with respect to the Offering, (iii) the Registration Statement and (iv) such other certificates, instruments and documents as we considered appropriate for purposes of the opinion hereafter expressed.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without further investigation as to the facts set forth therein. We have also assumed the genuineness of all signatures, the legal capacity of all natural persons, the authenticity of all documents submitted to us as originals and the conformity to original documents of all documents submitted to us as copies.</w:t>
      </w:r>
    </w:p>
    <w:p>
      <w:pPr>
        <w:spacing w:after="0" w:line="19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Based upon the foregoing and subject to the assumptions, qualifications, limitations and exceptions set forth herein, we are of the opinion that the Common Stock has been validly issued and is fully paid and nonassessable.</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foregoing opinions are limited in all respects to the General Corporation Law of the State of Delaware (including the applicable provisions of the Delaware Constitution and the reported judicial decisions interpreting these laws) and the federal laws of the United States of America, and we do not express any opinions as to the laws of any other jurisdiction.</w:t>
      </w:r>
    </w:p>
    <w:p>
      <w:pPr>
        <w:sectPr>
          <w:pgSz w:w="11900" w:h="16838" w:orient="portrait"/>
          <w:cols w:equalWidth="0" w:num="1">
            <w:col w:w="11020"/>
          </w:cols>
          <w:pgMar w:left="440" w:top="121" w:right="4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Vinson &amp; Elkins LLP Attorneys at Law</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Austin Beijing Dallas Dubai Hong Kong Houston London Moscow New York</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Richmond Riyadh San Francisco Taipei Tokyo Washington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1001 Fannin Street, Suite 2500</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Houston, TX 77002-6760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Tel </w:t>
      </w:r>
      <w:r>
        <w:rPr>
          <w:rFonts w:ascii="Arial" w:cs="Arial" w:eastAsia="Arial" w:hAnsi="Arial"/>
          <w:sz w:val="14"/>
          <w:szCs w:val="14"/>
          <w:color w:val="auto"/>
        </w:rPr>
        <w:t>+1.713.758.2222</w:t>
      </w:r>
      <w:r>
        <w:rPr>
          <w:rFonts w:ascii="Arial" w:cs="Arial" w:eastAsia="Arial" w:hAnsi="Arial"/>
          <w:sz w:val="14"/>
          <w:szCs w:val="14"/>
          <w:b w:val="1"/>
          <w:bCs w:val="1"/>
          <w:color w:val="auto"/>
        </w:rPr>
        <w:t xml:space="preserve"> Fax </w:t>
      </w:r>
      <w:r>
        <w:rPr>
          <w:rFonts w:ascii="Arial" w:cs="Arial" w:eastAsia="Arial" w:hAnsi="Arial"/>
          <w:sz w:val="14"/>
          <w:szCs w:val="14"/>
          <w:color w:val="auto"/>
        </w:rPr>
        <w:t>+1.713.758.2346</w:t>
      </w:r>
      <w:r>
        <w:rPr>
          <w:rFonts w:ascii="Arial" w:cs="Arial" w:eastAsia="Arial" w:hAnsi="Arial"/>
          <w:sz w:val="14"/>
          <w:szCs w:val="14"/>
          <w:b w:val="1"/>
          <w:bCs w:val="1"/>
          <w:color w:val="auto"/>
        </w:rPr>
        <w:t xml:space="preserve"> www</w:t>
      </w:r>
      <w:r>
        <w:rPr>
          <w:rFonts w:ascii="Arial" w:cs="Arial" w:eastAsia="Arial" w:hAnsi="Arial"/>
          <w:sz w:val="14"/>
          <w:szCs w:val="14"/>
          <w:color w:val="auto"/>
        </w:rPr>
        <w:t>.</w:t>
      </w:r>
      <w:r>
        <w:rPr>
          <w:rFonts w:ascii="Arial" w:cs="Arial" w:eastAsia="Arial" w:hAnsi="Arial"/>
          <w:sz w:val="14"/>
          <w:szCs w:val="14"/>
          <w:b w:val="1"/>
          <w:bCs w:val="1"/>
          <w:color w:val="auto"/>
        </w:rPr>
        <w:t>velaw.com</w:t>
      </w:r>
    </w:p>
    <w:p>
      <w:pPr>
        <w:sectPr>
          <w:pgSz w:w="11900" w:h="16838" w:orient="portrait"/>
          <w:cols w:equalWidth="0" w:num="2">
            <w:col w:w="5140" w:space="720"/>
            <w:col w:w="5160"/>
          </w:cols>
          <w:pgMar w:left="440" w:top="121" w:right="439" w:bottom="1440" w:gutter="0" w:footer="0" w:header="0"/>
          <w:type w:val="continuous"/>
        </w:sectPr>
      </w:pPr>
    </w:p>
    <w:bookmarkStart w:id="25" w:name="page26"/>
    <w:bookmarkEnd w:id="25"/>
    <w:p>
      <w:pPr>
        <w:ind w:left="95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11, 2018 Page 2</w:t>
      </w:r>
    </w:p>
    <w:p>
      <w:pPr>
        <w:spacing w:after="0" w:line="26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forming a part of the Registration Statement and to the filing of this opinion as an exhibit to the Registration Statement, but we do not thereby admit that we are within the category of persons whose consent is required under the provisions of the Securities Act.</w:t>
      </w:r>
    </w:p>
    <w:p>
      <w:pPr>
        <w:spacing w:after="0" w:line="1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020"/>
          </w:cols>
          <w:pgMar w:left="440" w:top="274"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the use of our report dated February 26, 2018, with respect to the consolidated balance sheets of California Resources Corporation and subsidiaries as of December 31, 2017 and 2016, and the related consolidated statements of operations, comprehensive income, equity and cash flows for each of the years in the three-year period ended December 31, 2017, and the related notes (collectively, the consolidated financial statements), and the effectiveness of internal control over financial reporting as of December 31, 2017, incorporated herein by reference and to the reference to our firm under the heading “Experts” in the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11, 2018</w:t>
      </w:r>
    </w:p>
    <w:p>
      <w:pPr>
        <w:sectPr>
          <w:pgSz w:w="11900" w:h="16838" w:orient="portrait"/>
          <w:cols w:equalWidth="0" w:num="1">
            <w:col w:w="11020"/>
          </w:cols>
          <w:pgMar w:left="440" w:top="125"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Petroleum Engineers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0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hereby consent to the incorporation by reference into this Registration Statement on Form S-3 of references to our name and to our letter dated February 13, 2018 relating to our audit of California Resources Corporation’s 2017 oil and gas proved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RYDER SCOTT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TBPE Firm Registration No. F-1580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11, 2018</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2"/>
    </w:lvl>
    <w:lvl w:ilvl="1">
      <w:lvlJc w:val="left"/>
      <w:lvlText w:val="%2."/>
      <w:numFmt w:val="lowerLetter"/>
      <w:start w:val="1"/>
    </w:lvl>
  </w:abstractNum>
  <w:abstractNum w:abstractNumId="16">
    <w:nsid w:val="25E45D3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0"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jpeg"/><Relationship Id="rId60" Type="http://schemas.openxmlformats.org/officeDocument/2006/relationships/image" Target="media/image40.png"/><Relationship Id="rId39" Type="http://schemas.openxmlformats.org/officeDocument/2006/relationships/hyperlink" Target="http://www.sec.gov/Archives/edgar/data/1609253/000110465914084170/a14-25233_1ex2d1.htm" TargetMode="External"/><Relationship Id="rId40" Type="http://schemas.openxmlformats.org/officeDocument/2006/relationships/hyperlink" Target="http://www.sec.gov/Archives/edgar/data/1609253/000160925316000271/exhibit31.htm" TargetMode="External"/><Relationship Id="rId41" Type="http://schemas.openxmlformats.org/officeDocument/2006/relationships/hyperlink" Target="http://www.sec.gov/Archives/edgar/data/1609253/000160925315000168/exhibit32amendedandrestate.htm" TargetMode="External"/><Relationship Id="rId42" Type="http://schemas.openxmlformats.org/officeDocument/2006/relationships/hyperlink" Target="http://www.sec.gov/Archives/edgar/data/1609253/000104746914008184/a2221677zex-4_2.htm" TargetMode="External"/><Relationship Id="rId43" Type="http://schemas.openxmlformats.org/officeDocument/2006/relationships/hyperlink" Target="http://www.sec.gov/Archives/edgar/data/1609253/000160925315000179/crcexchangeindenture.htm" TargetMode="External"/><Relationship Id="rId44" Type="http://schemas.openxmlformats.org/officeDocument/2006/relationships/hyperlink" Target="http://www.sec.gov/Archives/edgar/data/1609253/000160925315000027/exh42guarantorsupplemental.htm" TargetMode="External"/><Relationship Id="rId45" Type="http://schemas.openxmlformats.org/officeDocument/2006/relationships/hyperlink" Target="http://www.sec.gov/Archives/edgar/data/1609253/000160925316000305/a2016q2exhibit41.htm" TargetMode="External"/><Relationship Id="rId46" Type="http://schemas.openxmlformats.org/officeDocument/2006/relationships/hyperlink" Target="http://www.sec.gov/Archives/edgar/data/1609253/000160925316000305/a2016q2exhibit42.htm" TargetMode="External"/><Relationship Id="rId47" Type="http://schemas.openxmlformats.org/officeDocument/2006/relationships/hyperlink" Target="http://www.sec.gov/Archives/edgar/data/1609253/000160925316000305/a2016q2exhibit104.htm" TargetMode="External"/><Relationship Id="rId48" Type="http://schemas.openxmlformats.org/officeDocument/2006/relationships/hyperlink" Target="http://www.sec.gov/Archives/edgar/data/1609253/000160925315000027/exhibit1031assumptionagree.htm" TargetMode="External"/><Relationship Id="rId49" Type="http://schemas.openxmlformats.org/officeDocument/2006/relationships/hyperlink" Target="http://www.sec.gov/Archives/edgar/data/1609253/000104746914008184/a2221677zex-4_3.htm" TargetMode="External"/><Relationship Id="rId51" Type="http://schemas.openxmlformats.org/officeDocument/2006/relationships/hyperlink" Target="http://www.sec.gov/Archives/edgar/data/1609253/000160925318000004/ex1052-7x20188k.htm" TargetMode="External"/><Relationship Id="rId52" Type="http://schemas.openxmlformats.org/officeDocument/2006/relationships/hyperlink" Target="http://www.sec.gov/Archives/edgar/data/1609253/000160925318000051/registrationrights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2019-12-08T10:33:41Z</dcterms:created>
  <dcterms:modified xsi:type="dcterms:W3CDTF">2019-12-08T10:33:41Z</dcterms:modified>
</cp:coreProperties>
</file>