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Bys Jay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03/22/2022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385"/>
        <w:spacing w:after="0"/>
        <w:rPr>
          <w:sz w:val="20"/>
          <w:szCs w:val="20"/>
          <w:color w:val="auto"/>
        </w:rPr>
      </w:pPr>
      <w:r>
        <w:rPr>
          <w:rFonts w:ascii="Arial" w:cs="Arial" w:eastAsia="Arial" w:hAnsi="Arial"/>
          <w:sz w:val="17"/>
          <w:szCs w:val="17"/>
          <w:color w:val="0000FF"/>
        </w:rPr>
        <w:t>EVP &amp; Chief Commercial Officer</w:t>
      </w:r>
    </w:p>
    <w:p>
      <w:pPr>
        <w:spacing w:after="0" w:line="32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70"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LONG BEACH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03/22/2022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616</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44.63</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60,693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restricted stock units ("RSUs") surrendered to satisfy tax withholding for RSUs vested on January 25, 2022. Each RSU represents a contingent right to receive one share of common stock of the Issuer. Subject to certain exceptions, RSUs will be settled in shares of Common Stock within 45 days following January 25, 2024.</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Ulrik Damborg,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03/24/2022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 for Jay A. Bys</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0787"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2022-03-24T15:27:27Z</dcterms:created>
  <dcterms:modified xsi:type="dcterms:W3CDTF">2022-03-24T15:27:27Z</dcterms:modified>
</cp:coreProperties>
</file>