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Repetti Noelle M.</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27200 TOURNEY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01/25/2021</w:t>
      </w:r>
    </w:p>
    <w:p>
      <w:pPr>
        <w:spacing w:after="0" w:line="20" w:lineRule="exact"/>
        <w:rPr>
          <w:sz w:val="24"/>
          <w:szCs w:val="24"/>
          <w:color w:val="auto"/>
        </w:rPr>
      </w:pPr>
      <w:r>
        <w:rPr>
          <w:sz w:val="24"/>
          <w:szCs w:val="24"/>
          <w:color w:val="auto"/>
        </w:rPr>
        <w:br w:type="column"/>
      </w:r>
    </w:p>
    <w:p>
      <w:pPr>
        <w:ind w:left="-9" w:right="660" w:firstLine="9"/>
        <w:spacing w:after="0" w:line="25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1"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91"/>
        <w:spacing w:after="0"/>
        <w:rPr>
          <w:sz w:val="20"/>
          <w:szCs w:val="20"/>
          <w:color w:val="auto"/>
        </w:rPr>
      </w:pPr>
      <w:r>
        <w:rPr>
          <w:rFonts w:ascii="Times New Roman" w:cs="Times New Roman" w:eastAsia="Times New Roman" w:hAnsi="Times New Roman"/>
          <w:sz w:val="17"/>
          <w:szCs w:val="17"/>
          <w:color w:val="0000FF"/>
        </w:rPr>
        <w:t>Vice President and Controller</w:t>
      </w:r>
    </w:p>
    <w:p>
      <w:pPr>
        <w:spacing w:after="0" w:line="327" w:lineRule="exact"/>
        <w:rPr>
          <w:sz w:val="24"/>
          <w:szCs w:val="24"/>
          <w:color w:val="auto"/>
        </w:rPr>
      </w:pPr>
    </w:p>
    <w:p>
      <w:pPr>
        <w:sectPr>
          <w:pgSz w:w="11900" w:h="16838" w:orient="portrait"/>
          <w:cols w:equalWidth="0" w:num="3">
            <w:col w:w="3180" w:space="720"/>
            <w:col w:w="3109" w:space="720"/>
            <w:col w:w="3351"/>
          </w:cols>
          <w:pgMar w:left="460" w:top="217" w:right="359" w:bottom="1440" w:gutter="0" w:footer="0" w:header="0"/>
          <w:type w:val="continuous"/>
        </w:sectPr>
      </w:pP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1"/>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SANTA</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8"/>
                <w:szCs w:val="8"/>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91355</w:t>
            </w: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w w:val="81"/>
              </w:rPr>
              <w:t>X</w:t>
            </w: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4"/>
              </w:rPr>
              <w:t>CLARITA</w:t>
            </w:r>
          </w:p>
        </w:tc>
        <w:tc>
          <w:tcPr>
            <w:tcW w:w="7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8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6"/>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80" w:type="dxa"/>
            <w:vAlign w:val="bottom"/>
            <w:gridSpan w:val="2"/>
          </w:tcPr>
          <w:p>
            <w:pPr>
              <w:ind w:left="840"/>
              <w:spacing w:after="0" w:line="12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ind w:left="60"/>
              <w:spacing w:after="0" w:line="12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01/25/2021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17,947</w:t>
            </w:r>
          </w:p>
        </w:tc>
        <w:tc>
          <w:tcPr>
            <w:tcW w:w="6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17,947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80" w:type="dxa"/>
            <w:vAlign w:val="bottom"/>
            <w:gridSpan w:val="12"/>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8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01/25/2021</w:t>
            </w: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17,947</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17,947</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17,947</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-2971800</wp:posOffset>
            </wp:positionV>
            <wp:extent cx="7034530" cy="2981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981325"/>
                    </a:xfrm>
                    <a:prstGeom prst="rect">
                      <a:avLst/>
                    </a:prstGeom>
                    <a:noFill/>
                  </pic:spPr>
                </pic:pic>
              </a:graphicData>
            </a:graphic>
          </wp:anchor>
        </w:drawing>
      </w:r>
    </w:p>
    <w:p>
      <w:pPr>
        <w:spacing w:after="0" w:line="1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38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within 45 days following the third anniversary of the grant date.</w:t>
      </w:r>
    </w:p>
    <w:p>
      <w:pPr>
        <w:spacing w:after="0" w:line="18" w:lineRule="exact"/>
        <w:rPr>
          <w:rFonts w:ascii="Times New Roman" w:cs="Times New Roman" w:eastAsia="Times New Roman" w:hAnsi="Times New Roman"/>
          <w:sz w:val="13"/>
          <w:szCs w:val="13"/>
          <w:color w:val="008000"/>
        </w:rPr>
      </w:pPr>
    </w:p>
    <w:p>
      <w:pPr>
        <w:ind w:left="40" w:right="2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target number of performance stock units ("PSUs"). Each PSU represents a contingent right to receive one share of Common Stock. The actual number of PSUs that vest and become earned is based on the volume-weighted average price of a share of Common Stock as determined over any 60 consecutive trading days during the three-year performance period, and, subject to certain exceptions, will be settled in shares of Common Stock within 45 days following the end of the three-year performance period.</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3"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Noelle M. Repetti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16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696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15053"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2021-01-27T15:43:43Z</dcterms:created>
  <dcterms:modified xsi:type="dcterms:W3CDTF">2021-01-27T15:43:43Z</dcterms:modified>
</cp:coreProperties>
</file>