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4929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92950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McFarland Mark Allen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California Resources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CRC</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04/28/2023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8"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LONG BEACH</w:t>
            </w:r>
          </w:p>
        </w:tc>
        <w:tc>
          <w:tcPr>
            <w:tcW w:w="880" w:type="dxa"/>
            <w:vAlign w:val="bottom"/>
          </w:tcPr>
          <w:p>
            <w:pPr>
              <w:ind w:left="8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90831</w:t>
            </w:r>
          </w:p>
        </w:tc>
      </w:tr>
      <w:tr>
        <w:trPr>
          <w:trHeight w:val="147"/>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8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2"/>
          </w:tcPr>
          <w:p>
            <w:pPr>
              <w:jc w:val="center"/>
              <w:ind w:left="612"/>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12"/>
              <w:spacing w:after="0"/>
              <w:rPr>
                <w:sz w:val="20"/>
                <w:szCs w:val="20"/>
                <w:color w:val="auto"/>
              </w:rPr>
            </w:pPr>
            <w:r>
              <w:rPr>
                <w:rFonts w:ascii="Arial" w:cs="Arial" w:eastAsia="Arial" w:hAnsi="Arial"/>
                <w:sz w:val="16"/>
                <w:szCs w:val="16"/>
                <w:color w:val="0000FF"/>
                <w:w w:val="92"/>
              </w:rPr>
              <w:t>04/28/2023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9"/>
                <w:vertAlign w:val="subscript"/>
              </w:rPr>
              <w:t>A</w:t>
            </w:r>
            <w:r>
              <w:rPr>
                <w:rFonts w:ascii="Arial" w:cs="Arial" w:eastAsia="Arial" w:hAnsi="Arial"/>
                <w:sz w:val="11"/>
                <w:szCs w:val="11"/>
                <w:color w:val="008000"/>
                <w:w w:val="89"/>
              </w:rPr>
              <w:t>(1)</w:t>
            </w:r>
          </w:p>
        </w:tc>
        <w:tc>
          <w:tcPr>
            <w:tcW w:w="700" w:type="dxa"/>
            <w:vAlign w:val="bottom"/>
            <w:tcBorders>
              <w:bottom w:val="single" w:sz="8" w:color="2C2C2C"/>
            </w:tcBorders>
          </w:tcPr>
          <w:p>
            <w:pPr>
              <w:jc w:val="center"/>
              <w:ind w:left="154"/>
              <w:spacing w:after="0"/>
              <w:rPr>
                <w:sz w:val="20"/>
                <w:szCs w:val="20"/>
                <w:color w:val="auto"/>
              </w:rPr>
            </w:pPr>
            <w:r>
              <w:rPr>
                <w:rFonts w:ascii="Arial" w:cs="Arial" w:eastAsia="Arial" w:hAnsi="Arial"/>
                <w:sz w:val="16"/>
                <w:szCs w:val="16"/>
                <w:color w:val="0000FF"/>
                <w:w w:val="89"/>
              </w:rPr>
              <w:t>5,029</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8"/>
              </w:rPr>
              <w:t>315,028</w:t>
            </w:r>
            <w:r>
              <w:rPr>
                <w:rFonts w:ascii="Arial" w:cs="Arial" w:eastAsia="Arial" w:hAnsi="Arial"/>
                <w:sz w:val="21"/>
                <w:szCs w:val="21"/>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12"/>
              <w:spacing w:after="0"/>
              <w:rPr>
                <w:sz w:val="20"/>
                <w:szCs w:val="20"/>
                <w:color w:val="auto"/>
              </w:rPr>
            </w:pPr>
            <w:r>
              <w:rPr>
                <w:rFonts w:ascii="Arial" w:cs="Arial" w:eastAsia="Arial" w:hAnsi="Arial"/>
                <w:sz w:val="16"/>
                <w:szCs w:val="16"/>
                <w:color w:val="0000FF"/>
                <w:w w:val="92"/>
              </w:rPr>
              <w:t>04/28/2023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(3)</w:t>
            </w:r>
          </w:p>
        </w:tc>
        <w:tc>
          <w:tcPr>
            <w:tcW w:w="700" w:type="dxa"/>
            <w:vAlign w:val="bottom"/>
            <w:tcBorders>
              <w:bottom w:val="single" w:sz="8" w:color="2C2C2C"/>
            </w:tcBorders>
          </w:tcPr>
          <w:p>
            <w:pPr>
              <w:jc w:val="center"/>
              <w:ind w:left="134"/>
              <w:spacing w:after="0"/>
              <w:rPr>
                <w:sz w:val="20"/>
                <w:szCs w:val="20"/>
                <w:color w:val="auto"/>
              </w:rPr>
            </w:pPr>
            <w:r>
              <w:rPr>
                <w:rFonts w:ascii="Arial" w:cs="Arial" w:eastAsia="Arial" w:hAnsi="Arial"/>
                <w:sz w:val="16"/>
                <w:szCs w:val="16"/>
                <w:color w:val="0000FF"/>
                <w:w w:val="93"/>
              </w:rPr>
              <w:t>85,253</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229,775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820" w:type="dxa"/>
            <w:vAlign w:val="bottom"/>
            <w:gridSpan w:val="2"/>
          </w:tcPr>
          <w:p>
            <w:pPr>
              <w:jc w:val="center"/>
              <w:ind w:left="612"/>
              <w:spacing w:after="0"/>
              <w:rPr>
                <w:sz w:val="20"/>
                <w:szCs w:val="20"/>
                <w:color w:val="auto"/>
              </w:rPr>
            </w:pPr>
            <w:r>
              <w:rPr>
                <w:rFonts w:ascii="Arial" w:cs="Arial" w:eastAsia="Arial" w:hAnsi="Arial"/>
                <w:sz w:val="16"/>
                <w:szCs w:val="16"/>
                <w:color w:val="0000FF"/>
                <w:w w:val="92"/>
              </w:rPr>
              <w:t>04/28/2023</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center"/>
              <w:ind w:right="224"/>
              <w:spacing w:after="0"/>
              <w:rPr>
                <w:sz w:val="20"/>
                <w:szCs w:val="20"/>
                <w:color w:val="auto"/>
              </w:rPr>
            </w:pPr>
            <w:r>
              <w:rPr>
                <w:rFonts w:ascii="Arial" w:cs="Arial" w:eastAsia="Arial" w:hAnsi="Arial"/>
                <w:sz w:val="13"/>
                <w:szCs w:val="13"/>
                <w:color w:val="0000FF"/>
              </w:rPr>
              <w:t>M</w:t>
            </w:r>
          </w:p>
        </w:tc>
        <w:tc>
          <w:tcPr>
            <w:tcW w:w="760" w:type="dxa"/>
            <w:vAlign w:val="bottom"/>
            <w:gridSpan w:val="2"/>
          </w:tcPr>
          <w:p>
            <w:pPr>
              <w:jc w:val="center"/>
              <w:ind w:left="74"/>
              <w:spacing w:after="0"/>
              <w:rPr>
                <w:sz w:val="20"/>
                <w:szCs w:val="20"/>
                <w:color w:val="auto"/>
              </w:rPr>
            </w:pPr>
            <w:r>
              <w:rPr>
                <w:rFonts w:ascii="Arial" w:cs="Arial" w:eastAsia="Arial" w:hAnsi="Arial"/>
                <w:sz w:val="16"/>
                <w:szCs w:val="16"/>
                <w:color w:val="0000FF"/>
                <w:w w:val="93"/>
              </w:rPr>
              <w:t>324,954</w:t>
            </w:r>
          </w:p>
        </w:tc>
        <w:tc>
          <w:tcPr>
            <w:tcW w:w="540" w:type="dxa"/>
            <w:vAlign w:val="bottom"/>
          </w:tcPr>
          <w:p>
            <w:pPr>
              <w:ind w:left="300"/>
              <w:spacing w:after="0"/>
              <w:rPr>
                <w:sz w:val="20"/>
                <w:szCs w:val="20"/>
                <w:color w:val="auto"/>
              </w:rPr>
            </w:pPr>
            <w:r>
              <w:rPr>
                <w:rFonts w:ascii="Arial" w:cs="Arial" w:eastAsia="Arial" w:hAnsi="Arial"/>
                <w:sz w:val="16"/>
                <w:szCs w:val="16"/>
                <w:color w:val="0000FF"/>
              </w:rPr>
              <w:t>A</w:t>
            </w:r>
          </w:p>
        </w:tc>
        <w:tc>
          <w:tcPr>
            <w:tcW w:w="620" w:type="dxa"/>
            <w:vAlign w:val="bottom"/>
          </w:tcPr>
          <w:p>
            <w:pPr>
              <w:jc w:val="center"/>
              <w:ind w:left="74"/>
              <w:spacing w:after="0"/>
              <w:rPr>
                <w:sz w:val="20"/>
                <w:szCs w:val="20"/>
                <w:color w:val="auto"/>
              </w:rPr>
            </w:pPr>
            <w:r>
              <w:rPr>
                <w:rFonts w:ascii="Arial" w:cs="Arial" w:eastAsia="Arial" w:hAnsi="Arial"/>
                <w:sz w:val="11"/>
                <w:szCs w:val="11"/>
                <w:color w:val="008000"/>
                <w:w w:val="88"/>
              </w:rPr>
              <w:t>(4)</w:t>
            </w:r>
          </w:p>
        </w:tc>
        <w:tc>
          <w:tcPr>
            <w:tcW w:w="1280" w:type="dxa"/>
            <w:vAlign w:val="bottom"/>
            <w:gridSpan w:val="3"/>
          </w:tcPr>
          <w:p>
            <w:pPr>
              <w:jc w:val="center"/>
              <w:spacing w:after="0"/>
              <w:rPr>
                <w:sz w:val="20"/>
                <w:szCs w:val="20"/>
                <w:color w:val="auto"/>
              </w:rPr>
            </w:pPr>
            <w:r>
              <w:rPr>
                <w:rFonts w:ascii="Arial" w:cs="Arial" w:eastAsia="Arial" w:hAnsi="Arial"/>
                <w:sz w:val="16"/>
                <w:szCs w:val="16"/>
                <w:color w:val="0000FF"/>
                <w:w w:val="93"/>
              </w:rPr>
              <w:t>554,729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12"/>
              <w:spacing w:after="0"/>
              <w:rPr>
                <w:sz w:val="20"/>
                <w:szCs w:val="20"/>
                <w:color w:val="auto"/>
              </w:rPr>
            </w:pPr>
            <w:r>
              <w:rPr>
                <w:rFonts w:ascii="Arial" w:cs="Arial" w:eastAsia="Arial" w:hAnsi="Arial"/>
                <w:sz w:val="16"/>
                <w:szCs w:val="16"/>
                <w:color w:val="0000FF"/>
                <w:w w:val="92"/>
              </w:rPr>
              <w:t>04/28/2023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(5)</w:t>
            </w:r>
          </w:p>
        </w:tc>
        <w:tc>
          <w:tcPr>
            <w:tcW w:w="700" w:type="dxa"/>
            <w:vAlign w:val="bottom"/>
            <w:tcBorders>
              <w:bottom w:val="single" w:sz="8" w:color="2C2C2C"/>
            </w:tcBorders>
          </w:tcPr>
          <w:p>
            <w:pPr>
              <w:jc w:val="center"/>
              <w:ind w:left="134"/>
              <w:spacing w:after="0"/>
              <w:rPr>
                <w:sz w:val="20"/>
                <w:szCs w:val="20"/>
                <w:color w:val="auto"/>
              </w:rPr>
            </w:pPr>
            <w:r>
              <w:rPr>
                <w:rFonts w:ascii="Arial" w:cs="Arial" w:eastAsia="Arial" w:hAnsi="Arial"/>
                <w:sz w:val="16"/>
                <w:szCs w:val="16"/>
                <w:color w:val="0000FF"/>
                <w:w w:val="93"/>
              </w:rPr>
              <w:t>14,471</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40.5</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540,258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ind w:left="320"/>
              <w:spacing w:after="0"/>
              <w:rPr>
                <w:sz w:val="20"/>
                <w:szCs w:val="20"/>
                <w:color w:val="auto"/>
              </w:rPr>
            </w:pPr>
            <w:r>
              <w:rPr>
                <w:rFonts w:ascii="Arial" w:cs="Arial" w:eastAsia="Arial" w:hAnsi="Arial"/>
                <w:sz w:val="11"/>
                <w:szCs w:val="11"/>
                <w:color w:val="008000"/>
              </w:rPr>
              <w:t>(4)</w:t>
            </w:r>
          </w:p>
        </w:tc>
        <w:tc>
          <w:tcPr>
            <w:tcW w:w="1000" w:type="dxa"/>
            <w:vAlign w:val="bottom"/>
          </w:tcPr>
          <w:p>
            <w:pPr>
              <w:jc w:val="right"/>
              <w:ind w:right="122"/>
              <w:spacing w:after="0"/>
              <w:rPr>
                <w:sz w:val="20"/>
                <w:szCs w:val="20"/>
                <w:color w:val="auto"/>
              </w:rPr>
            </w:pPr>
            <w:r>
              <w:rPr>
                <w:rFonts w:ascii="Arial" w:cs="Arial" w:eastAsia="Arial" w:hAnsi="Arial"/>
                <w:sz w:val="13"/>
                <w:szCs w:val="13"/>
                <w:color w:val="0000FF"/>
              </w:rPr>
              <w:t>04/28/2023</w:t>
            </w:r>
          </w:p>
        </w:tc>
        <w:tc>
          <w:tcPr>
            <w:tcW w:w="11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M</w:t>
            </w:r>
          </w:p>
        </w:tc>
        <w:tc>
          <w:tcPr>
            <w:tcW w:w="960" w:type="dxa"/>
            <w:vAlign w:val="bottom"/>
          </w:tcPr>
          <w:p>
            <w:pPr>
              <w:ind w:left="440"/>
              <w:spacing w:after="0"/>
              <w:rPr>
                <w:sz w:val="20"/>
                <w:szCs w:val="20"/>
                <w:color w:val="auto"/>
              </w:rPr>
            </w:pPr>
            <w:r>
              <w:rPr>
                <w:rFonts w:ascii="Arial" w:cs="Arial" w:eastAsia="Arial" w:hAnsi="Arial"/>
                <w:sz w:val="13"/>
                <w:szCs w:val="13"/>
                <w:color w:val="0000FF"/>
              </w:rPr>
              <w:t>324,954</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0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tcPr>
          <w:p>
            <w:pPr>
              <w:ind w:left="20"/>
              <w:spacing w:after="0"/>
              <w:rPr>
                <w:sz w:val="20"/>
                <w:szCs w:val="20"/>
                <w:color w:val="auto"/>
              </w:rPr>
            </w:pPr>
            <w:r>
              <w:rPr>
                <w:rFonts w:ascii="Arial" w:cs="Arial" w:eastAsia="Arial" w:hAnsi="Arial"/>
                <w:sz w:val="16"/>
                <w:szCs w:val="16"/>
                <w:color w:val="0000FF"/>
              </w:rPr>
              <w:t>324,954</w:t>
            </w:r>
          </w:p>
        </w:tc>
        <w:tc>
          <w:tcPr>
            <w:tcW w:w="7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jc w:val="right"/>
              <w:ind w:right="128"/>
              <w:spacing w:after="0" w:line="139" w:lineRule="exact"/>
              <w:rPr>
                <w:sz w:val="20"/>
                <w:szCs w:val="20"/>
                <w:color w:val="auto"/>
              </w:rPr>
            </w:pPr>
            <w:r>
              <w:rPr>
                <w:rFonts w:ascii="Arial" w:cs="Arial" w:eastAsia="Arial" w:hAnsi="Arial"/>
                <w:sz w:val="13"/>
                <w:szCs w:val="13"/>
                <w:color w:val="0000FF"/>
                <w:w w:val="98"/>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on April 28, 2024 and, subject to certain exceptions, will be settled in shares of Common Stock on the date that is six months and one day following the Reporting Person's separation from service.</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250 shares acquired under the California Resources Corporation Employee Stock Purchase Plan on March 31, 2023.</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forfeiture of RSUs due to the Reporting Persons's voluntary termination on April 28, 2023.</w:t>
      </w:r>
    </w:p>
    <w:p>
      <w:pPr>
        <w:spacing w:after="0" w:line="39" w:lineRule="exact"/>
        <w:rPr>
          <w:rFonts w:ascii="Arial" w:cs="Arial" w:eastAsia="Arial" w:hAnsi="Arial"/>
          <w:sz w:val="13"/>
          <w:szCs w:val="13"/>
          <w:color w:val="008000"/>
        </w:rPr>
      </w:pPr>
    </w:p>
    <w:p>
      <w:pPr>
        <w:ind w:left="40" w:right="42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vesting of performance share units ("PSUs") originally granted on March 22, 2021, which vested in connection with the Reporting Person's voluntary termination on April 28, 2023. Pursuant to the terms of the PSU award, settlement will occur within 45 days following the end of the initial three-year performance period.</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cancelled for payment of taxes on units vested due to the Reporting Person's voluntary termination on April 28, 2023.</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1" w:lineRule="auto"/>
        <w:rPr>
          <w:sz w:val="20"/>
          <w:szCs w:val="20"/>
          <w:color w:val="auto"/>
        </w:rPr>
      </w:pPr>
      <w:r>
        <w:rPr>
          <w:rFonts w:ascii="Arial" w:cs="Arial" w:eastAsia="Arial" w:hAnsi="Arial"/>
          <w:sz w:val="16"/>
          <w:szCs w:val="16"/>
          <w:color w:val="0000FF"/>
        </w:rPr>
        <w:t xml:space="preserve">/s/ Ulrik Damborg, Attorney-in- </w:t>
      </w:r>
      <w:r>
        <w:rPr>
          <w:rFonts w:ascii="Arial" w:cs="Arial" w:eastAsia="Arial" w:hAnsi="Arial"/>
          <w:sz w:val="32"/>
          <w:szCs w:val="32"/>
          <w:color w:val="0000FF"/>
          <w:vertAlign w:val="subscript"/>
        </w:rPr>
        <w:t>05/02/2023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 for Mark Allen 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31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89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4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072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2023-05-02T16:11:05Z</dcterms:created>
  <dcterms:modified xsi:type="dcterms:W3CDTF">2023-05-02T16:11:05Z</dcterms:modified>
</cp:coreProperties>
</file>