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As filed with the Securities and Exchange Commission on August 6, 2018</w:t>
      </w:r>
    </w:p>
    <w:p>
      <w:pPr>
        <w:spacing w:after="0" w:line="27" w:lineRule="exact"/>
        <w:rPr>
          <w:sz w:val="24"/>
          <w:szCs w:val="24"/>
          <w:color w:val="auto"/>
        </w:rPr>
      </w:pPr>
    </w:p>
    <w:p>
      <w:pPr>
        <w:ind w:left="9820"/>
        <w:spacing w:after="0"/>
        <w:rPr>
          <w:sz w:val="20"/>
          <w:szCs w:val="20"/>
          <w:color w:val="auto"/>
        </w:rPr>
      </w:pPr>
      <w:r>
        <w:rPr>
          <w:rFonts w:ascii="Arial" w:cs="Arial" w:eastAsia="Arial" w:hAnsi="Arial"/>
          <w:sz w:val="16"/>
          <w:szCs w:val="16"/>
          <w:color w:val="auto"/>
        </w:rPr>
        <w:t>Registration No. 333-</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_________________</w:t>
      </w:r>
    </w:p>
    <w:tbl>
      <w:tblPr>
        <w:tblLayout w:type="fixed"/>
        <w:tblInd w:w="740" w:type="dxa"/>
        <w:tblCellMar>
          <w:top w:w="0" w:type="dxa"/>
          <w:left w:w="0" w:type="dxa"/>
          <w:bottom w:w="0" w:type="dxa"/>
          <w:right w:w="0" w:type="dxa"/>
        </w:tblCellMar>
      </w:tblPr>
      <w:tr>
        <w:trPr>
          <w:trHeight w:val="247"/>
        </w:trPr>
        <w:tc>
          <w:tcPr>
            <w:tcW w:w="1880" w:type="dxa"/>
            <w:vAlign w:val="bottom"/>
          </w:tcPr>
          <w:p>
            <w:pPr>
              <w:spacing w:after="0"/>
              <w:rPr>
                <w:sz w:val="21"/>
                <w:szCs w:val="21"/>
                <w:color w:val="auto"/>
              </w:rPr>
            </w:pPr>
          </w:p>
        </w:tc>
        <w:tc>
          <w:tcPr>
            <w:tcW w:w="7680" w:type="dxa"/>
            <w:vAlign w:val="bottom"/>
          </w:tcPr>
          <w:p>
            <w:pPr>
              <w:jc w:val="center"/>
              <w:ind w:right="1414"/>
              <w:spacing w:after="0" w:line="247" w:lineRule="exact"/>
              <w:rPr>
                <w:sz w:val="20"/>
                <w:szCs w:val="20"/>
                <w:color w:val="auto"/>
              </w:rPr>
            </w:pPr>
            <w:r>
              <w:rPr>
                <w:rFonts w:ascii="Arial" w:cs="Arial" w:eastAsia="Arial" w:hAnsi="Arial"/>
                <w:sz w:val="22"/>
                <w:szCs w:val="22"/>
                <w:b w:val="1"/>
                <w:bCs w:val="1"/>
                <w:color w:val="auto"/>
                <w:w w:val="97"/>
              </w:rPr>
              <w:t>FORM S</w:t>
            </w:r>
            <w:r>
              <w:rPr>
                <w:rFonts w:ascii="MS PGothic" w:cs="MS PGothic" w:eastAsia="MS PGothic" w:hAnsi="MS PGothic"/>
                <w:sz w:val="22"/>
                <w:szCs w:val="22"/>
                <w:b w:val="1"/>
                <w:bCs w:val="1"/>
                <w:color w:val="auto"/>
                <w:w w:val="97"/>
              </w:rPr>
              <w:t>‑</w:t>
            </w:r>
            <w:r>
              <w:rPr>
                <w:rFonts w:ascii="Arial" w:cs="Arial" w:eastAsia="Arial" w:hAnsi="Arial"/>
                <w:sz w:val="22"/>
                <w:szCs w:val="22"/>
                <w:b w:val="1"/>
                <w:bCs w:val="1"/>
                <w:color w:val="auto"/>
                <w:w w:val="97"/>
              </w:rPr>
              <w:t>8</w:t>
            </w:r>
          </w:p>
        </w:tc>
      </w:tr>
      <w:tr>
        <w:trPr>
          <w:trHeight w:val="216"/>
        </w:trPr>
        <w:tc>
          <w:tcPr>
            <w:tcW w:w="1880" w:type="dxa"/>
            <w:vAlign w:val="bottom"/>
          </w:tcPr>
          <w:p>
            <w:pPr>
              <w:spacing w:after="0"/>
              <w:rPr>
                <w:sz w:val="18"/>
                <w:szCs w:val="18"/>
                <w:color w:val="auto"/>
              </w:rPr>
            </w:pPr>
          </w:p>
        </w:tc>
        <w:tc>
          <w:tcPr>
            <w:tcW w:w="7680" w:type="dxa"/>
            <w:vAlign w:val="bottom"/>
          </w:tcPr>
          <w:p>
            <w:pPr>
              <w:jc w:val="center"/>
              <w:ind w:right="1414"/>
              <w:spacing w:after="0"/>
              <w:rPr>
                <w:sz w:val="20"/>
                <w:szCs w:val="20"/>
                <w:color w:val="auto"/>
              </w:rPr>
            </w:pPr>
            <w:r>
              <w:rPr>
                <w:rFonts w:ascii="Arial" w:cs="Arial" w:eastAsia="Arial" w:hAnsi="Arial"/>
                <w:sz w:val="18"/>
                <w:szCs w:val="18"/>
                <w:b w:val="1"/>
                <w:bCs w:val="1"/>
                <w:color w:val="auto"/>
                <w:w w:val="99"/>
              </w:rPr>
              <w:t>REGISTRATION STATEMENT UNDER THE SECURITIES ACT OF 1933</w:t>
            </w:r>
          </w:p>
        </w:tc>
      </w:tr>
      <w:tr>
        <w:trPr>
          <w:trHeight w:val="220"/>
        </w:trPr>
        <w:tc>
          <w:tcPr>
            <w:tcW w:w="1880" w:type="dxa"/>
            <w:vAlign w:val="bottom"/>
          </w:tcPr>
          <w:p>
            <w:pPr>
              <w:spacing w:after="0"/>
              <w:rPr>
                <w:sz w:val="19"/>
                <w:szCs w:val="19"/>
                <w:color w:val="auto"/>
              </w:rPr>
            </w:pPr>
          </w:p>
        </w:tc>
        <w:tc>
          <w:tcPr>
            <w:tcW w:w="7680" w:type="dxa"/>
            <w:vAlign w:val="bottom"/>
          </w:tcPr>
          <w:p>
            <w:pPr>
              <w:jc w:val="center"/>
              <w:ind w:right="1414"/>
              <w:spacing w:after="0"/>
              <w:rPr>
                <w:sz w:val="20"/>
                <w:szCs w:val="20"/>
                <w:color w:val="auto"/>
              </w:rPr>
            </w:pPr>
            <w:r>
              <w:rPr>
                <w:rFonts w:ascii="Arial" w:cs="Arial" w:eastAsia="Arial" w:hAnsi="Arial"/>
                <w:sz w:val="18"/>
                <w:szCs w:val="18"/>
                <w:b w:val="1"/>
                <w:bCs w:val="1"/>
                <w:color w:val="auto"/>
                <w:w w:val="90"/>
              </w:rPr>
              <w:t>_________________</w:t>
            </w:r>
          </w:p>
        </w:tc>
      </w:tr>
      <w:tr>
        <w:trPr>
          <w:trHeight w:val="252"/>
        </w:trPr>
        <w:tc>
          <w:tcPr>
            <w:tcW w:w="1880" w:type="dxa"/>
            <w:vAlign w:val="bottom"/>
          </w:tcPr>
          <w:p>
            <w:pPr>
              <w:spacing w:after="0"/>
              <w:rPr>
                <w:sz w:val="21"/>
                <w:szCs w:val="21"/>
                <w:color w:val="auto"/>
              </w:rPr>
            </w:pPr>
          </w:p>
        </w:tc>
        <w:tc>
          <w:tcPr>
            <w:tcW w:w="7680" w:type="dxa"/>
            <w:vAlign w:val="bottom"/>
          </w:tcPr>
          <w:p>
            <w:pPr>
              <w:jc w:val="center"/>
              <w:ind w:right="1414"/>
              <w:spacing w:after="0" w:line="251" w:lineRule="exact"/>
              <w:rPr>
                <w:sz w:val="20"/>
                <w:szCs w:val="20"/>
                <w:color w:val="auto"/>
              </w:rPr>
            </w:pPr>
            <w:r>
              <w:rPr>
                <w:rFonts w:ascii="Arial" w:cs="Arial" w:eastAsia="Arial" w:hAnsi="Arial"/>
                <w:sz w:val="22"/>
                <w:szCs w:val="22"/>
                <w:b w:val="1"/>
                <w:bCs w:val="1"/>
                <w:color w:val="auto"/>
                <w:w w:val="89"/>
              </w:rPr>
              <w:t>California Resources Corporation</w:t>
            </w:r>
          </w:p>
        </w:tc>
      </w:tr>
      <w:tr>
        <w:trPr>
          <w:trHeight w:val="182"/>
        </w:trPr>
        <w:tc>
          <w:tcPr>
            <w:tcW w:w="1880" w:type="dxa"/>
            <w:vAlign w:val="bottom"/>
          </w:tcPr>
          <w:p>
            <w:pPr>
              <w:spacing w:after="0"/>
              <w:rPr>
                <w:sz w:val="15"/>
                <w:szCs w:val="15"/>
                <w:color w:val="auto"/>
              </w:rPr>
            </w:pPr>
          </w:p>
        </w:tc>
        <w:tc>
          <w:tcPr>
            <w:tcW w:w="7680" w:type="dxa"/>
            <w:vAlign w:val="bottom"/>
          </w:tcPr>
          <w:p>
            <w:pPr>
              <w:jc w:val="center"/>
              <w:ind w:right="1414"/>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358"/>
        </w:trPr>
        <w:tc>
          <w:tcPr>
            <w:tcW w:w="1880" w:type="dxa"/>
            <w:vAlign w:val="bottom"/>
          </w:tcPr>
          <w:p>
            <w:pPr>
              <w:jc w:val="center"/>
              <w:ind w:right="62"/>
              <w:spacing w:after="0"/>
              <w:rPr>
                <w:sz w:val="20"/>
                <w:szCs w:val="20"/>
                <w:color w:val="auto"/>
              </w:rPr>
            </w:pPr>
            <w:r>
              <w:rPr>
                <w:rFonts w:ascii="Arial" w:cs="Arial" w:eastAsia="Arial" w:hAnsi="Arial"/>
                <w:sz w:val="18"/>
                <w:szCs w:val="18"/>
                <w:b w:val="1"/>
                <w:bCs w:val="1"/>
                <w:color w:val="auto"/>
                <w:w w:val="93"/>
              </w:rPr>
              <w:t>Delaware</w:t>
            </w:r>
          </w:p>
        </w:tc>
        <w:tc>
          <w:tcPr>
            <w:tcW w:w="7680" w:type="dxa"/>
            <w:vAlign w:val="bottom"/>
          </w:tcPr>
          <w:p>
            <w:pPr>
              <w:jc w:val="center"/>
              <w:ind w:left="6534"/>
              <w:spacing w:after="0"/>
              <w:rPr>
                <w:sz w:val="20"/>
                <w:szCs w:val="20"/>
                <w:color w:val="auto"/>
              </w:rPr>
            </w:pPr>
            <w:r>
              <w:rPr>
                <w:rFonts w:ascii="Arial" w:cs="Arial" w:eastAsia="Arial" w:hAnsi="Arial"/>
                <w:sz w:val="18"/>
                <w:szCs w:val="18"/>
                <w:b w:val="1"/>
                <w:bCs w:val="1"/>
                <w:color w:val="auto"/>
                <w:w w:val="89"/>
              </w:rPr>
              <w:t>46-5670947</w:t>
            </w:r>
          </w:p>
        </w:tc>
      </w:tr>
      <w:tr>
        <w:trPr>
          <w:trHeight w:val="149"/>
        </w:trPr>
        <w:tc>
          <w:tcPr>
            <w:tcW w:w="1880" w:type="dxa"/>
            <w:vAlign w:val="bottom"/>
          </w:tcPr>
          <w:p>
            <w:pPr>
              <w:jc w:val="center"/>
              <w:ind w:right="62"/>
              <w:spacing w:after="0" w:line="149" w:lineRule="exact"/>
              <w:rPr>
                <w:sz w:val="20"/>
                <w:szCs w:val="20"/>
                <w:color w:val="auto"/>
              </w:rPr>
            </w:pPr>
            <w:r>
              <w:rPr>
                <w:rFonts w:ascii="Arial" w:cs="Arial" w:eastAsia="Arial" w:hAnsi="Arial"/>
                <w:sz w:val="14"/>
                <w:szCs w:val="14"/>
                <w:color w:val="auto"/>
                <w:w w:val="94"/>
              </w:rPr>
              <w:t>(State or other jurisdiction of</w:t>
            </w:r>
          </w:p>
        </w:tc>
        <w:tc>
          <w:tcPr>
            <w:tcW w:w="7680" w:type="dxa"/>
            <w:vAlign w:val="bottom"/>
          </w:tcPr>
          <w:p>
            <w:pPr>
              <w:jc w:val="center"/>
              <w:ind w:left="6534"/>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1880" w:type="dxa"/>
            <w:vAlign w:val="bottom"/>
          </w:tcPr>
          <w:p>
            <w:pPr>
              <w:jc w:val="center"/>
              <w:ind w:right="62"/>
              <w:spacing w:after="0"/>
              <w:rPr>
                <w:sz w:val="20"/>
                <w:szCs w:val="20"/>
                <w:color w:val="auto"/>
              </w:rPr>
            </w:pPr>
            <w:r>
              <w:rPr>
                <w:rFonts w:ascii="Arial" w:cs="Arial" w:eastAsia="Arial" w:hAnsi="Arial"/>
                <w:sz w:val="14"/>
                <w:szCs w:val="14"/>
                <w:color w:val="auto"/>
                <w:w w:val="95"/>
              </w:rPr>
              <w:t>incorporation or organization)</w:t>
            </w:r>
          </w:p>
        </w:tc>
        <w:tc>
          <w:tcPr>
            <w:tcW w:w="7680" w:type="dxa"/>
            <w:vAlign w:val="bottom"/>
          </w:tcPr>
          <w:p>
            <w:pPr>
              <w:jc w:val="center"/>
              <w:ind w:left="6534"/>
              <w:spacing w:after="0"/>
              <w:rPr>
                <w:sz w:val="20"/>
                <w:szCs w:val="20"/>
                <w:color w:val="auto"/>
              </w:rPr>
            </w:pPr>
            <w:r>
              <w:rPr>
                <w:rFonts w:ascii="Arial" w:cs="Arial" w:eastAsia="Arial" w:hAnsi="Arial"/>
                <w:sz w:val="14"/>
                <w:szCs w:val="14"/>
                <w:color w:val="auto"/>
                <w:w w:val="97"/>
              </w:rPr>
              <w:t>Identification No.)</w:t>
            </w:r>
          </w:p>
        </w:tc>
      </w:tr>
      <w:tr>
        <w:trPr>
          <w:trHeight w:val="237"/>
        </w:trPr>
        <w:tc>
          <w:tcPr>
            <w:tcW w:w="1880" w:type="dxa"/>
            <w:vAlign w:val="bottom"/>
          </w:tcPr>
          <w:p>
            <w:pPr>
              <w:spacing w:after="0"/>
              <w:rPr>
                <w:sz w:val="20"/>
                <w:szCs w:val="20"/>
                <w:color w:val="auto"/>
              </w:rPr>
            </w:pPr>
          </w:p>
        </w:tc>
        <w:tc>
          <w:tcPr>
            <w:tcW w:w="7680" w:type="dxa"/>
            <w:vAlign w:val="bottom"/>
          </w:tcPr>
          <w:p>
            <w:pPr>
              <w:jc w:val="center"/>
              <w:ind w:right="1514"/>
              <w:spacing w:after="0"/>
              <w:rPr>
                <w:sz w:val="20"/>
                <w:szCs w:val="20"/>
                <w:color w:val="auto"/>
              </w:rPr>
            </w:pPr>
            <w:r>
              <w:rPr>
                <w:rFonts w:ascii="Arial" w:cs="Arial" w:eastAsia="Arial" w:hAnsi="Arial"/>
                <w:sz w:val="18"/>
                <w:szCs w:val="18"/>
                <w:b w:val="1"/>
                <w:bCs w:val="1"/>
                <w:color w:val="auto"/>
                <w:w w:val="90"/>
              </w:rPr>
              <w:t>9200 Oakdale Avenue, Suite 900</w:t>
            </w:r>
          </w:p>
        </w:tc>
      </w:tr>
      <w:tr>
        <w:trPr>
          <w:trHeight w:val="216"/>
        </w:trPr>
        <w:tc>
          <w:tcPr>
            <w:tcW w:w="1880" w:type="dxa"/>
            <w:vAlign w:val="bottom"/>
          </w:tcPr>
          <w:p>
            <w:pPr>
              <w:spacing w:after="0"/>
              <w:rPr>
                <w:sz w:val="18"/>
                <w:szCs w:val="18"/>
                <w:color w:val="auto"/>
              </w:rPr>
            </w:pPr>
          </w:p>
        </w:tc>
        <w:tc>
          <w:tcPr>
            <w:tcW w:w="7680" w:type="dxa"/>
            <w:vAlign w:val="bottom"/>
          </w:tcPr>
          <w:p>
            <w:pPr>
              <w:jc w:val="center"/>
              <w:ind w:right="1514"/>
              <w:spacing w:after="0"/>
              <w:rPr>
                <w:sz w:val="20"/>
                <w:szCs w:val="20"/>
                <w:color w:val="auto"/>
              </w:rPr>
            </w:pPr>
            <w:r>
              <w:rPr>
                <w:rFonts w:ascii="Arial" w:cs="Arial" w:eastAsia="Arial" w:hAnsi="Arial"/>
                <w:sz w:val="18"/>
                <w:szCs w:val="18"/>
                <w:b w:val="1"/>
                <w:bCs w:val="1"/>
                <w:color w:val="auto"/>
                <w:w w:val="89"/>
              </w:rPr>
              <w:t>Los Angeles, California 91311</w:t>
            </w:r>
          </w:p>
        </w:tc>
      </w:tr>
      <w:tr>
        <w:trPr>
          <w:trHeight w:val="176"/>
        </w:trPr>
        <w:tc>
          <w:tcPr>
            <w:tcW w:w="1880" w:type="dxa"/>
            <w:vAlign w:val="bottom"/>
          </w:tcPr>
          <w:p>
            <w:pPr>
              <w:spacing w:after="0"/>
              <w:rPr>
                <w:sz w:val="15"/>
                <w:szCs w:val="15"/>
                <w:color w:val="auto"/>
              </w:rPr>
            </w:pPr>
          </w:p>
        </w:tc>
        <w:tc>
          <w:tcPr>
            <w:tcW w:w="7680" w:type="dxa"/>
            <w:vAlign w:val="bottom"/>
          </w:tcPr>
          <w:p>
            <w:pPr>
              <w:jc w:val="center"/>
              <w:ind w:right="1494"/>
              <w:spacing w:after="0"/>
              <w:rPr>
                <w:sz w:val="20"/>
                <w:szCs w:val="20"/>
                <w:color w:val="auto"/>
              </w:rPr>
            </w:pPr>
            <w:r>
              <w:rPr>
                <w:rFonts w:ascii="Arial" w:cs="Arial" w:eastAsia="Arial" w:hAnsi="Arial"/>
                <w:sz w:val="14"/>
                <w:szCs w:val="14"/>
                <w:color w:val="auto"/>
                <w:w w:val="95"/>
              </w:rPr>
              <w:t>(Address of principal executive offices, including zip code)</w:t>
            </w:r>
          </w:p>
        </w:tc>
      </w:tr>
      <w:tr>
        <w:trPr>
          <w:trHeight w:val="234"/>
        </w:trPr>
        <w:tc>
          <w:tcPr>
            <w:tcW w:w="1880" w:type="dxa"/>
            <w:vAlign w:val="bottom"/>
          </w:tcPr>
          <w:p>
            <w:pPr>
              <w:spacing w:after="0"/>
              <w:rPr>
                <w:sz w:val="20"/>
                <w:szCs w:val="20"/>
                <w:color w:val="auto"/>
              </w:rPr>
            </w:pPr>
          </w:p>
        </w:tc>
        <w:tc>
          <w:tcPr>
            <w:tcW w:w="7680" w:type="dxa"/>
            <w:vAlign w:val="bottom"/>
          </w:tcPr>
          <w:p>
            <w:pPr>
              <w:jc w:val="center"/>
              <w:ind w:right="1414"/>
              <w:spacing w:after="0"/>
              <w:rPr>
                <w:sz w:val="20"/>
                <w:szCs w:val="20"/>
                <w:color w:val="auto"/>
              </w:rPr>
            </w:pPr>
            <w:r>
              <w:rPr>
                <w:rFonts w:ascii="Arial" w:cs="Arial" w:eastAsia="Arial" w:hAnsi="Arial"/>
                <w:sz w:val="18"/>
                <w:szCs w:val="18"/>
                <w:b w:val="1"/>
                <w:bCs w:val="1"/>
                <w:color w:val="auto"/>
                <w:w w:val="90"/>
              </w:rPr>
              <w:t>_________________</w:t>
            </w:r>
          </w:p>
        </w:tc>
      </w:tr>
      <w:tr>
        <w:trPr>
          <w:trHeight w:val="413"/>
        </w:trPr>
        <w:tc>
          <w:tcPr>
            <w:tcW w:w="1880" w:type="dxa"/>
            <w:vAlign w:val="bottom"/>
          </w:tcPr>
          <w:p>
            <w:pPr>
              <w:spacing w:after="0"/>
              <w:rPr>
                <w:sz w:val="24"/>
                <w:szCs w:val="24"/>
                <w:color w:val="auto"/>
              </w:rPr>
            </w:pPr>
          </w:p>
        </w:tc>
        <w:tc>
          <w:tcPr>
            <w:tcW w:w="7680" w:type="dxa"/>
            <w:vAlign w:val="bottom"/>
          </w:tcPr>
          <w:p>
            <w:pPr>
              <w:jc w:val="center"/>
              <w:ind w:right="1394"/>
              <w:spacing w:after="0"/>
              <w:rPr>
                <w:sz w:val="20"/>
                <w:szCs w:val="20"/>
                <w:color w:val="auto"/>
              </w:rPr>
            </w:pPr>
            <w:r>
              <w:rPr>
                <w:rFonts w:ascii="Arial" w:cs="Arial" w:eastAsia="Arial" w:hAnsi="Arial"/>
                <w:sz w:val="18"/>
                <w:szCs w:val="18"/>
                <w:b w:val="1"/>
                <w:bCs w:val="1"/>
                <w:color w:val="auto"/>
                <w:w w:val="89"/>
              </w:rPr>
              <w:t>California Resources Corporation 2014 Employee Stock Purchase Plan</w:t>
            </w:r>
          </w:p>
        </w:tc>
      </w:tr>
      <w:tr>
        <w:trPr>
          <w:trHeight w:val="182"/>
        </w:trPr>
        <w:tc>
          <w:tcPr>
            <w:tcW w:w="1880" w:type="dxa"/>
            <w:vAlign w:val="bottom"/>
          </w:tcPr>
          <w:p>
            <w:pPr>
              <w:spacing w:after="0"/>
              <w:rPr>
                <w:sz w:val="15"/>
                <w:szCs w:val="15"/>
                <w:color w:val="auto"/>
              </w:rPr>
            </w:pPr>
          </w:p>
        </w:tc>
        <w:tc>
          <w:tcPr>
            <w:tcW w:w="7680" w:type="dxa"/>
            <w:vAlign w:val="bottom"/>
          </w:tcPr>
          <w:p>
            <w:pPr>
              <w:jc w:val="center"/>
              <w:ind w:right="1394"/>
              <w:spacing w:after="0"/>
              <w:rPr>
                <w:sz w:val="20"/>
                <w:szCs w:val="20"/>
                <w:color w:val="auto"/>
              </w:rPr>
            </w:pPr>
            <w:r>
              <w:rPr>
                <w:rFonts w:ascii="Arial" w:cs="Arial" w:eastAsia="Arial" w:hAnsi="Arial"/>
                <w:sz w:val="14"/>
                <w:szCs w:val="14"/>
                <w:color w:val="auto"/>
                <w:w w:val="97"/>
              </w:rPr>
              <w:t>(Full title of the plan)</w:t>
            </w:r>
          </w:p>
        </w:tc>
      </w:tr>
      <w:tr>
        <w:trPr>
          <w:trHeight w:val="359"/>
        </w:trPr>
        <w:tc>
          <w:tcPr>
            <w:tcW w:w="1880" w:type="dxa"/>
            <w:vAlign w:val="bottom"/>
          </w:tcPr>
          <w:p>
            <w:pPr>
              <w:spacing w:after="0"/>
              <w:rPr>
                <w:sz w:val="24"/>
                <w:szCs w:val="24"/>
                <w:color w:val="auto"/>
              </w:rPr>
            </w:pPr>
          </w:p>
        </w:tc>
        <w:tc>
          <w:tcPr>
            <w:tcW w:w="7680" w:type="dxa"/>
            <w:vAlign w:val="bottom"/>
          </w:tcPr>
          <w:p>
            <w:pPr>
              <w:jc w:val="center"/>
              <w:ind w:right="1414"/>
              <w:spacing w:after="0"/>
              <w:rPr>
                <w:sz w:val="20"/>
                <w:szCs w:val="20"/>
                <w:color w:val="auto"/>
              </w:rPr>
            </w:pPr>
            <w:r>
              <w:rPr>
                <w:rFonts w:ascii="Arial" w:cs="Arial" w:eastAsia="Arial" w:hAnsi="Arial"/>
                <w:sz w:val="17"/>
                <w:szCs w:val="17"/>
                <w:b w:val="1"/>
                <w:bCs w:val="1"/>
                <w:color w:val="auto"/>
                <w:w w:val="91"/>
              </w:rPr>
              <w:t>Michael L. Preston</w:t>
            </w:r>
          </w:p>
        </w:tc>
      </w:tr>
      <w:tr>
        <w:trPr>
          <w:trHeight w:val="274"/>
        </w:trPr>
        <w:tc>
          <w:tcPr>
            <w:tcW w:w="1880" w:type="dxa"/>
            <w:vAlign w:val="bottom"/>
          </w:tcPr>
          <w:p>
            <w:pPr>
              <w:spacing w:after="0"/>
              <w:rPr>
                <w:sz w:val="23"/>
                <w:szCs w:val="23"/>
                <w:color w:val="auto"/>
              </w:rPr>
            </w:pPr>
          </w:p>
        </w:tc>
        <w:tc>
          <w:tcPr>
            <w:tcW w:w="7680" w:type="dxa"/>
            <w:vAlign w:val="bottom"/>
          </w:tcPr>
          <w:p>
            <w:pPr>
              <w:jc w:val="center"/>
              <w:ind w:right="1394"/>
              <w:spacing w:after="0"/>
              <w:rPr>
                <w:sz w:val="20"/>
                <w:szCs w:val="20"/>
                <w:color w:val="auto"/>
              </w:rPr>
            </w:pPr>
            <w:r>
              <w:rPr>
                <w:rFonts w:ascii="Arial" w:cs="Arial" w:eastAsia="Arial" w:hAnsi="Arial"/>
                <w:sz w:val="18"/>
                <w:szCs w:val="18"/>
                <w:b w:val="1"/>
                <w:bCs w:val="1"/>
                <w:color w:val="auto"/>
                <w:w w:val="90"/>
              </w:rPr>
              <w:t>Executive Vice President, General Counsel and Corporate Secretary</w:t>
            </w:r>
          </w:p>
        </w:tc>
      </w:tr>
      <w:tr>
        <w:trPr>
          <w:trHeight w:val="270"/>
        </w:trPr>
        <w:tc>
          <w:tcPr>
            <w:tcW w:w="1880" w:type="dxa"/>
            <w:vAlign w:val="bottom"/>
          </w:tcPr>
          <w:p>
            <w:pPr>
              <w:spacing w:after="0"/>
              <w:rPr>
                <w:sz w:val="23"/>
                <w:szCs w:val="23"/>
                <w:color w:val="auto"/>
              </w:rPr>
            </w:pPr>
          </w:p>
        </w:tc>
        <w:tc>
          <w:tcPr>
            <w:tcW w:w="7680" w:type="dxa"/>
            <w:vAlign w:val="bottom"/>
          </w:tcPr>
          <w:p>
            <w:pPr>
              <w:jc w:val="center"/>
              <w:ind w:right="1414"/>
              <w:spacing w:after="0"/>
              <w:rPr>
                <w:sz w:val="20"/>
                <w:szCs w:val="20"/>
                <w:color w:val="auto"/>
              </w:rPr>
            </w:pPr>
            <w:r>
              <w:rPr>
                <w:rFonts w:ascii="Arial" w:cs="Arial" w:eastAsia="Arial" w:hAnsi="Arial"/>
                <w:sz w:val="18"/>
                <w:szCs w:val="18"/>
                <w:b w:val="1"/>
                <w:bCs w:val="1"/>
                <w:color w:val="auto"/>
                <w:w w:val="89"/>
              </w:rPr>
              <w:t>9200 Oakdale Avenue, Suite 900</w:t>
            </w:r>
          </w:p>
        </w:tc>
      </w:tr>
      <w:tr>
        <w:trPr>
          <w:trHeight w:val="270"/>
        </w:trPr>
        <w:tc>
          <w:tcPr>
            <w:tcW w:w="1880" w:type="dxa"/>
            <w:vAlign w:val="bottom"/>
          </w:tcPr>
          <w:p>
            <w:pPr>
              <w:spacing w:after="0"/>
              <w:rPr>
                <w:sz w:val="23"/>
                <w:szCs w:val="23"/>
                <w:color w:val="auto"/>
              </w:rPr>
            </w:pPr>
          </w:p>
        </w:tc>
        <w:tc>
          <w:tcPr>
            <w:tcW w:w="7680" w:type="dxa"/>
            <w:vAlign w:val="bottom"/>
          </w:tcPr>
          <w:p>
            <w:pPr>
              <w:jc w:val="center"/>
              <w:ind w:right="1394"/>
              <w:spacing w:after="0"/>
              <w:rPr>
                <w:sz w:val="20"/>
                <w:szCs w:val="20"/>
                <w:color w:val="auto"/>
              </w:rPr>
            </w:pPr>
            <w:r>
              <w:rPr>
                <w:rFonts w:ascii="Arial" w:cs="Arial" w:eastAsia="Arial" w:hAnsi="Arial"/>
                <w:sz w:val="18"/>
                <w:szCs w:val="18"/>
                <w:b w:val="1"/>
                <w:bCs w:val="1"/>
                <w:color w:val="auto"/>
                <w:w w:val="88"/>
              </w:rPr>
              <w:t>Los Angeles, CA 91311</w:t>
            </w:r>
          </w:p>
        </w:tc>
      </w:tr>
      <w:tr>
        <w:trPr>
          <w:trHeight w:val="224"/>
        </w:trPr>
        <w:tc>
          <w:tcPr>
            <w:tcW w:w="1880" w:type="dxa"/>
            <w:vAlign w:val="bottom"/>
          </w:tcPr>
          <w:p>
            <w:pPr>
              <w:spacing w:after="0"/>
              <w:rPr>
                <w:sz w:val="19"/>
                <w:szCs w:val="19"/>
                <w:color w:val="auto"/>
              </w:rPr>
            </w:pPr>
          </w:p>
        </w:tc>
        <w:tc>
          <w:tcPr>
            <w:tcW w:w="7680" w:type="dxa"/>
            <w:vAlign w:val="bottom"/>
          </w:tcPr>
          <w:p>
            <w:pPr>
              <w:jc w:val="center"/>
              <w:ind w:right="1414"/>
              <w:spacing w:after="0"/>
              <w:rPr>
                <w:sz w:val="20"/>
                <w:szCs w:val="20"/>
                <w:color w:val="auto"/>
              </w:rPr>
            </w:pPr>
            <w:r>
              <w:rPr>
                <w:rFonts w:ascii="Arial" w:cs="Arial" w:eastAsia="Arial" w:hAnsi="Arial"/>
                <w:sz w:val="16"/>
                <w:szCs w:val="16"/>
                <w:b w:val="1"/>
                <w:bCs w:val="1"/>
                <w:color w:val="auto"/>
                <w:w w:val="93"/>
              </w:rPr>
              <w:t>(888) 848-4754</w:t>
            </w:r>
          </w:p>
        </w:tc>
      </w:tr>
      <w:tr>
        <w:trPr>
          <w:trHeight w:val="399"/>
        </w:trPr>
        <w:tc>
          <w:tcPr>
            <w:tcW w:w="1880" w:type="dxa"/>
            <w:vAlign w:val="bottom"/>
          </w:tcPr>
          <w:p>
            <w:pPr>
              <w:spacing w:after="0"/>
              <w:rPr>
                <w:sz w:val="24"/>
                <w:szCs w:val="24"/>
                <w:color w:val="auto"/>
              </w:rPr>
            </w:pPr>
          </w:p>
        </w:tc>
        <w:tc>
          <w:tcPr>
            <w:tcW w:w="7680" w:type="dxa"/>
            <w:vAlign w:val="bottom"/>
          </w:tcPr>
          <w:p>
            <w:pPr>
              <w:jc w:val="center"/>
              <w:ind w:right="1454"/>
              <w:spacing w:after="0"/>
              <w:rPr>
                <w:sz w:val="20"/>
                <w:szCs w:val="20"/>
                <w:color w:val="auto"/>
              </w:rPr>
            </w:pPr>
            <w:r>
              <w:rPr>
                <w:rFonts w:ascii="Arial" w:cs="Arial" w:eastAsia="Arial" w:hAnsi="Arial"/>
                <w:sz w:val="14"/>
                <w:szCs w:val="14"/>
                <w:color w:val="auto"/>
                <w:w w:val="92"/>
              </w:rPr>
              <w:t>(Name, address and telephone number of agent for service)</w:t>
            </w:r>
          </w:p>
        </w:tc>
      </w:tr>
      <w:tr>
        <w:trPr>
          <w:trHeight w:val="351"/>
        </w:trPr>
        <w:tc>
          <w:tcPr>
            <w:tcW w:w="1880" w:type="dxa"/>
            <w:vAlign w:val="bottom"/>
          </w:tcPr>
          <w:p>
            <w:pPr>
              <w:spacing w:after="0"/>
              <w:rPr>
                <w:sz w:val="24"/>
                <w:szCs w:val="24"/>
                <w:color w:val="auto"/>
              </w:rPr>
            </w:pPr>
          </w:p>
        </w:tc>
        <w:tc>
          <w:tcPr>
            <w:tcW w:w="7680" w:type="dxa"/>
            <w:vAlign w:val="bottom"/>
          </w:tcPr>
          <w:p>
            <w:pPr>
              <w:jc w:val="center"/>
              <w:ind w:right="1414"/>
              <w:spacing w:after="0"/>
              <w:rPr>
                <w:sz w:val="20"/>
                <w:szCs w:val="20"/>
                <w:color w:val="auto"/>
              </w:rPr>
            </w:pPr>
            <w:r>
              <w:rPr>
                <w:rFonts w:ascii="Arial" w:cs="Arial" w:eastAsia="Arial" w:hAnsi="Arial"/>
                <w:sz w:val="14"/>
                <w:szCs w:val="14"/>
                <w:color w:val="auto"/>
                <w:w w:val="91"/>
              </w:rPr>
              <w:t>Copies to:</w:t>
            </w:r>
          </w:p>
        </w:tc>
      </w:tr>
      <w:tr>
        <w:trPr>
          <w:trHeight w:val="237"/>
        </w:trPr>
        <w:tc>
          <w:tcPr>
            <w:tcW w:w="1880" w:type="dxa"/>
            <w:vAlign w:val="bottom"/>
          </w:tcPr>
          <w:p>
            <w:pPr>
              <w:spacing w:after="0"/>
              <w:rPr>
                <w:sz w:val="20"/>
                <w:szCs w:val="20"/>
                <w:color w:val="auto"/>
              </w:rPr>
            </w:pPr>
          </w:p>
        </w:tc>
        <w:tc>
          <w:tcPr>
            <w:tcW w:w="7680" w:type="dxa"/>
            <w:vAlign w:val="bottom"/>
          </w:tcPr>
          <w:p>
            <w:pPr>
              <w:jc w:val="center"/>
              <w:ind w:right="1394"/>
              <w:spacing w:after="0"/>
              <w:rPr>
                <w:sz w:val="20"/>
                <w:szCs w:val="20"/>
                <w:color w:val="auto"/>
              </w:rPr>
            </w:pPr>
            <w:r>
              <w:rPr>
                <w:rFonts w:ascii="Arial" w:cs="Arial" w:eastAsia="Arial" w:hAnsi="Arial"/>
                <w:sz w:val="18"/>
                <w:szCs w:val="18"/>
                <w:b w:val="1"/>
                <w:bCs w:val="1"/>
                <w:color w:val="auto"/>
                <w:w w:val="95"/>
              </w:rPr>
              <w:t>Sarah K. Morgan</w:t>
            </w:r>
          </w:p>
        </w:tc>
      </w:tr>
      <w:tr>
        <w:trPr>
          <w:trHeight w:val="216"/>
        </w:trPr>
        <w:tc>
          <w:tcPr>
            <w:tcW w:w="1880" w:type="dxa"/>
            <w:vAlign w:val="bottom"/>
          </w:tcPr>
          <w:p>
            <w:pPr>
              <w:spacing w:after="0"/>
              <w:rPr>
                <w:sz w:val="18"/>
                <w:szCs w:val="18"/>
                <w:color w:val="auto"/>
              </w:rPr>
            </w:pPr>
          </w:p>
        </w:tc>
        <w:tc>
          <w:tcPr>
            <w:tcW w:w="7680" w:type="dxa"/>
            <w:vAlign w:val="bottom"/>
          </w:tcPr>
          <w:p>
            <w:pPr>
              <w:jc w:val="center"/>
              <w:ind w:right="1414"/>
              <w:spacing w:after="0"/>
              <w:rPr>
                <w:sz w:val="20"/>
                <w:szCs w:val="20"/>
                <w:color w:val="auto"/>
              </w:rPr>
            </w:pPr>
            <w:r>
              <w:rPr>
                <w:rFonts w:ascii="Arial" w:cs="Arial" w:eastAsia="Arial" w:hAnsi="Arial"/>
                <w:sz w:val="18"/>
                <w:szCs w:val="18"/>
                <w:b w:val="1"/>
                <w:bCs w:val="1"/>
                <w:color w:val="auto"/>
                <w:w w:val="94"/>
              </w:rPr>
              <w:t>Vinson &amp; Elkins LLP</w:t>
            </w:r>
          </w:p>
        </w:tc>
      </w:tr>
      <w:tr>
        <w:trPr>
          <w:trHeight w:val="216"/>
        </w:trPr>
        <w:tc>
          <w:tcPr>
            <w:tcW w:w="1880" w:type="dxa"/>
            <w:vAlign w:val="bottom"/>
          </w:tcPr>
          <w:p>
            <w:pPr>
              <w:spacing w:after="0"/>
              <w:rPr>
                <w:sz w:val="18"/>
                <w:szCs w:val="18"/>
                <w:color w:val="auto"/>
              </w:rPr>
            </w:pPr>
          </w:p>
        </w:tc>
        <w:tc>
          <w:tcPr>
            <w:tcW w:w="7680" w:type="dxa"/>
            <w:vAlign w:val="bottom"/>
          </w:tcPr>
          <w:p>
            <w:pPr>
              <w:jc w:val="center"/>
              <w:ind w:right="1414"/>
              <w:spacing w:after="0"/>
              <w:rPr>
                <w:sz w:val="20"/>
                <w:szCs w:val="20"/>
                <w:color w:val="auto"/>
              </w:rPr>
            </w:pPr>
            <w:r>
              <w:rPr>
                <w:rFonts w:ascii="Arial" w:cs="Arial" w:eastAsia="Arial" w:hAnsi="Arial"/>
                <w:sz w:val="18"/>
                <w:szCs w:val="18"/>
                <w:b w:val="1"/>
                <w:bCs w:val="1"/>
                <w:color w:val="auto"/>
                <w:w w:val="90"/>
              </w:rPr>
              <w:t>1001 Fannin Street, Suite 2500</w:t>
            </w:r>
          </w:p>
        </w:tc>
      </w:tr>
      <w:tr>
        <w:trPr>
          <w:trHeight w:val="216"/>
        </w:trPr>
        <w:tc>
          <w:tcPr>
            <w:tcW w:w="1880" w:type="dxa"/>
            <w:vAlign w:val="bottom"/>
          </w:tcPr>
          <w:p>
            <w:pPr>
              <w:spacing w:after="0"/>
              <w:rPr>
                <w:sz w:val="18"/>
                <w:szCs w:val="18"/>
                <w:color w:val="auto"/>
              </w:rPr>
            </w:pPr>
          </w:p>
        </w:tc>
        <w:tc>
          <w:tcPr>
            <w:tcW w:w="7680" w:type="dxa"/>
            <w:vAlign w:val="bottom"/>
          </w:tcPr>
          <w:p>
            <w:pPr>
              <w:jc w:val="center"/>
              <w:ind w:right="1414"/>
              <w:spacing w:after="0"/>
              <w:rPr>
                <w:sz w:val="20"/>
                <w:szCs w:val="20"/>
                <w:color w:val="auto"/>
              </w:rPr>
            </w:pPr>
            <w:r>
              <w:rPr>
                <w:rFonts w:ascii="Arial" w:cs="Arial" w:eastAsia="Arial" w:hAnsi="Arial"/>
                <w:sz w:val="18"/>
                <w:szCs w:val="18"/>
                <w:b w:val="1"/>
                <w:bCs w:val="1"/>
                <w:color w:val="auto"/>
                <w:w w:val="87"/>
              </w:rPr>
              <w:t>Houston, Texas 77002</w:t>
            </w:r>
          </w:p>
        </w:tc>
      </w:tr>
      <w:tr>
        <w:trPr>
          <w:trHeight w:val="234"/>
        </w:trPr>
        <w:tc>
          <w:tcPr>
            <w:tcW w:w="1880" w:type="dxa"/>
            <w:vAlign w:val="bottom"/>
          </w:tcPr>
          <w:p>
            <w:pPr>
              <w:spacing w:after="0"/>
              <w:rPr>
                <w:sz w:val="20"/>
                <w:szCs w:val="20"/>
                <w:color w:val="auto"/>
              </w:rPr>
            </w:pPr>
          </w:p>
        </w:tc>
        <w:tc>
          <w:tcPr>
            <w:tcW w:w="7680" w:type="dxa"/>
            <w:vAlign w:val="bottom"/>
          </w:tcPr>
          <w:p>
            <w:pPr>
              <w:jc w:val="center"/>
              <w:ind w:right="1394"/>
              <w:spacing w:after="0"/>
              <w:rPr>
                <w:sz w:val="20"/>
                <w:szCs w:val="20"/>
                <w:color w:val="auto"/>
              </w:rPr>
            </w:pPr>
            <w:r>
              <w:rPr>
                <w:rFonts w:ascii="Arial" w:cs="Arial" w:eastAsia="Arial" w:hAnsi="Arial"/>
                <w:sz w:val="18"/>
                <w:szCs w:val="18"/>
                <w:b w:val="1"/>
                <w:bCs w:val="1"/>
                <w:color w:val="auto"/>
                <w:w w:val="90"/>
              </w:rPr>
              <w:t>(713) 758-2222</w:t>
            </w:r>
          </w:p>
        </w:tc>
      </w:tr>
    </w:tbl>
    <w:p>
      <w:pPr>
        <w:spacing w:after="0" w:line="1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72" w:right="239" w:bottom="1440" w:gutter="0" w:footer="0" w:header="0"/>
        </w:sectPr>
      </w:pPr>
    </w:p>
    <w:p>
      <w:pPr>
        <w:spacing w:after="0" w:line="235" w:lineRule="exact"/>
        <w:rPr>
          <w:sz w:val="24"/>
          <w:szCs w:val="24"/>
          <w:color w:val="auto"/>
        </w:rPr>
      </w:pPr>
    </w:p>
    <w:p>
      <w:pPr>
        <w:ind w:left="40" w:right="400"/>
        <w:spacing w:after="0" w:line="317" w:lineRule="auto"/>
        <w:rPr>
          <w:sz w:val="20"/>
          <w:szCs w:val="20"/>
          <w:color w:val="auto"/>
        </w:rPr>
      </w:pPr>
      <w:r>
        <w:rPr>
          <w:rFonts w:ascii="Arial" w:cs="Arial" w:eastAsia="Arial" w:hAnsi="Arial"/>
          <w:sz w:val="16"/>
          <w:szCs w:val="16"/>
          <w:color w:val="auto"/>
        </w:rPr>
        <w:t>Large accelerated filer o Non-accelerated filer 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70" w:lineRule="exact"/>
        <w:rPr>
          <w:sz w:val="24"/>
          <w:szCs w:val="24"/>
          <w:color w:val="auto"/>
        </w:rPr>
      </w:pPr>
    </w:p>
    <w:p>
      <w:pPr>
        <w:sectPr>
          <w:pgSz w:w="11900" w:h="16838" w:orient="portrait"/>
          <w:cols w:equalWidth="0" w:num="3">
            <w:col w:w="2180" w:space="720"/>
            <w:col w:w="4520" w:space="720"/>
            <w:col w:w="3280"/>
          </w:cols>
          <w:pgMar w:left="240" w:top="472" w:right="239" w:bottom="1440" w:gutter="0" w:footer="0" w:header="0"/>
          <w:type w:val="continuous"/>
        </w:sectPr>
      </w:pPr>
    </w:p>
    <w:p>
      <w:pPr>
        <w:ind w:left="814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472" w:right="239" w:bottom="1440" w:gutter="0" w:footer="0" w:header="0"/>
          <w:type w:val="continuous"/>
        </w:sectPr>
      </w:pPr>
    </w:p>
    <w:p>
      <w:pPr>
        <w:spacing w:after="0" w:line="27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ectPr>
          <w:pgSz w:w="11900" w:h="16838" w:orient="portrait"/>
          <w:cols w:equalWidth="0" w:num="1">
            <w:col w:w="11420"/>
          </w:cols>
          <w:pgMar w:left="240" w:top="47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08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r>
      <w:tr>
        <w:trPr>
          <w:trHeight w:val="137"/>
        </w:trPr>
        <w:tc>
          <w:tcPr>
            <w:tcW w:w="308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w w:val="90"/>
              </w:rPr>
              <w:t>Proposed</w:t>
            </w:r>
          </w:p>
        </w:tc>
        <w:tc>
          <w:tcPr>
            <w:tcW w:w="2120" w:type="dxa"/>
            <w:vAlign w:val="bottom"/>
            <w:tcBorders>
              <w:right w:val="single" w:sz="8" w:color="auto"/>
            </w:tcBorders>
          </w:tcPr>
          <w:p>
            <w:pPr>
              <w:jc w:val="center"/>
              <w:spacing w:after="0" w:line="137" w:lineRule="exact"/>
              <w:rPr>
                <w:sz w:val="20"/>
                <w:szCs w:val="20"/>
                <w:color w:val="auto"/>
              </w:rPr>
            </w:pPr>
            <w:r>
              <w:rPr>
                <w:rFonts w:ascii="Arial" w:cs="Arial" w:eastAsia="Arial" w:hAnsi="Arial"/>
                <w:sz w:val="14"/>
                <w:szCs w:val="14"/>
                <w:color w:val="auto"/>
                <w:w w:val="90"/>
              </w:rPr>
              <w:t>Proposed</w:t>
            </w:r>
          </w:p>
        </w:tc>
        <w:tc>
          <w:tcPr>
            <w:tcW w:w="2240" w:type="dxa"/>
            <w:vAlign w:val="bottom"/>
          </w:tcPr>
          <w:p>
            <w:pPr>
              <w:spacing w:after="0"/>
              <w:rPr>
                <w:sz w:val="11"/>
                <w:szCs w:val="11"/>
                <w:color w:val="auto"/>
              </w:rPr>
            </w:pPr>
          </w:p>
        </w:tc>
      </w:tr>
      <w:tr>
        <w:trPr>
          <w:trHeight w:val="149"/>
        </w:trPr>
        <w:tc>
          <w:tcPr>
            <w:tcW w:w="3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Title of securities</w:t>
            </w:r>
          </w:p>
        </w:tc>
        <w:tc>
          <w:tcPr>
            <w:tcW w:w="1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Amount to be</w:t>
            </w:r>
          </w:p>
        </w:tc>
        <w:tc>
          <w:tcPr>
            <w:tcW w:w="1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maximum offering</w:t>
            </w:r>
          </w:p>
        </w:tc>
        <w:tc>
          <w:tcPr>
            <w:tcW w:w="2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maximum aggregate</w:t>
            </w:r>
          </w:p>
        </w:tc>
        <w:tc>
          <w:tcPr>
            <w:tcW w:w="2240" w:type="dxa"/>
            <w:vAlign w:val="bottom"/>
          </w:tcPr>
          <w:p>
            <w:pPr>
              <w:jc w:val="center"/>
              <w:spacing w:after="0" w:line="149" w:lineRule="exact"/>
              <w:rPr>
                <w:sz w:val="20"/>
                <w:szCs w:val="20"/>
                <w:color w:val="auto"/>
              </w:rPr>
            </w:pPr>
            <w:r>
              <w:rPr>
                <w:rFonts w:ascii="Arial" w:cs="Arial" w:eastAsia="Arial" w:hAnsi="Arial"/>
                <w:sz w:val="14"/>
                <w:szCs w:val="14"/>
                <w:color w:val="auto"/>
              </w:rPr>
              <w:t>Amount of</w:t>
            </w:r>
          </w:p>
        </w:tc>
      </w:tr>
      <w:tr>
        <w:trPr>
          <w:trHeight w:val="188"/>
        </w:trPr>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to be registered</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registered (1)</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price per share (2)</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offering price (2)</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registration fee (2)</w:t>
            </w:r>
          </w:p>
        </w:tc>
      </w:tr>
      <w:tr>
        <w:trPr>
          <w:trHeight w:val="305"/>
        </w:trPr>
        <w:tc>
          <w:tcPr>
            <w:tcW w:w="30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Common stock, $0.01 par value per share</w:t>
            </w:r>
          </w:p>
        </w:tc>
        <w:tc>
          <w:tcPr>
            <w:tcW w:w="192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182"/>
        </w:trPr>
        <w:tc>
          <w:tcPr>
            <w:tcW w:w="30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(“Common Stock”)</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500,000</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$34.705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$17,352,500</w:t>
            </w:r>
          </w:p>
        </w:tc>
        <w:tc>
          <w:tcPr>
            <w:tcW w:w="2240" w:type="dxa"/>
            <w:vAlign w:val="bottom"/>
          </w:tcPr>
          <w:p>
            <w:pPr>
              <w:jc w:val="center"/>
              <w:spacing w:after="0"/>
              <w:rPr>
                <w:sz w:val="20"/>
                <w:szCs w:val="20"/>
                <w:color w:val="auto"/>
              </w:rPr>
            </w:pPr>
            <w:r>
              <w:rPr>
                <w:rFonts w:ascii="Arial" w:cs="Arial" w:eastAsia="Arial" w:hAnsi="Arial"/>
                <w:sz w:val="14"/>
                <w:szCs w:val="14"/>
                <w:color w:val="auto"/>
                <w:w w:val="93"/>
              </w:rPr>
              <w:t>$2,160.39</w:t>
            </w:r>
          </w:p>
        </w:tc>
      </w:tr>
      <w:tr>
        <w:trPr>
          <w:trHeight w:val="66"/>
        </w:trPr>
        <w:tc>
          <w:tcPr>
            <w:tcW w:w="308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r>
    </w:tbl>
    <w:p>
      <w:pPr>
        <w:spacing w:after="0" w:line="197" w:lineRule="exact"/>
        <w:rPr>
          <w:sz w:val="20"/>
          <w:szCs w:val="20"/>
          <w:color w:val="auto"/>
        </w:rPr>
      </w:pPr>
    </w:p>
    <w:p>
      <w:pPr>
        <w:jc w:val="both"/>
        <w:ind w:left="660" w:hanging="652"/>
        <w:spacing w:after="0" w:line="247"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under the Securities Act of 1933, as amended (the “Securities Act”), this Form S-8 Registration Statement (this “Registration Statement”) shall also cover any additional shares of Common Stock of California Resources Corporation (the “Registrant”) that may become issuable pursuant to the adjustment provisions of the California Resources Corporation 2014 Employee Stock Purchase Plan (the “ESPP”), including as a result of a stock split, stock dividend, or similar transaction. Additionally, pursuant to Rule 416(b) under the Securities Act, if prior to the completion of the distribution of the shares of Common Stock registered under this Registration Statement all shares of Common Stock are combined by a reverse stock split into a lesser number of shares of Common Stock, the number of undistributed shares of Common Stock covered by this Registration Statement shall be proportionately reduced.</w:t>
      </w:r>
    </w:p>
    <w:p>
      <w:pPr>
        <w:spacing w:after="0" w:line="302" w:lineRule="exact"/>
        <w:rPr>
          <w:rFonts w:ascii="Arial" w:cs="Arial" w:eastAsia="Arial" w:hAnsi="Arial"/>
          <w:sz w:val="14"/>
          <w:szCs w:val="14"/>
          <w:color w:val="auto"/>
        </w:rPr>
      </w:pPr>
    </w:p>
    <w:p>
      <w:pPr>
        <w:jc w:val="both"/>
        <w:ind w:left="660" w:hanging="652"/>
        <w:spacing w:after="0" w:line="257" w:lineRule="auto"/>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Rules 457(c) and (h) under the Securities Act, the proposed maximum offering price per share, the proposed maximum aggregate offering price and the amount of registration fee have been computed on the basis of the average of the high and low prices of the Common Stock as reported on the New York Stock Exchange on August 1, 2018; this price is used solely for the purpose of calculating the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EXPLANATORY NOTE</w:t>
      </w:r>
    </w:p>
    <w:p>
      <w:pPr>
        <w:spacing w:after="0" w:line="2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Registration Statement is being filed for the purpose of registering the offer and sale of an additional 500,000 shares of Common Stock that may be issued pursuant to the ESPP. Except as otherwise set forth below, the contents of the registration statements on Form S-8 previously filed with the Securities and Exchange Commission (the “Commission”) on November 26, 2014 (File No. 333-200610) and May 4, 2016 (File No. 333-211106) are incorporated herein by reference and made a part of this Registration Statement as permitted by General Instruction E to Form S-8.</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PART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REQUIRED IN THE SECTION 10(a) PROSPECTUS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Registrant will send or give to all participants in the ESPP the document(s) containing the information required by Part I of Form S-8, as specified in Rule 428(b)(1) promulgated by the Commission under the Securities Act. In accordance with Rule 428, the Registrant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PART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REQUIRED IN THE REGISTRATION STATEMENT</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contents of the earlier registration statement relating to the ESPP, previously filed with the Commission on November 26, 2014 (File No. 333-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200610) and May 4, 2016 (File No. 333-211106) are incorporated herein by reference and made a part of this Registration Statement.</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indicated below as being incorporated by reference of another filing of the Registrant with the Commission, each of the exhibits listed on the accompanying Exhibit Index is filed herewith.</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gridSpan w:val="19"/>
          </w:tcPr>
          <w:p>
            <w:pPr>
              <w:spacing w:after="0"/>
              <w:rPr>
                <w:sz w:val="20"/>
                <w:szCs w:val="20"/>
                <w:color w:val="auto"/>
              </w:rPr>
            </w:pPr>
            <w:r>
              <w:rPr>
                <w:rFonts w:ascii="Arial" w:cs="Arial" w:eastAsia="Arial" w:hAnsi="Arial"/>
                <w:sz w:val="18"/>
                <w:szCs w:val="18"/>
                <w:b w:val="1"/>
                <w:bCs w:val="1"/>
                <w:color w:val="auto"/>
              </w:rPr>
              <w:t>EXHIBIT INDEX</w:t>
            </w:r>
          </w:p>
        </w:tc>
      </w:tr>
      <w:tr>
        <w:trPr>
          <w:trHeight w:val="438"/>
        </w:trPr>
        <w:tc>
          <w:tcPr>
            <w:tcW w:w="7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760" w:type="dxa"/>
            <w:vAlign w:val="bottom"/>
            <w:gridSpan w:val="2"/>
          </w:tcPr>
          <w:p>
            <w:pPr>
              <w:spacing w:after="0" w:line="190" w:lineRule="exact"/>
              <w:rPr>
                <w:sz w:val="20"/>
                <w:szCs w:val="20"/>
                <w:color w:val="auto"/>
              </w:rPr>
            </w:pPr>
            <w:r>
              <w:rPr>
                <w:rFonts w:ascii="Arial" w:cs="Arial" w:eastAsia="Arial" w:hAnsi="Arial"/>
                <w:sz w:val="18"/>
                <w:szCs w:val="18"/>
                <w:color w:val="auto"/>
              </w:rPr>
              <w:t>Number</w:t>
            </w:r>
          </w:p>
        </w:tc>
        <w:tc>
          <w:tcPr>
            <w:tcW w:w="2860" w:type="dxa"/>
            <w:vAlign w:val="bottom"/>
            <w:gridSpan w:val="3"/>
          </w:tcPr>
          <w:p>
            <w:pPr>
              <w:ind w:left="180"/>
              <w:spacing w:after="0" w:line="190" w:lineRule="exact"/>
              <w:rPr>
                <w:sz w:val="20"/>
                <w:szCs w:val="20"/>
                <w:color w:val="auto"/>
              </w:rPr>
            </w:pPr>
            <w:r>
              <w:rPr>
                <w:rFonts w:ascii="Arial" w:cs="Arial" w:eastAsia="Arial" w:hAnsi="Arial"/>
                <w:sz w:val="18"/>
                <w:szCs w:val="18"/>
                <w:color w:val="auto"/>
              </w:rPr>
              <w:t>Description</w:t>
            </w: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2"/>
          </w:tcPr>
          <w:p>
            <w:pPr>
              <w:ind w:left="740"/>
              <w:spacing w:after="0"/>
              <w:rPr>
                <w:sz w:val="20"/>
                <w:szCs w:val="20"/>
                <w:color w:val="auto"/>
              </w:rPr>
            </w:pPr>
            <w:r>
              <w:rPr>
                <w:rFonts w:ascii="Arial" w:cs="Arial" w:eastAsia="Arial" w:hAnsi="Arial"/>
                <w:sz w:val="18"/>
                <w:szCs w:val="18"/>
                <w:color w:val="auto"/>
              </w:rPr>
              <w:t>4.1</w:t>
            </w:r>
          </w:p>
        </w:tc>
        <w:tc>
          <w:tcPr>
            <w:tcW w:w="6740" w:type="dxa"/>
            <w:vAlign w:val="bottom"/>
            <w:gridSpan w:val="20"/>
          </w:tcPr>
          <w:p>
            <w:pPr>
              <w:spacing w:after="0"/>
              <w:rPr>
                <w:rFonts w:ascii="Arial" w:cs="Arial" w:eastAsia="Arial" w:hAnsi="Arial"/>
                <w:sz w:val="18"/>
                <w:szCs w:val="18"/>
                <w:color w:val="0000FF"/>
                <w:w w:val="92"/>
              </w:rPr>
            </w:pPr>
            <w:hyperlink r:id="rId9">
              <w:r>
                <w:rPr>
                  <w:rFonts w:ascii="Arial" w:cs="Arial" w:eastAsia="Arial" w:hAnsi="Arial"/>
                  <w:sz w:val="18"/>
                  <w:szCs w:val="18"/>
                  <w:color w:val="0000FF"/>
                  <w:w w:val="92"/>
                </w:rPr>
                <w:t>Amended and Restated Certificate of Incorporation of the California Resources Corporation</w:t>
              </w:r>
            </w:hyperlink>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58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9">
              <w:r>
                <w:rPr>
                  <w:rFonts w:ascii="Arial" w:cs="Arial" w:eastAsia="Arial" w:hAnsi="Arial"/>
                  <w:sz w:val="18"/>
                  <w:szCs w:val="18"/>
                  <w:color w:val="0000FF"/>
                  <w:w w:val="90"/>
                </w:rPr>
                <w:t>(incorporated by reference herein to Exhibit 3.1 to the Registrant’s Current Report on Form</w:t>
              </w:r>
            </w:hyperlink>
          </w:p>
        </w:tc>
        <w:tc>
          <w:tcPr>
            <w:tcW w:w="40" w:type="dxa"/>
            <w:vAlign w:val="bottom"/>
            <w:tcBorders>
              <w:top w:val="single" w:sz="8" w:color="0000FF"/>
            </w:tcBorders>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740" w:type="dxa"/>
            <w:vAlign w:val="bottom"/>
            <w:gridSpan w:val="20"/>
          </w:tcPr>
          <w:p>
            <w:pPr>
              <w:spacing w:after="0" w:line="196" w:lineRule="exact"/>
              <w:rPr>
                <w:rFonts w:ascii="Arial" w:cs="Arial" w:eastAsia="Arial" w:hAnsi="Arial"/>
                <w:sz w:val="18"/>
                <w:szCs w:val="18"/>
                <w:color w:val="0000FF"/>
              </w:rPr>
            </w:pPr>
            <w:hyperlink r:id="rId9">
              <w:r>
                <w:rPr>
                  <w:rFonts w:ascii="Arial" w:cs="Arial" w:eastAsia="Arial" w:hAnsi="Arial"/>
                  <w:sz w:val="18"/>
                  <w:szCs w:val="18"/>
                  <w:color w:val="0000FF"/>
                </w:rPr>
                <w:t>8-K (File No. 001-36478) filed with the Commission on June 3, 2016).</w:t>
              </w:r>
            </w:hyperlink>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gridSpan w:val="3"/>
          </w:tcPr>
          <w:p>
            <w:pPr>
              <w:ind w:left="920"/>
              <w:spacing w:after="0"/>
              <w:rPr>
                <w:sz w:val="20"/>
                <w:szCs w:val="20"/>
                <w:color w:val="auto"/>
              </w:rPr>
            </w:pPr>
            <w:r>
              <w:rPr>
                <w:rFonts w:ascii="Arial" w:cs="Arial" w:eastAsia="Arial" w:hAnsi="Arial"/>
                <w:sz w:val="18"/>
                <w:szCs w:val="18"/>
                <w:color w:val="auto"/>
              </w:rPr>
              <w:t>4.2</w:t>
            </w:r>
          </w:p>
        </w:tc>
        <w:tc>
          <w:tcPr>
            <w:tcW w:w="6160" w:type="dxa"/>
            <w:vAlign w:val="bottom"/>
            <w:tcBorders>
              <w:bottom w:val="single" w:sz="8" w:color="0000FF"/>
            </w:tcBorders>
            <w:gridSpan w:val="14"/>
          </w:tcPr>
          <w:p>
            <w:pPr>
              <w:spacing w:after="0"/>
              <w:rPr>
                <w:rFonts w:ascii="Arial" w:cs="Arial" w:eastAsia="Arial" w:hAnsi="Arial"/>
                <w:sz w:val="18"/>
                <w:szCs w:val="18"/>
                <w:color w:val="0000FF"/>
                <w:w w:val="90"/>
              </w:rPr>
            </w:pPr>
            <w:hyperlink r:id="rId10">
              <w:r>
                <w:rPr>
                  <w:rFonts w:ascii="Arial" w:cs="Arial" w:eastAsia="Arial" w:hAnsi="Arial"/>
                  <w:sz w:val="18"/>
                  <w:szCs w:val="18"/>
                  <w:color w:val="0000FF"/>
                  <w:w w:val="90"/>
                </w:rPr>
                <w:t>Amended and Restated Bylaws of California Resources Corporation (incorporated by</w:t>
              </w:r>
            </w:hyperlink>
          </w:p>
        </w:tc>
        <w:tc>
          <w:tcPr>
            <w:tcW w:w="580" w:type="dxa"/>
            <w:vAlign w:val="bottom"/>
            <w:gridSpan w:val="6"/>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74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0">
              <w:r>
                <w:rPr>
                  <w:rFonts w:ascii="Arial" w:cs="Arial" w:eastAsia="Arial" w:hAnsi="Arial"/>
                  <w:sz w:val="18"/>
                  <w:szCs w:val="18"/>
                  <w:color w:val="0000FF"/>
                  <w:w w:val="91"/>
                </w:rPr>
                <w:t>reference to Exhibit 3.2 to the Registrant’s Current Report on Form 8-K (File No. 001-36478)</w:t>
              </w:r>
            </w:hyperlink>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740" w:type="dxa"/>
            <w:vAlign w:val="bottom"/>
            <w:gridSpan w:val="20"/>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filed with the Commission on November 10, 2015).</w:t>
              </w:r>
            </w:hyperlink>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gridSpan w:val="3"/>
          </w:tcPr>
          <w:p>
            <w:pPr>
              <w:ind w:left="920"/>
              <w:spacing w:after="0"/>
              <w:rPr>
                <w:sz w:val="20"/>
                <w:szCs w:val="20"/>
                <w:color w:val="auto"/>
              </w:rPr>
            </w:pPr>
            <w:r>
              <w:rPr>
                <w:rFonts w:ascii="Arial" w:cs="Arial" w:eastAsia="Arial" w:hAnsi="Arial"/>
                <w:sz w:val="18"/>
                <w:szCs w:val="18"/>
                <w:color w:val="auto"/>
              </w:rPr>
              <w:t>4.3</w:t>
            </w:r>
          </w:p>
        </w:tc>
        <w:tc>
          <w:tcPr>
            <w:tcW w:w="6360" w:type="dxa"/>
            <w:vAlign w:val="bottom"/>
            <w:tcBorders>
              <w:bottom w:val="single" w:sz="8" w:color="0000FF"/>
            </w:tcBorders>
            <w:gridSpan w:val="15"/>
          </w:tcPr>
          <w:p>
            <w:pPr>
              <w:spacing w:after="0"/>
              <w:rPr>
                <w:rFonts w:ascii="Arial" w:cs="Arial" w:eastAsia="Arial" w:hAnsi="Arial"/>
                <w:sz w:val="18"/>
                <w:szCs w:val="18"/>
                <w:color w:val="0000FF"/>
                <w:w w:val="90"/>
              </w:rPr>
            </w:pPr>
            <w:hyperlink r:id="rId11">
              <w:r>
                <w:rPr>
                  <w:rFonts w:ascii="Arial" w:cs="Arial" w:eastAsia="Arial" w:hAnsi="Arial"/>
                  <w:sz w:val="18"/>
                  <w:szCs w:val="18"/>
                  <w:color w:val="0000FF"/>
                  <w:w w:val="90"/>
                </w:rPr>
                <w:t>California Resources Corporation 2014 Employee Stock Purchase Plan (incorporated by</w:t>
              </w:r>
            </w:hyperlink>
          </w:p>
        </w:tc>
        <w:tc>
          <w:tcPr>
            <w:tcW w:w="380" w:type="dxa"/>
            <w:vAlign w:val="bottom"/>
            <w:gridSpan w:val="5"/>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5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reference herein to Exhibit 4.3 to the Registrant’s Registration Statement on Form S-8 (File</w:t>
              </w:r>
            </w:hyperlink>
          </w:p>
        </w:tc>
        <w:tc>
          <w:tcPr>
            <w:tcW w:w="160" w:type="dxa"/>
            <w:vAlign w:val="bottom"/>
            <w:gridSpan w:val="3"/>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740" w:type="dxa"/>
            <w:vAlign w:val="bottom"/>
            <w:gridSpan w:val="20"/>
          </w:tcPr>
          <w:p>
            <w:pPr>
              <w:spacing w:after="0" w:line="196" w:lineRule="exact"/>
              <w:rPr>
                <w:rFonts w:ascii="Arial" w:cs="Arial" w:eastAsia="Arial" w:hAnsi="Arial"/>
                <w:sz w:val="18"/>
                <w:szCs w:val="18"/>
                <w:color w:val="0000FF"/>
              </w:rPr>
            </w:pPr>
            <w:hyperlink r:id="rId11">
              <w:r>
                <w:rPr>
                  <w:rFonts w:ascii="Arial" w:cs="Arial" w:eastAsia="Arial" w:hAnsi="Arial"/>
                  <w:sz w:val="18"/>
                  <w:szCs w:val="18"/>
                  <w:color w:val="0000FF"/>
                </w:rPr>
                <w:t>No. 333-200610) filed with the Commission on November 26, 2014).</w:t>
              </w:r>
            </w:hyperlink>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gridSpan w:val="3"/>
          </w:tcPr>
          <w:p>
            <w:pPr>
              <w:ind w:left="920"/>
              <w:spacing w:after="0"/>
              <w:rPr>
                <w:sz w:val="20"/>
                <w:szCs w:val="20"/>
                <w:color w:val="auto"/>
              </w:rPr>
            </w:pPr>
            <w:r>
              <w:rPr>
                <w:rFonts w:ascii="Arial" w:cs="Arial" w:eastAsia="Arial" w:hAnsi="Arial"/>
                <w:sz w:val="18"/>
                <w:szCs w:val="18"/>
                <w:color w:val="auto"/>
              </w:rPr>
              <w:t>4.4</w:t>
            </w:r>
          </w:p>
        </w:tc>
        <w:tc>
          <w:tcPr>
            <w:tcW w:w="6520" w:type="dxa"/>
            <w:vAlign w:val="bottom"/>
            <w:tcBorders>
              <w:bottom w:val="single" w:sz="8" w:color="0000FF"/>
            </w:tcBorders>
            <w:gridSpan w:val="16"/>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First Amendment to the California Resources Corporation 2014 Employee Stock Purchase</w:t>
              </w:r>
            </w:hyperlink>
          </w:p>
        </w:tc>
        <w:tc>
          <w:tcPr>
            <w:tcW w:w="220" w:type="dxa"/>
            <w:vAlign w:val="bottom"/>
            <w:gridSpan w:val="4"/>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Plan effective May 4. 2016 (incorporated by reference herein to Annex C-1 to the</w:t>
              </w:r>
            </w:hyperlink>
          </w:p>
        </w:tc>
        <w:tc>
          <w:tcPr>
            <w:tcW w:w="860" w:type="dxa"/>
            <w:vAlign w:val="bottom"/>
            <w:gridSpan w:val="8"/>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74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12">
              <w:r>
                <w:rPr>
                  <w:rFonts w:ascii="Arial" w:cs="Arial" w:eastAsia="Arial" w:hAnsi="Arial"/>
                  <w:sz w:val="18"/>
                  <w:szCs w:val="18"/>
                  <w:color w:val="0000FF"/>
                  <w:w w:val="92"/>
                </w:rPr>
                <w:t>Registrant’s Definitive Proxy Statement on Schedule 14A (File No. 001-36478) filed with the</w:t>
              </w:r>
            </w:hyperlink>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2">
              <w:r>
                <w:rPr>
                  <w:rFonts w:ascii="Arial" w:cs="Arial" w:eastAsia="Arial" w:hAnsi="Arial"/>
                  <w:sz w:val="18"/>
                  <w:szCs w:val="18"/>
                  <w:color w:val="0000FF"/>
                  <w:w w:val="91"/>
                </w:rPr>
                <w:t>Commission on March 23, 2016).</w:t>
              </w:r>
            </w:hyperlink>
          </w:p>
        </w:tc>
        <w:tc>
          <w:tcPr>
            <w:tcW w:w="4300" w:type="dxa"/>
            <w:vAlign w:val="bottom"/>
            <w:gridSpan w:val="13"/>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gridSpan w:val="3"/>
          </w:tcPr>
          <w:p>
            <w:pPr>
              <w:ind w:left="920"/>
              <w:spacing w:after="0"/>
              <w:rPr>
                <w:sz w:val="20"/>
                <w:szCs w:val="20"/>
                <w:color w:val="auto"/>
              </w:rPr>
            </w:pPr>
            <w:r>
              <w:rPr>
                <w:rFonts w:ascii="Arial" w:cs="Arial" w:eastAsia="Arial" w:hAnsi="Arial"/>
                <w:sz w:val="18"/>
                <w:szCs w:val="18"/>
                <w:color w:val="auto"/>
              </w:rPr>
              <w:t>4.5</w:t>
            </w:r>
          </w:p>
        </w:tc>
        <w:tc>
          <w:tcPr>
            <w:tcW w:w="6720" w:type="dxa"/>
            <w:vAlign w:val="bottom"/>
            <w:tcBorders>
              <w:bottom w:val="single" w:sz="8" w:color="0000FF"/>
            </w:tcBorders>
            <w:gridSpan w:val="19"/>
          </w:tcPr>
          <w:p>
            <w:pPr>
              <w:spacing w:after="0"/>
              <w:rPr>
                <w:rFonts w:ascii="Arial" w:cs="Arial" w:eastAsia="Arial" w:hAnsi="Arial"/>
                <w:sz w:val="18"/>
                <w:szCs w:val="18"/>
                <w:color w:val="0000FF"/>
                <w:w w:val="89"/>
              </w:rPr>
            </w:pPr>
            <w:hyperlink r:id="rId13">
              <w:r>
                <w:rPr>
                  <w:rFonts w:ascii="Arial" w:cs="Arial" w:eastAsia="Arial" w:hAnsi="Arial"/>
                  <w:sz w:val="18"/>
                  <w:szCs w:val="18"/>
                  <w:color w:val="0000FF"/>
                  <w:w w:val="89"/>
                </w:rPr>
                <w:t>Second Amendment to the California Resources Corporation 2014 Employee Stock Purchase</w:t>
              </w:r>
            </w:hyperlink>
          </w:p>
        </w:tc>
        <w:tc>
          <w:tcPr>
            <w:tcW w:w="2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Plan effective May 9, 2018 (incorporated by reference herein to Annex B-1 to the</w:t>
              </w:r>
            </w:hyperlink>
          </w:p>
        </w:tc>
        <w:tc>
          <w:tcPr>
            <w:tcW w:w="860" w:type="dxa"/>
            <w:vAlign w:val="bottom"/>
            <w:gridSpan w:val="8"/>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74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13">
              <w:r>
                <w:rPr>
                  <w:rFonts w:ascii="Arial" w:cs="Arial" w:eastAsia="Arial" w:hAnsi="Arial"/>
                  <w:sz w:val="18"/>
                  <w:szCs w:val="18"/>
                  <w:color w:val="0000FF"/>
                  <w:w w:val="92"/>
                </w:rPr>
                <w:t>Registrant’s Definitive Proxy Statement on Schedule 14A (File No. 001-36478) filed with the</w:t>
              </w:r>
            </w:hyperlink>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740" w:type="dxa"/>
            <w:vAlign w:val="bottom"/>
            <w:gridSpan w:val="20"/>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Commission on March 27, 2018).</w:t>
              </w:r>
            </w:hyperlink>
          </w:p>
        </w:tc>
      </w:tr>
      <w:tr>
        <w:trPr>
          <w:trHeight w:val="250"/>
        </w:trPr>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gridSpan w:val="3"/>
          </w:tcPr>
          <w:p>
            <w:pPr>
              <w:ind w:left="920"/>
              <w:spacing w:after="0"/>
              <w:rPr>
                <w:sz w:val="20"/>
                <w:szCs w:val="20"/>
                <w:color w:val="auto"/>
              </w:rPr>
            </w:pPr>
            <w:r>
              <w:rPr>
                <w:rFonts w:ascii="Arial" w:cs="Arial" w:eastAsia="Arial" w:hAnsi="Arial"/>
                <w:sz w:val="18"/>
                <w:szCs w:val="18"/>
                <w:color w:val="auto"/>
              </w:rPr>
              <w:t>5.1*</w:t>
            </w:r>
          </w:p>
        </w:tc>
        <w:tc>
          <w:tcPr>
            <w:tcW w:w="24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w w:val="96"/>
              </w:rPr>
              <w:t>Opinion of Vinson &amp; Elkins LLP</w:t>
            </w:r>
          </w:p>
        </w:tc>
        <w:tc>
          <w:tcPr>
            <w:tcW w:w="4320" w:type="dxa"/>
            <w:vAlign w:val="bottom"/>
            <w:gridSpan w:val="14"/>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gridSpan w:val="3"/>
          </w:tcPr>
          <w:p>
            <w:pPr>
              <w:ind w:left="920"/>
              <w:spacing w:after="0"/>
              <w:rPr>
                <w:sz w:val="20"/>
                <w:szCs w:val="20"/>
                <w:color w:val="auto"/>
              </w:rPr>
            </w:pPr>
            <w:r>
              <w:rPr>
                <w:rFonts w:ascii="Arial" w:cs="Arial" w:eastAsia="Arial" w:hAnsi="Arial"/>
                <w:sz w:val="18"/>
                <w:szCs w:val="18"/>
                <w:color w:val="auto"/>
              </w:rPr>
              <w:t>23.1*</w:t>
            </w:r>
          </w:p>
        </w:tc>
        <w:tc>
          <w:tcPr>
            <w:tcW w:w="6740" w:type="dxa"/>
            <w:vAlign w:val="bottom"/>
            <w:gridSpan w:val="20"/>
          </w:tcPr>
          <w:p>
            <w:pPr>
              <w:spacing w:after="0"/>
              <w:rPr>
                <w:sz w:val="20"/>
                <w:szCs w:val="20"/>
                <w:color w:val="auto"/>
              </w:rPr>
            </w:pPr>
            <w:r>
              <w:rPr>
                <w:rFonts w:ascii="Arial" w:cs="Arial" w:eastAsia="Arial" w:hAnsi="Arial"/>
                <w:sz w:val="18"/>
                <w:szCs w:val="18"/>
                <w:color w:val="0000FF"/>
              </w:rPr>
              <w:t>Consent of Vinson &amp; Elkins LLP (included in the opinion filed as Exhibit 5.1 to this</w:t>
            </w:r>
          </w:p>
        </w:tc>
      </w:tr>
      <w:tr>
        <w:trPr>
          <w:trHeight w:val="196"/>
        </w:trPr>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60" w:type="dxa"/>
            <w:vAlign w:val="bottom"/>
            <w:tcBorders>
              <w:top w:val="single" w:sz="8" w:color="0000FF"/>
            </w:tcBorders>
            <w:gridSpan w:val="13"/>
          </w:tcPr>
          <w:p>
            <w:pPr>
              <w:spacing w:after="0" w:line="196" w:lineRule="exact"/>
              <w:rPr>
                <w:sz w:val="20"/>
                <w:szCs w:val="20"/>
                <w:color w:val="auto"/>
              </w:rPr>
            </w:pPr>
            <w:r>
              <w:rPr>
                <w:rFonts w:ascii="Arial" w:cs="Arial" w:eastAsia="Arial" w:hAnsi="Arial"/>
                <w:sz w:val="18"/>
                <w:szCs w:val="18"/>
                <w:color w:val="0000FF"/>
              </w:rPr>
              <w:t>Registration Statement).</w:t>
            </w:r>
          </w:p>
        </w:tc>
        <w:tc>
          <w:tcPr>
            <w:tcW w:w="680" w:type="dxa"/>
            <w:vAlign w:val="bottom"/>
            <w:gridSpan w:val="7"/>
          </w:tcPr>
          <w:p>
            <w:pPr>
              <w:spacing w:after="0"/>
              <w:rPr>
                <w:sz w:val="17"/>
                <w:szCs w:val="17"/>
                <w:color w:val="auto"/>
              </w:rPr>
            </w:pPr>
          </w:p>
        </w:tc>
      </w:tr>
      <w:tr>
        <w:trPr>
          <w:trHeight w:val="250"/>
        </w:trPr>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gridSpan w:val="3"/>
          </w:tcPr>
          <w:p>
            <w:pPr>
              <w:ind w:left="920"/>
              <w:spacing w:after="0"/>
              <w:rPr>
                <w:sz w:val="20"/>
                <w:szCs w:val="20"/>
                <w:color w:val="auto"/>
              </w:rPr>
            </w:pPr>
            <w:r>
              <w:rPr>
                <w:rFonts w:ascii="Arial" w:cs="Arial" w:eastAsia="Arial" w:hAnsi="Arial"/>
                <w:sz w:val="18"/>
                <w:szCs w:val="18"/>
                <w:color w:val="auto"/>
              </w:rPr>
              <w:t>23.2*</w:t>
            </w:r>
          </w:p>
        </w:tc>
        <w:tc>
          <w:tcPr>
            <w:tcW w:w="17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3"/>
              </w:rPr>
              <w:t>Consent of KPMG LLP</w:t>
            </w:r>
          </w:p>
        </w:tc>
        <w:tc>
          <w:tcPr>
            <w:tcW w:w="20" w:type="dxa"/>
            <w:vAlign w:val="bottom"/>
            <w:tcBorders>
              <w:top w:val="single" w:sz="8" w:color="0000FF"/>
            </w:tcBorders>
          </w:tcPr>
          <w:p>
            <w:pPr>
              <w:spacing w:after="0"/>
              <w:rPr>
                <w:sz w:val="21"/>
                <w:szCs w:val="21"/>
                <w:color w:val="auto"/>
              </w:rPr>
            </w:pPr>
          </w:p>
        </w:tc>
        <w:tc>
          <w:tcPr>
            <w:tcW w:w="5000" w:type="dxa"/>
            <w:vAlign w:val="bottom"/>
            <w:gridSpan w:val="17"/>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60" w:type="dxa"/>
            <w:vAlign w:val="bottom"/>
            <w:gridSpan w:val="3"/>
          </w:tcPr>
          <w:p>
            <w:pPr>
              <w:ind w:left="920"/>
              <w:spacing w:after="0"/>
              <w:rPr>
                <w:sz w:val="20"/>
                <w:szCs w:val="20"/>
                <w:color w:val="auto"/>
              </w:rPr>
            </w:pPr>
            <w:r>
              <w:rPr>
                <w:rFonts w:ascii="Arial" w:cs="Arial" w:eastAsia="Arial" w:hAnsi="Arial"/>
                <w:sz w:val="18"/>
                <w:szCs w:val="18"/>
                <w:color w:val="auto"/>
              </w:rPr>
              <w:t>23.3*</w:t>
            </w:r>
          </w:p>
        </w:tc>
        <w:tc>
          <w:tcPr>
            <w:tcW w:w="2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Consent of Ryder Scott Company, L.P.</w:t>
            </w:r>
          </w:p>
        </w:tc>
        <w:tc>
          <w:tcPr>
            <w:tcW w:w="3960" w:type="dxa"/>
            <w:vAlign w:val="bottom"/>
            <w:gridSpan w:val="12"/>
          </w:tcPr>
          <w:p>
            <w:pPr>
              <w:spacing w:after="0"/>
              <w:rPr>
                <w:sz w:val="21"/>
                <w:szCs w:val="21"/>
                <w:color w:val="auto"/>
              </w:rPr>
            </w:pPr>
          </w:p>
        </w:tc>
      </w:tr>
      <w:tr>
        <w:trPr>
          <w:trHeight w:val="291"/>
        </w:trPr>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3"/>
          </w:tcPr>
          <w:p>
            <w:pPr>
              <w:ind w:left="920"/>
              <w:spacing w:after="0"/>
              <w:rPr>
                <w:sz w:val="20"/>
                <w:szCs w:val="20"/>
                <w:color w:val="auto"/>
              </w:rPr>
            </w:pPr>
            <w:r>
              <w:rPr>
                <w:rFonts w:ascii="Arial" w:cs="Arial" w:eastAsia="Arial" w:hAnsi="Arial"/>
                <w:sz w:val="18"/>
                <w:szCs w:val="18"/>
                <w:color w:val="auto"/>
              </w:rPr>
              <w:t>24.1*</w:t>
            </w:r>
          </w:p>
        </w:tc>
        <w:tc>
          <w:tcPr>
            <w:tcW w:w="6740" w:type="dxa"/>
            <w:vAlign w:val="bottom"/>
            <w:gridSpan w:val="20"/>
          </w:tcPr>
          <w:p>
            <w:pPr>
              <w:spacing w:after="0"/>
              <w:rPr>
                <w:sz w:val="20"/>
                <w:szCs w:val="20"/>
                <w:color w:val="auto"/>
              </w:rPr>
            </w:pPr>
            <w:r>
              <w:rPr>
                <w:rFonts w:ascii="Arial" w:cs="Arial" w:eastAsia="Arial" w:hAnsi="Arial"/>
                <w:sz w:val="18"/>
                <w:szCs w:val="18"/>
                <w:color w:val="auto"/>
              </w:rPr>
              <w:t>Power of Attorney (included on the signature page of this Registration Statement).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0360"/>
          </w:cols>
          <w:pgMar w:left="900" w:top="351" w:right="6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Los Angeles, State of California on August 6, 2018.</w:t>
      </w:r>
    </w:p>
    <w:p>
      <w:pPr>
        <w:spacing w:after="0" w:line="218"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40640</wp:posOffset>
            </wp:positionV>
            <wp:extent cx="2889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04"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Todd A. Stevens</w:t>
      </w:r>
    </w:p>
    <w:p>
      <w:pPr>
        <w:spacing w:after="0" w:line="98" w:lineRule="exact"/>
        <w:rPr>
          <w:sz w:val="20"/>
          <w:szCs w:val="20"/>
          <w:color w:val="auto"/>
        </w:rPr>
      </w:pPr>
    </w:p>
    <w:p>
      <w:pPr>
        <w:sectPr>
          <w:pgSz w:w="11900" w:h="16838" w:orient="portrait"/>
          <w:cols w:equalWidth="0" w:num="2">
            <w:col w:w="6980" w:space="380"/>
            <w:col w:w="4060"/>
          </w:cols>
          <w:pgMar w:left="240" w:top="580" w:right="239" w:bottom="1440" w:gutter="0" w:footer="0" w:header="0"/>
          <w:type w:val="continuous"/>
        </w:sectPr>
      </w:pPr>
    </w:p>
    <w:p>
      <w:pPr>
        <w:ind w:left="65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200" w:lineRule="exact"/>
        <w:rPr>
          <w:sz w:val="20"/>
          <w:szCs w:val="20"/>
          <w:color w:val="auto"/>
        </w:rPr>
      </w:pPr>
    </w:p>
    <w:p>
      <w:pPr>
        <w:sectPr>
          <w:pgSz w:w="11900" w:h="16838" w:orient="portrait"/>
          <w:cols w:equalWidth="0" w:num="2">
            <w:col w:w="6880" w:space="460"/>
            <w:col w:w="4080"/>
          </w:cols>
          <w:pgMar w:left="240" w:top="580" w:right="239" w:bottom="1440" w:gutter="0" w:footer="0" w:header="0"/>
          <w:type w:val="continuous"/>
        </w:sectPr>
      </w:pP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KNOWN ALL PERSONS BY THESE PRESENTS, that each person whose signature appears below appoints Todd A. Stevens, Marshall D. Smith, Michael L. Preston, Jody Johnson and Ulrik Damborg and each of them, any of whom may act without the joinder of the other, as his or her true and lawful attorneys-in-fact and agents, with full power of substitution and resubstitution, for him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and to file the same, with all exhibits thereto, and all other documents in connection therewith, with the Commission, granting unto said attorneys-in-fact and agents full power and authority to do and perform each and every act and thing requisite and necessary to be done, as fully to all intents and purposes as he or she might or would do in person, hereby ratifying and confirming all that said attorneys-in-fact and agents or any of them or their or his substitute or substitutes, may lawfully do or cause to be done by virtue hereof.</w:t>
      </w:r>
    </w:p>
    <w:p>
      <w:pPr>
        <w:spacing w:after="0" w:line="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on August 6, 2018.</w:t>
      </w:r>
    </w:p>
    <w:p>
      <w:pPr>
        <w:sectPr>
          <w:pgSz w:w="11900" w:h="16838" w:orient="portrait"/>
          <w:cols w:equalWidth="0" w:num="1">
            <w:col w:w="11420"/>
          </w:cols>
          <w:pgMar w:left="240" w:top="580" w:right="239" w:bottom="1440" w:gutter="0" w:footer="0" w:header="0"/>
          <w:type w:val="continuous"/>
        </w:sectPr>
      </w:pPr>
    </w:p>
    <w:bookmarkStart w:id="4" w:name="page5"/>
    <w:bookmarkEnd w:id="4"/>
    <w:p>
      <w:pPr>
        <w:ind w:left="78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34290</wp:posOffset>
            </wp:positionV>
            <wp:extent cx="2109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8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Todd A.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31750</wp:posOffset>
            </wp:positionV>
            <wp:extent cx="2109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Todd A. Stevens</w:t>
      </w:r>
    </w:p>
    <w:p>
      <w:pPr>
        <w:spacing w:after="0" w:line="200" w:lineRule="exact"/>
        <w:rPr>
          <w:sz w:val="20"/>
          <w:szCs w:val="20"/>
          <w:color w:val="auto"/>
        </w:rPr>
      </w:pPr>
    </w:p>
    <w:p>
      <w:pPr>
        <w:spacing w:after="0" w:line="25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31750</wp:posOffset>
            </wp:positionV>
            <wp:extent cx="2109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Marshall D. Smith</w:t>
      </w:r>
    </w:p>
    <w:p>
      <w:pPr>
        <w:spacing w:after="0" w:line="200" w:lineRule="exact"/>
        <w:rPr>
          <w:sz w:val="20"/>
          <w:szCs w:val="20"/>
          <w:color w:val="auto"/>
        </w:rPr>
      </w:pPr>
    </w:p>
    <w:p>
      <w:pPr>
        <w:spacing w:after="0" w:line="28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31750</wp:posOffset>
            </wp:positionV>
            <wp:extent cx="2109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Roy Pineci</w:t>
      </w:r>
    </w:p>
    <w:p>
      <w:pPr>
        <w:spacing w:after="0" w:line="200" w:lineRule="exact"/>
        <w:rPr>
          <w:sz w:val="20"/>
          <w:szCs w:val="20"/>
          <w:color w:val="auto"/>
        </w:rPr>
      </w:pPr>
    </w:p>
    <w:p>
      <w:pPr>
        <w:spacing w:after="0" w:line="25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William E. Albrecht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39370</wp:posOffset>
            </wp:positionV>
            <wp:extent cx="2109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6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William E. Albrecht</w:t>
      </w:r>
    </w:p>
    <w:p>
      <w:pPr>
        <w:spacing w:after="0" w:line="2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Justin A. 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31750</wp:posOffset>
            </wp:positionV>
            <wp:extent cx="2109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Justin A. Gannon</w:t>
      </w:r>
    </w:p>
    <w:p>
      <w:pPr>
        <w:spacing w:after="0" w:line="25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Harold M. Korell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31750</wp:posOffset>
            </wp:positionV>
            <wp:extent cx="2109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Harold M. Korell</w:t>
      </w:r>
    </w:p>
    <w:p>
      <w:pPr>
        <w:spacing w:after="0" w:line="25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Harry T.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31750</wp:posOffset>
            </wp:positionV>
            <wp:extent cx="2109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Harry T. McMahon</w:t>
      </w:r>
    </w:p>
    <w:p>
      <w:pPr>
        <w:spacing w:after="0" w:line="252"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 Richard W. Moncrief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46355</wp:posOffset>
            </wp:positionV>
            <wp:extent cx="2109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8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Richard W. Moncrief</w:t>
      </w:r>
    </w:p>
    <w:p>
      <w:pPr>
        <w:spacing w:after="0" w:line="279"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Avedick B. Poladian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39370</wp:posOffset>
            </wp:positionV>
            <wp:extent cx="2109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6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Avedick B. Poladian</w:t>
      </w:r>
    </w:p>
    <w:p>
      <w:pPr>
        <w:spacing w:after="0" w:line="2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Anita M.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31750</wp:posOffset>
            </wp:positionV>
            <wp:extent cx="2109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Anita M. Powers</w:t>
      </w:r>
    </w:p>
    <w:p>
      <w:pPr>
        <w:spacing w:after="0" w:line="2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Robert V. Sinnott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31750</wp:posOffset>
            </wp:positionV>
            <wp:extent cx="2109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Robert V. Sinnott</w:t>
      </w:r>
    </w:p>
    <w:p>
      <w:pPr>
        <w:spacing w:after="0" w:line="20" w:lineRule="exact"/>
        <w:rPr>
          <w:sz w:val="20"/>
          <w:szCs w:val="20"/>
          <w:color w:val="auto"/>
        </w:rPr>
      </w:pPr>
      <w:r>
        <w:rPr>
          <w:sz w:val="20"/>
          <w:szCs w:val="20"/>
          <w:color w:val="auto"/>
        </w:rPr>
        <w:br w:type="column"/>
      </w:r>
    </w:p>
    <w:p>
      <w:pPr>
        <w:ind w:left="27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34290</wp:posOffset>
            </wp:positionV>
            <wp:extent cx="4073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08"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Senior Executive Vice President and Chief Financial Officer (Principal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 Finance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37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2700" w:space="720"/>
            <w:col w:w="5820"/>
          </w:cols>
          <w:pgMar w:left="1440" w:top="742" w:right="121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145796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August 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9200 Oakdale Avenue,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91311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acted as counsel for California Resources Corporation, a Delaware corporation (the “Company”), in connection with the Company’s registration under the Securities Act of 1933, as amended (the “Act”), of the offer and sale of up to an aggregate of 500,000 shares of the Company’s common stock, par value $0.01 per share (the “Shares”), pursuant to the Company’s registration statement on Form S-8 (the “Registration Statement”) to be filed with the Securities and Exchange Commission on August 6, 2018, which Shares may be issued from time to time in accordance with the terms of the California Resources Corporation 2014 Employee Stock Purchase Plan (as amended from time to time, the “Plan”).</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w:t>
      </w:r>
    </w:p>
    <w:p>
      <w:pPr>
        <w:jc w:val="both"/>
        <w:ind w:firstLine="8"/>
        <w:spacing w:after="0" w:line="255" w:lineRule="auto"/>
        <w:tabs>
          <w:tab w:leader="none" w:pos="317"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other certificates, instruments, and documents as we have considered necessary for purposes of this opinion letter. As to any facts material to our opinions, we have made no independent investigation or verification of such facts and have relied, to the extent that we deem such reliance proper, upon certificates of public officials and officers or other representatives of the Company.</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assumed (i) the legal capacity of all natural persons, (ii) the genuineness of all signatures, (iii) the authority of all persons signing all documents submitted to us on behalf of the parties to such documents, (iv) the authenticity of all documents submitted to use as originals, (v) the conformity to authentic original documents of all documents submitted to use as copies, (vi) that all information contained in all documents reviewed by us is true, correct and complete, and (vii) that the Shares will be issued in accordance with the terms of the Plan.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on the foregoing and subject to the limitations set forth herein, and having due regard for the legal considerations we deem relevant, we are of the opinion that the Shares have been duly authorized and, when the Shares are issued by the Company in accordance with the terms of the Plan and the instruments executed pursuant to the Plan, as applicable, the Shares will be validly issued, fully paid and non-assessable.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opinion is limited in all respects to the General Corporation Law of the State of Delaware. We express no opinion as to any other law or any matter other than as expressly set forth above, and no opinion as to any other law or matter may be inferred or implied herefrom. The opinions expressed herein are rendered as of the date hereof and we expressly disclaim any obligation to update this letter or advise you of any change in any matter after the date hereof.</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Vinson &amp; Elkins LLP Attorneys at Law</w:t>
      </w:r>
    </w:p>
    <w:p>
      <w:pPr>
        <w:spacing w:after="0" w:line="2" w:lineRule="exact"/>
        <w:rPr>
          <w:sz w:val="20"/>
          <w:szCs w:val="20"/>
          <w:color w:val="auto"/>
        </w:rPr>
      </w:pPr>
    </w:p>
    <w:p>
      <w:pPr>
        <w:ind w:left="40"/>
        <w:spacing w:after="0" w:line="230" w:lineRule="auto"/>
        <w:rPr>
          <w:sz w:val="20"/>
          <w:szCs w:val="20"/>
          <w:color w:val="auto"/>
        </w:rPr>
      </w:pPr>
      <w:r>
        <w:rPr>
          <w:rFonts w:ascii="Arial" w:cs="Arial" w:eastAsia="Arial" w:hAnsi="Arial"/>
          <w:sz w:val="13"/>
          <w:szCs w:val="13"/>
          <w:color w:val="auto"/>
        </w:rPr>
        <w:t>Austin Beijing Dallas Dubai Hong Kong Houston London Moscow New York Richmond Riyadh San Francisco Taipei Tokyo Washington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1001 Fannin Street, Suite 2500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77002-6760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Fax </w:t>
      </w:r>
      <w:r>
        <w:rPr>
          <w:rFonts w:ascii="Arial" w:cs="Arial" w:eastAsia="Arial" w:hAnsi="Arial"/>
          <w:sz w:val="16"/>
          <w:szCs w:val="16"/>
          <w:color w:val="auto"/>
        </w:rPr>
        <w:t>+1.713.758.2346</w:t>
      </w:r>
      <w:r>
        <w:rPr>
          <w:rFonts w:ascii="Arial" w:cs="Arial" w:eastAsia="Arial" w:hAnsi="Arial"/>
          <w:sz w:val="16"/>
          <w:szCs w:val="16"/>
          <w:b w:val="1"/>
          <w:bCs w:val="1"/>
          <w:color w:val="auto"/>
        </w:rPr>
        <w:t xml:space="preserve"> velaw.com</w:t>
      </w:r>
    </w:p>
    <w:p>
      <w:pPr>
        <w:sectPr>
          <w:pgSz w:w="11900" w:h="16838" w:orient="portrait"/>
          <w:cols w:equalWidth="0" w:num="2">
            <w:col w:w="6260" w:space="60"/>
            <w:col w:w="5100"/>
          </w:cols>
          <w:pgMar w:left="240" w:top="126" w:right="2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6823075</wp:posOffset>
            </wp:positionH>
            <wp:positionV relativeFrom="paragraph">
              <wp:posOffset>132080</wp:posOffset>
            </wp:positionV>
            <wp:extent cx="4286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opinion letter may be filed as an exhibit to the Registration Statement. In giving this consent, we do not thereby admit that we come within the category of persons whose consent is required under Section 7 of the Act.</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40640</wp:posOffset>
            </wp:positionV>
            <wp:extent cx="30016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7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420"/>
          </w:cols>
          <w:pgMar w:left="240" w:top="48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consent to the use of our report dated February 26, 2018, with respect to the consolidated balance sheets of California Resources Corporation and subsidiaries as of December 31, 2017 and 2016, the related consolidated statements of operations, comprehensive income, equity and cash flows for each of the years in the three-year period ended December 31, 2017, and the related notes (collectively, the consolidated financial statements), and the effectiveness of internal control over financial reporting as of December 31, 2017, included in California Resources Corporation’s Annual Report on Form 10-K for the fiscal year ended December 31, 2017, incorporated herein by reference.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6, 2018</w:t>
      </w:r>
    </w:p>
    <w:p>
      <w:pPr>
        <w:sectPr>
          <w:pgSz w:w="11900" w:h="16838" w:orient="portrait"/>
          <w:cols w:equalWidth="0" w:num="1">
            <w:col w:w="11420"/>
          </w:cols>
          <w:pgMar w:left="240" w:top="36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PETROLEUM ENGINEERS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references to our name and to our letter dated February 13, 2018, relating to our audit of California Resources Corporation's 2017 oil and gas proved reserves, included in California Resources Corporation’s Annual Report on Form 10-K for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Ryder Scott Company, L.P.</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RYDER SCOTT COMPANY, L.P.</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TBPE Firm Registration No. F-1580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 2018</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jpeg"/><Relationship Id="rId29" Type="http://schemas.openxmlformats.org/officeDocument/2006/relationships/image" Target="media/image17.jpeg"/><Relationship Id="rId30" Type="http://schemas.openxmlformats.org/officeDocument/2006/relationships/image" Target="media/image18.png"/><Relationship Id="rId9" Type="http://schemas.openxmlformats.org/officeDocument/2006/relationships/hyperlink" Target="http://www.sec.gov/Archives/edgar/data/1609253/000160925316000271/exhibit31.htm" TargetMode="External"/><Relationship Id="rId10" Type="http://schemas.openxmlformats.org/officeDocument/2006/relationships/hyperlink" Target="http://www.sec.gov/Archives/edgar/data/1609253/000160925315000168/exhibit32amendedandrestate.htm" TargetMode="External"/><Relationship Id="rId11" Type="http://schemas.openxmlformats.org/officeDocument/2006/relationships/hyperlink" Target="http://www.sec.gov/Archives/edgar/data/1609253/000110465914083640/a14-25149_1ex4d3.htm" TargetMode="External"/><Relationship Id="rId12" Type="http://schemas.openxmlformats.org/officeDocument/2006/relationships/hyperlink" Target="http://www.sec.gov/Archives/edgar/data/1609253/000155837016004307/crc-20160504xdef14a.htm" TargetMode="External"/><Relationship Id="rId13" Type="http://schemas.openxmlformats.org/officeDocument/2006/relationships/hyperlink" Target="http://www.sec.gov/Archives/edgar/data/1609253/000156459018006859/crc-def14a_201805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2019-12-08T11:26:26Z</dcterms:created>
  <dcterms:modified xsi:type="dcterms:W3CDTF">2019-12-08T11:26:26Z</dcterms:modified>
</cp:coreProperties>
</file>