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0002028031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California Resources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001-36478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World Trade Center, Suite 1500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Long Beach</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90831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888-848-4754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IKAV Impact S.a r.l.</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1"/>
          <w:szCs w:val="21"/>
          <w:color w:val="auto"/>
        </w:rPr>
        <w:t>Citigroup Global Markets</w:t>
      </w:r>
    </w:p>
    <w:p>
      <w:pPr>
        <w:spacing w:after="0" w:line="16"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388 GREENWICH</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STREET</w:t>
      </w:r>
    </w:p>
    <w:p>
      <w:pPr>
        <w:ind w:left="2500"/>
        <w:spacing w:after="0"/>
        <w:rPr>
          <w:sz w:val="20"/>
          <w:szCs w:val="20"/>
          <w:color w:val="auto"/>
        </w:rPr>
      </w:pPr>
      <w:r>
        <w:rPr>
          <w:rFonts w:ascii="Times New Roman" w:cs="Times New Roman" w:eastAsia="Times New Roman" w:hAnsi="Times New Roman"/>
          <w:sz w:val="22"/>
          <w:szCs w:val="22"/>
          <w:color w:val="auto"/>
        </w:rPr>
        <w:t>New York  NY  10013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50930000.00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89175034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07/28/2025   NYSE</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720" w:space="14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8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6"/>
        </w:trPr>
        <w:tc>
          <w:tcPr>
            <w:tcW w:w="408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4"/>
        </w:trPr>
        <w:tc>
          <w:tcPr>
            <w:tcW w:w="4080" w:type="dxa"/>
            <w:vAlign w:val="bottom"/>
          </w:tcPr>
          <w:p>
            <w:pPr>
              <w:ind w:left="2520"/>
              <w:spacing w:after="0" w:line="244" w:lineRule="exact"/>
              <w:rPr>
                <w:sz w:val="20"/>
                <w:szCs w:val="20"/>
                <w:color w:val="auto"/>
              </w:rPr>
            </w:pPr>
            <w:r>
              <w:rPr>
                <w:rFonts w:ascii="Times New Roman" w:cs="Times New Roman" w:eastAsia="Times New Roman" w:hAnsi="Times New Roman"/>
                <w:sz w:val="22"/>
                <w:szCs w:val="22"/>
                <w:color w:val="auto"/>
              </w:rPr>
              <w:t>Merger with and</w:t>
            </w:r>
          </w:p>
        </w:tc>
        <w:tc>
          <w:tcPr>
            <w:tcW w:w="14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40" w:type="dxa"/>
            <w:vAlign w:val="bottom"/>
          </w:tcPr>
          <w:p>
            <w:pPr>
              <w:ind w:left="20"/>
              <w:spacing w:after="0" w:line="244" w:lineRule="exact"/>
              <w:rPr>
                <w:sz w:val="20"/>
                <w:szCs w:val="20"/>
                <w:color w:val="auto"/>
              </w:rPr>
            </w:pPr>
            <w:r>
              <w:rPr>
                <w:rFonts w:ascii="Times New Roman" w:cs="Times New Roman" w:eastAsia="Times New Roman" w:hAnsi="Times New Roman"/>
                <w:sz w:val="22"/>
                <w:szCs w:val="22"/>
                <w:color w:val="auto"/>
              </w:rPr>
              <w:t>Merger</w:t>
            </w:r>
          </w:p>
        </w:tc>
      </w:tr>
      <w:tr>
        <w:trPr>
          <w:trHeight w:val="571"/>
        </w:trPr>
        <w:tc>
          <w:tcPr>
            <w:tcW w:w="408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Common Stock 07/01/2024 </w:t>
            </w:r>
            <w:r>
              <w:rPr>
                <w:rFonts w:ascii="Times New Roman" w:cs="Times New Roman" w:eastAsia="Times New Roman" w:hAnsi="Times New Roman"/>
                <w:sz w:val="43"/>
                <w:szCs w:val="43"/>
                <w:color w:val="auto"/>
                <w:vertAlign w:val="subscript"/>
              </w:rPr>
              <w:t>into Issuer</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1000000</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07/01/2024</w:t>
            </w: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Consideration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shares that are sold are held of record by IKAV Impact S.a r.l.</w:t>
      </w:r>
    </w:p>
    <w:p>
      <w:pPr>
        <w:spacing w:after="0" w:line="56" w:lineRule="exact"/>
        <w:rPr>
          <w:sz w:val="20"/>
          <w:szCs w:val="20"/>
          <w:color w:val="auto"/>
        </w:rPr>
      </w:pPr>
    </w:p>
    <w:p>
      <w:pPr>
        <w:sectPr>
          <w:pgSz w:w="11900" w:h="16838" w:orient="portrait"/>
          <w:cols w:equalWidth="0" w:num="2">
            <w:col w:w="1400" w:space="720"/>
            <w:col w:w="9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07/28/2025</w:t>
      </w:r>
    </w:p>
    <w:p>
      <w:pPr>
        <w:spacing w:after="0" w:line="50" w:lineRule="exact"/>
        <w:rPr>
          <w:sz w:val="20"/>
          <w:szCs w:val="20"/>
          <w:color w:val="auto"/>
        </w:rPr>
      </w:pPr>
    </w:p>
    <w:p>
      <w:pPr>
        <w:sectPr>
          <w:pgSz w:w="11900" w:h="16838" w:orient="portrait"/>
          <w:cols w:equalWidth="0" w:num="2">
            <w:col w:w="1400" w:space="720"/>
            <w:col w:w="9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Bobby Saadati, Chief Executive Officer of IKAV Energy Inc.</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2025-07-28T20:43:46Z</dcterms:created>
  <dcterms:modified xsi:type="dcterms:W3CDTF">2025-07-28T20:43:46Z</dcterms:modified>
</cp:coreProperties>
</file>