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8306184808073.xml.htm"/>
      <w:bookmarkStart w:id="1" w:name="kswfform4_168306184808073"/>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Veltmann Alejandra</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1 WORLD TRADE CENTER, SUITE 1500</w:t>
                  </w:r>
                </w:p>
              </w:tc>
            </w:tr>
            <w:tr>
              <w:trPr/>
              <w:tc>
                <w:tcPr>
                  <w:tcW w:w="343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LONG BEACH</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CA</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90831</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California Resources Corp</w:t>
              </w:r>
            </w:hyperlink>
            <w:r>
              <w:rPr/>
              <w:t xml:space="preserve"> [ </w:t>
            </w:r>
            <w:r>
              <w:rPr>
                <w:rFonts w:ascii="Times;serif" w:hAnsi="Times;serif"/>
                <w:color w:val="0000FF"/>
                <w:sz w:val="24"/>
                <w:highlight w:val="white"/>
              </w:rPr>
              <w:t>CRC</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5"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602"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1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1"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8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Stock</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04/28/2023</w:t>
            </w:r>
          </w:p>
        </w:tc>
        <w:tc>
          <w:tcPr>
            <w:tcW w:w="775"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00FF"/>
                <w:sz w:val="20"/>
                <w:highlight w:val="white"/>
              </w:rPr>
              <w:t>A</w:t>
            </w:r>
            <w:r>
              <w:rPr>
                <w:rFonts w:ascii="Times;serif" w:hAnsi="Times;serif"/>
                <w:color w:val="008000"/>
                <w:position w:val="7"/>
                <w:sz w:val="16"/>
                <w:sz w:val="20"/>
                <w:highlight w:val="white"/>
              </w:rPr>
              <w:t>(1)</w:t>
            </w:r>
            <w:r>
              <w:rPr/>
              <w:t xml:space="preserve"> </w:t>
            </w:r>
          </w:p>
        </w:tc>
        <w:tc>
          <w:tcPr>
            <w:tcW w:w="35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5,029</w:t>
            </w:r>
          </w:p>
        </w:tc>
        <w:tc>
          <w:tcPr>
            <w:tcW w:w="46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62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0</w:t>
            </w:r>
            <w:r>
              <w:rPr/>
              <w:t xml:space="preserve"> </w:t>
            </w:r>
          </w:p>
        </w:tc>
        <w:tc>
          <w:tcPr>
            <w:tcW w:w="118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11,528</w:t>
            </w:r>
          </w:p>
        </w:tc>
        <w:tc>
          <w:tcPr>
            <w:tcW w:w="101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3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These RSUs will vest on April 28, 2024 and, subject to certain exceptions, will be settled in shares of Common Stock on the date that is six months and one day following the Reporting Person's separation from service.</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Ulrik Damborg, Attorney-in-Fact for Alejandra Veltmann</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05/02/2023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564633" TargetMode="External"/><Relationship Id="rId4" Type="http://schemas.openxmlformats.org/officeDocument/2006/relationships/hyperlink" Target="http://www.sec.gov/cgi-bin/browse-edgar?action=getcompany&amp;CIK=0001609253"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618</Words>
  <CharactersWithSpaces>3911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