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35"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50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0" w:type="dxa"/>
            <w:vAlign w:val="bottom"/>
            <w:gridSpan w:val="8"/>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0" w:type="dxa"/>
            <w:vAlign w:val="bottom"/>
            <w:gridSpan w:val="8"/>
            <w:vMerge w:val="continue"/>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0" w:type="dxa"/>
            <w:vAlign w:val="bottom"/>
            <w:gridSpan w:val="8"/>
            <w:vMerge w:val="continue"/>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6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0" w:type="dxa"/>
            <w:vAlign w:val="bottom"/>
            <w:gridSpan w:val="8"/>
            <w:vMerge w:val="continue"/>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4"/>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6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00" w:type="dxa"/>
            <w:vAlign w:val="bottom"/>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7"/>
                <w:szCs w:val="17"/>
                <w:color w:val="0000FF"/>
                <w:w w:val="95"/>
              </w:rPr>
              <w:t>2000 AVENUE OF THE STARS, 12TH FLOOR</w:t>
            </w:r>
          </w:p>
        </w:tc>
        <w:tc>
          <w:tcPr>
            <w:tcW w:w="180" w:type="dxa"/>
            <w:vAlign w:val="bottom"/>
          </w:tcPr>
          <w:p>
            <w:pPr>
              <w:spacing w:after="0"/>
              <w:rPr>
                <w:sz w:val="19"/>
                <w:szCs w:val="19"/>
                <w:color w:val="auto"/>
              </w:rPr>
            </w:pPr>
          </w:p>
        </w:tc>
        <w:tc>
          <w:tcPr>
            <w:tcW w:w="1640" w:type="dxa"/>
            <w:vAlign w:val="bottom"/>
            <w:gridSpan w:val="9"/>
          </w:tcPr>
          <w:p>
            <w:pPr>
              <w:ind w:left="220"/>
              <w:spacing w:after="0"/>
              <w:rPr>
                <w:sz w:val="20"/>
                <w:szCs w:val="20"/>
                <w:color w:val="auto"/>
              </w:rPr>
            </w:pPr>
            <w:r>
              <w:rPr>
                <w:rFonts w:ascii="Arial" w:cs="Arial" w:eastAsia="Arial" w:hAnsi="Arial"/>
                <w:sz w:val="17"/>
                <w:szCs w:val="17"/>
                <w:color w:val="0000FF"/>
              </w:rPr>
              <w:t>12/29/2021</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gridSpan w:val="2"/>
          </w:tcPr>
          <w:p>
            <w:pPr>
              <w:spacing w:after="0"/>
              <w:rPr>
                <w:sz w:val="18"/>
                <w:szCs w:val="18"/>
                <w:color w:val="auto"/>
              </w:rPr>
            </w:pPr>
          </w:p>
        </w:tc>
        <w:tc>
          <w:tcPr>
            <w:tcW w:w="1780" w:type="dxa"/>
            <w:vAlign w:val="bottom"/>
            <w:tcBorders>
              <w:bottom w:val="single" w:sz="8" w:color="2C2C2C"/>
            </w:tcBorders>
            <w:gridSpan w:val="4"/>
          </w:tcPr>
          <w:p>
            <w:pPr>
              <w:spacing w:after="0"/>
              <w:rPr>
                <w:sz w:val="18"/>
                <w:szCs w:val="18"/>
                <w:color w:val="auto"/>
              </w:rPr>
            </w:pPr>
          </w:p>
        </w:tc>
        <w:tc>
          <w:tcPr>
            <w:tcW w:w="1480" w:type="dxa"/>
            <w:vAlign w:val="bottom"/>
            <w:tcBorders>
              <w:bottom w:val="single" w:sz="8" w:color="2C2C2C"/>
            </w:tcBorders>
            <w:gridSpan w:val="2"/>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5"/>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900" w:type="dxa"/>
            <w:vAlign w:val="bottom"/>
            <w:gridSpan w:val="3"/>
            <w:vMerge w:val="restart"/>
          </w:tcPr>
          <w:p>
            <w:pPr>
              <w:ind w:left="140"/>
              <w:spacing w:after="0"/>
              <w:rPr>
                <w:sz w:val="20"/>
                <w:szCs w:val="20"/>
                <w:color w:val="auto"/>
              </w:rPr>
            </w:pPr>
            <w:r>
              <w:rPr>
                <w:rFonts w:ascii="Arial" w:cs="Arial" w:eastAsia="Arial" w:hAnsi="Arial"/>
                <w:sz w:val="17"/>
                <w:szCs w:val="17"/>
                <w:color w:val="0000FF"/>
              </w:rPr>
              <w:t>90067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4"/>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5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 Of</w:t>
            </w:r>
          </w:p>
        </w:tc>
        <w:tc>
          <w:tcPr>
            <w:tcW w:w="1700" w:type="dxa"/>
            <w:vAlign w:val="bottom"/>
            <w:gridSpan w:val="5"/>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0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 3)</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60"/>
              <w:spacing w:after="0"/>
              <w:rPr>
                <w:sz w:val="20"/>
                <w:szCs w:val="20"/>
                <w:color w:val="auto"/>
              </w:rPr>
            </w:pPr>
            <w:r>
              <w:rPr>
                <w:rFonts w:ascii="Arial" w:cs="Arial" w:eastAsia="Arial" w:hAnsi="Arial"/>
                <w:sz w:val="12"/>
                <w:szCs w:val="12"/>
                <w:b w:val="1"/>
                <w:bCs w:val="1"/>
                <w:color w:val="auto"/>
              </w:rPr>
              <w:t>Execution Date,</w:t>
            </w:r>
          </w:p>
        </w:tc>
        <w:tc>
          <w:tcPr>
            <w:tcW w:w="860" w:type="dxa"/>
            <w:vAlign w:val="bottom"/>
            <w:gridSpan w:val="7"/>
          </w:tcPr>
          <w:p>
            <w:pPr>
              <w:ind w:left="80"/>
              <w:spacing w:after="0"/>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20"/>
              <w:spacing w:after="0"/>
              <w:rPr>
                <w:sz w:val="20"/>
                <w:szCs w:val="20"/>
                <w:color w:val="auto"/>
              </w:rPr>
            </w:pPr>
            <w:r>
              <w:rPr>
                <w:rFonts w:ascii="Arial" w:cs="Arial" w:eastAsia="Arial" w:hAnsi="Arial"/>
                <w:sz w:val="12"/>
                <w:szCs w:val="12"/>
                <w:b w:val="1"/>
                <w:bCs w:val="1"/>
                <w:color w:val="auto"/>
              </w:rPr>
              <w:t>(D) (Instr. 3, 4 and 5)</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gridSpan w:val="4"/>
          </w:tcPr>
          <w:p>
            <w:pPr>
              <w:ind w:left="80"/>
              <w:spacing w:after="0"/>
              <w:rPr>
                <w:sz w:val="20"/>
                <w:szCs w:val="20"/>
                <w:color w:val="auto"/>
              </w:rPr>
            </w:pPr>
            <w:r>
              <w:rPr>
                <w:rFonts w:ascii="Arial" w:cs="Arial" w:eastAsia="Arial" w:hAnsi="Arial"/>
                <w:sz w:val="12"/>
                <w:szCs w:val="12"/>
                <w:b w:val="1"/>
                <w:bCs w:val="1"/>
                <w:color w:val="auto"/>
              </w:rPr>
              <w:t>Beneficially Owned</w:t>
            </w:r>
          </w:p>
        </w:tc>
        <w:tc>
          <w:tcPr>
            <w:tcW w:w="40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40"/>
              <w:spacing w:after="0" w:line="118"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60"/>
              <w:spacing w:after="0" w:line="11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7"/>
          </w:tcPr>
          <w:p>
            <w:pPr>
              <w:ind w:left="80"/>
              <w:spacing w:after="0" w:line="118" w:lineRule="exact"/>
              <w:rPr>
                <w:sz w:val="20"/>
                <w:szCs w:val="20"/>
                <w:color w:val="auto"/>
              </w:rPr>
            </w:pPr>
            <w:r>
              <w:rPr>
                <w:rFonts w:ascii="Arial" w:cs="Arial" w:eastAsia="Arial" w:hAnsi="Arial"/>
                <w:sz w:val="12"/>
                <w:szCs w:val="12"/>
                <w:b w:val="1"/>
                <w:bCs w:val="1"/>
                <w:color w:val="auto"/>
              </w:rPr>
              <w:t>Code (Instr.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gridSpan w:val="4"/>
          </w:tcPr>
          <w:p>
            <w:pPr>
              <w:ind w:left="80"/>
              <w:spacing w:after="0" w:line="118" w:lineRule="exact"/>
              <w:rPr>
                <w:sz w:val="20"/>
                <w:szCs w:val="20"/>
                <w:color w:val="auto"/>
              </w:rPr>
            </w:pPr>
            <w:r>
              <w:rPr>
                <w:rFonts w:ascii="Arial" w:cs="Arial" w:eastAsia="Arial" w:hAnsi="Arial"/>
                <w:sz w:val="12"/>
                <w:szCs w:val="12"/>
                <w:b w:val="1"/>
                <w:bCs w:val="1"/>
                <w:color w:val="auto"/>
              </w:rPr>
              <w:t>Following Reported</w:t>
            </w:r>
          </w:p>
        </w:tc>
        <w:tc>
          <w:tcPr>
            <w:tcW w:w="400" w:type="dxa"/>
            <w:vAlign w:val="bottom"/>
          </w:tcPr>
          <w:p>
            <w:pPr>
              <w:spacing w:after="0"/>
              <w:rPr>
                <w:sz w:val="10"/>
                <w:szCs w:val="10"/>
                <w:color w:val="auto"/>
              </w:rPr>
            </w:pPr>
          </w:p>
        </w:tc>
        <w:tc>
          <w:tcPr>
            <w:tcW w:w="8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18"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Transaction(s) (Instr. 3 and</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(A)</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7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ind w:left="440"/>
              <w:spacing w:after="0"/>
              <w:rPr>
                <w:sz w:val="20"/>
                <w:szCs w:val="20"/>
                <w:color w:val="auto"/>
              </w:rPr>
            </w:pPr>
            <w:r>
              <w:rPr>
                <w:rFonts w:ascii="Arial" w:cs="Arial" w:eastAsia="Arial" w:hAnsi="Arial"/>
                <w:sz w:val="12"/>
                <w:szCs w:val="12"/>
                <w:b w:val="1"/>
                <w:bCs w:val="1"/>
                <w:color w:val="auto"/>
              </w:rPr>
              <w:t>(D)</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12/29/2021</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6"/>
          </w:tcPr>
          <w:p>
            <w:pPr>
              <w:ind w:left="20"/>
              <w:spacing w:after="0"/>
              <w:rPr>
                <w:sz w:val="20"/>
                <w:szCs w:val="20"/>
                <w:color w:val="auto"/>
              </w:rPr>
            </w:pPr>
            <w:r>
              <w:rPr>
                <w:rFonts w:ascii="Arial" w:cs="Arial" w:eastAsia="Arial" w:hAnsi="Arial"/>
                <w:sz w:val="13"/>
                <w:szCs w:val="13"/>
                <w:color w:val="0000FF"/>
              </w:rPr>
              <w:t>S</w:t>
            </w:r>
          </w:p>
        </w:tc>
        <w:tc>
          <w:tcPr>
            <w:tcW w:w="20" w:type="dxa"/>
            <w:vAlign w:val="bottom"/>
          </w:tcPr>
          <w:p>
            <w:pPr>
              <w:spacing w:after="0"/>
              <w:rPr>
                <w:sz w:val="24"/>
                <w:szCs w:val="24"/>
                <w:color w:val="auto"/>
              </w:rPr>
            </w:pPr>
          </w:p>
        </w:tc>
        <w:tc>
          <w:tcPr>
            <w:tcW w:w="1700" w:type="dxa"/>
            <w:vAlign w:val="bottom"/>
            <w:gridSpan w:val="3"/>
          </w:tcPr>
          <w:p>
            <w:pPr>
              <w:spacing w:after="0" w:line="320" w:lineRule="exact"/>
              <w:rPr>
                <w:sz w:val="20"/>
                <w:szCs w:val="20"/>
                <w:color w:val="auto"/>
              </w:rPr>
            </w:pPr>
            <w:r>
              <w:rPr>
                <w:rFonts w:ascii="Arial" w:cs="Arial" w:eastAsia="Arial" w:hAnsi="Arial"/>
                <w:sz w:val="34"/>
                <w:szCs w:val="34"/>
                <w:color w:val="0000FF"/>
                <w:w w:val="94"/>
                <w:vertAlign w:val="subscript"/>
              </w:rPr>
              <w:t>40,933</w:t>
            </w:r>
            <w:r>
              <w:rPr>
                <w:rFonts w:ascii="Arial" w:cs="Arial" w:eastAsia="Arial" w:hAnsi="Arial"/>
                <w:sz w:val="11"/>
                <w:szCs w:val="11"/>
                <w:color w:val="008000"/>
                <w:w w:val="94"/>
              </w:rPr>
              <w:t xml:space="preserve">(1)(2)(3)(4)(5)(6)    </w:t>
            </w:r>
            <w:r>
              <w:rPr>
                <w:rFonts w:ascii="Arial" w:cs="Arial" w:eastAsia="Arial" w:hAnsi="Arial"/>
                <w:sz w:val="34"/>
                <w:szCs w:val="34"/>
                <w:color w:val="0000FF"/>
                <w:w w:val="94"/>
                <w:vertAlign w:val="subscript"/>
              </w:rPr>
              <w:t>D</w:t>
            </w:r>
          </w:p>
        </w:tc>
        <w:tc>
          <w:tcPr>
            <w:tcW w:w="760" w:type="dxa"/>
            <w:vAlign w:val="bottom"/>
            <w:gridSpan w:val="2"/>
          </w:tcPr>
          <w:p>
            <w:pPr>
              <w:ind w:left="4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43.1225</w:t>
            </w:r>
          </w:p>
        </w:tc>
        <w:tc>
          <w:tcPr>
            <w:tcW w:w="170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2"/>
                <w:vertAlign w:val="subscript"/>
              </w:rPr>
              <w:t>10,892,212</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2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40" w:type="dxa"/>
            <w:vAlign w:val="bottom"/>
            <w:gridSpan w:val="19"/>
          </w:tcPr>
          <w:p>
            <w:pPr>
              <w:ind w:lef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spacing w:after="0"/>
              <w:rPr>
                <w:sz w:val="14"/>
                <w:szCs w:val="14"/>
                <w:color w:val="auto"/>
              </w:rPr>
            </w:pPr>
          </w:p>
        </w:tc>
        <w:tc>
          <w:tcPr>
            <w:tcW w:w="580" w:type="dxa"/>
            <w:vAlign w:val="bottom"/>
            <w:gridSpan w:val="5"/>
          </w:tcPr>
          <w:p>
            <w:pPr>
              <w:ind w:left="14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9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2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8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50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8"/>
          </w:tcPr>
          <w:p>
            <w:pPr>
              <w:spacing w:after="0"/>
              <w:rPr>
                <w:sz w:val="20"/>
                <w:szCs w:val="20"/>
                <w:color w:val="auto"/>
              </w:rPr>
            </w:pPr>
            <w:r>
              <w:rPr>
                <w:rFonts w:ascii="Arial" w:cs="Arial" w:eastAsia="Arial" w:hAnsi="Arial"/>
                <w:sz w:val="17"/>
                <w:szCs w:val="17"/>
                <w:color w:val="0000FF"/>
                <w:w w:val="95"/>
              </w:rPr>
              <w:t>2000 AVENUE OF THE STARS, 12TH FLOOR</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4"/>
          </w:tcPr>
          <w:p>
            <w:pPr>
              <w:ind w:left="50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50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8"/>
          </w:tcPr>
          <w:p>
            <w:pPr>
              <w:spacing w:after="0" w:line="221" w:lineRule="exact"/>
              <w:rPr>
                <w:rFonts w:ascii="Arial" w:cs="Arial" w:eastAsia="Arial" w:hAnsi="Arial"/>
                <w:sz w:val="21"/>
                <w:szCs w:val="21"/>
                <w:color w:val="0000EE"/>
                <w:w w:val="99"/>
              </w:rPr>
            </w:pPr>
            <w:hyperlink r:id="rId14">
              <w:r>
                <w:rPr>
                  <w:rFonts w:ascii="Arial" w:cs="Arial" w:eastAsia="Arial" w:hAnsi="Arial"/>
                  <w:sz w:val="21"/>
                  <w:szCs w:val="21"/>
                  <w:color w:val="0000EE"/>
                  <w:w w:val="99"/>
                </w:rPr>
                <w:t>ACOF Investment Management LLC</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8"/>
          </w:tcPr>
          <w:p>
            <w:pPr>
              <w:spacing w:after="0"/>
              <w:rPr>
                <w:sz w:val="20"/>
                <w:szCs w:val="20"/>
                <w:color w:val="auto"/>
              </w:rPr>
            </w:pPr>
            <w:r>
              <w:rPr>
                <w:rFonts w:ascii="Arial" w:cs="Arial" w:eastAsia="Arial" w:hAnsi="Arial"/>
                <w:sz w:val="17"/>
                <w:szCs w:val="17"/>
                <w:color w:val="0000FF"/>
                <w:w w:val="95"/>
              </w:rPr>
              <w:t>2000 AVENUE OF THE STARS, 12TH FLOOR</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4"/>
          </w:tcPr>
          <w:p>
            <w:pPr>
              <w:ind w:left="50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50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8"/>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Ares Management Holdings L.P.</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35"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2000 AVENUE OF THE STARS, 12TH FLOOR</w:t>
      </w:r>
    </w:p>
    <w:p>
      <w:pPr>
        <w:sectPr>
          <w:pgSz w:w="11900" w:h="16838" w:orient="portrait"/>
          <w:cols w:equalWidth="0" w:num="1">
            <w:col w:w="11080"/>
          </w:cols>
          <w:pgMar w:left="460" w:top="225" w:right="359" w:bottom="3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Ares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88887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888873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Management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Voting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Partners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4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ectPr>
          <w:pgSz w:w="11900" w:h="16838" w:orient="portrait"/>
          <w:cols w:equalWidth="0" w:num="1">
            <w:col w:w="10800"/>
          </w:cols>
          <w:pgMar w:left="480" w:top="140" w:right="619" w:bottom="0" w:gutter="0" w:footer="0" w:header="0"/>
        </w:sectPr>
      </w:pPr>
    </w:p>
    <w:bookmarkStart w:id="2" w:name="page3"/>
    <w:bookmarkEnd w:id="2"/>
    <w:p>
      <w:pPr>
        <w:ind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10,892,212 shares of Common Stock by reason of the direct or indirect beneficial ownership of such shares as follows: (i) ACOF AIV 1A directly holds 642,879 shares of Common Stock, (ii) ACOF AIV 1B directly holds 2,352,598 shares of Common Stock, (iii) ACOF AIV 2 directly holds 2,396,593 shares of Common Stock, (iv) AEOF AIV A-B directly holds 1,894,861 shares of Common Stock, (v) AEOF AIV C directly holds 804,524 shares of Common Stock and (vi) AF Energy Feeder, L.P. directly holds 2,800,757 shares of Common Stock.</w:t>
      </w:r>
    </w:p>
    <w:p>
      <w:pPr>
        <w:spacing w:after="0" w:line="29" w:lineRule="exact"/>
        <w:rPr>
          <w:rFonts w:ascii="Arial" w:cs="Arial" w:eastAsia="Arial" w:hAnsi="Arial"/>
          <w:sz w:val="13"/>
          <w:szCs w:val="13"/>
          <w:color w:val="008000"/>
        </w:rPr>
      </w:pPr>
    </w:p>
    <w:p>
      <w:pPr>
        <w:ind w:right="14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840"/>
          </w:cols>
          <w:pgMar w:left="500" w:top="131" w:right="55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00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Sole Member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53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12/30/2021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12/30/2021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12/30/2021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12/30/2021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12/30/2021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12/30/2021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12/30/2021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12/30/2021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680" w:space="60"/>
            <w:col w:w="2100"/>
          </w:cols>
          <w:pgMar w:left="500" w:top="131" w:right="55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1"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5" Type="http://schemas.openxmlformats.org/officeDocument/2006/relationships/hyperlink" Target="http://www.sec.gov/cgi-bin/browse-edgar?action=getcompany&amp;CIK=0001536937" TargetMode="External"/><Relationship Id="rId17" Type="http://schemas.openxmlformats.org/officeDocument/2006/relationships/hyperlink" Target="http://www.sec.gov/cgi-bin/browse-edgar?action=getcompany&amp;CIK=0001669983" TargetMode="External"/><Relationship Id="rId19" Type="http://schemas.openxmlformats.org/officeDocument/2006/relationships/hyperlink" Target="http://www.sec.gov/cgi-bin/browse-edgar?action=getcompany&amp;CIK=0001176948" TargetMode="External"/><Relationship Id="rId20" Type="http://schemas.openxmlformats.org/officeDocument/2006/relationships/hyperlink" Target="http://www.sec.gov/cgi-bin/browse-edgar?action=getcompany&amp;CIK=0001620264" TargetMode="External"/><Relationship Id="rId21" Type="http://schemas.openxmlformats.org/officeDocument/2006/relationships/hyperlink" Target="http://www.sec.gov/cgi-bin/browse-edgar?action=getcompany&amp;CIK=0001761656" TargetMode="External"/><Relationship Id="rId22"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2021-12-30T16:10:07Z</dcterms:created>
  <dcterms:modified xsi:type="dcterms:W3CDTF">2021-12-30T16:10:07Z</dcterms:modified>
</cp:coreProperties>
</file>