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jc w:val="right"/>
              <w:ind w:right="369"/>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01/07/2022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72,440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43.2527</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10,157,868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01/10/2022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40,900</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42.5444</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10,116,968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10,116,968 shares of Common Stock by reason of the direct or indirect beneficial ownership of such shares as follows: (i) ACOF AIV 1A directly holds 582,044 shares of Common Stock, (ii) ACOF AIV 1B directly holds 2,129,987 shares of Common Stock, (iii) ACOF AIV 2 directly</w:t>
      </w:r>
    </w:p>
    <w:p>
      <w:pPr>
        <w:sectPr>
          <w:pgSz w:w="11900" w:h="16838" w:orient="portrait"/>
          <w:cols w:equalWidth="0" w:num="1">
            <w:col w:w="10860"/>
          </w:cols>
          <w:pgMar w:left="480" w:top="459" w:right="55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holds 2,169,824 shares of Common Stock, (iv) AEOF AIV A-B directly holds 1,894,861 shares of Common Stock, (v) AEOF AIV C directly holds 804,524 shares of Common Stock and (vi) AF Energy Feeder, L.P. directly holds 2,535,728 shares of Common Stock.</w:t>
      </w:r>
    </w:p>
    <w:p>
      <w:pPr>
        <w:spacing w:after="0" w:line="15" w:lineRule="exact"/>
        <w:rPr>
          <w:sz w:val="20"/>
          <w:szCs w:val="20"/>
          <w:color w:val="auto"/>
        </w:rPr>
      </w:pPr>
    </w:p>
    <w:p>
      <w:pPr>
        <w:ind w:right="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780"/>
          </w:cols>
          <w:pgMar w:left="500" w:top="131" w:right="61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040"/>
          </w:cols>
          <w:pgMar w:left="500" w:top="131"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2022-01-11T15:13:55Z</dcterms:created>
  <dcterms:modified xsi:type="dcterms:W3CDTF">2022-01-11T15:13:55Z</dcterms:modified>
</cp:coreProperties>
</file>