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rPr>
          <w:sz w:val="20"/>
          <w:szCs w:val="20"/>
          <w:color w:val="auto"/>
        </w:rPr>
      </w:pPr>
      <w:r>
        <w:rPr>
          <w:rFonts w:ascii="Arial" w:cs="Arial" w:eastAsia="Arial" w:hAnsi="Arial"/>
          <w:sz w:val="34"/>
          <w:szCs w:val="34"/>
          <w:color w:val="FFFFFF"/>
        </w:rPr>
        <w:t>ANNUAL REPORT 2022</w:t>
      </w:r>
    </w:p>
    <w:p>
      <w:pPr>
        <w:sectPr>
          <w:pgSz w:w="11880" w:h="15480" w:orient="portrait"/>
          <w:cols w:equalWidth="0" w:num="1">
            <w:col w:w="9800"/>
          </w:cols>
          <w:pgMar w:left="640" w:top="1440" w:right="1440" w:bottom="1440" w:gutter="0" w:footer="0" w:header="0"/>
        </w:sectPr>
      </w:pPr>
    </w:p>
    <w:bookmarkStart w:id="1" w:name="page2"/>
    <w:bookmarkEnd w:id="1"/>
    <w:p>
      <w:pPr>
        <w:spacing w:after="0" w:line="180" w:lineRule="auto"/>
        <w:framePr w:w="540" w:h="138" w:wrap="auto" w:vAnchor="page" w:hAnchor="page" w:x="10020" w:y="13341"/>
        <w:rPr>
          <w:rFonts w:ascii="Arial" w:cs="Arial" w:eastAsia="Arial" w:hAnsi="Arial"/>
          <w:sz w:val="16"/>
          <w:szCs w:val="16"/>
          <w:color w:val="333333"/>
        </w:rPr>
      </w:pPr>
      <w:r>
        <w:rPr>
          <w:rFonts w:ascii="Arial" w:cs="Arial" w:eastAsia="Arial" w:hAnsi="Arial"/>
          <w:sz w:val="16"/>
          <w:szCs w:val="16"/>
          <w:color w:val="333333"/>
        </w:rPr>
        <w:t>23.59</w:t>
      </w:r>
    </w:p>
    <w:p>
      <w:pPr>
        <w:spacing w:after="0" w:line="180" w:lineRule="auto"/>
        <w:framePr w:w="380" w:h="138" w:wrap="auto" w:vAnchor="page" w:hAnchor="page" w:x="10180" w:y="12621"/>
        <w:rPr>
          <w:rFonts w:ascii="Arial" w:cs="Arial" w:eastAsia="Arial" w:hAnsi="Arial"/>
          <w:sz w:val="16"/>
          <w:szCs w:val="16"/>
          <w:color w:val="333333"/>
        </w:rPr>
      </w:pPr>
      <w:r>
        <w:rPr>
          <w:rFonts w:ascii="Arial" w:cs="Arial" w:eastAsia="Arial" w:hAnsi="Arial"/>
          <w:sz w:val="16"/>
          <w:szCs w:val="16"/>
          <w:color w:val="333333"/>
        </w:rPr>
        <w:t>717</w:t>
      </w:r>
    </w:p>
    <w:p>
      <w:pPr>
        <w:spacing w:after="0" w:line="180" w:lineRule="auto"/>
        <w:framePr w:w="540" w:h="138" w:wrap="auto" w:vAnchor="page" w:hAnchor="page" w:x="10020" w:y="12821"/>
        <w:rPr>
          <w:rFonts w:ascii="Arial" w:cs="Arial" w:eastAsia="Arial" w:hAnsi="Arial"/>
          <w:sz w:val="16"/>
          <w:szCs w:val="16"/>
          <w:color w:val="333333"/>
        </w:rPr>
      </w:pPr>
      <w:r>
        <w:rPr>
          <w:rFonts w:ascii="Arial" w:cs="Arial" w:eastAsia="Arial" w:hAnsi="Arial"/>
          <w:sz w:val="16"/>
          <w:szCs w:val="16"/>
          <w:color w:val="333333"/>
        </w:rPr>
        <w:t>1,388</w:t>
      </w:r>
    </w:p>
    <w:p>
      <w:pPr>
        <w:spacing w:after="0" w:line="180" w:lineRule="auto"/>
        <w:framePr w:w="540" w:h="138" w:wrap="auto" w:vAnchor="page" w:hAnchor="page" w:x="10020" w:y="13021"/>
        <w:rPr>
          <w:rFonts w:ascii="Arial" w:cs="Arial" w:eastAsia="Arial" w:hAnsi="Arial"/>
          <w:sz w:val="16"/>
          <w:szCs w:val="16"/>
          <w:color w:val="333333"/>
        </w:rPr>
      </w:pPr>
      <w:r>
        <w:rPr>
          <w:rFonts w:ascii="Arial" w:cs="Arial" w:eastAsia="Arial" w:hAnsi="Arial"/>
          <w:sz w:val="16"/>
          <w:szCs w:val="16"/>
          <w:color w:val="333333"/>
        </w:rPr>
        <w:t>2,105</w:t>
      </w:r>
    </w:p>
    <w:p>
      <w:pPr>
        <w:spacing w:after="0" w:line="180" w:lineRule="auto"/>
        <w:framePr w:w="320" w:h="138" w:wrap="auto" w:vAnchor="page" w:hAnchor="page" w:x="10240" w:y="12061"/>
        <w:rPr>
          <w:rFonts w:ascii="Arial" w:cs="Arial" w:eastAsia="Arial" w:hAnsi="Arial"/>
          <w:sz w:val="16"/>
          <w:szCs w:val="16"/>
          <w:color w:val="333333"/>
        </w:rPr>
      </w:pPr>
      <w:r>
        <w:rPr>
          <w:rFonts w:ascii="Arial" w:cs="Arial" w:eastAsia="Arial" w:hAnsi="Arial"/>
          <w:sz w:val="16"/>
          <w:szCs w:val="16"/>
          <w:color w:val="333333"/>
        </w:rPr>
        <w:t>2.4</w:t>
      </w:r>
    </w:p>
    <w:p>
      <w:pPr>
        <w:spacing w:after="0" w:line="180" w:lineRule="auto"/>
        <w:framePr w:w="320" w:h="138" w:wrap="auto" w:vAnchor="page" w:hAnchor="page" w:x="10240" w:y="11741"/>
        <w:rPr>
          <w:rFonts w:ascii="Arial" w:cs="Arial" w:eastAsia="Arial" w:hAnsi="Arial"/>
          <w:sz w:val="16"/>
          <w:szCs w:val="16"/>
          <w:color w:val="333333"/>
        </w:rPr>
      </w:pPr>
      <w:r>
        <w:rPr>
          <w:rFonts w:ascii="Arial" w:cs="Arial" w:eastAsia="Arial" w:hAnsi="Arial"/>
          <w:sz w:val="16"/>
          <w:szCs w:val="16"/>
          <w:color w:val="333333"/>
        </w:rPr>
        <w:t>1.9</w:t>
      </w:r>
    </w:p>
    <w:p>
      <w:pPr>
        <w:spacing w:after="0" w:line="180" w:lineRule="auto"/>
        <w:framePr w:w="380" w:h="138" w:wrap="auto" w:vAnchor="page" w:hAnchor="page" w:x="10180" w:y="10621"/>
        <w:rPr>
          <w:rFonts w:ascii="Arial" w:cs="Arial" w:eastAsia="Arial" w:hAnsi="Arial"/>
          <w:sz w:val="16"/>
          <w:szCs w:val="16"/>
          <w:color w:val="333333"/>
        </w:rPr>
      </w:pPr>
      <w:r>
        <w:rPr>
          <w:rFonts w:ascii="Arial" w:cs="Arial" w:eastAsia="Arial" w:hAnsi="Arial"/>
          <w:sz w:val="16"/>
          <w:szCs w:val="16"/>
          <w:color w:val="333333"/>
        </w:rPr>
        <w:t>313</w:t>
      </w:r>
    </w:p>
    <w:p>
      <w:pPr>
        <w:spacing w:after="0" w:line="180" w:lineRule="auto"/>
        <w:framePr w:w="280" w:h="138" w:wrap="auto" w:vAnchor="page" w:hAnchor="page" w:x="10280" w:y="10821"/>
        <w:rPr>
          <w:rFonts w:ascii="Arial" w:cs="Arial" w:eastAsia="Arial" w:hAnsi="Arial"/>
          <w:sz w:val="16"/>
          <w:szCs w:val="16"/>
          <w:color w:val="333333"/>
        </w:rPr>
      </w:pPr>
      <w:r>
        <w:rPr>
          <w:rFonts w:ascii="Arial" w:cs="Arial" w:eastAsia="Arial" w:hAnsi="Arial"/>
          <w:sz w:val="16"/>
          <w:szCs w:val="16"/>
          <w:color w:val="333333"/>
        </w:rPr>
        <w:t>41</w:t>
      </w:r>
    </w:p>
    <w:p>
      <w:pPr>
        <w:spacing w:after="0" w:line="180" w:lineRule="auto"/>
        <w:framePr w:w="380" w:h="138" w:wrap="auto" w:vAnchor="page" w:hAnchor="page" w:x="10180" w:y="11021"/>
        <w:rPr>
          <w:rFonts w:ascii="Arial" w:cs="Arial" w:eastAsia="Arial" w:hAnsi="Arial"/>
          <w:sz w:val="16"/>
          <w:szCs w:val="16"/>
          <w:color w:val="333333"/>
        </w:rPr>
      </w:pPr>
      <w:r>
        <w:rPr>
          <w:rFonts w:ascii="Arial" w:cs="Arial" w:eastAsia="Arial" w:hAnsi="Arial"/>
          <w:sz w:val="16"/>
          <w:szCs w:val="16"/>
          <w:color w:val="333333"/>
        </w:rPr>
        <w:t>527</w:t>
      </w:r>
    </w:p>
    <w:p>
      <w:pPr>
        <w:spacing w:after="0" w:line="180" w:lineRule="auto"/>
        <w:framePr w:w="380" w:h="138" w:wrap="auto" w:vAnchor="page" w:hAnchor="page" w:x="10180" w:y="11221"/>
        <w:rPr>
          <w:rFonts w:ascii="Arial" w:cs="Arial" w:eastAsia="Arial" w:hAnsi="Arial"/>
          <w:sz w:val="16"/>
          <w:szCs w:val="16"/>
          <w:color w:val="333333"/>
        </w:rPr>
      </w:pPr>
      <w:r>
        <w:rPr>
          <w:rFonts w:ascii="Arial" w:cs="Arial" w:eastAsia="Arial" w:hAnsi="Arial"/>
          <w:sz w:val="16"/>
          <w:szCs w:val="16"/>
          <w:color w:val="333333"/>
        </w:rPr>
        <w:t>442</w:t>
      </w:r>
    </w:p>
    <w:p>
      <w:pPr>
        <w:spacing w:after="0" w:line="180" w:lineRule="auto"/>
        <w:framePr w:w="540" w:h="138" w:wrap="auto" w:vAnchor="page" w:hAnchor="page" w:x="10020" w:y="9461"/>
        <w:rPr>
          <w:rFonts w:ascii="Arial" w:cs="Arial" w:eastAsia="Arial" w:hAnsi="Arial"/>
          <w:sz w:val="16"/>
          <w:szCs w:val="16"/>
          <w:color w:val="333333"/>
        </w:rPr>
      </w:pPr>
      <w:r>
        <w:rPr>
          <w:rFonts w:ascii="Arial" w:cs="Arial" w:eastAsia="Arial" w:hAnsi="Arial"/>
          <w:sz w:val="16"/>
          <w:szCs w:val="16"/>
          <w:color w:val="333333"/>
        </w:rPr>
        <w:t>43.53</w:t>
      </w:r>
    </w:p>
    <w:p>
      <w:pPr>
        <w:spacing w:after="0" w:line="180" w:lineRule="auto"/>
        <w:framePr w:w="540" w:h="138" w:wrap="auto" w:vAnchor="page" w:hAnchor="page" w:x="10020" w:y="9661"/>
        <w:rPr>
          <w:rFonts w:ascii="Arial" w:cs="Arial" w:eastAsia="Arial" w:hAnsi="Arial"/>
          <w:sz w:val="16"/>
          <w:szCs w:val="16"/>
          <w:color w:val="333333"/>
        </w:rPr>
      </w:pPr>
      <w:r>
        <w:rPr>
          <w:rFonts w:ascii="Arial" w:cs="Arial" w:eastAsia="Arial" w:hAnsi="Arial"/>
          <w:sz w:val="16"/>
          <w:szCs w:val="16"/>
          <w:color w:val="333333"/>
        </w:rPr>
        <w:t>41.89</w:t>
      </w:r>
    </w:p>
    <w:p>
      <w:pPr>
        <w:spacing w:after="0" w:line="180" w:lineRule="auto"/>
        <w:framePr w:w="540" w:h="138" w:wrap="auto" w:vAnchor="page" w:hAnchor="page" w:x="10020" w:y="9861"/>
        <w:rPr>
          <w:rFonts w:ascii="Arial" w:cs="Arial" w:eastAsia="Arial" w:hAnsi="Arial"/>
          <w:sz w:val="16"/>
          <w:szCs w:val="16"/>
          <w:color w:val="333333"/>
        </w:rPr>
      </w:pPr>
      <w:r>
        <w:rPr>
          <w:rFonts w:ascii="Arial" w:cs="Arial" w:eastAsia="Arial" w:hAnsi="Arial"/>
          <w:sz w:val="16"/>
          <w:szCs w:val="16"/>
          <w:color w:val="333333"/>
        </w:rPr>
        <w:t>27.63</w:t>
      </w:r>
    </w:p>
    <w:p>
      <w:pPr>
        <w:spacing w:after="0" w:line="180" w:lineRule="auto"/>
        <w:framePr w:w="420" w:h="138" w:wrap="auto" w:vAnchor="page" w:hAnchor="page" w:x="10140" w:y="10061"/>
        <w:rPr>
          <w:rFonts w:ascii="Arial" w:cs="Arial" w:eastAsia="Arial" w:hAnsi="Arial"/>
          <w:sz w:val="16"/>
          <w:szCs w:val="16"/>
          <w:color w:val="333333"/>
        </w:rPr>
      </w:pPr>
      <w:r>
        <w:rPr>
          <w:rFonts w:ascii="Arial" w:cs="Arial" w:eastAsia="Arial" w:hAnsi="Arial"/>
          <w:sz w:val="16"/>
          <w:szCs w:val="16"/>
          <w:color w:val="333333"/>
        </w:rPr>
        <w:t>2.28</w:t>
      </w:r>
    </w:p>
    <w:p>
      <w:pPr>
        <w:spacing w:after="0" w:line="180" w:lineRule="auto"/>
        <w:framePr w:w="280" w:h="138" w:wrap="auto" w:vAnchor="page" w:hAnchor="page" w:x="10280" w:y="8341"/>
        <w:rPr>
          <w:rFonts w:ascii="Arial" w:cs="Arial" w:eastAsia="Arial" w:hAnsi="Arial"/>
          <w:sz w:val="16"/>
          <w:szCs w:val="16"/>
          <w:color w:val="333333"/>
        </w:rPr>
      </w:pPr>
      <w:r>
        <w:rPr>
          <w:rFonts w:ascii="Arial" w:cs="Arial" w:eastAsia="Arial" w:hAnsi="Arial"/>
          <w:sz w:val="16"/>
          <w:szCs w:val="16"/>
          <w:color w:val="333333"/>
        </w:rPr>
        <w:t>69</w:t>
      </w:r>
    </w:p>
    <w:p>
      <w:pPr>
        <w:spacing w:after="0" w:line="180" w:lineRule="auto"/>
        <w:framePr w:w="280" w:h="138" w:wrap="auto" w:vAnchor="page" w:hAnchor="page" w:x="10280" w:y="8541"/>
        <w:rPr>
          <w:rFonts w:ascii="Arial" w:cs="Arial" w:eastAsia="Arial" w:hAnsi="Arial"/>
          <w:sz w:val="16"/>
          <w:szCs w:val="16"/>
          <w:color w:val="333333"/>
        </w:rPr>
      </w:pPr>
      <w:r>
        <w:rPr>
          <w:rFonts w:ascii="Arial" w:cs="Arial" w:eastAsia="Arial" w:hAnsi="Arial"/>
          <w:sz w:val="16"/>
          <w:szCs w:val="16"/>
          <w:color w:val="333333"/>
        </w:rPr>
        <w:t>13</w:t>
      </w:r>
    </w:p>
    <w:p>
      <w:pPr>
        <w:spacing w:after="0" w:line="180" w:lineRule="auto"/>
        <w:framePr w:w="380" w:h="138" w:wrap="auto" w:vAnchor="page" w:hAnchor="page" w:x="10180" w:y="8741"/>
        <w:rPr>
          <w:rFonts w:ascii="Arial" w:cs="Arial" w:eastAsia="Arial" w:hAnsi="Arial"/>
          <w:sz w:val="16"/>
          <w:szCs w:val="16"/>
          <w:color w:val="333333"/>
        </w:rPr>
      </w:pPr>
      <w:r>
        <w:rPr>
          <w:rFonts w:ascii="Arial" w:cs="Arial" w:eastAsia="Arial" w:hAnsi="Arial"/>
          <w:sz w:val="16"/>
          <w:szCs w:val="16"/>
          <w:color w:val="333333"/>
        </w:rPr>
        <w:t>172</w:t>
      </w:r>
    </w:p>
    <w:p>
      <w:pPr>
        <w:spacing w:after="0" w:line="180" w:lineRule="auto"/>
        <w:framePr w:w="380" w:h="138" w:wrap="auto" w:vAnchor="page" w:hAnchor="page" w:x="10180" w:y="8941"/>
        <w:rPr>
          <w:rFonts w:ascii="Arial" w:cs="Arial" w:eastAsia="Arial" w:hAnsi="Arial"/>
          <w:sz w:val="16"/>
          <w:szCs w:val="16"/>
          <w:color w:val="333333"/>
        </w:rPr>
      </w:pPr>
      <w:r>
        <w:rPr>
          <w:rFonts w:ascii="Arial" w:cs="Arial" w:eastAsia="Arial" w:hAnsi="Arial"/>
          <w:sz w:val="16"/>
          <w:szCs w:val="16"/>
          <w:color w:val="333333"/>
        </w:rPr>
        <w:t>111</w:t>
      </w:r>
    </w:p>
    <w:p>
      <w:pPr>
        <w:spacing w:after="0" w:line="186" w:lineRule="auto"/>
        <w:framePr w:w="1500" w:h="152" w:wrap="auto" w:vAnchor="page" w:hAnchor="page" w:x="9220" w:y="7789"/>
        <w:rPr>
          <w:rFonts w:ascii="Arial" w:cs="Arial" w:eastAsia="Arial" w:hAnsi="Arial"/>
          <w:sz w:val="17"/>
          <w:szCs w:val="17"/>
          <w:color w:val="095C5B"/>
        </w:rPr>
      </w:pPr>
      <w:r>
        <w:rPr>
          <w:rFonts w:ascii="Arial" w:cs="Arial" w:eastAsia="Arial" w:hAnsi="Arial"/>
          <w:sz w:val="17"/>
          <w:szCs w:val="17"/>
          <w:color w:val="095C5B"/>
        </w:rPr>
        <w:t>2020 Combined*</w:t>
      </w:r>
    </w:p>
    <w:p>
      <w:pPr>
        <w:spacing w:after="0" w:line="180" w:lineRule="auto"/>
        <w:framePr w:w="540" w:h="138" w:wrap="auto" w:vAnchor="page" w:hAnchor="page" w:x="6580" w:y="13341"/>
        <w:rPr>
          <w:rFonts w:ascii="Arial" w:cs="Arial" w:eastAsia="Arial" w:hAnsi="Arial"/>
          <w:sz w:val="16"/>
          <w:szCs w:val="16"/>
          <w:color w:val="333333"/>
        </w:rPr>
      </w:pPr>
      <w:r>
        <w:rPr>
          <w:rFonts w:ascii="Arial" w:cs="Arial" w:eastAsia="Arial" w:hAnsi="Arial"/>
          <w:sz w:val="16"/>
          <w:szCs w:val="16"/>
          <w:color w:val="333333"/>
        </w:rPr>
        <w:t>43.51</w:t>
      </w:r>
    </w:p>
    <w:p>
      <w:pPr>
        <w:spacing w:after="0" w:line="180" w:lineRule="auto"/>
        <w:framePr w:w="180" w:h="138" w:wrap="auto" w:vAnchor="page" w:hAnchor="page" w:x="7620" w:y="13341"/>
        <w:rPr>
          <w:rFonts w:ascii="Arial" w:cs="Arial" w:eastAsia="Arial" w:hAnsi="Arial"/>
          <w:sz w:val="16"/>
          <w:szCs w:val="16"/>
          <w:color w:val="333333"/>
        </w:rPr>
      </w:pPr>
      <w:r>
        <w:rPr>
          <w:rFonts w:ascii="Arial" w:cs="Arial" w:eastAsia="Arial" w:hAnsi="Arial"/>
          <w:sz w:val="16"/>
          <w:szCs w:val="16"/>
          <w:color w:val="333333"/>
        </w:rPr>
        <w:t>$</w:t>
      </w:r>
    </w:p>
    <w:p>
      <w:pPr>
        <w:spacing w:after="0" w:line="180" w:lineRule="auto"/>
        <w:framePr w:w="540" w:h="138" w:wrap="auto" w:vAnchor="page" w:hAnchor="page" w:x="8300" w:y="13341"/>
        <w:rPr>
          <w:rFonts w:ascii="Arial" w:cs="Arial" w:eastAsia="Arial" w:hAnsi="Arial"/>
          <w:sz w:val="16"/>
          <w:szCs w:val="16"/>
          <w:color w:val="333333"/>
        </w:rPr>
      </w:pPr>
      <w:r>
        <w:rPr>
          <w:rFonts w:ascii="Arial" w:cs="Arial" w:eastAsia="Arial" w:hAnsi="Arial"/>
          <w:sz w:val="16"/>
          <w:szCs w:val="16"/>
          <w:color w:val="333333"/>
        </w:rPr>
        <w:t>42.71</w:t>
      </w:r>
    </w:p>
    <w:p>
      <w:pPr>
        <w:spacing w:after="0" w:line="180" w:lineRule="auto"/>
        <w:framePr w:w="180" w:h="138" w:wrap="auto" w:vAnchor="page" w:hAnchor="page" w:x="9320" w:y="13341"/>
        <w:rPr>
          <w:rFonts w:ascii="Arial" w:cs="Arial" w:eastAsia="Arial" w:hAnsi="Arial"/>
          <w:sz w:val="16"/>
          <w:szCs w:val="16"/>
          <w:color w:val="333333"/>
        </w:rPr>
      </w:pPr>
      <w:r>
        <w:rPr>
          <w:rFonts w:ascii="Arial" w:cs="Arial" w:eastAsia="Arial" w:hAnsi="Arial"/>
          <w:sz w:val="16"/>
          <w:szCs w:val="16"/>
          <w:color w:val="333333"/>
        </w:rPr>
        <w:t>$</w:t>
      </w:r>
    </w:p>
    <w:p>
      <w:pPr>
        <w:spacing w:after="0" w:line="180" w:lineRule="auto"/>
        <w:framePr w:w="380" w:h="138" w:wrap="auto" w:vAnchor="page" w:hAnchor="page" w:x="6740" w:y="12621"/>
        <w:rPr>
          <w:rFonts w:ascii="Arial" w:cs="Arial" w:eastAsia="Arial" w:hAnsi="Arial"/>
          <w:sz w:val="16"/>
          <w:szCs w:val="16"/>
          <w:color w:val="333333"/>
        </w:rPr>
      </w:pPr>
      <w:r>
        <w:rPr>
          <w:rFonts w:ascii="Arial" w:cs="Arial" w:eastAsia="Arial" w:hAnsi="Arial"/>
          <w:sz w:val="16"/>
          <w:szCs w:val="16"/>
          <w:color w:val="333333"/>
        </w:rPr>
        <w:t>689</w:t>
      </w:r>
    </w:p>
    <w:p>
      <w:pPr>
        <w:spacing w:after="0" w:line="180" w:lineRule="auto"/>
        <w:framePr w:w="540" w:h="138" w:wrap="auto" w:vAnchor="page" w:hAnchor="page" w:x="6580" w:y="12821"/>
        <w:rPr>
          <w:rFonts w:ascii="Arial" w:cs="Arial" w:eastAsia="Arial" w:hAnsi="Arial"/>
          <w:sz w:val="16"/>
          <w:szCs w:val="16"/>
          <w:color w:val="333333"/>
        </w:rPr>
      </w:pPr>
      <w:r>
        <w:rPr>
          <w:rFonts w:ascii="Arial" w:cs="Arial" w:eastAsia="Arial" w:hAnsi="Arial"/>
          <w:sz w:val="16"/>
          <w:szCs w:val="16"/>
          <w:color w:val="333333"/>
        </w:rPr>
        <w:t>1,178</w:t>
      </w:r>
    </w:p>
    <w:p>
      <w:pPr>
        <w:spacing w:after="0" w:line="180" w:lineRule="auto"/>
        <w:framePr w:w="540" w:h="138" w:wrap="auto" w:vAnchor="page" w:hAnchor="page" w:x="6580" w:y="13021"/>
        <w:rPr>
          <w:rFonts w:ascii="Arial" w:cs="Arial" w:eastAsia="Arial" w:hAnsi="Arial"/>
          <w:sz w:val="16"/>
          <w:szCs w:val="16"/>
          <w:color w:val="333333"/>
        </w:rPr>
      </w:pPr>
      <w:r>
        <w:rPr>
          <w:rFonts w:ascii="Arial" w:cs="Arial" w:eastAsia="Arial" w:hAnsi="Arial"/>
          <w:sz w:val="16"/>
          <w:szCs w:val="16"/>
          <w:color w:val="333333"/>
        </w:rPr>
        <w:t>1,867</w:t>
      </w:r>
    </w:p>
    <w:p>
      <w:pPr>
        <w:spacing w:after="0" w:line="180" w:lineRule="auto"/>
        <w:framePr w:w="380" w:h="138" w:wrap="auto" w:vAnchor="page" w:hAnchor="page" w:x="8460" w:y="12621"/>
        <w:rPr>
          <w:rFonts w:ascii="Arial" w:cs="Arial" w:eastAsia="Arial" w:hAnsi="Arial"/>
          <w:sz w:val="16"/>
          <w:szCs w:val="16"/>
          <w:color w:val="333333"/>
        </w:rPr>
      </w:pPr>
      <w:r>
        <w:rPr>
          <w:rFonts w:ascii="Arial" w:cs="Arial" w:eastAsia="Arial" w:hAnsi="Arial"/>
          <w:sz w:val="16"/>
          <w:szCs w:val="16"/>
          <w:color w:val="333333"/>
        </w:rPr>
        <w:t>699</w:t>
      </w:r>
    </w:p>
    <w:p>
      <w:pPr>
        <w:spacing w:after="0" w:line="180" w:lineRule="auto"/>
        <w:framePr w:w="540" w:h="138" w:wrap="auto" w:vAnchor="page" w:hAnchor="page" w:x="8300" w:y="12821"/>
        <w:rPr>
          <w:rFonts w:ascii="Arial" w:cs="Arial" w:eastAsia="Arial" w:hAnsi="Arial"/>
          <w:sz w:val="16"/>
          <w:szCs w:val="16"/>
          <w:color w:val="333333"/>
        </w:rPr>
      </w:pPr>
      <w:r>
        <w:rPr>
          <w:rFonts w:ascii="Arial" w:cs="Arial" w:eastAsia="Arial" w:hAnsi="Arial"/>
          <w:sz w:val="16"/>
          <w:szCs w:val="16"/>
          <w:color w:val="333333"/>
        </w:rPr>
        <w:t>1,192</w:t>
      </w:r>
    </w:p>
    <w:p>
      <w:pPr>
        <w:spacing w:after="0" w:line="180" w:lineRule="auto"/>
        <w:framePr w:w="540" w:h="138" w:wrap="auto" w:vAnchor="page" w:hAnchor="page" w:x="8300" w:y="13021"/>
        <w:rPr>
          <w:rFonts w:ascii="Arial" w:cs="Arial" w:eastAsia="Arial" w:hAnsi="Arial"/>
          <w:sz w:val="16"/>
          <w:szCs w:val="16"/>
          <w:color w:val="333333"/>
        </w:rPr>
      </w:pPr>
      <w:r>
        <w:rPr>
          <w:rFonts w:ascii="Arial" w:cs="Arial" w:eastAsia="Arial" w:hAnsi="Arial"/>
          <w:sz w:val="16"/>
          <w:szCs w:val="16"/>
          <w:color w:val="333333"/>
        </w:rPr>
        <w:t>1,891</w:t>
      </w:r>
    </w:p>
    <w:p>
      <w:pPr>
        <w:spacing w:after="0" w:line="180" w:lineRule="auto"/>
        <w:framePr w:w="340" w:h="138" w:wrap="auto" w:vAnchor="page" w:hAnchor="page" w:x="6780" w:y="12061"/>
        <w:rPr>
          <w:rFonts w:ascii="Arial" w:cs="Arial" w:eastAsia="Arial" w:hAnsi="Arial"/>
          <w:sz w:val="16"/>
          <w:szCs w:val="16"/>
          <w:color w:val="333333"/>
        </w:rPr>
      </w:pPr>
      <w:r>
        <w:rPr>
          <w:rFonts w:ascii="Arial" w:cs="Arial" w:eastAsia="Arial" w:hAnsi="Arial"/>
          <w:sz w:val="16"/>
          <w:szCs w:val="16"/>
          <w:color w:val="333333"/>
        </w:rPr>
        <w:t>9.2</w:t>
      </w:r>
    </w:p>
    <w:p>
      <w:pPr>
        <w:spacing w:after="0" w:line="180" w:lineRule="auto"/>
        <w:framePr w:w="180" w:h="138" w:wrap="auto" w:vAnchor="page" w:hAnchor="page" w:x="7620" w:y="12061"/>
        <w:rPr>
          <w:rFonts w:ascii="Arial" w:cs="Arial" w:eastAsia="Arial" w:hAnsi="Arial"/>
          <w:sz w:val="16"/>
          <w:szCs w:val="16"/>
          <w:color w:val="333333"/>
        </w:rPr>
      </w:pPr>
      <w:r>
        <w:rPr>
          <w:rFonts w:ascii="Arial" w:cs="Arial" w:eastAsia="Arial" w:hAnsi="Arial"/>
          <w:sz w:val="16"/>
          <w:szCs w:val="16"/>
          <w:color w:val="333333"/>
        </w:rPr>
        <w:t>$</w:t>
      </w:r>
    </w:p>
    <w:p>
      <w:pPr>
        <w:spacing w:after="0" w:line="180" w:lineRule="auto"/>
        <w:framePr w:w="320" w:h="138" w:wrap="auto" w:vAnchor="page" w:hAnchor="page" w:x="8520" w:y="12061"/>
        <w:rPr>
          <w:rFonts w:ascii="Arial" w:cs="Arial" w:eastAsia="Arial" w:hAnsi="Arial"/>
          <w:sz w:val="16"/>
          <w:szCs w:val="16"/>
          <w:color w:val="333333"/>
        </w:rPr>
      </w:pPr>
      <w:r>
        <w:rPr>
          <w:rFonts w:ascii="Arial" w:cs="Arial" w:eastAsia="Arial" w:hAnsi="Arial"/>
          <w:sz w:val="16"/>
          <w:szCs w:val="16"/>
          <w:color w:val="333333"/>
        </w:rPr>
        <w:t>6.2</w:t>
      </w:r>
    </w:p>
    <w:p>
      <w:pPr>
        <w:spacing w:after="0" w:line="180" w:lineRule="auto"/>
        <w:framePr w:w="180" w:h="138" w:wrap="auto" w:vAnchor="page" w:hAnchor="page" w:x="9320" w:y="12061"/>
        <w:rPr>
          <w:rFonts w:ascii="Arial" w:cs="Arial" w:eastAsia="Arial" w:hAnsi="Arial"/>
          <w:sz w:val="16"/>
          <w:szCs w:val="16"/>
          <w:color w:val="333333"/>
        </w:rPr>
      </w:pPr>
      <w:r>
        <w:rPr>
          <w:rFonts w:ascii="Arial" w:cs="Arial" w:eastAsia="Arial" w:hAnsi="Arial"/>
          <w:sz w:val="16"/>
          <w:szCs w:val="16"/>
          <w:color w:val="333333"/>
        </w:rPr>
        <w:t>$</w:t>
      </w:r>
    </w:p>
    <w:p>
      <w:pPr>
        <w:spacing w:after="0" w:line="180" w:lineRule="auto"/>
        <w:framePr w:w="340" w:h="138" w:wrap="auto" w:vAnchor="page" w:hAnchor="page" w:x="6780" w:y="11741"/>
        <w:rPr>
          <w:rFonts w:ascii="Arial" w:cs="Arial" w:eastAsia="Arial" w:hAnsi="Arial"/>
          <w:sz w:val="16"/>
          <w:szCs w:val="16"/>
          <w:color w:val="333333"/>
        </w:rPr>
      </w:pPr>
      <w:r>
        <w:rPr>
          <w:rFonts w:ascii="Arial" w:cs="Arial" w:eastAsia="Arial" w:hAnsi="Arial"/>
          <w:sz w:val="16"/>
          <w:szCs w:val="16"/>
          <w:color w:val="333333"/>
        </w:rPr>
        <w:t>6.7</w:t>
      </w:r>
    </w:p>
    <w:p>
      <w:pPr>
        <w:spacing w:after="0" w:line="180" w:lineRule="auto"/>
        <w:framePr w:w="180" w:h="138" w:wrap="auto" w:vAnchor="page" w:hAnchor="page" w:x="7620" w:y="11741"/>
        <w:rPr>
          <w:rFonts w:ascii="Arial" w:cs="Arial" w:eastAsia="Arial" w:hAnsi="Arial"/>
          <w:sz w:val="16"/>
          <w:szCs w:val="16"/>
          <w:color w:val="333333"/>
        </w:rPr>
      </w:pPr>
      <w:r>
        <w:rPr>
          <w:rFonts w:ascii="Arial" w:cs="Arial" w:eastAsia="Arial" w:hAnsi="Arial"/>
          <w:sz w:val="16"/>
          <w:szCs w:val="16"/>
          <w:color w:val="333333"/>
        </w:rPr>
        <w:t>$</w:t>
      </w:r>
    </w:p>
    <w:p>
      <w:pPr>
        <w:spacing w:after="0" w:line="180" w:lineRule="auto"/>
        <w:framePr w:w="320" w:h="138" w:wrap="auto" w:vAnchor="page" w:hAnchor="page" w:x="8520" w:y="11741"/>
        <w:rPr>
          <w:rFonts w:ascii="Arial" w:cs="Arial" w:eastAsia="Arial" w:hAnsi="Arial"/>
          <w:sz w:val="16"/>
          <w:szCs w:val="16"/>
          <w:color w:val="333333"/>
        </w:rPr>
      </w:pPr>
      <w:r>
        <w:rPr>
          <w:rFonts w:ascii="Arial" w:cs="Arial" w:eastAsia="Arial" w:hAnsi="Arial"/>
          <w:sz w:val="16"/>
          <w:szCs w:val="16"/>
          <w:color w:val="333333"/>
        </w:rPr>
        <w:t>4.5</w:t>
      </w:r>
    </w:p>
    <w:p>
      <w:pPr>
        <w:spacing w:after="0" w:line="180" w:lineRule="auto"/>
        <w:framePr w:w="180" w:h="138" w:wrap="auto" w:vAnchor="page" w:hAnchor="page" w:x="9340" w:y="11741"/>
        <w:rPr>
          <w:rFonts w:ascii="Arial" w:cs="Arial" w:eastAsia="Arial" w:hAnsi="Arial"/>
          <w:sz w:val="16"/>
          <w:szCs w:val="16"/>
          <w:color w:val="333333"/>
        </w:rPr>
      </w:pPr>
      <w:r>
        <w:rPr>
          <w:rFonts w:ascii="Arial" w:cs="Arial" w:eastAsia="Arial" w:hAnsi="Arial"/>
          <w:sz w:val="16"/>
          <w:szCs w:val="16"/>
          <w:color w:val="333333"/>
        </w:rPr>
        <w:t>$</w:t>
      </w:r>
    </w:p>
    <w:p>
      <w:pPr>
        <w:spacing w:after="0" w:line="180" w:lineRule="auto"/>
        <w:framePr w:w="380" w:h="138" w:wrap="auto" w:vAnchor="page" w:hAnchor="page" w:x="6740" w:y="10621"/>
        <w:rPr>
          <w:rFonts w:ascii="Arial" w:cs="Arial" w:eastAsia="Arial" w:hAnsi="Arial"/>
          <w:sz w:val="16"/>
          <w:szCs w:val="16"/>
          <w:color w:val="333333"/>
        </w:rPr>
      </w:pPr>
      <w:r>
        <w:rPr>
          <w:rFonts w:ascii="Arial" w:cs="Arial" w:eastAsia="Arial" w:hAnsi="Arial"/>
          <w:sz w:val="16"/>
          <w:szCs w:val="16"/>
          <w:color w:val="333333"/>
        </w:rPr>
        <w:t>294</w:t>
      </w:r>
    </w:p>
    <w:p>
      <w:pPr>
        <w:spacing w:after="0" w:line="180" w:lineRule="auto"/>
        <w:framePr w:w="280" w:h="138" w:wrap="auto" w:vAnchor="page" w:hAnchor="page" w:x="6840" w:y="10821"/>
        <w:rPr>
          <w:rFonts w:ascii="Arial" w:cs="Arial" w:eastAsia="Arial" w:hAnsi="Arial"/>
          <w:sz w:val="16"/>
          <w:szCs w:val="16"/>
          <w:color w:val="333333"/>
        </w:rPr>
      </w:pPr>
      <w:r>
        <w:rPr>
          <w:rFonts w:ascii="Arial" w:cs="Arial" w:eastAsia="Arial" w:hAnsi="Arial"/>
          <w:sz w:val="16"/>
          <w:szCs w:val="16"/>
          <w:color w:val="333333"/>
        </w:rPr>
        <w:t>38</w:t>
      </w:r>
    </w:p>
    <w:p>
      <w:pPr>
        <w:spacing w:after="0" w:line="180" w:lineRule="auto"/>
        <w:framePr w:w="380" w:h="138" w:wrap="auto" w:vAnchor="page" w:hAnchor="page" w:x="6740" w:y="11021"/>
        <w:rPr>
          <w:rFonts w:ascii="Arial" w:cs="Arial" w:eastAsia="Arial" w:hAnsi="Arial"/>
          <w:sz w:val="16"/>
          <w:szCs w:val="16"/>
          <w:color w:val="333333"/>
        </w:rPr>
      </w:pPr>
      <w:r>
        <w:rPr>
          <w:rFonts w:ascii="Arial" w:cs="Arial" w:eastAsia="Arial" w:hAnsi="Arial"/>
          <w:sz w:val="16"/>
          <w:szCs w:val="16"/>
          <w:color w:val="333333"/>
        </w:rPr>
        <w:t>511</w:t>
      </w:r>
    </w:p>
    <w:p>
      <w:pPr>
        <w:spacing w:after="0" w:line="180" w:lineRule="auto"/>
        <w:framePr w:w="380" w:h="138" w:wrap="auto" w:vAnchor="page" w:hAnchor="page" w:x="6740" w:y="11221"/>
        <w:rPr>
          <w:rFonts w:ascii="Arial" w:cs="Arial" w:eastAsia="Arial" w:hAnsi="Arial"/>
          <w:sz w:val="16"/>
          <w:szCs w:val="16"/>
          <w:color w:val="333333"/>
        </w:rPr>
      </w:pPr>
      <w:r>
        <w:rPr>
          <w:rFonts w:ascii="Arial" w:cs="Arial" w:eastAsia="Arial" w:hAnsi="Arial"/>
          <w:sz w:val="16"/>
          <w:szCs w:val="16"/>
          <w:color w:val="333333"/>
        </w:rPr>
        <w:t>417</w:t>
      </w:r>
    </w:p>
    <w:p>
      <w:pPr>
        <w:spacing w:after="0" w:line="180" w:lineRule="auto"/>
        <w:framePr w:w="380" w:h="138" w:wrap="auto" w:vAnchor="page" w:hAnchor="page" w:x="8460" w:y="10621"/>
        <w:rPr>
          <w:rFonts w:ascii="Arial" w:cs="Arial" w:eastAsia="Arial" w:hAnsi="Arial"/>
          <w:sz w:val="16"/>
          <w:szCs w:val="16"/>
          <w:color w:val="333333"/>
        </w:rPr>
      </w:pPr>
      <w:r>
        <w:rPr>
          <w:rFonts w:ascii="Arial" w:cs="Arial" w:eastAsia="Arial" w:hAnsi="Arial"/>
          <w:sz w:val="16"/>
          <w:szCs w:val="16"/>
          <w:color w:val="333333"/>
        </w:rPr>
        <w:t>343</w:t>
      </w:r>
    </w:p>
    <w:p>
      <w:pPr>
        <w:spacing w:after="0" w:line="180" w:lineRule="auto"/>
        <w:framePr w:w="280" w:h="138" w:wrap="auto" w:vAnchor="page" w:hAnchor="page" w:x="8560" w:y="10821"/>
        <w:rPr>
          <w:rFonts w:ascii="Arial" w:cs="Arial" w:eastAsia="Arial" w:hAnsi="Arial"/>
          <w:sz w:val="16"/>
          <w:szCs w:val="16"/>
          <w:color w:val="333333"/>
        </w:rPr>
      </w:pPr>
      <w:r>
        <w:rPr>
          <w:rFonts w:ascii="Arial" w:cs="Arial" w:eastAsia="Arial" w:hAnsi="Arial"/>
          <w:sz w:val="16"/>
          <w:szCs w:val="16"/>
          <w:color w:val="333333"/>
        </w:rPr>
        <w:t>41</w:t>
      </w:r>
    </w:p>
    <w:p>
      <w:pPr>
        <w:spacing w:after="0" w:line="180" w:lineRule="auto"/>
        <w:framePr w:w="380" w:h="138" w:wrap="auto" w:vAnchor="page" w:hAnchor="page" w:x="8460" w:y="11021"/>
        <w:rPr>
          <w:rFonts w:ascii="Arial" w:cs="Arial" w:eastAsia="Arial" w:hAnsi="Arial"/>
          <w:sz w:val="16"/>
          <w:szCs w:val="16"/>
          <w:color w:val="333333"/>
        </w:rPr>
      </w:pPr>
      <w:r>
        <w:rPr>
          <w:rFonts w:ascii="Arial" w:cs="Arial" w:eastAsia="Arial" w:hAnsi="Arial"/>
          <w:sz w:val="16"/>
          <w:szCs w:val="16"/>
          <w:color w:val="333333"/>
        </w:rPr>
        <w:t>576</w:t>
      </w:r>
    </w:p>
    <w:p>
      <w:pPr>
        <w:spacing w:after="0" w:line="180" w:lineRule="auto"/>
        <w:framePr w:w="380" w:h="138" w:wrap="auto" w:vAnchor="page" w:hAnchor="page" w:x="8460" w:y="11221"/>
        <w:rPr>
          <w:rFonts w:ascii="Arial" w:cs="Arial" w:eastAsia="Arial" w:hAnsi="Arial"/>
          <w:sz w:val="16"/>
          <w:szCs w:val="16"/>
          <w:color w:val="333333"/>
        </w:rPr>
      </w:pPr>
      <w:r>
        <w:rPr>
          <w:rFonts w:ascii="Arial" w:cs="Arial" w:eastAsia="Arial" w:hAnsi="Arial"/>
          <w:sz w:val="16"/>
          <w:szCs w:val="16"/>
          <w:color w:val="333333"/>
        </w:rPr>
        <w:t>480</w:t>
      </w:r>
    </w:p>
    <w:p>
      <w:pPr>
        <w:spacing w:after="0" w:line="180" w:lineRule="auto"/>
        <w:framePr w:w="540" w:h="138" w:wrap="auto" w:vAnchor="page" w:hAnchor="page" w:x="6580" w:y="9461"/>
        <w:rPr>
          <w:rFonts w:ascii="Arial" w:cs="Arial" w:eastAsia="Arial" w:hAnsi="Arial"/>
          <w:sz w:val="16"/>
          <w:szCs w:val="16"/>
          <w:color w:val="333333"/>
        </w:rPr>
      </w:pPr>
      <w:r>
        <w:rPr>
          <w:rFonts w:ascii="Arial" w:cs="Arial" w:eastAsia="Arial" w:hAnsi="Arial"/>
          <w:sz w:val="16"/>
          <w:szCs w:val="16"/>
          <w:color w:val="333333"/>
        </w:rPr>
        <w:t>61.80</w:t>
      </w:r>
    </w:p>
    <w:p>
      <w:pPr>
        <w:spacing w:after="0" w:line="180" w:lineRule="auto"/>
        <w:framePr w:w="180" w:h="138" w:wrap="auto" w:vAnchor="page" w:hAnchor="page" w:x="7620" w:y="9461"/>
        <w:rPr>
          <w:rFonts w:ascii="Arial" w:cs="Arial" w:eastAsia="Arial" w:hAnsi="Arial"/>
          <w:sz w:val="16"/>
          <w:szCs w:val="16"/>
          <w:color w:val="333333"/>
        </w:rPr>
      </w:pPr>
      <w:r>
        <w:rPr>
          <w:rFonts w:ascii="Arial" w:cs="Arial" w:eastAsia="Arial" w:hAnsi="Arial"/>
          <w:sz w:val="16"/>
          <w:szCs w:val="16"/>
          <w:color w:val="333333"/>
        </w:rPr>
        <w:t>$</w:t>
      </w:r>
    </w:p>
    <w:p>
      <w:pPr>
        <w:spacing w:after="0" w:line="180" w:lineRule="auto"/>
        <w:framePr w:w="540" w:h="138" w:wrap="auto" w:vAnchor="page" w:hAnchor="page" w:x="6580" w:y="9661"/>
        <w:rPr>
          <w:rFonts w:ascii="Arial" w:cs="Arial" w:eastAsia="Arial" w:hAnsi="Arial"/>
          <w:sz w:val="16"/>
          <w:szCs w:val="16"/>
          <w:color w:val="333333"/>
        </w:rPr>
      </w:pPr>
      <w:r>
        <w:rPr>
          <w:rFonts w:ascii="Arial" w:cs="Arial" w:eastAsia="Arial" w:hAnsi="Arial"/>
          <w:sz w:val="16"/>
          <w:szCs w:val="16"/>
          <w:color w:val="333333"/>
        </w:rPr>
        <w:t>98.26</w:t>
      </w:r>
    </w:p>
    <w:p>
      <w:pPr>
        <w:spacing w:after="0" w:line="180" w:lineRule="auto"/>
        <w:framePr w:w="180" w:h="138" w:wrap="auto" w:vAnchor="page" w:hAnchor="page" w:x="7620" w:y="9661"/>
        <w:rPr>
          <w:rFonts w:ascii="Arial" w:cs="Arial" w:eastAsia="Arial" w:hAnsi="Arial"/>
          <w:sz w:val="16"/>
          <w:szCs w:val="16"/>
          <w:color w:val="333333"/>
        </w:rPr>
      </w:pPr>
      <w:r>
        <w:rPr>
          <w:rFonts w:ascii="Arial" w:cs="Arial" w:eastAsia="Arial" w:hAnsi="Arial"/>
          <w:sz w:val="16"/>
          <w:szCs w:val="16"/>
          <w:color w:val="333333"/>
        </w:rPr>
        <w:t>$</w:t>
      </w:r>
    </w:p>
    <w:p>
      <w:pPr>
        <w:spacing w:after="0" w:line="180" w:lineRule="auto"/>
        <w:framePr w:w="540" w:h="138" w:wrap="auto" w:vAnchor="page" w:hAnchor="page" w:x="6580" w:y="9861"/>
        <w:rPr>
          <w:rFonts w:ascii="Arial" w:cs="Arial" w:eastAsia="Arial" w:hAnsi="Arial"/>
          <w:sz w:val="16"/>
          <w:szCs w:val="16"/>
          <w:color w:val="333333"/>
        </w:rPr>
      </w:pPr>
      <w:r>
        <w:rPr>
          <w:rFonts w:ascii="Arial" w:cs="Arial" w:eastAsia="Arial" w:hAnsi="Arial"/>
          <w:sz w:val="16"/>
          <w:szCs w:val="16"/>
          <w:color w:val="333333"/>
        </w:rPr>
        <w:t>64.33</w:t>
      </w:r>
    </w:p>
    <w:p>
      <w:pPr>
        <w:spacing w:after="0" w:line="180" w:lineRule="auto"/>
        <w:framePr w:w="180" w:h="138" w:wrap="auto" w:vAnchor="page" w:hAnchor="page" w:x="7620" w:y="9861"/>
        <w:rPr>
          <w:rFonts w:ascii="Arial" w:cs="Arial" w:eastAsia="Arial" w:hAnsi="Arial"/>
          <w:sz w:val="16"/>
          <w:szCs w:val="16"/>
          <w:color w:val="333333"/>
        </w:rPr>
      </w:pPr>
      <w:r>
        <w:rPr>
          <w:rFonts w:ascii="Arial" w:cs="Arial" w:eastAsia="Arial" w:hAnsi="Arial"/>
          <w:sz w:val="16"/>
          <w:szCs w:val="16"/>
          <w:color w:val="333333"/>
        </w:rPr>
        <w:t>$</w:t>
      </w:r>
    </w:p>
    <w:p>
      <w:pPr>
        <w:spacing w:after="0" w:line="180" w:lineRule="auto"/>
        <w:framePr w:w="440" w:h="138" w:wrap="auto" w:vAnchor="page" w:hAnchor="page" w:x="6680" w:y="10061"/>
        <w:rPr>
          <w:rFonts w:ascii="Arial" w:cs="Arial" w:eastAsia="Arial" w:hAnsi="Arial"/>
          <w:sz w:val="16"/>
          <w:szCs w:val="16"/>
          <w:color w:val="333333"/>
        </w:rPr>
      </w:pPr>
      <w:r>
        <w:rPr>
          <w:rFonts w:ascii="Arial" w:cs="Arial" w:eastAsia="Arial" w:hAnsi="Arial"/>
          <w:sz w:val="16"/>
          <w:szCs w:val="16"/>
          <w:color w:val="333333"/>
        </w:rPr>
        <w:t>7.68</w:t>
      </w:r>
    </w:p>
    <w:p>
      <w:pPr>
        <w:spacing w:after="0" w:line="180" w:lineRule="auto"/>
        <w:framePr w:w="180" w:h="138" w:wrap="auto" w:vAnchor="page" w:hAnchor="page" w:x="7620" w:y="10061"/>
        <w:rPr>
          <w:rFonts w:ascii="Arial" w:cs="Arial" w:eastAsia="Arial" w:hAnsi="Arial"/>
          <w:sz w:val="16"/>
          <w:szCs w:val="16"/>
          <w:color w:val="333333"/>
        </w:rPr>
      </w:pPr>
      <w:r>
        <w:rPr>
          <w:rFonts w:ascii="Arial" w:cs="Arial" w:eastAsia="Arial" w:hAnsi="Arial"/>
          <w:sz w:val="16"/>
          <w:szCs w:val="16"/>
          <w:color w:val="333333"/>
        </w:rPr>
        <w:t>$</w:t>
      </w:r>
    </w:p>
    <w:p>
      <w:pPr>
        <w:spacing w:after="0" w:line="180" w:lineRule="auto"/>
        <w:framePr w:w="540" w:h="138" w:wrap="auto" w:vAnchor="page" w:hAnchor="page" w:x="8300" w:y="9461"/>
        <w:rPr>
          <w:rFonts w:ascii="Arial" w:cs="Arial" w:eastAsia="Arial" w:hAnsi="Arial"/>
          <w:sz w:val="16"/>
          <w:szCs w:val="16"/>
          <w:color w:val="333333"/>
        </w:rPr>
      </w:pPr>
      <w:r>
        <w:rPr>
          <w:rFonts w:ascii="Arial" w:cs="Arial" w:eastAsia="Arial" w:hAnsi="Arial"/>
          <w:sz w:val="16"/>
          <w:szCs w:val="16"/>
          <w:color w:val="333333"/>
        </w:rPr>
        <w:t>56.05</w:t>
      </w:r>
    </w:p>
    <w:p>
      <w:pPr>
        <w:spacing w:after="0" w:line="180" w:lineRule="auto"/>
        <w:framePr w:w="180" w:h="138" w:wrap="auto" w:vAnchor="page" w:hAnchor="page" w:x="9320" w:y="9461"/>
        <w:rPr>
          <w:rFonts w:ascii="Arial" w:cs="Arial" w:eastAsia="Arial" w:hAnsi="Arial"/>
          <w:sz w:val="16"/>
          <w:szCs w:val="16"/>
          <w:color w:val="333333"/>
        </w:rPr>
      </w:pPr>
      <w:r>
        <w:rPr>
          <w:rFonts w:ascii="Arial" w:cs="Arial" w:eastAsia="Arial" w:hAnsi="Arial"/>
          <w:sz w:val="16"/>
          <w:szCs w:val="16"/>
          <w:color w:val="333333"/>
        </w:rPr>
        <w:t>$</w:t>
      </w:r>
    </w:p>
    <w:p>
      <w:pPr>
        <w:spacing w:after="0" w:line="180" w:lineRule="auto"/>
        <w:framePr w:w="540" w:h="138" w:wrap="auto" w:vAnchor="page" w:hAnchor="page" w:x="8300" w:y="9661"/>
        <w:rPr>
          <w:rFonts w:ascii="Arial" w:cs="Arial" w:eastAsia="Arial" w:hAnsi="Arial"/>
          <w:sz w:val="16"/>
          <w:szCs w:val="16"/>
          <w:color w:val="333333"/>
        </w:rPr>
      </w:pPr>
      <w:r>
        <w:rPr>
          <w:rFonts w:ascii="Arial" w:cs="Arial" w:eastAsia="Arial" w:hAnsi="Arial"/>
          <w:sz w:val="16"/>
          <w:szCs w:val="16"/>
          <w:color w:val="333333"/>
        </w:rPr>
        <w:t>70.43</w:t>
      </w:r>
    </w:p>
    <w:p>
      <w:pPr>
        <w:spacing w:after="0" w:line="180" w:lineRule="auto"/>
        <w:framePr w:w="180" w:h="138" w:wrap="auto" w:vAnchor="page" w:hAnchor="page" w:x="9320" w:y="9661"/>
        <w:rPr>
          <w:rFonts w:ascii="Arial" w:cs="Arial" w:eastAsia="Arial" w:hAnsi="Arial"/>
          <w:sz w:val="16"/>
          <w:szCs w:val="16"/>
          <w:color w:val="333333"/>
        </w:rPr>
      </w:pPr>
      <w:r>
        <w:rPr>
          <w:rFonts w:ascii="Arial" w:cs="Arial" w:eastAsia="Arial" w:hAnsi="Arial"/>
          <w:sz w:val="16"/>
          <w:szCs w:val="16"/>
          <w:color w:val="333333"/>
        </w:rPr>
        <w:t>$</w:t>
      </w:r>
    </w:p>
    <w:p>
      <w:pPr>
        <w:spacing w:after="0" w:line="180" w:lineRule="auto"/>
        <w:framePr w:w="540" w:h="138" w:wrap="auto" w:vAnchor="page" w:hAnchor="page" w:x="8300" w:y="9861"/>
        <w:rPr>
          <w:rFonts w:ascii="Arial" w:cs="Arial" w:eastAsia="Arial" w:hAnsi="Arial"/>
          <w:sz w:val="16"/>
          <w:szCs w:val="16"/>
          <w:color w:val="333333"/>
        </w:rPr>
      </w:pPr>
      <w:r>
        <w:rPr>
          <w:rFonts w:ascii="Arial" w:cs="Arial" w:eastAsia="Arial" w:hAnsi="Arial"/>
          <w:sz w:val="16"/>
          <w:szCs w:val="16"/>
          <w:color w:val="333333"/>
        </w:rPr>
        <w:t>53.62</w:t>
      </w:r>
    </w:p>
    <w:p>
      <w:pPr>
        <w:spacing w:after="0" w:line="180" w:lineRule="auto"/>
        <w:framePr w:w="180" w:h="138" w:wrap="auto" w:vAnchor="page" w:hAnchor="page" w:x="9320" w:y="9861"/>
        <w:rPr>
          <w:rFonts w:ascii="Arial" w:cs="Arial" w:eastAsia="Arial" w:hAnsi="Arial"/>
          <w:sz w:val="16"/>
          <w:szCs w:val="16"/>
          <w:color w:val="333333"/>
        </w:rPr>
      </w:pPr>
      <w:r>
        <w:rPr>
          <w:rFonts w:ascii="Arial" w:cs="Arial" w:eastAsia="Arial" w:hAnsi="Arial"/>
          <w:sz w:val="16"/>
          <w:szCs w:val="16"/>
          <w:color w:val="333333"/>
        </w:rPr>
        <w:t>$</w:t>
      </w:r>
    </w:p>
    <w:p>
      <w:pPr>
        <w:spacing w:after="0" w:line="180" w:lineRule="auto"/>
        <w:framePr w:w="440" w:h="138" w:wrap="auto" w:vAnchor="page" w:hAnchor="page" w:x="8400" w:y="10061"/>
        <w:rPr>
          <w:rFonts w:ascii="Arial" w:cs="Arial" w:eastAsia="Arial" w:hAnsi="Arial"/>
          <w:sz w:val="16"/>
          <w:szCs w:val="16"/>
          <w:color w:val="333333"/>
        </w:rPr>
      </w:pPr>
      <w:r>
        <w:rPr>
          <w:rFonts w:ascii="Arial" w:cs="Arial" w:eastAsia="Arial" w:hAnsi="Arial"/>
          <w:sz w:val="16"/>
          <w:szCs w:val="16"/>
          <w:color w:val="333333"/>
        </w:rPr>
        <w:t>4.22</w:t>
      </w:r>
    </w:p>
    <w:p>
      <w:pPr>
        <w:spacing w:after="0" w:line="180" w:lineRule="auto"/>
        <w:framePr w:w="180" w:h="138" w:wrap="auto" w:vAnchor="page" w:hAnchor="page" w:x="9320" w:y="10061"/>
        <w:rPr>
          <w:rFonts w:ascii="Arial" w:cs="Arial" w:eastAsia="Arial" w:hAnsi="Arial"/>
          <w:sz w:val="16"/>
          <w:szCs w:val="16"/>
          <w:color w:val="333333"/>
        </w:rPr>
      </w:pPr>
      <w:r>
        <w:rPr>
          <w:rFonts w:ascii="Arial" w:cs="Arial" w:eastAsia="Arial" w:hAnsi="Arial"/>
          <w:sz w:val="16"/>
          <w:szCs w:val="16"/>
          <w:color w:val="333333"/>
        </w:rPr>
        <w:t>$</w:t>
      </w:r>
    </w:p>
    <w:p>
      <w:pPr>
        <w:spacing w:after="0" w:line="180" w:lineRule="auto"/>
        <w:framePr w:w="280" w:h="138" w:wrap="auto" w:vAnchor="page" w:hAnchor="page" w:x="6840" w:y="8341"/>
        <w:rPr>
          <w:rFonts w:ascii="Arial" w:cs="Arial" w:eastAsia="Arial" w:hAnsi="Arial"/>
          <w:sz w:val="16"/>
          <w:szCs w:val="16"/>
          <w:color w:val="333333"/>
        </w:rPr>
      </w:pPr>
      <w:r>
        <w:rPr>
          <w:rFonts w:ascii="Arial" w:cs="Arial" w:eastAsia="Arial" w:hAnsi="Arial"/>
          <w:sz w:val="16"/>
          <w:szCs w:val="16"/>
          <w:color w:val="333333"/>
        </w:rPr>
        <w:t>55</w:t>
      </w:r>
    </w:p>
    <w:p>
      <w:pPr>
        <w:spacing w:after="0" w:line="180" w:lineRule="auto"/>
        <w:framePr w:w="280" w:h="138" w:wrap="auto" w:vAnchor="page" w:hAnchor="page" w:x="6840" w:y="8541"/>
        <w:rPr>
          <w:rFonts w:ascii="Arial" w:cs="Arial" w:eastAsia="Arial" w:hAnsi="Arial"/>
          <w:sz w:val="16"/>
          <w:szCs w:val="16"/>
          <w:color w:val="333333"/>
        </w:rPr>
      </w:pPr>
      <w:r>
        <w:rPr>
          <w:rFonts w:ascii="Arial" w:cs="Arial" w:eastAsia="Arial" w:hAnsi="Arial"/>
          <w:sz w:val="16"/>
          <w:szCs w:val="16"/>
          <w:color w:val="333333"/>
        </w:rPr>
        <w:t>11</w:t>
      </w:r>
    </w:p>
    <w:p>
      <w:pPr>
        <w:spacing w:after="0" w:line="180" w:lineRule="auto"/>
        <w:framePr w:w="380" w:h="138" w:wrap="auto" w:vAnchor="page" w:hAnchor="page" w:x="6740" w:y="8741"/>
        <w:rPr>
          <w:rFonts w:ascii="Arial" w:cs="Arial" w:eastAsia="Arial" w:hAnsi="Arial"/>
          <w:sz w:val="16"/>
          <w:szCs w:val="16"/>
          <w:color w:val="333333"/>
        </w:rPr>
      </w:pPr>
      <w:r>
        <w:rPr>
          <w:rFonts w:ascii="Arial" w:cs="Arial" w:eastAsia="Arial" w:hAnsi="Arial"/>
          <w:sz w:val="16"/>
          <w:szCs w:val="16"/>
          <w:color w:val="333333"/>
        </w:rPr>
        <w:t>147</w:t>
      </w:r>
    </w:p>
    <w:p>
      <w:pPr>
        <w:spacing w:after="0" w:line="180" w:lineRule="auto"/>
        <w:framePr w:w="280" w:h="138" w:wrap="auto" w:vAnchor="page" w:hAnchor="page" w:x="6840" w:y="8941"/>
        <w:rPr>
          <w:rFonts w:ascii="Arial" w:cs="Arial" w:eastAsia="Arial" w:hAnsi="Arial"/>
          <w:sz w:val="16"/>
          <w:szCs w:val="16"/>
          <w:color w:val="333333"/>
        </w:rPr>
      </w:pPr>
      <w:r>
        <w:rPr>
          <w:rFonts w:ascii="Arial" w:cs="Arial" w:eastAsia="Arial" w:hAnsi="Arial"/>
          <w:sz w:val="16"/>
          <w:szCs w:val="16"/>
          <w:color w:val="333333"/>
        </w:rPr>
        <w:t>91</w:t>
      </w:r>
    </w:p>
    <w:p>
      <w:pPr>
        <w:spacing w:after="0" w:line="180" w:lineRule="auto"/>
        <w:framePr w:w="280" w:h="138" w:wrap="auto" w:vAnchor="page" w:hAnchor="page" w:x="8560" w:y="8341"/>
        <w:rPr>
          <w:rFonts w:ascii="Arial" w:cs="Arial" w:eastAsia="Arial" w:hAnsi="Arial"/>
          <w:sz w:val="16"/>
          <w:szCs w:val="16"/>
          <w:color w:val="333333"/>
        </w:rPr>
      </w:pPr>
      <w:r>
        <w:rPr>
          <w:rFonts w:ascii="Arial" w:cs="Arial" w:eastAsia="Arial" w:hAnsi="Arial"/>
          <w:sz w:val="16"/>
          <w:szCs w:val="16"/>
          <w:color w:val="333333"/>
        </w:rPr>
        <w:t>60</w:t>
      </w:r>
    </w:p>
    <w:p>
      <w:pPr>
        <w:spacing w:after="0" w:line="180" w:lineRule="auto"/>
        <w:framePr w:w="280" w:h="138" w:wrap="auto" w:vAnchor="page" w:hAnchor="page" w:x="8560" w:y="8541"/>
        <w:rPr>
          <w:rFonts w:ascii="Arial" w:cs="Arial" w:eastAsia="Arial" w:hAnsi="Arial"/>
          <w:sz w:val="16"/>
          <w:szCs w:val="16"/>
          <w:color w:val="333333"/>
        </w:rPr>
      </w:pPr>
      <w:r>
        <w:rPr>
          <w:rFonts w:ascii="Arial" w:cs="Arial" w:eastAsia="Arial" w:hAnsi="Arial"/>
          <w:sz w:val="16"/>
          <w:szCs w:val="16"/>
          <w:color w:val="333333"/>
        </w:rPr>
        <w:t>13</w:t>
      </w:r>
    </w:p>
    <w:p>
      <w:pPr>
        <w:spacing w:after="0" w:line="180" w:lineRule="auto"/>
        <w:framePr w:w="380" w:h="138" w:wrap="auto" w:vAnchor="page" w:hAnchor="page" w:x="8460" w:y="8741"/>
        <w:rPr>
          <w:rFonts w:ascii="Arial" w:cs="Arial" w:eastAsia="Arial" w:hAnsi="Arial"/>
          <w:sz w:val="16"/>
          <w:szCs w:val="16"/>
          <w:color w:val="333333"/>
        </w:rPr>
      </w:pPr>
      <w:r>
        <w:rPr>
          <w:rFonts w:ascii="Arial" w:cs="Arial" w:eastAsia="Arial" w:hAnsi="Arial"/>
          <w:sz w:val="16"/>
          <w:szCs w:val="16"/>
          <w:color w:val="333333"/>
        </w:rPr>
        <w:t>159</w:t>
      </w:r>
    </w:p>
    <w:p>
      <w:pPr>
        <w:spacing w:after="0" w:line="180" w:lineRule="auto"/>
        <w:framePr w:w="380" w:h="138" w:wrap="auto" w:vAnchor="page" w:hAnchor="page" w:x="8460" w:y="8941"/>
        <w:rPr>
          <w:rFonts w:ascii="Arial" w:cs="Arial" w:eastAsia="Arial" w:hAnsi="Arial"/>
          <w:sz w:val="16"/>
          <w:szCs w:val="16"/>
          <w:color w:val="333333"/>
        </w:rPr>
      </w:pPr>
      <w:r>
        <w:rPr>
          <w:rFonts w:ascii="Arial" w:cs="Arial" w:eastAsia="Arial" w:hAnsi="Arial"/>
          <w:sz w:val="16"/>
          <w:szCs w:val="16"/>
          <w:color w:val="333333"/>
        </w:rPr>
        <w:t>100</w:t>
      </w:r>
    </w:p>
    <w:p>
      <w:pPr>
        <w:spacing w:after="0" w:line="186" w:lineRule="auto"/>
        <w:framePr w:w="520" w:h="152" w:wrap="auto" w:vAnchor="page" w:hAnchor="page" w:x="6600" w:y="7787"/>
        <w:rPr>
          <w:rFonts w:ascii="Arial" w:cs="Arial" w:eastAsia="Arial" w:hAnsi="Arial"/>
          <w:sz w:val="17"/>
          <w:szCs w:val="17"/>
          <w:color w:val="095C5B"/>
        </w:rPr>
      </w:pPr>
      <w:r>
        <w:rPr>
          <w:rFonts w:ascii="Arial" w:cs="Arial" w:eastAsia="Arial" w:hAnsi="Arial"/>
          <w:sz w:val="17"/>
          <w:szCs w:val="17"/>
          <w:color w:val="095C5B"/>
        </w:rPr>
        <w:t>2022</w:t>
      </w:r>
    </w:p>
    <w:p>
      <w:pPr>
        <w:spacing w:after="0" w:line="186" w:lineRule="auto"/>
        <w:framePr w:w="520" w:h="152" w:wrap="auto" w:vAnchor="page" w:hAnchor="page" w:x="8320" w:y="7787"/>
        <w:rPr>
          <w:rFonts w:ascii="Arial" w:cs="Arial" w:eastAsia="Arial" w:hAnsi="Arial"/>
          <w:sz w:val="17"/>
          <w:szCs w:val="17"/>
          <w:color w:val="095C5B"/>
        </w:rPr>
      </w:pPr>
      <w:r>
        <w:rPr>
          <w:rFonts w:ascii="Arial" w:cs="Arial" w:eastAsia="Arial" w:hAnsi="Arial"/>
          <w:sz w:val="17"/>
          <w:szCs w:val="17"/>
          <w:color w:val="095C5B"/>
        </w:rPr>
        <w:t>2021</w:t>
      </w:r>
    </w:p>
    <w:p>
      <w:pPr>
        <w:spacing w:after="0" w:line="180" w:lineRule="auto"/>
        <w:framePr w:w="180" w:h="138" w:wrap="auto" w:vAnchor="page" w:hAnchor="page" w:x="5900" w:y="13341"/>
        <w:rPr>
          <w:rFonts w:ascii="Arial" w:cs="Arial" w:eastAsia="Arial" w:hAnsi="Arial"/>
          <w:sz w:val="16"/>
          <w:szCs w:val="16"/>
          <w:color w:val="333333"/>
        </w:rPr>
      </w:pPr>
      <w:r>
        <w:rPr>
          <w:rFonts w:ascii="Arial" w:cs="Arial" w:eastAsia="Arial" w:hAnsi="Arial"/>
          <w:sz w:val="16"/>
          <w:szCs w:val="16"/>
          <w:color w:val="333333"/>
        </w:rPr>
        <w:t>$</w:t>
      </w:r>
    </w:p>
    <w:p>
      <w:pPr>
        <w:spacing w:after="0" w:line="180" w:lineRule="auto"/>
        <w:framePr w:w="180" w:h="138" w:wrap="auto" w:vAnchor="page" w:hAnchor="page" w:x="5900" w:y="12061"/>
        <w:rPr>
          <w:rFonts w:ascii="Arial" w:cs="Arial" w:eastAsia="Arial" w:hAnsi="Arial"/>
          <w:sz w:val="16"/>
          <w:szCs w:val="16"/>
          <w:color w:val="333333"/>
        </w:rPr>
      </w:pPr>
      <w:r>
        <w:rPr>
          <w:rFonts w:ascii="Arial" w:cs="Arial" w:eastAsia="Arial" w:hAnsi="Arial"/>
          <w:sz w:val="16"/>
          <w:szCs w:val="16"/>
          <w:color w:val="333333"/>
        </w:rPr>
        <w:t>$</w:t>
      </w:r>
    </w:p>
    <w:p>
      <w:pPr>
        <w:spacing w:after="0" w:line="180" w:lineRule="auto"/>
        <w:framePr w:w="180" w:h="138" w:wrap="auto" w:vAnchor="page" w:hAnchor="page" w:x="5900" w:y="11741"/>
        <w:rPr>
          <w:rFonts w:ascii="Arial" w:cs="Arial" w:eastAsia="Arial" w:hAnsi="Arial"/>
          <w:sz w:val="16"/>
          <w:szCs w:val="16"/>
          <w:color w:val="333333"/>
        </w:rPr>
      </w:pPr>
      <w:r>
        <w:rPr>
          <w:rFonts w:ascii="Arial" w:cs="Arial" w:eastAsia="Arial" w:hAnsi="Arial"/>
          <w:sz w:val="16"/>
          <w:szCs w:val="16"/>
          <w:color w:val="333333"/>
        </w:rPr>
        <w:t>$</w:t>
      </w:r>
    </w:p>
    <w:p>
      <w:pPr>
        <w:spacing w:after="0" w:line="180" w:lineRule="auto"/>
        <w:framePr w:w="180" w:h="138" w:wrap="auto" w:vAnchor="page" w:hAnchor="page" w:x="5900" w:y="9461"/>
        <w:rPr>
          <w:rFonts w:ascii="Arial" w:cs="Arial" w:eastAsia="Arial" w:hAnsi="Arial"/>
          <w:sz w:val="16"/>
          <w:szCs w:val="16"/>
          <w:color w:val="333333"/>
        </w:rPr>
      </w:pPr>
      <w:r>
        <w:rPr>
          <w:rFonts w:ascii="Arial" w:cs="Arial" w:eastAsia="Arial" w:hAnsi="Arial"/>
          <w:sz w:val="16"/>
          <w:szCs w:val="16"/>
          <w:color w:val="333333"/>
        </w:rPr>
        <w:t>$</w:t>
      </w:r>
    </w:p>
    <w:p>
      <w:pPr>
        <w:spacing w:after="0" w:line="180" w:lineRule="auto"/>
        <w:framePr w:w="180" w:h="138" w:wrap="auto" w:vAnchor="page" w:hAnchor="page" w:x="5900" w:y="9661"/>
        <w:rPr>
          <w:rFonts w:ascii="Arial" w:cs="Arial" w:eastAsia="Arial" w:hAnsi="Arial"/>
          <w:sz w:val="16"/>
          <w:szCs w:val="16"/>
          <w:color w:val="333333"/>
        </w:rPr>
      </w:pPr>
      <w:r>
        <w:rPr>
          <w:rFonts w:ascii="Arial" w:cs="Arial" w:eastAsia="Arial" w:hAnsi="Arial"/>
          <w:sz w:val="16"/>
          <w:szCs w:val="16"/>
          <w:color w:val="333333"/>
        </w:rPr>
        <w:t>$</w:t>
      </w:r>
    </w:p>
    <w:p>
      <w:pPr>
        <w:spacing w:after="0" w:line="180" w:lineRule="auto"/>
        <w:framePr w:w="180" w:h="138" w:wrap="auto" w:vAnchor="page" w:hAnchor="page" w:x="5900" w:y="9861"/>
        <w:rPr>
          <w:rFonts w:ascii="Arial" w:cs="Arial" w:eastAsia="Arial" w:hAnsi="Arial"/>
          <w:sz w:val="16"/>
          <w:szCs w:val="16"/>
          <w:color w:val="333333"/>
        </w:rPr>
      </w:pPr>
      <w:r>
        <w:rPr>
          <w:rFonts w:ascii="Arial" w:cs="Arial" w:eastAsia="Arial" w:hAnsi="Arial"/>
          <w:sz w:val="16"/>
          <w:szCs w:val="16"/>
          <w:color w:val="333333"/>
        </w:rPr>
        <w:t>$</w:t>
      </w:r>
    </w:p>
    <w:p>
      <w:pPr>
        <w:spacing w:after="0" w:line="180" w:lineRule="auto"/>
        <w:framePr w:w="180" w:h="138" w:wrap="auto" w:vAnchor="page" w:hAnchor="page" w:x="5900" w:y="10061"/>
        <w:rPr>
          <w:rFonts w:ascii="Arial" w:cs="Arial" w:eastAsia="Arial" w:hAnsi="Arial"/>
          <w:sz w:val="16"/>
          <w:szCs w:val="16"/>
          <w:color w:val="333333"/>
        </w:rPr>
      </w:pPr>
      <w:r>
        <w:rPr>
          <w:rFonts w:ascii="Arial" w:cs="Arial" w:eastAsia="Arial" w:hAnsi="Arial"/>
          <w:sz w:val="16"/>
          <w:szCs w:val="16"/>
          <w:color w:val="333333"/>
        </w:rPr>
        <w:t>$</w:t>
      </w:r>
    </w:p>
    <w:p>
      <w:pPr>
        <w:ind w:left="800"/>
        <w:spacing w:after="0"/>
        <w:rPr>
          <w:sz w:val="20"/>
          <w:szCs w:val="20"/>
          <w:color w:val="auto"/>
        </w:rPr>
      </w:pPr>
      <w:r>
        <w:rPr>
          <w:rFonts w:ascii="Arial" w:cs="Arial" w:eastAsia="Arial" w:hAnsi="Arial"/>
          <w:sz w:val="70"/>
          <w:szCs w:val="70"/>
          <w:color w:val="095C5B"/>
        </w:rPr>
        <w:t>FINANCIAL &amp; OPERATIONAL</w:t>
      </w:r>
    </w:p>
    <w:p>
      <w:pPr>
        <w:spacing w:after="0" w:line="20" w:lineRule="exact"/>
        <w:rPr>
          <w:rFonts w:ascii="Arial" w:cs="Arial" w:eastAsia="Arial" w:hAnsi="Arial"/>
          <w:sz w:val="16"/>
          <w:szCs w:val="16"/>
          <w:color w:val="333333"/>
        </w:rPr>
      </w:pPr>
      <w:r>
        <w:rPr>
          <w:rFonts w:ascii="Arial" w:cs="Arial" w:eastAsia="Arial" w:hAnsi="Arial"/>
          <w:sz w:val="16"/>
          <w:szCs w:val="16"/>
          <w:color w:val="333333"/>
        </w:rPr>
        <mc:AlternateContent>
          <mc:Choice Requires="wps">
            <w:drawing>
              <wp:anchor simplePos="0" relativeHeight="251657728" behindDoc="1" locked="0" layoutInCell="0" allowOverlap="1">
                <wp:simplePos x="0" y="0"/>
                <wp:positionH relativeFrom="column">
                  <wp:posOffset>542925</wp:posOffset>
                </wp:positionH>
                <wp:positionV relativeFrom="paragraph">
                  <wp:posOffset>699135</wp:posOffset>
                </wp:positionV>
                <wp:extent cx="6332855" cy="198755"/>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2855" cy="198755"/>
                        </a:xfrm>
                        <a:prstGeom prst="rect">
                          <a:avLst/>
                        </a:prstGeom>
                        <a:solidFill>
                          <a:srgbClr val="C1D2C9"/>
                        </a:solidFill>
                      </wps:spPr>
                      <wps:bodyPr/>
                    </wps:wsp>
                  </a:graphicData>
                </a:graphic>
              </wp:anchor>
            </w:drawing>
          </mc:Choice>
          <mc:Fallback>
            <w:pict>
              <v:rect id="Shape 2" o:spid="_x0000_s1027" style="position:absolute;margin-left:42.75pt;margin-top:55.05pt;width:498.65pt;height:15.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1D2C9" stroked="f"/>
            </w:pict>
          </mc:Fallback>
        </mc:AlternateContent>
      </w: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99" w:lineRule="exact"/>
        <w:rPr>
          <w:rFonts w:ascii="Arial" w:cs="Arial" w:eastAsia="Arial" w:hAnsi="Arial"/>
          <w:sz w:val="16"/>
          <w:szCs w:val="16"/>
          <w:color w:val="333333"/>
        </w:rPr>
      </w:pPr>
    </w:p>
    <w:tbl>
      <w:tblPr>
        <w:tblLayout w:type="fixed"/>
        <w:tblInd w:w="0" w:type="dxa"/>
        <w:tblCellMar>
          <w:top w:w="0" w:type="dxa"/>
          <w:left w:w="0" w:type="dxa"/>
          <w:bottom w:w="0" w:type="dxa"/>
          <w:right w:w="0" w:type="dxa"/>
        </w:tblCellMar>
      </w:tblPr>
      <w:tr>
        <w:trPr>
          <w:trHeight w:val="254"/>
        </w:trPr>
        <w:tc>
          <w:tcPr>
            <w:tcW w:w="860" w:type="dxa"/>
            <w:vAlign w:val="bottom"/>
          </w:tcPr>
          <w:p>
            <w:pPr>
              <w:spacing w:after="0"/>
              <w:rPr>
                <w:sz w:val="22"/>
                <w:szCs w:val="22"/>
                <w:color w:val="auto"/>
              </w:rPr>
            </w:pPr>
          </w:p>
        </w:tc>
        <w:tc>
          <w:tcPr>
            <w:tcW w:w="4780" w:type="dxa"/>
            <w:vAlign w:val="bottom"/>
          </w:tcPr>
          <w:p>
            <w:pPr>
              <w:ind w:left="180"/>
              <w:spacing w:after="0"/>
              <w:rPr>
                <w:sz w:val="20"/>
                <w:szCs w:val="20"/>
                <w:color w:val="auto"/>
              </w:rPr>
            </w:pPr>
            <w:r>
              <w:rPr>
                <w:rFonts w:ascii="Arial" w:cs="Arial" w:eastAsia="Arial" w:hAnsi="Arial"/>
                <w:sz w:val="22"/>
                <w:szCs w:val="22"/>
                <w:color w:val="095C5B"/>
              </w:rPr>
              <w:t>FINANCIAL HIGHLIGHTS</w:t>
            </w:r>
          </w:p>
        </w:tc>
        <w:tc>
          <w:tcPr>
            <w:tcW w:w="700" w:type="dxa"/>
            <w:vAlign w:val="bottom"/>
          </w:tcPr>
          <w:p>
            <w:pPr>
              <w:spacing w:after="0"/>
              <w:rPr>
                <w:sz w:val="22"/>
                <w:szCs w:val="22"/>
                <w:color w:val="auto"/>
              </w:rPr>
            </w:pPr>
          </w:p>
        </w:tc>
        <w:tc>
          <w:tcPr>
            <w:tcW w:w="1040" w:type="dxa"/>
            <w:vAlign w:val="bottom"/>
          </w:tcPr>
          <w:p>
            <w:pPr>
              <w:jc w:val="right"/>
              <w:ind w:right="199"/>
              <w:spacing w:after="0"/>
              <w:rPr>
                <w:sz w:val="20"/>
                <w:szCs w:val="20"/>
                <w:color w:val="auto"/>
              </w:rPr>
            </w:pPr>
            <w:r>
              <w:rPr>
                <w:rFonts w:ascii="Arial" w:cs="Arial" w:eastAsia="Arial" w:hAnsi="Arial"/>
                <w:sz w:val="22"/>
                <w:szCs w:val="22"/>
                <w:color w:val="095C5B"/>
              </w:rPr>
              <w:t>2022</w:t>
            </w:r>
          </w:p>
        </w:tc>
        <w:tc>
          <w:tcPr>
            <w:tcW w:w="680" w:type="dxa"/>
            <w:vAlign w:val="bottom"/>
          </w:tcPr>
          <w:p>
            <w:pPr>
              <w:spacing w:after="0"/>
              <w:rPr>
                <w:sz w:val="22"/>
                <w:szCs w:val="22"/>
                <w:color w:val="auto"/>
              </w:rPr>
            </w:pPr>
          </w:p>
        </w:tc>
        <w:tc>
          <w:tcPr>
            <w:tcW w:w="960" w:type="dxa"/>
            <w:vAlign w:val="bottom"/>
          </w:tcPr>
          <w:p>
            <w:pPr>
              <w:jc w:val="right"/>
              <w:ind w:right="119"/>
              <w:spacing w:after="0"/>
              <w:rPr>
                <w:sz w:val="20"/>
                <w:szCs w:val="20"/>
                <w:color w:val="auto"/>
              </w:rPr>
            </w:pPr>
            <w:r>
              <w:rPr>
                <w:rFonts w:ascii="Arial" w:cs="Arial" w:eastAsia="Arial" w:hAnsi="Arial"/>
                <w:sz w:val="22"/>
                <w:szCs w:val="22"/>
                <w:color w:val="095C5B"/>
              </w:rPr>
              <w:t>2021</w:t>
            </w:r>
          </w:p>
        </w:tc>
        <w:tc>
          <w:tcPr>
            <w:tcW w:w="1800" w:type="dxa"/>
            <w:vAlign w:val="bottom"/>
            <w:gridSpan w:val="2"/>
          </w:tcPr>
          <w:p>
            <w:pPr>
              <w:jc w:val="right"/>
              <w:ind w:right="60"/>
              <w:spacing w:after="0"/>
              <w:rPr>
                <w:sz w:val="20"/>
                <w:szCs w:val="20"/>
                <w:color w:val="auto"/>
              </w:rPr>
            </w:pPr>
            <w:r>
              <w:rPr>
                <w:rFonts w:ascii="Arial" w:cs="Arial" w:eastAsia="Arial" w:hAnsi="Arial"/>
                <w:sz w:val="22"/>
                <w:szCs w:val="22"/>
                <w:color w:val="095C5B"/>
                <w:w w:val="98"/>
              </w:rPr>
              <w:t>2020 Combined*</w:t>
            </w:r>
          </w:p>
        </w:tc>
        <w:tc>
          <w:tcPr>
            <w:tcW w:w="0" w:type="dxa"/>
            <w:vAlign w:val="bottom"/>
          </w:tcPr>
          <w:p>
            <w:pPr>
              <w:spacing w:after="0"/>
              <w:rPr>
                <w:sz w:val="1"/>
                <w:szCs w:val="1"/>
                <w:color w:val="auto"/>
              </w:rPr>
            </w:pPr>
          </w:p>
        </w:tc>
      </w:tr>
      <w:tr>
        <w:trPr>
          <w:trHeight w:val="279"/>
        </w:trPr>
        <w:tc>
          <w:tcPr>
            <w:tcW w:w="9760" w:type="dxa"/>
            <w:vAlign w:val="bottom"/>
            <w:gridSpan w:val="7"/>
          </w:tcPr>
          <w:p>
            <w:pPr>
              <w:jc w:val="right"/>
              <w:ind w:right="179"/>
              <w:spacing w:after="0" w:line="278" w:lineRule="exact"/>
              <w:rPr>
                <w:sz w:val="20"/>
                <w:szCs w:val="20"/>
                <w:color w:val="auto"/>
              </w:rPr>
            </w:pPr>
            <w:r>
              <w:rPr>
                <w:rFonts w:ascii="Arial" w:cs="Arial" w:eastAsia="Arial" w:hAnsi="Arial"/>
                <w:sz w:val="32"/>
                <w:szCs w:val="32"/>
                <w:color w:val="095C5B"/>
              </w:rPr>
              <w:t>HIGHLIGHTS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860" w:type="dxa"/>
            <w:vAlign w:val="bottom"/>
          </w:tcPr>
          <w:p>
            <w:pPr>
              <w:spacing w:after="0"/>
              <w:rPr>
                <w:sz w:val="22"/>
                <w:szCs w:val="22"/>
                <w:color w:val="auto"/>
              </w:rPr>
            </w:pPr>
          </w:p>
        </w:tc>
        <w:tc>
          <w:tcPr>
            <w:tcW w:w="8160" w:type="dxa"/>
            <w:vAlign w:val="bottom"/>
            <w:gridSpan w:val="5"/>
          </w:tcPr>
          <w:p>
            <w:pPr>
              <w:ind w:left="180"/>
              <w:spacing w:after="0"/>
              <w:rPr>
                <w:sz w:val="20"/>
                <w:szCs w:val="20"/>
                <w:color w:val="auto"/>
              </w:rPr>
            </w:pPr>
            <w:r>
              <w:rPr>
                <w:rFonts w:ascii="Arial" w:cs="Arial" w:eastAsia="Arial" w:hAnsi="Arial"/>
                <w:sz w:val="20"/>
                <w:szCs w:val="20"/>
                <w:color w:val="4C4C4C"/>
                <w:w w:val="82"/>
              </w:rPr>
              <w:t>Dollar amounts in millions, except share and per-share amounts, as of and for the years ended December 31,</w:t>
            </w:r>
          </w:p>
        </w:tc>
        <w:tc>
          <w:tcPr>
            <w:tcW w:w="7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860" w:type="dxa"/>
            <w:vAlign w:val="bottom"/>
          </w:tcPr>
          <w:p>
            <w:pPr>
              <w:spacing w:after="0"/>
              <w:rPr>
                <w:sz w:val="24"/>
                <w:szCs w:val="24"/>
                <w:color w:val="auto"/>
              </w:rPr>
            </w:pPr>
          </w:p>
        </w:tc>
        <w:tc>
          <w:tcPr>
            <w:tcW w:w="4780" w:type="dxa"/>
            <w:vAlign w:val="bottom"/>
          </w:tcPr>
          <w:p>
            <w:pPr>
              <w:ind w:left="180"/>
              <w:spacing w:after="0"/>
              <w:rPr>
                <w:sz w:val="20"/>
                <w:szCs w:val="20"/>
                <w:color w:val="auto"/>
              </w:rPr>
            </w:pPr>
            <w:r>
              <w:rPr>
                <w:rFonts w:ascii="Arial" w:cs="Arial" w:eastAsia="Arial" w:hAnsi="Arial"/>
                <w:sz w:val="20"/>
                <w:szCs w:val="20"/>
                <w:color w:val="333333"/>
              </w:rPr>
              <w:t>Total Operating Revenue</w:t>
            </w:r>
          </w:p>
        </w:tc>
        <w:tc>
          <w:tcPr>
            <w:tcW w:w="700" w:type="dxa"/>
            <w:vAlign w:val="bottom"/>
          </w:tcPr>
          <w:p>
            <w:pPr>
              <w:jc w:val="right"/>
              <w:ind w:right="200"/>
              <w:spacing w:after="0"/>
              <w:rPr>
                <w:sz w:val="20"/>
                <w:szCs w:val="20"/>
                <w:color w:val="auto"/>
              </w:rPr>
            </w:pPr>
            <w:r>
              <w:rPr>
                <w:rFonts w:ascii="Arial" w:cs="Arial" w:eastAsia="Arial" w:hAnsi="Arial"/>
                <w:sz w:val="20"/>
                <w:szCs w:val="20"/>
                <w:color w:val="333333"/>
              </w:rPr>
              <w:t>$</w:t>
            </w:r>
          </w:p>
        </w:tc>
        <w:tc>
          <w:tcPr>
            <w:tcW w:w="1040" w:type="dxa"/>
            <w:vAlign w:val="bottom"/>
          </w:tcPr>
          <w:p>
            <w:pPr>
              <w:jc w:val="right"/>
              <w:ind w:right="199"/>
              <w:spacing w:after="0"/>
              <w:rPr>
                <w:sz w:val="20"/>
                <w:szCs w:val="20"/>
                <w:color w:val="auto"/>
              </w:rPr>
            </w:pPr>
            <w:r>
              <w:rPr>
                <w:rFonts w:ascii="Arial" w:cs="Arial" w:eastAsia="Arial" w:hAnsi="Arial"/>
                <w:sz w:val="20"/>
                <w:szCs w:val="20"/>
                <w:color w:val="333333"/>
              </w:rPr>
              <w:t>2,707</w:t>
            </w:r>
          </w:p>
        </w:tc>
        <w:tc>
          <w:tcPr>
            <w:tcW w:w="680" w:type="dxa"/>
            <w:vAlign w:val="bottom"/>
          </w:tcPr>
          <w:p>
            <w:pPr>
              <w:jc w:val="right"/>
              <w:ind w:right="200"/>
              <w:spacing w:after="0"/>
              <w:rPr>
                <w:sz w:val="20"/>
                <w:szCs w:val="20"/>
                <w:color w:val="auto"/>
              </w:rPr>
            </w:pPr>
            <w:r>
              <w:rPr>
                <w:rFonts w:ascii="Arial" w:cs="Arial" w:eastAsia="Arial" w:hAnsi="Arial"/>
                <w:sz w:val="20"/>
                <w:szCs w:val="20"/>
                <w:color w:val="333333"/>
              </w:rPr>
              <w:t>$</w:t>
            </w:r>
          </w:p>
        </w:tc>
        <w:tc>
          <w:tcPr>
            <w:tcW w:w="960" w:type="dxa"/>
            <w:vAlign w:val="bottom"/>
          </w:tcPr>
          <w:p>
            <w:pPr>
              <w:jc w:val="right"/>
              <w:ind w:right="119"/>
              <w:spacing w:after="0"/>
              <w:rPr>
                <w:sz w:val="20"/>
                <w:szCs w:val="20"/>
                <w:color w:val="auto"/>
              </w:rPr>
            </w:pPr>
            <w:r>
              <w:rPr>
                <w:rFonts w:ascii="Arial" w:cs="Arial" w:eastAsia="Arial" w:hAnsi="Arial"/>
                <w:sz w:val="20"/>
                <w:szCs w:val="20"/>
                <w:color w:val="333333"/>
              </w:rPr>
              <w:t>1,889</w:t>
            </w:r>
          </w:p>
        </w:tc>
        <w:tc>
          <w:tcPr>
            <w:tcW w:w="740" w:type="dxa"/>
            <w:vAlign w:val="bottom"/>
          </w:tcPr>
          <w:p>
            <w:pPr>
              <w:jc w:val="right"/>
              <w:ind w:right="199"/>
              <w:spacing w:after="0"/>
              <w:rPr>
                <w:sz w:val="20"/>
                <w:szCs w:val="20"/>
                <w:color w:val="auto"/>
              </w:rPr>
            </w:pPr>
            <w:r>
              <w:rPr>
                <w:rFonts w:ascii="Arial" w:cs="Arial" w:eastAsia="Arial" w:hAnsi="Arial"/>
                <w:sz w:val="20"/>
                <w:szCs w:val="20"/>
                <w:color w:val="333333"/>
              </w:rPr>
              <w:t>$</w:t>
            </w:r>
          </w:p>
        </w:tc>
        <w:tc>
          <w:tcPr>
            <w:tcW w:w="1060" w:type="dxa"/>
            <w:vAlign w:val="bottom"/>
          </w:tcPr>
          <w:p>
            <w:pPr>
              <w:jc w:val="right"/>
              <w:ind w:right="200"/>
              <w:spacing w:after="0"/>
              <w:rPr>
                <w:sz w:val="20"/>
                <w:szCs w:val="20"/>
                <w:color w:val="auto"/>
              </w:rPr>
            </w:pPr>
            <w:r>
              <w:rPr>
                <w:rFonts w:ascii="Arial" w:cs="Arial" w:eastAsia="Arial" w:hAnsi="Arial"/>
                <w:sz w:val="20"/>
                <w:szCs w:val="20"/>
                <w:color w:val="333333"/>
              </w:rPr>
              <w:t>1,559</w:t>
            </w:r>
          </w:p>
        </w:tc>
        <w:tc>
          <w:tcPr>
            <w:tcW w:w="0" w:type="dxa"/>
            <w:vAlign w:val="bottom"/>
          </w:tcPr>
          <w:p>
            <w:pPr>
              <w:spacing w:after="0"/>
              <w:rPr>
                <w:sz w:val="1"/>
                <w:szCs w:val="1"/>
                <w:color w:val="auto"/>
              </w:rPr>
            </w:pPr>
          </w:p>
        </w:tc>
      </w:tr>
      <w:tr>
        <w:trPr>
          <w:trHeight w:val="200"/>
        </w:trPr>
        <w:tc>
          <w:tcPr>
            <w:tcW w:w="860" w:type="dxa"/>
            <w:vAlign w:val="bottom"/>
          </w:tcPr>
          <w:p>
            <w:pPr>
              <w:spacing w:after="0"/>
              <w:rPr>
                <w:sz w:val="17"/>
                <w:szCs w:val="17"/>
                <w:color w:val="auto"/>
              </w:rPr>
            </w:pPr>
          </w:p>
        </w:tc>
        <w:tc>
          <w:tcPr>
            <w:tcW w:w="4780" w:type="dxa"/>
            <w:vAlign w:val="bottom"/>
          </w:tcPr>
          <w:p>
            <w:pPr>
              <w:ind w:left="180"/>
              <w:spacing w:after="0" w:line="200" w:lineRule="exact"/>
              <w:rPr>
                <w:sz w:val="20"/>
                <w:szCs w:val="20"/>
                <w:color w:val="auto"/>
              </w:rPr>
            </w:pPr>
            <w:r>
              <w:rPr>
                <w:rFonts w:ascii="Arial" w:cs="Arial" w:eastAsia="Arial" w:hAnsi="Arial"/>
                <w:sz w:val="20"/>
                <w:szCs w:val="20"/>
                <w:color w:val="333333"/>
              </w:rPr>
              <w:t>Net Income</w:t>
            </w:r>
          </w:p>
        </w:tc>
        <w:tc>
          <w:tcPr>
            <w:tcW w:w="700" w:type="dxa"/>
            <w:vAlign w:val="bottom"/>
          </w:tcPr>
          <w:p>
            <w:pPr>
              <w:jc w:val="right"/>
              <w:ind w:right="200"/>
              <w:spacing w:after="0" w:line="200" w:lineRule="exact"/>
              <w:rPr>
                <w:sz w:val="20"/>
                <w:szCs w:val="20"/>
                <w:color w:val="auto"/>
              </w:rPr>
            </w:pPr>
            <w:r>
              <w:rPr>
                <w:rFonts w:ascii="Arial" w:cs="Arial" w:eastAsia="Arial" w:hAnsi="Arial"/>
                <w:sz w:val="20"/>
                <w:szCs w:val="20"/>
                <w:color w:val="333333"/>
              </w:rPr>
              <w:t>$</w:t>
            </w:r>
          </w:p>
        </w:tc>
        <w:tc>
          <w:tcPr>
            <w:tcW w:w="1040" w:type="dxa"/>
            <w:vAlign w:val="bottom"/>
          </w:tcPr>
          <w:p>
            <w:pPr>
              <w:jc w:val="right"/>
              <w:ind w:right="199"/>
              <w:spacing w:after="0" w:line="200" w:lineRule="exact"/>
              <w:rPr>
                <w:sz w:val="20"/>
                <w:szCs w:val="20"/>
                <w:color w:val="auto"/>
              </w:rPr>
            </w:pPr>
            <w:r>
              <w:rPr>
                <w:rFonts w:ascii="Arial" w:cs="Arial" w:eastAsia="Arial" w:hAnsi="Arial"/>
                <w:sz w:val="20"/>
                <w:szCs w:val="20"/>
                <w:color w:val="333333"/>
              </w:rPr>
              <w:t>524</w:t>
            </w:r>
          </w:p>
        </w:tc>
        <w:tc>
          <w:tcPr>
            <w:tcW w:w="680" w:type="dxa"/>
            <w:vAlign w:val="bottom"/>
          </w:tcPr>
          <w:p>
            <w:pPr>
              <w:jc w:val="right"/>
              <w:ind w:right="200"/>
              <w:spacing w:after="0" w:line="200" w:lineRule="exact"/>
              <w:rPr>
                <w:sz w:val="20"/>
                <w:szCs w:val="20"/>
                <w:color w:val="auto"/>
              </w:rPr>
            </w:pPr>
            <w:r>
              <w:rPr>
                <w:rFonts w:ascii="Arial" w:cs="Arial" w:eastAsia="Arial" w:hAnsi="Arial"/>
                <w:sz w:val="20"/>
                <w:szCs w:val="20"/>
                <w:color w:val="333333"/>
              </w:rPr>
              <w:t>$</w:t>
            </w:r>
          </w:p>
        </w:tc>
        <w:tc>
          <w:tcPr>
            <w:tcW w:w="960" w:type="dxa"/>
            <w:vAlign w:val="bottom"/>
          </w:tcPr>
          <w:p>
            <w:pPr>
              <w:jc w:val="right"/>
              <w:ind w:right="119"/>
              <w:spacing w:after="0" w:line="200" w:lineRule="exact"/>
              <w:rPr>
                <w:sz w:val="20"/>
                <w:szCs w:val="20"/>
                <w:color w:val="auto"/>
              </w:rPr>
            </w:pPr>
            <w:r>
              <w:rPr>
                <w:rFonts w:ascii="Arial" w:cs="Arial" w:eastAsia="Arial" w:hAnsi="Arial"/>
                <w:sz w:val="20"/>
                <w:szCs w:val="20"/>
                <w:color w:val="333333"/>
              </w:rPr>
              <w:t>625</w:t>
            </w:r>
          </w:p>
        </w:tc>
        <w:tc>
          <w:tcPr>
            <w:tcW w:w="740" w:type="dxa"/>
            <w:vAlign w:val="bottom"/>
          </w:tcPr>
          <w:p>
            <w:pPr>
              <w:jc w:val="right"/>
              <w:ind w:right="199"/>
              <w:spacing w:after="0" w:line="200" w:lineRule="exact"/>
              <w:rPr>
                <w:sz w:val="20"/>
                <w:szCs w:val="20"/>
                <w:color w:val="auto"/>
              </w:rPr>
            </w:pPr>
            <w:r>
              <w:rPr>
                <w:rFonts w:ascii="Arial" w:cs="Arial" w:eastAsia="Arial" w:hAnsi="Arial"/>
                <w:sz w:val="20"/>
                <w:szCs w:val="20"/>
                <w:color w:val="333333"/>
              </w:rPr>
              <w:t>$</w:t>
            </w:r>
          </w:p>
        </w:tc>
        <w:tc>
          <w:tcPr>
            <w:tcW w:w="1060" w:type="dxa"/>
            <w:vAlign w:val="bottom"/>
          </w:tcPr>
          <w:p>
            <w:pPr>
              <w:jc w:val="right"/>
              <w:ind w:right="200"/>
              <w:spacing w:after="0" w:line="200" w:lineRule="exact"/>
              <w:rPr>
                <w:sz w:val="20"/>
                <w:szCs w:val="20"/>
                <w:color w:val="auto"/>
              </w:rPr>
            </w:pPr>
            <w:r>
              <w:rPr>
                <w:rFonts w:ascii="Arial" w:cs="Arial" w:eastAsia="Arial" w:hAnsi="Arial"/>
                <w:sz w:val="20"/>
                <w:szCs w:val="20"/>
                <w:color w:val="333333"/>
              </w:rPr>
              <w:t>1,871</w:t>
            </w:r>
          </w:p>
        </w:tc>
        <w:tc>
          <w:tcPr>
            <w:tcW w:w="0" w:type="dxa"/>
            <w:vAlign w:val="bottom"/>
          </w:tcPr>
          <w:p>
            <w:pPr>
              <w:spacing w:after="0"/>
              <w:rPr>
                <w:sz w:val="1"/>
                <w:szCs w:val="1"/>
                <w:color w:val="auto"/>
              </w:rPr>
            </w:pPr>
          </w:p>
        </w:tc>
      </w:tr>
      <w:tr>
        <w:trPr>
          <w:trHeight w:val="200"/>
        </w:trPr>
        <w:tc>
          <w:tcPr>
            <w:tcW w:w="860" w:type="dxa"/>
            <w:vAlign w:val="bottom"/>
          </w:tcPr>
          <w:p>
            <w:pPr>
              <w:spacing w:after="0"/>
              <w:rPr>
                <w:sz w:val="17"/>
                <w:szCs w:val="17"/>
                <w:color w:val="auto"/>
              </w:rPr>
            </w:pPr>
          </w:p>
        </w:tc>
        <w:tc>
          <w:tcPr>
            <w:tcW w:w="4780" w:type="dxa"/>
            <w:vAlign w:val="bottom"/>
          </w:tcPr>
          <w:p>
            <w:pPr>
              <w:ind w:left="180"/>
              <w:spacing w:after="0" w:line="200" w:lineRule="exact"/>
              <w:rPr>
                <w:sz w:val="20"/>
                <w:szCs w:val="20"/>
                <w:color w:val="auto"/>
              </w:rPr>
            </w:pPr>
            <w:r>
              <w:rPr>
                <w:rFonts w:ascii="Arial" w:cs="Arial" w:eastAsia="Arial" w:hAnsi="Arial"/>
                <w:sz w:val="20"/>
                <w:szCs w:val="20"/>
                <w:color w:val="333333"/>
              </w:rPr>
              <w:t>Net Income Attributable to Noncontrolling Interests</w:t>
            </w:r>
          </w:p>
        </w:tc>
        <w:tc>
          <w:tcPr>
            <w:tcW w:w="700" w:type="dxa"/>
            <w:vAlign w:val="bottom"/>
          </w:tcPr>
          <w:p>
            <w:pPr>
              <w:jc w:val="right"/>
              <w:ind w:right="200"/>
              <w:spacing w:after="0" w:line="200" w:lineRule="exact"/>
              <w:rPr>
                <w:sz w:val="20"/>
                <w:szCs w:val="20"/>
                <w:color w:val="auto"/>
              </w:rPr>
            </w:pPr>
            <w:r>
              <w:rPr>
                <w:rFonts w:ascii="Arial" w:cs="Arial" w:eastAsia="Arial" w:hAnsi="Arial"/>
                <w:sz w:val="20"/>
                <w:szCs w:val="20"/>
                <w:color w:val="333333"/>
              </w:rPr>
              <w:t>$</w:t>
            </w:r>
          </w:p>
        </w:tc>
        <w:tc>
          <w:tcPr>
            <w:tcW w:w="1040" w:type="dxa"/>
            <w:vAlign w:val="bottom"/>
          </w:tcPr>
          <w:p>
            <w:pPr>
              <w:jc w:val="right"/>
              <w:ind w:right="199"/>
              <w:spacing w:after="0" w:line="200" w:lineRule="exact"/>
              <w:rPr>
                <w:sz w:val="20"/>
                <w:szCs w:val="20"/>
                <w:color w:val="auto"/>
              </w:rPr>
            </w:pPr>
            <w:r>
              <w:rPr>
                <w:rFonts w:ascii="Arial" w:cs="Arial" w:eastAsia="Arial" w:hAnsi="Arial"/>
                <w:sz w:val="20"/>
                <w:szCs w:val="20"/>
                <w:color w:val="333333"/>
              </w:rPr>
              <w:t>0</w:t>
            </w:r>
          </w:p>
        </w:tc>
        <w:tc>
          <w:tcPr>
            <w:tcW w:w="680" w:type="dxa"/>
            <w:vAlign w:val="bottom"/>
          </w:tcPr>
          <w:p>
            <w:pPr>
              <w:jc w:val="right"/>
              <w:ind w:right="200"/>
              <w:spacing w:after="0" w:line="200" w:lineRule="exact"/>
              <w:rPr>
                <w:sz w:val="20"/>
                <w:szCs w:val="20"/>
                <w:color w:val="auto"/>
              </w:rPr>
            </w:pPr>
            <w:r>
              <w:rPr>
                <w:rFonts w:ascii="Arial" w:cs="Arial" w:eastAsia="Arial" w:hAnsi="Arial"/>
                <w:sz w:val="20"/>
                <w:szCs w:val="20"/>
                <w:color w:val="333333"/>
              </w:rPr>
              <w:t>$</w:t>
            </w:r>
          </w:p>
        </w:tc>
        <w:tc>
          <w:tcPr>
            <w:tcW w:w="960" w:type="dxa"/>
            <w:vAlign w:val="bottom"/>
          </w:tcPr>
          <w:p>
            <w:pPr>
              <w:jc w:val="right"/>
              <w:ind w:right="119"/>
              <w:spacing w:after="0" w:line="200" w:lineRule="exact"/>
              <w:rPr>
                <w:sz w:val="20"/>
                <w:szCs w:val="20"/>
                <w:color w:val="auto"/>
              </w:rPr>
            </w:pPr>
            <w:r>
              <w:rPr>
                <w:rFonts w:ascii="Arial" w:cs="Arial" w:eastAsia="Arial" w:hAnsi="Arial"/>
                <w:sz w:val="20"/>
                <w:szCs w:val="20"/>
                <w:color w:val="333333"/>
              </w:rPr>
              <w:t>13</w:t>
            </w:r>
          </w:p>
        </w:tc>
        <w:tc>
          <w:tcPr>
            <w:tcW w:w="740" w:type="dxa"/>
            <w:vAlign w:val="bottom"/>
          </w:tcPr>
          <w:p>
            <w:pPr>
              <w:jc w:val="right"/>
              <w:ind w:right="199"/>
              <w:spacing w:after="0" w:line="200" w:lineRule="exact"/>
              <w:rPr>
                <w:sz w:val="20"/>
                <w:szCs w:val="20"/>
                <w:color w:val="auto"/>
              </w:rPr>
            </w:pPr>
            <w:r>
              <w:rPr>
                <w:rFonts w:ascii="Arial" w:cs="Arial" w:eastAsia="Arial" w:hAnsi="Arial"/>
                <w:sz w:val="20"/>
                <w:szCs w:val="20"/>
                <w:color w:val="333333"/>
              </w:rPr>
              <w:t>$</w:t>
            </w:r>
          </w:p>
        </w:tc>
        <w:tc>
          <w:tcPr>
            <w:tcW w:w="1060" w:type="dxa"/>
            <w:vAlign w:val="bottom"/>
          </w:tcPr>
          <w:p>
            <w:pPr>
              <w:jc w:val="right"/>
              <w:ind w:right="200"/>
              <w:spacing w:after="0" w:line="200" w:lineRule="exact"/>
              <w:rPr>
                <w:sz w:val="20"/>
                <w:szCs w:val="20"/>
                <w:color w:val="auto"/>
              </w:rPr>
            </w:pPr>
            <w:r>
              <w:rPr>
                <w:rFonts w:ascii="Arial" w:cs="Arial" w:eastAsia="Arial" w:hAnsi="Arial"/>
                <w:sz w:val="20"/>
                <w:szCs w:val="20"/>
                <w:color w:val="333333"/>
              </w:rPr>
              <w:t>105</w:t>
            </w:r>
          </w:p>
        </w:tc>
        <w:tc>
          <w:tcPr>
            <w:tcW w:w="0" w:type="dxa"/>
            <w:vAlign w:val="bottom"/>
          </w:tcPr>
          <w:p>
            <w:pPr>
              <w:spacing w:after="0"/>
              <w:rPr>
                <w:sz w:val="1"/>
                <w:szCs w:val="1"/>
                <w:color w:val="auto"/>
              </w:rPr>
            </w:pPr>
          </w:p>
        </w:tc>
      </w:tr>
      <w:tr>
        <w:trPr>
          <w:trHeight w:val="200"/>
        </w:trPr>
        <w:tc>
          <w:tcPr>
            <w:tcW w:w="860" w:type="dxa"/>
            <w:vAlign w:val="bottom"/>
          </w:tcPr>
          <w:p>
            <w:pPr>
              <w:spacing w:after="0"/>
              <w:rPr>
                <w:sz w:val="17"/>
                <w:szCs w:val="17"/>
                <w:color w:val="auto"/>
              </w:rPr>
            </w:pPr>
          </w:p>
        </w:tc>
        <w:tc>
          <w:tcPr>
            <w:tcW w:w="4780" w:type="dxa"/>
            <w:vAlign w:val="bottom"/>
          </w:tcPr>
          <w:p>
            <w:pPr>
              <w:ind w:left="180"/>
              <w:spacing w:after="0" w:line="200" w:lineRule="exact"/>
              <w:rPr>
                <w:sz w:val="20"/>
                <w:szCs w:val="20"/>
                <w:color w:val="auto"/>
              </w:rPr>
            </w:pPr>
            <w:r>
              <w:rPr>
                <w:rFonts w:ascii="Arial" w:cs="Arial" w:eastAsia="Arial" w:hAnsi="Arial"/>
                <w:sz w:val="20"/>
                <w:szCs w:val="20"/>
                <w:color w:val="333333"/>
              </w:rPr>
              <w:t>Net Income (Loss) Attributable to Common Stock</w:t>
            </w:r>
          </w:p>
        </w:tc>
        <w:tc>
          <w:tcPr>
            <w:tcW w:w="700" w:type="dxa"/>
            <w:vAlign w:val="bottom"/>
          </w:tcPr>
          <w:p>
            <w:pPr>
              <w:jc w:val="right"/>
              <w:ind w:right="200"/>
              <w:spacing w:after="0" w:line="200" w:lineRule="exact"/>
              <w:rPr>
                <w:sz w:val="20"/>
                <w:szCs w:val="20"/>
                <w:color w:val="auto"/>
              </w:rPr>
            </w:pPr>
            <w:r>
              <w:rPr>
                <w:rFonts w:ascii="Arial" w:cs="Arial" w:eastAsia="Arial" w:hAnsi="Arial"/>
                <w:sz w:val="20"/>
                <w:szCs w:val="20"/>
                <w:color w:val="333333"/>
              </w:rPr>
              <w:t>$</w:t>
            </w:r>
          </w:p>
        </w:tc>
        <w:tc>
          <w:tcPr>
            <w:tcW w:w="1040" w:type="dxa"/>
            <w:vAlign w:val="bottom"/>
          </w:tcPr>
          <w:p>
            <w:pPr>
              <w:jc w:val="right"/>
              <w:ind w:right="199"/>
              <w:spacing w:after="0" w:line="200" w:lineRule="exact"/>
              <w:rPr>
                <w:sz w:val="20"/>
                <w:szCs w:val="20"/>
                <w:color w:val="auto"/>
              </w:rPr>
            </w:pPr>
            <w:r>
              <w:rPr>
                <w:rFonts w:ascii="Arial" w:cs="Arial" w:eastAsia="Arial" w:hAnsi="Arial"/>
                <w:sz w:val="20"/>
                <w:szCs w:val="20"/>
                <w:color w:val="333333"/>
              </w:rPr>
              <w:t>524</w:t>
            </w:r>
          </w:p>
        </w:tc>
        <w:tc>
          <w:tcPr>
            <w:tcW w:w="680" w:type="dxa"/>
            <w:vAlign w:val="bottom"/>
          </w:tcPr>
          <w:p>
            <w:pPr>
              <w:jc w:val="right"/>
              <w:ind w:right="200"/>
              <w:spacing w:after="0" w:line="200" w:lineRule="exact"/>
              <w:rPr>
                <w:sz w:val="20"/>
                <w:szCs w:val="20"/>
                <w:color w:val="auto"/>
              </w:rPr>
            </w:pPr>
            <w:r>
              <w:rPr>
                <w:rFonts w:ascii="Arial" w:cs="Arial" w:eastAsia="Arial" w:hAnsi="Arial"/>
                <w:sz w:val="20"/>
                <w:szCs w:val="20"/>
                <w:color w:val="333333"/>
              </w:rPr>
              <w:t>$</w:t>
            </w:r>
          </w:p>
        </w:tc>
        <w:tc>
          <w:tcPr>
            <w:tcW w:w="960" w:type="dxa"/>
            <w:vAlign w:val="bottom"/>
          </w:tcPr>
          <w:p>
            <w:pPr>
              <w:jc w:val="right"/>
              <w:ind w:right="119"/>
              <w:spacing w:after="0" w:line="200" w:lineRule="exact"/>
              <w:rPr>
                <w:sz w:val="20"/>
                <w:szCs w:val="20"/>
                <w:color w:val="auto"/>
              </w:rPr>
            </w:pPr>
            <w:r>
              <w:rPr>
                <w:rFonts w:ascii="Arial" w:cs="Arial" w:eastAsia="Arial" w:hAnsi="Arial"/>
                <w:sz w:val="20"/>
                <w:szCs w:val="20"/>
                <w:color w:val="333333"/>
              </w:rPr>
              <w:t>612</w:t>
            </w:r>
          </w:p>
        </w:tc>
        <w:tc>
          <w:tcPr>
            <w:tcW w:w="740" w:type="dxa"/>
            <w:vAlign w:val="bottom"/>
          </w:tcPr>
          <w:p>
            <w:pPr>
              <w:jc w:val="right"/>
              <w:ind w:right="199"/>
              <w:spacing w:after="0" w:line="200" w:lineRule="exact"/>
              <w:rPr>
                <w:sz w:val="20"/>
                <w:szCs w:val="20"/>
                <w:color w:val="auto"/>
              </w:rPr>
            </w:pPr>
            <w:r>
              <w:rPr>
                <w:rFonts w:ascii="Arial" w:cs="Arial" w:eastAsia="Arial" w:hAnsi="Arial"/>
                <w:sz w:val="20"/>
                <w:szCs w:val="20"/>
                <w:color w:val="333333"/>
              </w:rPr>
              <w:t>$</w:t>
            </w:r>
          </w:p>
        </w:tc>
        <w:tc>
          <w:tcPr>
            <w:tcW w:w="1060" w:type="dxa"/>
            <w:vAlign w:val="bottom"/>
          </w:tcPr>
          <w:p>
            <w:pPr>
              <w:jc w:val="right"/>
              <w:ind w:right="200"/>
              <w:spacing w:after="0" w:line="200" w:lineRule="exact"/>
              <w:rPr>
                <w:sz w:val="20"/>
                <w:szCs w:val="20"/>
                <w:color w:val="auto"/>
              </w:rPr>
            </w:pPr>
            <w:r>
              <w:rPr>
                <w:rFonts w:ascii="Arial" w:cs="Arial" w:eastAsia="Arial" w:hAnsi="Arial"/>
                <w:sz w:val="20"/>
                <w:szCs w:val="20"/>
                <w:color w:val="333333"/>
              </w:rPr>
              <w:t>1,766</w:t>
            </w:r>
          </w:p>
        </w:tc>
        <w:tc>
          <w:tcPr>
            <w:tcW w:w="0" w:type="dxa"/>
            <w:vAlign w:val="bottom"/>
          </w:tcPr>
          <w:p>
            <w:pPr>
              <w:spacing w:after="0"/>
              <w:rPr>
                <w:sz w:val="1"/>
                <w:szCs w:val="1"/>
                <w:color w:val="auto"/>
              </w:rPr>
            </w:pPr>
          </w:p>
        </w:tc>
      </w:tr>
      <w:tr>
        <w:trPr>
          <w:trHeight w:val="270"/>
        </w:trPr>
        <w:tc>
          <w:tcPr>
            <w:tcW w:w="860" w:type="dxa"/>
            <w:vAlign w:val="bottom"/>
          </w:tcPr>
          <w:p>
            <w:pPr>
              <w:spacing w:after="0"/>
              <w:rPr>
                <w:sz w:val="23"/>
                <w:szCs w:val="23"/>
                <w:color w:val="auto"/>
              </w:rPr>
            </w:pPr>
          </w:p>
        </w:tc>
        <w:tc>
          <w:tcPr>
            <w:tcW w:w="4780" w:type="dxa"/>
            <w:vAlign w:val="bottom"/>
          </w:tcPr>
          <w:p>
            <w:pPr>
              <w:ind w:left="180"/>
              <w:spacing w:after="0"/>
              <w:rPr>
                <w:sz w:val="20"/>
                <w:szCs w:val="20"/>
                <w:color w:val="auto"/>
              </w:rPr>
            </w:pPr>
            <w:r>
              <w:rPr>
                <w:rFonts w:ascii="Arial" w:cs="Arial" w:eastAsia="Arial" w:hAnsi="Arial"/>
                <w:sz w:val="20"/>
                <w:szCs w:val="20"/>
                <w:color w:val="333333"/>
                <w:w w:val="85"/>
              </w:rPr>
              <w:t>Adjusted Net Income (Loss) Attributable to Common Stock</w:t>
            </w:r>
            <w:r>
              <w:rPr>
                <w:rFonts w:ascii="Arial" w:cs="Arial" w:eastAsia="Arial" w:hAnsi="Arial"/>
                <w:sz w:val="23"/>
                <w:szCs w:val="23"/>
                <w:color w:val="333333"/>
                <w:w w:val="85"/>
                <w:vertAlign w:val="superscript"/>
              </w:rPr>
              <w:t>(a)</w:t>
            </w:r>
          </w:p>
        </w:tc>
        <w:tc>
          <w:tcPr>
            <w:tcW w:w="700" w:type="dxa"/>
            <w:vAlign w:val="bottom"/>
          </w:tcPr>
          <w:p>
            <w:pPr>
              <w:jc w:val="right"/>
              <w:ind w:right="200"/>
              <w:spacing w:after="0"/>
              <w:rPr>
                <w:sz w:val="20"/>
                <w:szCs w:val="20"/>
                <w:color w:val="auto"/>
              </w:rPr>
            </w:pPr>
            <w:r>
              <w:rPr>
                <w:rFonts w:ascii="Arial" w:cs="Arial" w:eastAsia="Arial" w:hAnsi="Arial"/>
                <w:sz w:val="20"/>
                <w:szCs w:val="20"/>
                <w:color w:val="333333"/>
              </w:rPr>
              <w:t>$</w:t>
            </w:r>
          </w:p>
        </w:tc>
        <w:tc>
          <w:tcPr>
            <w:tcW w:w="1040" w:type="dxa"/>
            <w:vAlign w:val="bottom"/>
          </w:tcPr>
          <w:p>
            <w:pPr>
              <w:jc w:val="right"/>
              <w:ind w:right="199"/>
              <w:spacing w:after="0"/>
              <w:rPr>
                <w:sz w:val="20"/>
                <w:szCs w:val="20"/>
                <w:color w:val="auto"/>
              </w:rPr>
            </w:pPr>
            <w:r>
              <w:rPr>
                <w:rFonts w:ascii="Arial" w:cs="Arial" w:eastAsia="Arial" w:hAnsi="Arial"/>
                <w:sz w:val="20"/>
                <w:szCs w:val="20"/>
                <w:color w:val="333333"/>
              </w:rPr>
              <w:t>384</w:t>
            </w:r>
          </w:p>
        </w:tc>
        <w:tc>
          <w:tcPr>
            <w:tcW w:w="680" w:type="dxa"/>
            <w:vAlign w:val="bottom"/>
          </w:tcPr>
          <w:p>
            <w:pPr>
              <w:jc w:val="right"/>
              <w:ind w:right="200"/>
              <w:spacing w:after="0"/>
              <w:rPr>
                <w:sz w:val="20"/>
                <w:szCs w:val="20"/>
                <w:color w:val="auto"/>
              </w:rPr>
            </w:pPr>
            <w:r>
              <w:rPr>
                <w:rFonts w:ascii="Arial" w:cs="Arial" w:eastAsia="Arial" w:hAnsi="Arial"/>
                <w:sz w:val="20"/>
                <w:szCs w:val="20"/>
                <w:color w:val="333333"/>
              </w:rPr>
              <w:t>$</w:t>
            </w:r>
          </w:p>
        </w:tc>
        <w:tc>
          <w:tcPr>
            <w:tcW w:w="960" w:type="dxa"/>
            <w:vAlign w:val="bottom"/>
          </w:tcPr>
          <w:p>
            <w:pPr>
              <w:jc w:val="right"/>
              <w:ind w:right="119"/>
              <w:spacing w:after="0"/>
              <w:rPr>
                <w:sz w:val="20"/>
                <w:szCs w:val="20"/>
                <w:color w:val="auto"/>
              </w:rPr>
            </w:pPr>
            <w:r>
              <w:rPr>
                <w:rFonts w:ascii="Arial" w:cs="Arial" w:eastAsia="Arial" w:hAnsi="Arial"/>
                <w:sz w:val="20"/>
                <w:szCs w:val="20"/>
                <w:color w:val="333333"/>
              </w:rPr>
              <w:t>506</w:t>
            </w:r>
          </w:p>
        </w:tc>
        <w:tc>
          <w:tcPr>
            <w:tcW w:w="740" w:type="dxa"/>
            <w:vAlign w:val="bottom"/>
          </w:tcPr>
          <w:p>
            <w:pPr>
              <w:jc w:val="right"/>
              <w:ind w:right="199"/>
              <w:spacing w:after="0"/>
              <w:rPr>
                <w:sz w:val="20"/>
                <w:szCs w:val="20"/>
                <w:color w:val="auto"/>
              </w:rPr>
            </w:pPr>
            <w:r>
              <w:rPr>
                <w:rFonts w:ascii="Arial" w:cs="Arial" w:eastAsia="Arial" w:hAnsi="Arial"/>
                <w:sz w:val="20"/>
                <w:szCs w:val="20"/>
                <w:color w:val="333333"/>
              </w:rPr>
              <w:t>$</w:t>
            </w:r>
          </w:p>
        </w:tc>
        <w:tc>
          <w:tcPr>
            <w:tcW w:w="1060" w:type="dxa"/>
            <w:vAlign w:val="bottom"/>
          </w:tcPr>
          <w:p>
            <w:pPr>
              <w:jc w:val="right"/>
              <w:ind w:right="200"/>
              <w:spacing w:after="0"/>
              <w:rPr>
                <w:sz w:val="20"/>
                <w:szCs w:val="20"/>
                <w:color w:val="auto"/>
              </w:rPr>
            </w:pPr>
            <w:r>
              <w:rPr>
                <w:rFonts w:ascii="Arial" w:cs="Arial" w:eastAsia="Arial" w:hAnsi="Arial"/>
                <w:sz w:val="20"/>
                <w:szCs w:val="20"/>
                <w:color w:val="333333"/>
              </w:rPr>
              <w:t>(257)</w:t>
            </w:r>
          </w:p>
        </w:tc>
        <w:tc>
          <w:tcPr>
            <w:tcW w:w="0" w:type="dxa"/>
            <w:vAlign w:val="bottom"/>
          </w:tcPr>
          <w:p>
            <w:pPr>
              <w:spacing w:after="0"/>
              <w:rPr>
                <w:sz w:val="1"/>
                <w:szCs w:val="1"/>
                <w:color w:val="auto"/>
              </w:rPr>
            </w:pPr>
          </w:p>
        </w:tc>
      </w:tr>
      <w:tr>
        <w:trPr>
          <w:trHeight w:val="278"/>
        </w:trPr>
        <w:tc>
          <w:tcPr>
            <w:tcW w:w="860" w:type="dxa"/>
            <w:vAlign w:val="bottom"/>
          </w:tcPr>
          <w:p>
            <w:pPr>
              <w:spacing w:after="0"/>
              <w:rPr>
                <w:sz w:val="24"/>
                <w:szCs w:val="24"/>
                <w:color w:val="auto"/>
              </w:rPr>
            </w:pPr>
          </w:p>
        </w:tc>
        <w:tc>
          <w:tcPr>
            <w:tcW w:w="4780" w:type="dxa"/>
            <w:vAlign w:val="bottom"/>
          </w:tcPr>
          <w:p>
            <w:pPr>
              <w:ind w:left="180"/>
              <w:spacing w:after="0"/>
              <w:rPr>
                <w:sz w:val="20"/>
                <w:szCs w:val="20"/>
                <w:color w:val="auto"/>
              </w:rPr>
            </w:pPr>
            <w:r>
              <w:rPr>
                <w:rFonts w:ascii="Arial" w:cs="Arial" w:eastAsia="Arial" w:hAnsi="Arial"/>
                <w:sz w:val="20"/>
                <w:szCs w:val="20"/>
                <w:color w:val="333333"/>
              </w:rPr>
              <w:t>Net Income (Loss) Attributable to Common</w:t>
            </w: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vMerge w:val="restart"/>
          </w:tcPr>
          <w:p>
            <w:pPr>
              <w:jc w:val="right"/>
              <w:ind w:right="200"/>
              <w:spacing w:after="0"/>
              <w:rPr>
                <w:sz w:val="20"/>
                <w:szCs w:val="20"/>
                <w:color w:val="auto"/>
              </w:rPr>
            </w:pPr>
            <w:r>
              <w:rPr>
                <w:rFonts w:ascii="Arial" w:cs="Arial" w:eastAsia="Arial" w:hAnsi="Arial"/>
                <w:sz w:val="20"/>
                <w:szCs w:val="20"/>
                <w:color w:val="333333"/>
              </w:rPr>
              <w:t>—</w:t>
            </w:r>
          </w:p>
        </w:tc>
        <w:tc>
          <w:tcPr>
            <w:tcW w:w="0" w:type="dxa"/>
            <w:vAlign w:val="bottom"/>
          </w:tcPr>
          <w:p>
            <w:pPr>
              <w:spacing w:after="0"/>
              <w:rPr>
                <w:sz w:val="1"/>
                <w:szCs w:val="1"/>
                <w:color w:val="auto"/>
              </w:rPr>
            </w:pPr>
          </w:p>
        </w:tc>
      </w:tr>
      <w:tr>
        <w:trPr>
          <w:trHeight w:val="213"/>
        </w:trPr>
        <w:tc>
          <w:tcPr>
            <w:tcW w:w="860" w:type="dxa"/>
            <w:vAlign w:val="bottom"/>
          </w:tcPr>
          <w:p>
            <w:pPr>
              <w:spacing w:after="0"/>
              <w:rPr>
                <w:sz w:val="18"/>
                <w:szCs w:val="18"/>
                <w:color w:val="auto"/>
              </w:rPr>
            </w:pPr>
          </w:p>
        </w:tc>
        <w:tc>
          <w:tcPr>
            <w:tcW w:w="4780" w:type="dxa"/>
            <w:vAlign w:val="bottom"/>
          </w:tcPr>
          <w:p>
            <w:pPr>
              <w:ind w:left="180"/>
              <w:spacing w:after="0" w:line="212" w:lineRule="exact"/>
              <w:rPr>
                <w:sz w:val="20"/>
                <w:szCs w:val="20"/>
                <w:color w:val="auto"/>
              </w:rPr>
            </w:pPr>
            <w:r>
              <w:rPr>
                <w:rFonts w:ascii="Arial" w:cs="Arial" w:eastAsia="Arial" w:hAnsi="Arial"/>
                <w:sz w:val="20"/>
                <w:szCs w:val="20"/>
                <w:color w:val="333333"/>
              </w:rPr>
              <w:t>Stock per Share – Diluted</w:t>
            </w:r>
          </w:p>
        </w:tc>
        <w:tc>
          <w:tcPr>
            <w:tcW w:w="700" w:type="dxa"/>
            <w:vAlign w:val="bottom"/>
          </w:tcPr>
          <w:p>
            <w:pPr>
              <w:jc w:val="right"/>
              <w:ind w:right="200"/>
              <w:spacing w:after="0" w:line="212" w:lineRule="exact"/>
              <w:rPr>
                <w:sz w:val="20"/>
                <w:szCs w:val="20"/>
                <w:color w:val="auto"/>
              </w:rPr>
            </w:pPr>
            <w:r>
              <w:rPr>
                <w:rFonts w:ascii="Arial" w:cs="Arial" w:eastAsia="Arial" w:hAnsi="Arial"/>
                <w:sz w:val="20"/>
                <w:szCs w:val="20"/>
                <w:color w:val="333333"/>
              </w:rPr>
              <w:t>$</w:t>
            </w:r>
          </w:p>
        </w:tc>
        <w:tc>
          <w:tcPr>
            <w:tcW w:w="1040" w:type="dxa"/>
            <w:vAlign w:val="bottom"/>
          </w:tcPr>
          <w:p>
            <w:pPr>
              <w:jc w:val="right"/>
              <w:ind w:right="199"/>
              <w:spacing w:after="0" w:line="212" w:lineRule="exact"/>
              <w:rPr>
                <w:sz w:val="20"/>
                <w:szCs w:val="20"/>
                <w:color w:val="auto"/>
              </w:rPr>
            </w:pPr>
            <w:r>
              <w:rPr>
                <w:rFonts w:ascii="Arial" w:cs="Arial" w:eastAsia="Arial" w:hAnsi="Arial"/>
                <w:sz w:val="20"/>
                <w:szCs w:val="20"/>
                <w:color w:val="333333"/>
              </w:rPr>
              <w:t>6.75</w:t>
            </w:r>
          </w:p>
        </w:tc>
        <w:tc>
          <w:tcPr>
            <w:tcW w:w="680" w:type="dxa"/>
            <w:vAlign w:val="bottom"/>
          </w:tcPr>
          <w:p>
            <w:pPr>
              <w:jc w:val="right"/>
              <w:ind w:right="200"/>
              <w:spacing w:after="0" w:line="212" w:lineRule="exact"/>
              <w:rPr>
                <w:sz w:val="20"/>
                <w:szCs w:val="20"/>
                <w:color w:val="auto"/>
              </w:rPr>
            </w:pPr>
            <w:r>
              <w:rPr>
                <w:rFonts w:ascii="Arial" w:cs="Arial" w:eastAsia="Arial" w:hAnsi="Arial"/>
                <w:sz w:val="20"/>
                <w:szCs w:val="20"/>
                <w:color w:val="333333"/>
              </w:rPr>
              <w:t>$</w:t>
            </w:r>
          </w:p>
        </w:tc>
        <w:tc>
          <w:tcPr>
            <w:tcW w:w="960" w:type="dxa"/>
            <w:vAlign w:val="bottom"/>
          </w:tcPr>
          <w:p>
            <w:pPr>
              <w:jc w:val="right"/>
              <w:ind w:right="119"/>
              <w:spacing w:after="0" w:line="212" w:lineRule="exact"/>
              <w:rPr>
                <w:sz w:val="20"/>
                <w:szCs w:val="20"/>
                <w:color w:val="auto"/>
              </w:rPr>
            </w:pPr>
            <w:r>
              <w:rPr>
                <w:rFonts w:ascii="Arial" w:cs="Arial" w:eastAsia="Arial" w:hAnsi="Arial"/>
                <w:sz w:val="20"/>
                <w:szCs w:val="20"/>
                <w:color w:val="333333"/>
              </w:rPr>
              <w:t>7.37</w:t>
            </w:r>
          </w:p>
        </w:tc>
        <w:tc>
          <w:tcPr>
            <w:tcW w:w="7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860" w:type="dxa"/>
            <w:vAlign w:val="bottom"/>
          </w:tcPr>
          <w:p>
            <w:pPr>
              <w:spacing w:after="0"/>
              <w:rPr>
                <w:sz w:val="16"/>
                <w:szCs w:val="16"/>
                <w:color w:val="auto"/>
              </w:rPr>
            </w:pPr>
          </w:p>
        </w:tc>
        <w:tc>
          <w:tcPr>
            <w:tcW w:w="4780" w:type="dxa"/>
            <w:vAlign w:val="bottom"/>
          </w:tcPr>
          <w:p>
            <w:pPr>
              <w:ind w:left="180"/>
              <w:spacing w:after="0" w:line="188" w:lineRule="exact"/>
              <w:rPr>
                <w:sz w:val="20"/>
                <w:szCs w:val="20"/>
                <w:color w:val="auto"/>
              </w:rPr>
            </w:pPr>
            <w:r>
              <w:rPr>
                <w:rFonts w:ascii="Arial" w:cs="Arial" w:eastAsia="Arial" w:hAnsi="Arial"/>
                <w:sz w:val="18"/>
                <w:szCs w:val="18"/>
                <w:color w:val="333333"/>
                <w:w w:val="94"/>
              </w:rPr>
              <w:t>Adjusted Net Income (Loss) Attributable to Comman Stock</w:t>
            </w:r>
            <w:r>
              <w:rPr>
                <w:rFonts w:ascii="Arial" w:cs="Arial" w:eastAsia="Arial" w:hAnsi="Arial"/>
                <w:sz w:val="21"/>
                <w:szCs w:val="21"/>
                <w:color w:val="333333"/>
                <w:w w:val="94"/>
                <w:vertAlign w:val="superscript"/>
              </w:rPr>
              <w:t>(a)</w:t>
            </w:r>
          </w:p>
        </w:tc>
        <w:tc>
          <w:tcPr>
            <w:tcW w:w="700" w:type="dxa"/>
            <w:vAlign w:val="bottom"/>
            <w:vMerge w:val="restart"/>
          </w:tcPr>
          <w:p>
            <w:pPr>
              <w:jc w:val="right"/>
              <w:ind w:right="200"/>
              <w:spacing w:after="0"/>
              <w:rPr>
                <w:sz w:val="20"/>
                <w:szCs w:val="20"/>
                <w:color w:val="auto"/>
              </w:rPr>
            </w:pPr>
            <w:r>
              <w:rPr>
                <w:rFonts w:ascii="Arial" w:cs="Arial" w:eastAsia="Arial" w:hAnsi="Arial"/>
                <w:sz w:val="20"/>
                <w:szCs w:val="20"/>
                <w:color w:val="333333"/>
              </w:rPr>
              <w:t>$</w:t>
            </w:r>
          </w:p>
        </w:tc>
        <w:tc>
          <w:tcPr>
            <w:tcW w:w="1040" w:type="dxa"/>
            <w:vAlign w:val="bottom"/>
            <w:vMerge w:val="restart"/>
          </w:tcPr>
          <w:p>
            <w:pPr>
              <w:jc w:val="right"/>
              <w:ind w:right="199"/>
              <w:spacing w:after="0"/>
              <w:rPr>
                <w:sz w:val="20"/>
                <w:szCs w:val="20"/>
                <w:color w:val="auto"/>
              </w:rPr>
            </w:pPr>
            <w:r>
              <w:rPr>
                <w:rFonts w:ascii="Arial" w:cs="Arial" w:eastAsia="Arial" w:hAnsi="Arial"/>
                <w:sz w:val="20"/>
                <w:szCs w:val="20"/>
                <w:color w:val="333333"/>
              </w:rPr>
              <w:t>4.95</w:t>
            </w:r>
          </w:p>
        </w:tc>
        <w:tc>
          <w:tcPr>
            <w:tcW w:w="680" w:type="dxa"/>
            <w:vAlign w:val="bottom"/>
            <w:vMerge w:val="restart"/>
          </w:tcPr>
          <w:p>
            <w:pPr>
              <w:jc w:val="right"/>
              <w:ind w:right="200"/>
              <w:spacing w:after="0"/>
              <w:rPr>
                <w:sz w:val="20"/>
                <w:szCs w:val="20"/>
                <w:color w:val="auto"/>
              </w:rPr>
            </w:pPr>
            <w:r>
              <w:rPr>
                <w:rFonts w:ascii="Arial" w:cs="Arial" w:eastAsia="Arial" w:hAnsi="Arial"/>
                <w:sz w:val="20"/>
                <w:szCs w:val="20"/>
                <w:color w:val="333333"/>
              </w:rPr>
              <w:t>$</w:t>
            </w:r>
          </w:p>
        </w:tc>
        <w:tc>
          <w:tcPr>
            <w:tcW w:w="960" w:type="dxa"/>
            <w:vAlign w:val="bottom"/>
            <w:vMerge w:val="restart"/>
          </w:tcPr>
          <w:p>
            <w:pPr>
              <w:jc w:val="right"/>
              <w:ind w:right="119"/>
              <w:spacing w:after="0"/>
              <w:rPr>
                <w:sz w:val="20"/>
                <w:szCs w:val="20"/>
                <w:color w:val="auto"/>
              </w:rPr>
            </w:pPr>
            <w:r>
              <w:rPr>
                <w:rFonts w:ascii="Arial" w:cs="Arial" w:eastAsia="Arial" w:hAnsi="Arial"/>
                <w:sz w:val="20"/>
                <w:szCs w:val="20"/>
                <w:color w:val="333333"/>
              </w:rPr>
              <w:t>6.10</w:t>
            </w:r>
          </w:p>
        </w:tc>
        <w:tc>
          <w:tcPr>
            <w:tcW w:w="740" w:type="dxa"/>
            <w:vAlign w:val="bottom"/>
          </w:tcPr>
          <w:p>
            <w:pPr>
              <w:spacing w:after="0"/>
              <w:rPr>
                <w:sz w:val="16"/>
                <w:szCs w:val="16"/>
                <w:color w:val="auto"/>
              </w:rPr>
            </w:pPr>
          </w:p>
        </w:tc>
        <w:tc>
          <w:tcPr>
            <w:tcW w:w="1060" w:type="dxa"/>
            <w:vAlign w:val="bottom"/>
            <w:vMerge w:val="restart"/>
          </w:tcPr>
          <w:p>
            <w:pPr>
              <w:jc w:val="right"/>
              <w:ind w:right="200"/>
              <w:spacing w:after="0"/>
              <w:rPr>
                <w:sz w:val="20"/>
                <w:szCs w:val="20"/>
                <w:color w:val="auto"/>
              </w:rPr>
            </w:pPr>
            <w:r>
              <w:rPr>
                <w:rFonts w:ascii="Arial" w:cs="Arial" w:eastAsia="Arial" w:hAnsi="Arial"/>
                <w:sz w:val="20"/>
                <w:szCs w:val="20"/>
                <w:color w:val="333333"/>
              </w:rPr>
              <w:t>—</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4780" w:type="dxa"/>
            <w:vAlign w:val="bottom"/>
            <w:vMerge w:val="restart"/>
          </w:tcPr>
          <w:p>
            <w:pPr>
              <w:ind w:left="180"/>
              <w:spacing w:after="0"/>
              <w:rPr>
                <w:sz w:val="20"/>
                <w:szCs w:val="20"/>
                <w:color w:val="auto"/>
              </w:rPr>
            </w:pPr>
            <w:r>
              <w:rPr>
                <w:rFonts w:ascii="Arial" w:cs="Arial" w:eastAsia="Arial" w:hAnsi="Arial"/>
                <w:sz w:val="20"/>
                <w:szCs w:val="20"/>
                <w:color w:val="333333"/>
              </w:rPr>
              <w:t>per Share – Diluted</w:t>
            </w:r>
          </w:p>
        </w:tc>
        <w:tc>
          <w:tcPr>
            <w:tcW w:w="7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860" w:type="dxa"/>
            <w:vAlign w:val="bottom"/>
          </w:tcPr>
          <w:p>
            <w:pPr>
              <w:spacing w:after="0"/>
              <w:rPr>
                <w:sz w:val="6"/>
                <w:szCs w:val="6"/>
                <w:color w:val="auto"/>
              </w:rPr>
            </w:pPr>
          </w:p>
        </w:tc>
        <w:tc>
          <w:tcPr>
            <w:tcW w:w="47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2"/>
        </w:trPr>
        <w:tc>
          <w:tcPr>
            <w:tcW w:w="860" w:type="dxa"/>
            <w:vAlign w:val="bottom"/>
          </w:tcPr>
          <w:p>
            <w:pPr>
              <w:spacing w:after="0"/>
              <w:rPr>
                <w:sz w:val="24"/>
                <w:szCs w:val="24"/>
                <w:color w:val="auto"/>
              </w:rPr>
            </w:pPr>
          </w:p>
        </w:tc>
        <w:tc>
          <w:tcPr>
            <w:tcW w:w="4780" w:type="dxa"/>
            <w:vAlign w:val="bottom"/>
          </w:tcPr>
          <w:p>
            <w:pPr>
              <w:ind w:left="180"/>
              <w:spacing w:after="0"/>
              <w:rPr>
                <w:sz w:val="20"/>
                <w:szCs w:val="20"/>
                <w:color w:val="auto"/>
              </w:rPr>
            </w:pPr>
            <w:r>
              <w:rPr>
                <w:rFonts w:ascii="Arial" w:cs="Arial" w:eastAsia="Arial" w:hAnsi="Arial"/>
                <w:sz w:val="20"/>
                <w:szCs w:val="20"/>
                <w:color w:val="333333"/>
              </w:rPr>
              <w:t>Net Cash Provided by Operating Activities</w:t>
            </w:r>
          </w:p>
        </w:tc>
        <w:tc>
          <w:tcPr>
            <w:tcW w:w="700" w:type="dxa"/>
            <w:vAlign w:val="bottom"/>
          </w:tcPr>
          <w:p>
            <w:pPr>
              <w:jc w:val="right"/>
              <w:ind w:right="200"/>
              <w:spacing w:after="0"/>
              <w:rPr>
                <w:sz w:val="20"/>
                <w:szCs w:val="20"/>
                <w:color w:val="auto"/>
              </w:rPr>
            </w:pPr>
            <w:r>
              <w:rPr>
                <w:rFonts w:ascii="Arial" w:cs="Arial" w:eastAsia="Arial" w:hAnsi="Arial"/>
                <w:sz w:val="20"/>
                <w:szCs w:val="20"/>
                <w:color w:val="333333"/>
              </w:rPr>
              <w:t>$</w:t>
            </w:r>
          </w:p>
        </w:tc>
        <w:tc>
          <w:tcPr>
            <w:tcW w:w="1040" w:type="dxa"/>
            <w:vAlign w:val="bottom"/>
          </w:tcPr>
          <w:p>
            <w:pPr>
              <w:jc w:val="right"/>
              <w:ind w:right="199"/>
              <w:spacing w:after="0"/>
              <w:rPr>
                <w:sz w:val="20"/>
                <w:szCs w:val="20"/>
                <w:color w:val="auto"/>
              </w:rPr>
            </w:pPr>
            <w:r>
              <w:rPr>
                <w:rFonts w:ascii="Arial" w:cs="Arial" w:eastAsia="Arial" w:hAnsi="Arial"/>
                <w:sz w:val="20"/>
                <w:szCs w:val="20"/>
                <w:color w:val="333333"/>
              </w:rPr>
              <w:t>690</w:t>
            </w:r>
          </w:p>
        </w:tc>
        <w:tc>
          <w:tcPr>
            <w:tcW w:w="680" w:type="dxa"/>
            <w:vAlign w:val="bottom"/>
          </w:tcPr>
          <w:p>
            <w:pPr>
              <w:jc w:val="right"/>
              <w:ind w:right="200"/>
              <w:spacing w:after="0"/>
              <w:rPr>
                <w:sz w:val="20"/>
                <w:szCs w:val="20"/>
                <w:color w:val="auto"/>
              </w:rPr>
            </w:pPr>
            <w:r>
              <w:rPr>
                <w:rFonts w:ascii="Arial" w:cs="Arial" w:eastAsia="Arial" w:hAnsi="Arial"/>
                <w:sz w:val="20"/>
                <w:szCs w:val="20"/>
                <w:color w:val="333333"/>
              </w:rPr>
              <w:t>$</w:t>
            </w:r>
          </w:p>
        </w:tc>
        <w:tc>
          <w:tcPr>
            <w:tcW w:w="960" w:type="dxa"/>
            <w:vAlign w:val="bottom"/>
          </w:tcPr>
          <w:p>
            <w:pPr>
              <w:jc w:val="right"/>
              <w:ind w:right="119"/>
              <w:spacing w:after="0"/>
              <w:rPr>
                <w:sz w:val="20"/>
                <w:szCs w:val="20"/>
                <w:color w:val="auto"/>
              </w:rPr>
            </w:pPr>
            <w:r>
              <w:rPr>
                <w:rFonts w:ascii="Arial" w:cs="Arial" w:eastAsia="Arial" w:hAnsi="Arial"/>
                <w:sz w:val="20"/>
                <w:szCs w:val="20"/>
                <w:color w:val="333333"/>
              </w:rPr>
              <w:t>660</w:t>
            </w:r>
          </w:p>
        </w:tc>
        <w:tc>
          <w:tcPr>
            <w:tcW w:w="740" w:type="dxa"/>
            <w:vAlign w:val="bottom"/>
          </w:tcPr>
          <w:p>
            <w:pPr>
              <w:jc w:val="right"/>
              <w:ind w:right="199"/>
              <w:spacing w:after="0"/>
              <w:rPr>
                <w:sz w:val="20"/>
                <w:szCs w:val="20"/>
                <w:color w:val="auto"/>
              </w:rPr>
            </w:pPr>
            <w:r>
              <w:rPr>
                <w:rFonts w:ascii="Arial" w:cs="Arial" w:eastAsia="Arial" w:hAnsi="Arial"/>
                <w:sz w:val="20"/>
                <w:szCs w:val="20"/>
                <w:color w:val="333333"/>
              </w:rPr>
              <w:t>$</w:t>
            </w:r>
          </w:p>
        </w:tc>
        <w:tc>
          <w:tcPr>
            <w:tcW w:w="1060" w:type="dxa"/>
            <w:vAlign w:val="bottom"/>
          </w:tcPr>
          <w:p>
            <w:pPr>
              <w:jc w:val="right"/>
              <w:ind w:right="200"/>
              <w:spacing w:after="0"/>
              <w:rPr>
                <w:sz w:val="20"/>
                <w:szCs w:val="20"/>
                <w:color w:val="auto"/>
              </w:rPr>
            </w:pPr>
            <w:r>
              <w:rPr>
                <w:rFonts w:ascii="Arial" w:cs="Arial" w:eastAsia="Arial" w:hAnsi="Arial"/>
                <w:sz w:val="20"/>
                <w:szCs w:val="20"/>
                <w:color w:val="333333"/>
              </w:rPr>
              <w:t>106</w:t>
            </w:r>
          </w:p>
        </w:tc>
        <w:tc>
          <w:tcPr>
            <w:tcW w:w="0" w:type="dxa"/>
            <w:vAlign w:val="bottom"/>
          </w:tcPr>
          <w:p>
            <w:pPr>
              <w:spacing w:after="0"/>
              <w:rPr>
                <w:sz w:val="1"/>
                <w:szCs w:val="1"/>
                <w:color w:val="auto"/>
              </w:rPr>
            </w:pPr>
          </w:p>
        </w:tc>
      </w:tr>
      <w:tr>
        <w:trPr>
          <w:trHeight w:val="200"/>
        </w:trPr>
        <w:tc>
          <w:tcPr>
            <w:tcW w:w="860" w:type="dxa"/>
            <w:vAlign w:val="bottom"/>
          </w:tcPr>
          <w:p>
            <w:pPr>
              <w:spacing w:after="0"/>
              <w:rPr>
                <w:sz w:val="17"/>
                <w:szCs w:val="17"/>
                <w:color w:val="auto"/>
              </w:rPr>
            </w:pPr>
          </w:p>
        </w:tc>
        <w:tc>
          <w:tcPr>
            <w:tcW w:w="4780" w:type="dxa"/>
            <w:vAlign w:val="bottom"/>
          </w:tcPr>
          <w:p>
            <w:pPr>
              <w:ind w:left="180"/>
              <w:spacing w:after="0" w:line="200" w:lineRule="exact"/>
              <w:rPr>
                <w:sz w:val="20"/>
                <w:szCs w:val="20"/>
                <w:color w:val="auto"/>
              </w:rPr>
            </w:pPr>
            <w:r>
              <w:rPr>
                <w:rFonts w:ascii="Arial" w:cs="Arial" w:eastAsia="Arial" w:hAnsi="Arial"/>
                <w:sz w:val="20"/>
                <w:szCs w:val="20"/>
                <w:color w:val="333333"/>
              </w:rPr>
              <w:t>Capital Investments</w:t>
            </w:r>
          </w:p>
        </w:tc>
        <w:tc>
          <w:tcPr>
            <w:tcW w:w="700" w:type="dxa"/>
            <w:vAlign w:val="bottom"/>
          </w:tcPr>
          <w:p>
            <w:pPr>
              <w:jc w:val="right"/>
              <w:ind w:right="200"/>
              <w:spacing w:after="0" w:line="200" w:lineRule="exact"/>
              <w:rPr>
                <w:sz w:val="20"/>
                <w:szCs w:val="20"/>
                <w:color w:val="auto"/>
              </w:rPr>
            </w:pPr>
            <w:r>
              <w:rPr>
                <w:rFonts w:ascii="Arial" w:cs="Arial" w:eastAsia="Arial" w:hAnsi="Arial"/>
                <w:sz w:val="20"/>
                <w:szCs w:val="20"/>
                <w:color w:val="333333"/>
              </w:rPr>
              <w:t>$</w:t>
            </w:r>
          </w:p>
        </w:tc>
        <w:tc>
          <w:tcPr>
            <w:tcW w:w="1040" w:type="dxa"/>
            <w:vAlign w:val="bottom"/>
          </w:tcPr>
          <w:p>
            <w:pPr>
              <w:jc w:val="right"/>
              <w:ind w:right="199"/>
              <w:spacing w:after="0" w:line="200" w:lineRule="exact"/>
              <w:rPr>
                <w:sz w:val="20"/>
                <w:szCs w:val="20"/>
                <w:color w:val="auto"/>
              </w:rPr>
            </w:pPr>
            <w:r>
              <w:rPr>
                <w:rFonts w:ascii="Arial" w:cs="Arial" w:eastAsia="Arial" w:hAnsi="Arial"/>
                <w:sz w:val="20"/>
                <w:szCs w:val="20"/>
                <w:color w:val="333333"/>
              </w:rPr>
              <w:t>379</w:t>
            </w:r>
          </w:p>
        </w:tc>
        <w:tc>
          <w:tcPr>
            <w:tcW w:w="680" w:type="dxa"/>
            <w:vAlign w:val="bottom"/>
          </w:tcPr>
          <w:p>
            <w:pPr>
              <w:jc w:val="right"/>
              <w:ind w:right="200"/>
              <w:spacing w:after="0" w:line="200" w:lineRule="exact"/>
              <w:rPr>
                <w:sz w:val="20"/>
                <w:szCs w:val="20"/>
                <w:color w:val="auto"/>
              </w:rPr>
            </w:pPr>
            <w:r>
              <w:rPr>
                <w:rFonts w:ascii="Arial" w:cs="Arial" w:eastAsia="Arial" w:hAnsi="Arial"/>
                <w:sz w:val="20"/>
                <w:szCs w:val="20"/>
                <w:color w:val="333333"/>
              </w:rPr>
              <w:t>$</w:t>
            </w:r>
          </w:p>
        </w:tc>
        <w:tc>
          <w:tcPr>
            <w:tcW w:w="960" w:type="dxa"/>
            <w:vAlign w:val="bottom"/>
          </w:tcPr>
          <w:p>
            <w:pPr>
              <w:jc w:val="right"/>
              <w:ind w:right="119"/>
              <w:spacing w:after="0" w:line="200" w:lineRule="exact"/>
              <w:rPr>
                <w:sz w:val="20"/>
                <w:szCs w:val="20"/>
                <w:color w:val="auto"/>
              </w:rPr>
            </w:pPr>
            <w:r>
              <w:rPr>
                <w:rFonts w:ascii="Arial" w:cs="Arial" w:eastAsia="Arial" w:hAnsi="Arial"/>
                <w:sz w:val="20"/>
                <w:szCs w:val="20"/>
                <w:color w:val="333333"/>
              </w:rPr>
              <w:t>194</w:t>
            </w:r>
          </w:p>
        </w:tc>
        <w:tc>
          <w:tcPr>
            <w:tcW w:w="740" w:type="dxa"/>
            <w:vAlign w:val="bottom"/>
          </w:tcPr>
          <w:p>
            <w:pPr>
              <w:jc w:val="right"/>
              <w:ind w:right="199"/>
              <w:spacing w:after="0" w:line="200" w:lineRule="exact"/>
              <w:rPr>
                <w:sz w:val="20"/>
                <w:szCs w:val="20"/>
                <w:color w:val="auto"/>
              </w:rPr>
            </w:pPr>
            <w:r>
              <w:rPr>
                <w:rFonts w:ascii="Arial" w:cs="Arial" w:eastAsia="Arial" w:hAnsi="Arial"/>
                <w:sz w:val="20"/>
                <w:szCs w:val="20"/>
                <w:color w:val="333333"/>
              </w:rPr>
              <w:t>$</w:t>
            </w:r>
          </w:p>
        </w:tc>
        <w:tc>
          <w:tcPr>
            <w:tcW w:w="1060" w:type="dxa"/>
            <w:vAlign w:val="bottom"/>
          </w:tcPr>
          <w:p>
            <w:pPr>
              <w:jc w:val="right"/>
              <w:ind w:right="200"/>
              <w:spacing w:after="0" w:line="200" w:lineRule="exact"/>
              <w:rPr>
                <w:sz w:val="20"/>
                <w:szCs w:val="20"/>
                <w:color w:val="auto"/>
              </w:rPr>
            </w:pPr>
            <w:r>
              <w:rPr>
                <w:rFonts w:ascii="Arial" w:cs="Arial" w:eastAsia="Arial" w:hAnsi="Arial"/>
                <w:sz w:val="20"/>
                <w:szCs w:val="20"/>
                <w:color w:val="333333"/>
              </w:rPr>
              <w:t>47</w:t>
            </w:r>
          </w:p>
        </w:tc>
        <w:tc>
          <w:tcPr>
            <w:tcW w:w="0" w:type="dxa"/>
            <w:vAlign w:val="bottom"/>
          </w:tcPr>
          <w:p>
            <w:pPr>
              <w:spacing w:after="0"/>
              <w:rPr>
                <w:sz w:val="1"/>
                <w:szCs w:val="1"/>
                <w:color w:val="auto"/>
              </w:rPr>
            </w:pPr>
          </w:p>
        </w:tc>
      </w:tr>
      <w:tr>
        <w:trPr>
          <w:trHeight w:val="200"/>
        </w:trPr>
        <w:tc>
          <w:tcPr>
            <w:tcW w:w="860" w:type="dxa"/>
            <w:vAlign w:val="bottom"/>
          </w:tcPr>
          <w:p>
            <w:pPr>
              <w:spacing w:after="0"/>
              <w:rPr>
                <w:sz w:val="17"/>
                <w:szCs w:val="17"/>
                <w:color w:val="auto"/>
              </w:rPr>
            </w:pPr>
          </w:p>
        </w:tc>
        <w:tc>
          <w:tcPr>
            <w:tcW w:w="4780" w:type="dxa"/>
            <w:vAlign w:val="bottom"/>
          </w:tcPr>
          <w:p>
            <w:pPr>
              <w:ind w:left="180"/>
              <w:spacing w:after="0" w:line="200" w:lineRule="exact"/>
              <w:rPr>
                <w:sz w:val="20"/>
                <w:szCs w:val="20"/>
                <w:color w:val="auto"/>
              </w:rPr>
            </w:pPr>
            <w:r>
              <w:rPr>
                <w:rFonts w:ascii="Arial" w:cs="Arial" w:eastAsia="Arial" w:hAnsi="Arial"/>
                <w:sz w:val="20"/>
                <w:szCs w:val="20"/>
                <w:color w:val="333333"/>
              </w:rPr>
              <w:t>Free Cash Flow</w:t>
            </w:r>
            <w:r>
              <w:rPr>
                <w:rFonts w:ascii="Arial" w:cs="Arial" w:eastAsia="Arial" w:hAnsi="Arial"/>
                <w:sz w:val="23"/>
                <w:szCs w:val="23"/>
                <w:color w:val="333333"/>
                <w:vertAlign w:val="superscript"/>
              </w:rPr>
              <w:t>(a)</w:t>
            </w:r>
          </w:p>
        </w:tc>
        <w:tc>
          <w:tcPr>
            <w:tcW w:w="700" w:type="dxa"/>
            <w:vAlign w:val="bottom"/>
          </w:tcPr>
          <w:p>
            <w:pPr>
              <w:jc w:val="right"/>
              <w:ind w:right="200"/>
              <w:spacing w:after="0" w:line="200" w:lineRule="exact"/>
              <w:rPr>
                <w:sz w:val="20"/>
                <w:szCs w:val="20"/>
                <w:color w:val="auto"/>
              </w:rPr>
            </w:pPr>
            <w:r>
              <w:rPr>
                <w:rFonts w:ascii="Arial" w:cs="Arial" w:eastAsia="Arial" w:hAnsi="Arial"/>
                <w:sz w:val="20"/>
                <w:szCs w:val="20"/>
                <w:color w:val="333333"/>
              </w:rPr>
              <w:t>$</w:t>
            </w:r>
          </w:p>
        </w:tc>
        <w:tc>
          <w:tcPr>
            <w:tcW w:w="1040" w:type="dxa"/>
            <w:vAlign w:val="bottom"/>
          </w:tcPr>
          <w:p>
            <w:pPr>
              <w:jc w:val="right"/>
              <w:ind w:right="199"/>
              <w:spacing w:after="0" w:line="200" w:lineRule="exact"/>
              <w:rPr>
                <w:sz w:val="20"/>
                <w:szCs w:val="20"/>
                <w:color w:val="auto"/>
              </w:rPr>
            </w:pPr>
            <w:r>
              <w:rPr>
                <w:rFonts w:ascii="Arial" w:cs="Arial" w:eastAsia="Arial" w:hAnsi="Arial"/>
                <w:sz w:val="20"/>
                <w:szCs w:val="20"/>
                <w:color w:val="333333"/>
              </w:rPr>
              <w:t>311</w:t>
            </w:r>
          </w:p>
        </w:tc>
        <w:tc>
          <w:tcPr>
            <w:tcW w:w="680" w:type="dxa"/>
            <w:vAlign w:val="bottom"/>
          </w:tcPr>
          <w:p>
            <w:pPr>
              <w:jc w:val="right"/>
              <w:ind w:right="200"/>
              <w:spacing w:after="0" w:line="200" w:lineRule="exact"/>
              <w:rPr>
                <w:sz w:val="20"/>
                <w:szCs w:val="20"/>
                <w:color w:val="auto"/>
              </w:rPr>
            </w:pPr>
            <w:r>
              <w:rPr>
                <w:rFonts w:ascii="Arial" w:cs="Arial" w:eastAsia="Arial" w:hAnsi="Arial"/>
                <w:sz w:val="20"/>
                <w:szCs w:val="20"/>
                <w:color w:val="333333"/>
              </w:rPr>
              <w:t>$</w:t>
            </w:r>
          </w:p>
        </w:tc>
        <w:tc>
          <w:tcPr>
            <w:tcW w:w="960" w:type="dxa"/>
            <w:vAlign w:val="bottom"/>
          </w:tcPr>
          <w:p>
            <w:pPr>
              <w:jc w:val="right"/>
              <w:ind w:right="119"/>
              <w:spacing w:after="0" w:line="200" w:lineRule="exact"/>
              <w:rPr>
                <w:sz w:val="20"/>
                <w:szCs w:val="20"/>
                <w:color w:val="auto"/>
              </w:rPr>
            </w:pPr>
            <w:r>
              <w:rPr>
                <w:rFonts w:ascii="Arial" w:cs="Arial" w:eastAsia="Arial" w:hAnsi="Arial"/>
                <w:sz w:val="20"/>
                <w:szCs w:val="20"/>
                <w:color w:val="333333"/>
              </w:rPr>
              <w:t>466</w:t>
            </w:r>
          </w:p>
        </w:tc>
        <w:tc>
          <w:tcPr>
            <w:tcW w:w="740" w:type="dxa"/>
            <w:vAlign w:val="bottom"/>
          </w:tcPr>
          <w:p>
            <w:pPr>
              <w:jc w:val="right"/>
              <w:ind w:right="199"/>
              <w:spacing w:after="0" w:line="200" w:lineRule="exact"/>
              <w:rPr>
                <w:sz w:val="20"/>
                <w:szCs w:val="20"/>
                <w:color w:val="auto"/>
              </w:rPr>
            </w:pPr>
            <w:r>
              <w:rPr>
                <w:rFonts w:ascii="Arial" w:cs="Arial" w:eastAsia="Arial" w:hAnsi="Arial"/>
                <w:sz w:val="20"/>
                <w:szCs w:val="20"/>
                <w:color w:val="333333"/>
              </w:rPr>
              <w:t>$</w:t>
            </w:r>
          </w:p>
        </w:tc>
        <w:tc>
          <w:tcPr>
            <w:tcW w:w="1060" w:type="dxa"/>
            <w:vAlign w:val="bottom"/>
          </w:tcPr>
          <w:p>
            <w:pPr>
              <w:jc w:val="right"/>
              <w:ind w:right="200"/>
              <w:spacing w:after="0" w:line="200" w:lineRule="exact"/>
              <w:rPr>
                <w:sz w:val="20"/>
                <w:szCs w:val="20"/>
                <w:color w:val="auto"/>
              </w:rPr>
            </w:pPr>
            <w:r>
              <w:rPr>
                <w:rFonts w:ascii="Arial" w:cs="Arial" w:eastAsia="Arial" w:hAnsi="Arial"/>
                <w:sz w:val="20"/>
                <w:szCs w:val="20"/>
                <w:color w:val="333333"/>
              </w:rPr>
              <w:t>59</w:t>
            </w:r>
          </w:p>
        </w:tc>
        <w:tc>
          <w:tcPr>
            <w:tcW w:w="0" w:type="dxa"/>
            <w:vAlign w:val="bottom"/>
          </w:tcPr>
          <w:p>
            <w:pPr>
              <w:spacing w:after="0"/>
              <w:rPr>
                <w:sz w:val="1"/>
                <w:szCs w:val="1"/>
                <w:color w:val="auto"/>
              </w:rPr>
            </w:pPr>
          </w:p>
        </w:tc>
      </w:tr>
      <w:tr>
        <w:trPr>
          <w:trHeight w:val="258"/>
        </w:trPr>
        <w:tc>
          <w:tcPr>
            <w:tcW w:w="860" w:type="dxa"/>
            <w:vAlign w:val="bottom"/>
          </w:tcPr>
          <w:p>
            <w:pPr>
              <w:spacing w:after="0"/>
              <w:rPr>
                <w:sz w:val="22"/>
                <w:szCs w:val="22"/>
                <w:color w:val="auto"/>
              </w:rPr>
            </w:pPr>
          </w:p>
        </w:tc>
        <w:tc>
          <w:tcPr>
            <w:tcW w:w="4780" w:type="dxa"/>
            <w:vAlign w:val="bottom"/>
          </w:tcPr>
          <w:p>
            <w:pPr>
              <w:ind w:left="180"/>
              <w:spacing w:after="0"/>
              <w:rPr>
                <w:sz w:val="20"/>
                <w:szCs w:val="20"/>
                <w:color w:val="auto"/>
              </w:rPr>
            </w:pPr>
            <w:r>
              <w:rPr>
                <w:rFonts w:ascii="Arial" w:cs="Arial" w:eastAsia="Arial" w:hAnsi="Arial"/>
                <w:sz w:val="20"/>
                <w:szCs w:val="20"/>
                <w:color w:val="333333"/>
              </w:rPr>
              <w:t>Net Cash Used in Financing Activities</w:t>
            </w:r>
          </w:p>
        </w:tc>
        <w:tc>
          <w:tcPr>
            <w:tcW w:w="700" w:type="dxa"/>
            <w:vAlign w:val="bottom"/>
          </w:tcPr>
          <w:p>
            <w:pPr>
              <w:jc w:val="right"/>
              <w:ind w:right="200"/>
              <w:spacing w:after="0"/>
              <w:rPr>
                <w:sz w:val="20"/>
                <w:szCs w:val="20"/>
                <w:color w:val="auto"/>
              </w:rPr>
            </w:pPr>
            <w:r>
              <w:rPr>
                <w:rFonts w:ascii="Arial" w:cs="Arial" w:eastAsia="Arial" w:hAnsi="Arial"/>
                <w:sz w:val="20"/>
                <w:szCs w:val="20"/>
                <w:color w:val="333333"/>
              </w:rPr>
              <w:t>$</w:t>
            </w:r>
          </w:p>
        </w:tc>
        <w:tc>
          <w:tcPr>
            <w:tcW w:w="1040" w:type="dxa"/>
            <w:vAlign w:val="bottom"/>
          </w:tcPr>
          <w:p>
            <w:pPr>
              <w:jc w:val="right"/>
              <w:ind w:right="199"/>
              <w:spacing w:after="0"/>
              <w:rPr>
                <w:sz w:val="20"/>
                <w:szCs w:val="20"/>
                <w:color w:val="auto"/>
              </w:rPr>
            </w:pPr>
            <w:r>
              <w:rPr>
                <w:rFonts w:ascii="Arial" w:cs="Arial" w:eastAsia="Arial" w:hAnsi="Arial"/>
                <w:sz w:val="20"/>
                <w:szCs w:val="20"/>
                <w:color w:val="333333"/>
              </w:rPr>
              <w:t>(371)</w:t>
            </w:r>
          </w:p>
        </w:tc>
        <w:tc>
          <w:tcPr>
            <w:tcW w:w="680" w:type="dxa"/>
            <w:vAlign w:val="bottom"/>
          </w:tcPr>
          <w:p>
            <w:pPr>
              <w:jc w:val="right"/>
              <w:ind w:right="200"/>
              <w:spacing w:after="0"/>
              <w:rPr>
                <w:sz w:val="20"/>
                <w:szCs w:val="20"/>
                <w:color w:val="auto"/>
              </w:rPr>
            </w:pPr>
            <w:r>
              <w:rPr>
                <w:rFonts w:ascii="Arial" w:cs="Arial" w:eastAsia="Arial" w:hAnsi="Arial"/>
                <w:sz w:val="20"/>
                <w:szCs w:val="20"/>
                <w:color w:val="333333"/>
              </w:rPr>
              <w:t>$</w:t>
            </w:r>
          </w:p>
        </w:tc>
        <w:tc>
          <w:tcPr>
            <w:tcW w:w="960" w:type="dxa"/>
            <w:vAlign w:val="bottom"/>
          </w:tcPr>
          <w:p>
            <w:pPr>
              <w:jc w:val="right"/>
              <w:ind w:right="119"/>
              <w:spacing w:after="0"/>
              <w:rPr>
                <w:sz w:val="20"/>
                <w:szCs w:val="20"/>
                <w:color w:val="auto"/>
              </w:rPr>
            </w:pPr>
            <w:r>
              <w:rPr>
                <w:rFonts w:ascii="Arial" w:cs="Arial" w:eastAsia="Arial" w:hAnsi="Arial"/>
                <w:sz w:val="20"/>
                <w:szCs w:val="20"/>
                <w:color w:val="333333"/>
              </w:rPr>
              <w:t>(222)</w:t>
            </w:r>
          </w:p>
        </w:tc>
        <w:tc>
          <w:tcPr>
            <w:tcW w:w="740" w:type="dxa"/>
            <w:vAlign w:val="bottom"/>
          </w:tcPr>
          <w:p>
            <w:pPr>
              <w:jc w:val="right"/>
              <w:ind w:right="199"/>
              <w:spacing w:after="0"/>
              <w:rPr>
                <w:sz w:val="20"/>
                <w:szCs w:val="20"/>
                <w:color w:val="auto"/>
              </w:rPr>
            </w:pPr>
            <w:r>
              <w:rPr>
                <w:rFonts w:ascii="Arial" w:cs="Arial" w:eastAsia="Arial" w:hAnsi="Arial"/>
                <w:sz w:val="20"/>
                <w:szCs w:val="20"/>
                <w:color w:val="333333"/>
              </w:rPr>
              <w:t>$</w:t>
            </w:r>
          </w:p>
        </w:tc>
        <w:tc>
          <w:tcPr>
            <w:tcW w:w="1060" w:type="dxa"/>
            <w:vAlign w:val="bottom"/>
          </w:tcPr>
          <w:p>
            <w:pPr>
              <w:jc w:val="right"/>
              <w:ind w:right="200"/>
              <w:spacing w:after="0"/>
              <w:rPr>
                <w:sz w:val="20"/>
                <w:szCs w:val="20"/>
                <w:color w:val="auto"/>
              </w:rPr>
            </w:pPr>
            <w:r>
              <w:rPr>
                <w:rFonts w:ascii="Arial" w:cs="Arial" w:eastAsia="Arial" w:hAnsi="Arial"/>
                <w:sz w:val="20"/>
                <w:szCs w:val="20"/>
                <w:color w:val="333333"/>
              </w:rPr>
              <w:t>(58)</w:t>
            </w:r>
          </w:p>
        </w:tc>
        <w:tc>
          <w:tcPr>
            <w:tcW w:w="0" w:type="dxa"/>
            <w:vAlign w:val="bottom"/>
          </w:tcPr>
          <w:p>
            <w:pPr>
              <w:spacing w:after="0"/>
              <w:rPr>
                <w:sz w:val="1"/>
                <w:szCs w:val="1"/>
                <w:color w:val="auto"/>
              </w:rPr>
            </w:pPr>
          </w:p>
        </w:tc>
      </w:tr>
      <w:tr>
        <w:trPr>
          <w:trHeight w:val="315"/>
        </w:trPr>
        <w:tc>
          <w:tcPr>
            <w:tcW w:w="860" w:type="dxa"/>
            <w:vAlign w:val="bottom"/>
          </w:tcPr>
          <w:p>
            <w:pPr>
              <w:spacing w:after="0"/>
              <w:rPr>
                <w:sz w:val="24"/>
                <w:szCs w:val="24"/>
                <w:color w:val="auto"/>
              </w:rPr>
            </w:pPr>
          </w:p>
        </w:tc>
        <w:tc>
          <w:tcPr>
            <w:tcW w:w="4780" w:type="dxa"/>
            <w:vAlign w:val="bottom"/>
          </w:tcPr>
          <w:p>
            <w:pPr>
              <w:ind w:left="180"/>
              <w:spacing w:after="0"/>
              <w:rPr>
                <w:sz w:val="20"/>
                <w:szCs w:val="20"/>
                <w:color w:val="auto"/>
              </w:rPr>
            </w:pPr>
            <w:r>
              <w:rPr>
                <w:rFonts w:ascii="Arial" w:cs="Arial" w:eastAsia="Arial" w:hAnsi="Arial"/>
                <w:sz w:val="20"/>
                <w:szCs w:val="20"/>
                <w:color w:val="333333"/>
              </w:rPr>
              <w:t>Total Assets</w:t>
            </w:r>
          </w:p>
        </w:tc>
        <w:tc>
          <w:tcPr>
            <w:tcW w:w="700" w:type="dxa"/>
            <w:vAlign w:val="bottom"/>
          </w:tcPr>
          <w:p>
            <w:pPr>
              <w:jc w:val="right"/>
              <w:ind w:right="200"/>
              <w:spacing w:after="0"/>
              <w:rPr>
                <w:sz w:val="20"/>
                <w:szCs w:val="20"/>
                <w:color w:val="auto"/>
              </w:rPr>
            </w:pPr>
            <w:r>
              <w:rPr>
                <w:rFonts w:ascii="Arial" w:cs="Arial" w:eastAsia="Arial" w:hAnsi="Arial"/>
                <w:sz w:val="20"/>
                <w:szCs w:val="20"/>
                <w:color w:val="333333"/>
              </w:rPr>
              <w:t>$</w:t>
            </w:r>
          </w:p>
        </w:tc>
        <w:tc>
          <w:tcPr>
            <w:tcW w:w="1040" w:type="dxa"/>
            <w:vAlign w:val="bottom"/>
          </w:tcPr>
          <w:p>
            <w:pPr>
              <w:jc w:val="right"/>
              <w:ind w:right="199"/>
              <w:spacing w:after="0"/>
              <w:rPr>
                <w:sz w:val="20"/>
                <w:szCs w:val="20"/>
                <w:color w:val="auto"/>
              </w:rPr>
            </w:pPr>
            <w:r>
              <w:rPr>
                <w:rFonts w:ascii="Arial" w:cs="Arial" w:eastAsia="Arial" w:hAnsi="Arial"/>
                <w:sz w:val="20"/>
                <w:szCs w:val="20"/>
                <w:color w:val="333333"/>
              </w:rPr>
              <w:t>3,967</w:t>
            </w:r>
          </w:p>
        </w:tc>
        <w:tc>
          <w:tcPr>
            <w:tcW w:w="680" w:type="dxa"/>
            <w:vAlign w:val="bottom"/>
          </w:tcPr>
          <w:p>
            <w:pPr>
              <w:jc w:val="right"/>
              <w:ind w:right="200"/>
              <w:spacing w:after="0"/>
              <w:rPr>
                <w:sz w:val="20"/>
                <w:szCs w:val="20"/>
                <w:color w:val="auto"/>
              </w:rPr>
            </w:pPr>
            <w:r>
              <w:rPr>
                <w:rFonts w:ascii="Arial" w:cs="Arial" w:eastAsia="Arial" w:hAnsi="Arial"/>
                <w:sz w:val="20"/>
                <w:szCs w:val="20"/>
                <w:color w:val="333333"/>
              </w:rPr>
              <w:t>$</w:t>
            </w:r>
          </w:p>
        </w:tc>
        <w:tc>
          <w:tcPr>
            <w:tcW w:w="960" w:type="dxa"/>
            <w:vAlign w:val="bottom"/>
          </w:tcPr>
          <w:p>
            <w:pPr>
              <w:jc w:val="right"/>
              <w:ind w:right="119"/>
              <w:spacing w:after="0"/>
              <w:rPr>
                <w:sz w:val="20"/>
                <w:szCs w:val="20"/>
                <w:color w:val="auto"/>
              </w:rPr>
            </w:pPr>
            <w:r>
              <w:rPr>
                <w:rFonts w:ascii="Arial" w:cs="Arial" w:eastAsia="Arial" w:hAnsi="Arial"/>
                <w:sz w:val="20"/>
                <w:szCs w:val="20"/>
                <w:color w:val="333333"/>
              </w:rPr>
              <w:t>3,846</w:t>
            </w:r>
          </w:p>
        </w:tc>
        <w:tc>
          <w:tcPr>
            <w:tcW w:w="740" w:type="dxa"/>
            <w:vAlign w:val="bottom"/>
          </w:tcPr>
          <w:p>
            <w:pPr>
              <w:jc w:val="right"/>
              <w:ind w:right="199"/>
              <w:spacing w:after="0"/>
              <w:rPr>
                <w:sz w:val="20"/>
                <w:szCs w:val="20"/>
                <w:color w:val="auto"/>
              </w:rPr>
            </w:pPr>
            <w:r>
              <w:rPr>
                <w:rFonts w:ascii="Arial" w:cs="Arial" w:eastAsia="Arial" w:hAnsi="Arial"/>
                <w:sz w:val="20"/>
                <w:szCs w:val="20"/>
                <w:color w:val="333333"/>
              </w:rPr>
              <w:t>$</w:t>
            </w:r>
          </w:p>
        </w:tc>
        <w:tc>
          <w:tcPr>
            <w:tcW w:w="1060" w:type="dxa"/>
            <w:vAlign w:val="bottom"/>
          </w:tcPr>
          <w:p>
            <w:pPr>
              <w:jc w:val="right"/>
              <w:ind w:right="200"/>
              <w:spacing w:after="0"/>
              <w:rPr>
                <w:sz w:val="20"/>
                <w:szCs w:val="20"/>
                <w:color w:val="auto"/>
              </w:rPr>
            </w:pPr>
            <w:r>
              <w:rPr>
                <w:rFonts w:ascii="Arial" w:cs="Arial" w:eastAsia="Arial" w:hAnsi="Arial"/>
                <w:sz w:val="20"/>
                <w:szCs w:val="20"/>
                <w:color w:val="333333"/>
              </w:rPr>
              <w:t>3,074</w:t>
            </w:r>
          </w:p>
        </w:tc>
        <w:tc>
          <w:tcPr>
            <w:tcW w:w="0" w:type="dxa"/>
            <w:vAlign w:val="bottom"/>
          </w:tcPr>
          <w:p>
            <w:pPr>
              <w:spacing w:after="0"/>
              <w:rPr>
                <w:sz w:val="1"/>
                <w:szCs w:val="1"/>
                <w:color w:val="auto"/>
              </w:rPr>
            </w:pPr>
          </w:p>
        </w:tc>
      </w:tr>
      <w:tr>
        <w:trPr>
          <w:trHeight w:val="200"/>
        </w:trPr>
        <w:tc>
          <w:tcPr>
            <w:tcW w:w="860" w:type="dxa"/>
            <w:vAlign w:val="bottom"/>
          </w:tcPr>
          <w:p>
            <w:pPr>
              <w:spacing w:after="0"/>
              <w:rPr>
                <w:sz w:val="17"/>
                <w:szCs w:val="17"/>
                <w:color w:val="auto"/>
              </w:rPr>
            </w:pPr>
          </w:p>
        </w:tc>
        <w:tc>
          <w:tcPr>
            <w:tcW w:w="4780" w:type="dxa"/>
            <w:vAlign w:val="bottom"/>
          </w:tcPr>
          <w:p>
            <w:pPr>
              <w:ind w:left="180"/>
              <w:spacing w:after="0" w:line="200" w:lineRule="exact"/>
              <w:rPr>
                <w:sz w:val="20"/>
                <w:szCs w:val="20"/>
                <w:color w:val="auto"/>
              </w:rPr>
            </w:pPr>
            <w:r>
              <w:rPr>
                <w:rFonts w:ascii="Arial" w:cs="Arial" w:eastAsia="Arial" w:hAnsi="Arial"/>
                <w:sz w:val="20"/>
                <w:szCs w:val="20"/>
                <w:color w:val="333333"/>
              </w:rPr>
              <w:t>Long-Term Debt, Net</w:t>
            </w:r>
          </w:p>
        </w:tc>
        <w:tc>
          <w:tcPr>
            <w:tcW w:w="700" w:type="dxa"/>
            <w:vAlign w:val="bottom"/>
          </w:tcPr>
          <w:p>
            <w:pPr>
              <w:jc w:val="right"/>
              <w:ind w:right="200"/>
              <w:spacing w:after="0" w:line="200" w:lineRule="exact"/>
              <w:rPr>
                <w:sz w:val="20"/>
                <w:szCs w:val="20"/>
                <w:color w:val="auto"/>
              </w:rPr>
            </w:pPr>
            <w:r>
              <w:rPr>
                <w:rFonts w:ascii="Arial" w:cs="Arial" w:eastAsia="Arial" w:hAnsi="Arial"/>
                <w:sz w:val="20"/>
                <w:szCs w:val="20"/>
                <w:color w:val="333333"/>
              </w:rPr>
              <w:t>$</w:t>
            </w:r>
          </w:p>
        </w:tc>
        <w:tc>
          <w:tcPr>
            <w:tcW w:w="1040" w:type="dxa"/>
            <w:vAlign w:val="bottom"/>
          </w:tcPr>
          <w:p>
            <w:pPr>
              <w:jc w:val="right"/>
              <w:ind w:right="199"/>
              <w:spacing w:after="0" w:line="200" w:lineRule="exact"/>
              <w:rPr>
                <w:sz w:val="20"/>
                <w:szCs w:val="20"/>
                <w:color w:val="auto"/>
              </w:rPr>
            </w:pPr>
            <w:r>
              <w:rPr>
                <w:rFonts w:ascii="Arial" w:cs="Arial" w:eastAsia="Arial" w:hAnsi="Arial"/>
                <w:sz w:val="20"/>
                <w:szCs w:val="20"/>
                <w:color w:val="333333"/>
              </w:rPr>
              <w:t>592</w:t>
            </w:r>
          </w:p>
        </w:tc>
        <w:tc>
          <w:tcPr>
            <w:tcW w:w="680" w:type="dxa"/>
            <w:vAlign w:val="bottom"/>
          </w:tcPr>
          <w:p>
            <w:pPr>
              <w:jc w:val="right"/>
              <w:ind w:right="200"/>
              <w:spacing w:after="0" w:line="200" w:lineRule="exact"/>
              <w:rPr>
                <w:sz w:val="20"/>
                <w:szCs w:val="20"/>
                <w:color w:val="auto"/>
              </w:rPr>
            </w:pPr>
            <w:r>
              <w:rPr>
                <w:rFonts w:ascii="Arial" w:cs="Arial" w:eastAsia="Arial" w:hAnsi="Arial"/>
                <w:sz w:val="20"/>
                <w:szCs w:val="20"/>
                <w:color w:val="333333"/>
              </w:rPr>
              <w:t>$</w:t>
            </w:r>
          </w:p>
        </w:tc>
        <w:tc>
          <w:tcPr>
            <w:tcW w:w="960" w:type="dxa"/>
            <w:vAlign w:val="bottom"/>
          </w:tcPr>
          <w:p>
            <w:pPr>
              <w:jc w:val="right"/>
              <w:ind w:right="119"/>
              <w:spacing w:after="0" w:line="200" w:lineRule="exact"/>
              <w:rPr>
                <w:sz w:val="20"/>
                <w:szCs w:val="20"/>
                <w:color w:val="auto"/>
              </w:rPr>
            </w:pPr>
            <w:r>
              <w:rPr>
                <w:rFonts w:ascii="Arial" w:cs="Arial" w:eastAsia="Arial" w:hAnsi="Arial"/>
                <w:sz w:val="20"/>
                <w:szCs w:val="20"/>
                <w:color w:val="333333"/>
              </w:rPr>
              <w:t>589</w:t>
            </w:r>
          </w:p>
        </w:tc>
        <w:tc>
          <w:tcPr>
            <w:tcW w:w="740" w:type="dxa"/>
            <w:vAlign w:val="bottom"/>
          </w:tcPr>
          <w:p>
            <w:pPr>
              <w:jc w:val="right"/>
              <w:ind w:right="199"/>
              <w:spacing w:after="0" w:line="200" w:lineRule="exact"/>
              <w:rPr>
                <w:sz w:val="20"/>
                <w:szCs w:val="20"/>
                <w:color w:val="auto"/>
              </w:rPr>
            </w:pPr>
            <w:r>
              <w:rPr>
                <w:rFonts w:ascii="Arial" w:cs="Arial" w:eastAsia="Arial" w:hAnsi="Arial"/>
                <w:sz w:val="20"/>
                <w:szCs w:val="20"/>
                <w:color w:val="333333"/>
              </w:rPr>
              <w:t>$</w:t>
            </w:r>
          </w:p>
        </w:tc>
        <w:tc>
          <w:tcPr>
            <w:tcW w:w="1060" w:type="dxa"/>
            <w:vAlign w:val="bottom"/>
          </w:tcPr>
          <w:p>
            <w:pPr>
              <w:jc w:val="right"/>
              <w:ind w:right="200"/>
              <w:spacing w:after="0" w:line="200" w:lineRule="exact"/>
              <w:rPr>
                <w:sz w:val="20"/>
                <w:szCs w:val="20"/>
                <w:color w:val="auto"/>
              </w:rPr>
            </w:pPr>
            <w:r>
              <w:rPr>
                <w:rFonts w:ascii="Arial" w:cs="Arial" w:eastAsia="Arial" w:hAnsi="Arial"/>
                <w:sz w:val="20"/>
                <w:szCs w:val="20"/>
                <w:color w:val="333333"/>
              </w:rPr>
              <w:t>597</w:t>
            </w:r>
          </w:p>
        </w:tc>
        <w:tc>
          <w:tcPr>
            <w:tcW w:w="0" w:type="dxa"/>
            <w:vAlign w:val="bottom"/>
          </w:tcPr>
          <w:p>
            <w:pPr>
              <w:spacing w:after="0"/>
              <w:rPr>
                <w:sz w:val="1"/>
                <w:szCs w:val="1"/>
                <w:color w:val="auto"/>
              </w:rPr>
            </w:pPr>
          </w:p>
        </w:tc>
      </w:tr>
      <w:tr>
        <w:trPr>
          <w:trHeight w:val="258"/>
        </w:trPr>
        <w:tc>
          <w:tcPr>
            <w:tcW w:w="860" w:type="dxa"/>
            <w:vAlign w:val="bottom"/>
          </w:tcPr>
          <w:p>
            <w:pPr>
              <w:spacing w:after="0"/>
              <w:rPr>
                <w:sz w:val="22"/>
                <w:szCs w:val="22"/>
                <w:color w:val="auto"/>
              </w:rPr>
            </w:pPr>
          </w:p>
        </w:tc>
        <w:tc>
          <w:tcPr>
            <w:tcW w:w="4780" w:type="dxa"/>
            <w:vAlign w:val="bottom"/>
          </w:tcPr>
          <w:p>
            <w:pPr>
              <w:ind w:left="180"/>
              <w:spacing w:after="0"/>
              <w:rPr>
                <w:sz w:val="20"/>
                <w:szCs w:val="20"/>
                <w:color w:val="auto"/>
              </w:rPr>
            </w:pPr>
            <w:r>
              <w:rPr>
                <w:rFonts w:ascii="Arial" w:cs="Arial" w:eastAsia="Arial" w:hAnsi="Arial"/>
                <w:sz w:val="20"/>
                <w:szCs w:val="20"/>
                <w:color w:val="333333"/>
              </w:rPr>
              <w:t>Equity</w:t>
            </w:r>
          </w:p>
        </w:tc>
        <w:tc>
          <w:tcPr>
            <w:tcW w:w="700" w:type="dxa"/>
            <w:vAlign w:val="bottom"/>
          </w:tcPr>
          <w:p>
            <w:pPr>
              <w:jc w:val="right"/>
              <w:ind w:right="200"/>
              <w:spacing w:after="0"/>
              <w:rPr>
                <w:sz w:val="20"/>
                <w:szCs w:val="20"/>
                <w:color w:val="auto"/>
              </w:rPr>
            </w:pPr>
            <w:r>
              <w:rPr>
                <w:rFonts w:ascii="Arial" w:cs="Arial" w:eastAsia="Arial" w:hAnsi="Arial"/>
                <w:sz w:val="20"/>
                <w:szCs w:val="20"/>
                <w:color w:val="333333"/>
              </w:rPr>
              <w:t>$</w:t>
            </w:r>
          </w:p>
        </w:tc>
        <w:tc>
          <w:tcPr>
            <w:tcW w:w="1040" w:type="dxa"/>
            <w:vAlign w:val="bottom"/>
          </w:tcPr>
          <w:p>
            <w:pPr>
              <w:jc w:val="right"/>
              <w:ind w:right="199"/>
              <w:spacing w:after="0"/>
              <w:rPr>
                <w:sz w:val="20"/>
                <w:szCs w:val="20"/>
                <w:color w:val="auto"/>
              </w:rPr>
            </w:pPr>
            <w:r>
              <w:rPr>
                <w:rFonts w:ascii="Arial" w:cs="Arial" w:eastAsia="Arial" w:hAnsi="Arial"/>
                <w:sz w:val="20"/>
                <w:szCs w:val="20"/>
                <w:color w:val="333333"/>
              </w:rPr>
              <w:t>1,864</w:t>
            </w:r>
          </w:p>
        </w:tc>
        <w:tc>
          <w:tcPr>
            <w:tcW w:w="680" w:type="dxa"/>
            <w:vAlign w:val="bottom"/>
          </w:tcPr>
          <w:p>
            <w:pPr>
              <w:jc w:val="right"/>
              <w:ind w:right="200"/>
              <w:spacing w:after="0"/>
              <w:rPr>
                <w:sz w:val="20"/>
                <w:szCs w:val="20"/>
                <w:color w:val="auto"/>
              </w:rPr>
            </w:pPr>
            <w:r>
              <w:rPr>
                <w:rFonts w:ascii="Arial" w:cs="Arial" w:eastAsia="Arial" w:hAnsi="Arial"/>
                <w:sz w:val="20"/>
                <w:szCs w:val="20"/>
                <w:color w:val="333333"/>
              </w:rPr>
              <w:t>$</w:t>
            </w:r>
          </w:p>
        </w:tc>
        <w:tc>
          <w:tcPr>
            <w:tcW w:w="960" w:type="dxa"/>
            <w:vAlign w:val="bottom"/>
          </w:tcPr>
          <w:p>
            <w:pPr>
              <w:jc w:val="right"/>
              <w:ind w:right="119"/>
              <w:spacing w:after="0"/>
              <w:rPr>
                <w:sz w:val="20"/>
                <w:szCs w:val="20"/>
                <w:color w:val="auto"/>
              </w:rPr>
            </w:pPr>
            <w:r>
              <w:rPr>
                <w:rFonts w:ascii="Arial" w:cs="Arial" w:eastAsia="Arial" w:hAnsi="Arial"/>
                <w:sz w:val="20"/>
                <w:szCs w:val="20"/>
                <w:color w:val="333333"/>
              </w:rPr>
              <w:t>1,688</w:t>
            </w:r>
          </w:p>
        </w:tc>
        <w:tc>
          <w:tcPr>
            <w:tcW w:w="740" w:type="dxa"/>
            <w:vAlign w:val="bottom"/>
          </w:tcPr>
          <w:p>
            <w:pPr>
              <w:jc w:val="right"/>
              <w:ind w:right="199"/>
              <w:spacing w:after="0"/>
              <w:rPr>
                <w:sz w:val="20"/>
                <w:szCs w:val="20"/>
                <w:color w:val="auto"/>
              </w:rPr>
            </w:pPr>
            <w:r>
              <w:rPr>
                <w:rFonts w:ascii="Arial" w:cs="Arial" w:eastAsia="Arial" w:hAnsi="Arial"/>
                <w:sz w:val="20"/>
                <w:szCs w:val="20"/>
                <w:color w:val="333333"/>
              </w:rPr>
              <w:t>$</w:t>
            </w:r>
          </w:p>
        </w:tc>
        <w:tc>
          <w:tcPr>
            <w:tcW w:w="1060" w:type="dxa"/>
            <w:vAlign w:val="bottom"/>
          </w:tcPr>
          <w:p>
            <w:pPr>
              <w:jc w:val="right"/>
              <w:ind w:right="200"/>
              <w:spacing w:after="0"/>
              <w:rPr>
                <w:sz w:val="20"/>
                <w:szCs w:val="20"/>
                <w:color w:val="auto"/>
              </w:rPr>
            </w:pPr>
            <w:r>
              <w:rPr>
                <w:rFonts w:ascii="Arial" w:cs="Arial" w:eastAsia="Arial" w:hAnsi="Arial"/>
                <w:sz w:val="20"/>
                <w:szCs w:val="20"/>
                <w:color w:val="333333"/>
              </w:rPr>
              <w:t>1,182</w:t>
            </w:r>
          </w:p>
        </w:tc>
        <w:tc>
          <w:tcPr>
            <w:tcW w:w="0" w:type="dxa"/>
            <w:vAlign w:val="bottom"/>
          </w:tcPr>
          <w:p>
            <w:pPr>
              <w:spacing w:after="0"/>
              <w:rPr>
                <w:sz w:val="1"/>
                <w:szCs w:val="1"/>
                <w:color w:val="auto"/>
              </w:rPr>
            </w:pPr>
          </w:p>
        </w:tc>
      </w:tr>
      <w:tr>
        <w:trPr>
          <w:trHeight w:val="302"/>
        </w:trPr>
        <w:tc>
          <w:tcPr>
            <w:tcW w:w="860" w:type="dxa"/>
            <w:vAlign w:val="bottom"/>
          </w:tcPr>
          <w:p>
            <w:pPr>
              <w:spacing w:after="0"/>
              <w:rPr>
                <w:sz w:val="24"/>
                <w:szCs w:val="24"/>
                <w:color w:val="auto"/>
              </w:rPr>
            </w:pPr>
          </w:p>
        </w:tc>
        <w:tc>
          <w:tcPr>
            <w:tcW w:w="4780" w:type="dxa"/>
            <w:vAlign w:val="bottom"/>
          </w:tcPr>
          <w:p>
            <w:pPr>
              <w:ind w:left="180"/>
              <w:spacing w:after="0"/>
              <w:rPr>
                <w:sz w:val="20"/>
                <w:szCs w:val="20"/>
                <w:color w:val="auto"/>
              </w:rPr>
            </w:pPr>
            <w:r>
              <w:rPr>
                <w:rFonts w:ascii="Arial" w:cs="Arial" w:eastAsia="Arial" w:hAnsi="Arial"/>
                <w:sz w:val="20"/>
                <w:szCs w:val="20"/>
                <w:color w:val="333333"/>
              </w:rPr>
              <w:t>Weighted-Average Shares Outstanding - Diluted</w:t>
            </w:r>
          </w:p>
        </w:tc>
        <w:tc>
          <w:tcPr>
            <w:tcW w:w="700" w:type="dxa"/>
            <w:vAlign w:val="bottom"/>
          </w:tcPr>
          <w:p>
            <w:pPr>
              <w:spacing w:after="0"/>
              <w:rPr>
                <w:sz w:val="24"/>
                <w:szCs w:val="24"/>
                <w:color w:val="auto"/>
              </w:rPr>
            </w:pPr>
          </w:p>
        </w:tc>
        <w:tc>
          <w:tcPr>
            <w:tcW w:w="1040" w:type="dxa"/>
            <w:vAlign w:val="bottom"/>
          </w:tcPr>
          <w:p>
            <w:pPr>
              <w:jc w:val="right"/>
              <w:ind w:right="199"/>
              <w:spacing w:after="0"/>
              <w:rPr>
                <w:sz w:val="20"/>
                <w:szCs w:val="20"/>
                <w:color w:val="auto"/>
              </w:rPr>
            </w:pPr>
            <w:r>
              <w:rPr>
                <w:rFonts w:ascii="Arial" w:cs="Arial" w:eastAsia="Arial" w:hAnsi="Arial"/>
                <w:sz w:val="20"/>
                <w:szCs w:val="20"/>
                <w:color w:val="333333"/>
              </w:rPr>
              <w:t>77.6</w:t>
            </w:r>
          </w:p>
        </w:tc>
        <w:tc>
          <w:tcPr>
            <w:tcW w:w="680" w:type="dxa"/>
            <w:vAlign w:val="bottom"/>
          </w:tcPr>
          <w:p>
            <w:pPr>
              <w:spacing w:after="0"/>
              <w:rPr>
                <w:sz w:val="24"/>
                <w:szCs w:val="24"/>
                <w:color w:val="auto"/>
              </w:rPr>
            </w:pPr>
          </w:p>
        </w:tc>
        <w:tc>
          <w:tcPr>
            <w:tcW w:w="960" w:type="dxa"/>
            <w:vAlign w:val="bottom"/>
          </w:tcPr>
          <w:p>
            <w:pPr>
              <w:jc w:val="right"/>
              <w:ind w:right="119"/>
              <w:spacing w:after="0"/>
              <w:rPr>
                <w:sz w:val="20"/>
                <w:szCs w:val="20"/>
                <w:color w:val="auto"/>
              </w:rPr>
            </w:pPr>
            <w:r>
              <w:rPr>
                <w:rFonts w:ascii="Arial" w:cs="Arial" w:eastAsia="Arial" w:hAnsi="Arial"/>
                <w:sz w:val="20"/>
                <w:szCs w:val="20"/>
                <w:color w:val="333333"/>
              </w:rPr>
              <w:t>83.0</w:t>
            </w:r>
          </w:p>
        </w:tc>
        <w:tc>
          <w:tcPr>
            <w:tcW w:w="740" w:type="dxa"/>
            <w:vAlign w:val="bottom"/>
          </w:tcPr>
          <w:p>
            <w:pPr>
              <w:spacing w:after="0"/>
              <w:rPr>
                <w:sz w:val="24"/>
                <w:szCs w:val="24"/>
                <w:color w:val="auto"/>
              </w:rPr>
            </w:pPr>
          </w:p>
        </w:tc>
        <w:tc>
          <w:tcPr>
            <w:tcW w:w="1060" w:type="dxa"/>
            <w:vAlign w:val="bottom"/>
          </w:tcPr>
          <w:p>
            <w:pPr>
              <w:jc w:val="right"/>
              <w:ind w:right="200"/>
              <w:spacing w:after="0"/>
              <w:rPr>
                <w:sz w:val="20"/>
                <w:szCs w:val="20"/>
                <w:color w:val="auto"/>
              </w:rPr>
            </w:pPr>
            <w:r>
              <w:rPr>
                <w:rFonts w:ascii="Arial" w:cs="Arial" w:eastAsia="Arial" w:hAnsi="Arial"/>
                <w:sz w:val="20"/>
                <w:szCs w:val="20"/>
                <w:color w:val="333333"/>
              </w:rPr>
              <w:t>—</w:t>
            </w:r>
          </w:p>
        </w:tc>
        <w:tc>
          <w:tcPr>
            <w:tcW w:w="0" w:type="dxa"/>
            <w:vAlign w:val="bottom"/>
          </w:tcPr>
          <w:p>
            <w:pPr>
              <w:spacing w:after="0"/>
              <w:rPr>
                <w:sz w:val="1"/>
                <w:szCs w:val="1"/>
                <w:color w:val="auto"/>
              </w:rPr>
            </w:pPr>
          </w:p>
        </w:tc>
      </w:tr>
      <w:tr>
        <w:trPr>
          <w:trHeight w:val="200"/>
        </w:trPr>
        <w:tc>
          <w:tcPr>
            <w:tcW w:w="860" w:type="dxa"/>
            <w:vAlign w:val="bottom"/>
          </w:tcPr>
          <w:p>
            <w:pPr>
              <w:spacing w:after="0"/>
              <w:rPr>
                <w:sz w:val="17"/>
                <w:szCs w:val="17"/>
                <w:color w:val="auto"/>
              </w:rPr>
            </w:pPr>
          </w:p>
        </w:tc>
        <w:tc>
          <w:tcPr>
            <w:tcW w:w="4780" w:type="dxa"/>
            <w:vAlign w:val="bottom"/>
          </w:tcPr>
          <w:p>
            <w:pPr>
              <w:ind w:left="180"/>
              <w:spacing w:after="0" w:line="200" w:lineRule="exact"/>
              <w:rPr>
                <w:sz w:val="20"/>
                <w:szCs w:val="20"/>
                <w:color w:val="auto"/>
              </w:rPr>
            </w:pPr>
            <w:r>
              <w:rPr>
                <w:rFonts w:ascii="Arial" w:cs="Arial" w:eastAsia="Arial" w:hAnsi="Arial"/>
                <w:sz w:val="20"/>
                <w:szCs w:val="20"/>
                <w:color w:val="333333"/>
              </w:rPr>
              <w:t>Year-End Shares</w:t>
            </w:r>
          </w:p>
        </w:tc>
        <w:tc>
          <w:tcPr>
            <w:tcW w:w="700" w:type="dxa"/>
            <w:vAlign w:val="bottom"/>
          </w:tcPr>
          <w:p>
            <w:pPr>
              <w:spacing w:after="0"/>
              <w:rPr>
                <w:sz w:val="17"/>
                <w:szCs w:val="17"/>
                <w:color w:val="auto"/>
              </w:rPr>
            </w:pPr>
          </w:p>
        </w:tc>
        <w:tc>
          <w:tcPr>
            <w:tcW w:w="1040" w:type="dxa"/>
            <w:vAlign w:val="bottom"/>
          </w:tcPr>
          <w:p>
            <w:pPr>
              <w:jc w:val="right"/>
              <w:ind w:right="199"/>
              <w:spacing w:after="0" w:line="200" w:lineRule="exact"/>
              <w:rPr>
                <w:sz w:val="20"/>
                <w:szCs w:val="20"/>
                <w:color w:val="auto"/>
              </w:rPr>
            </w:pPr>
            <w:r>
              <w:rPr>
                <w:rFonts w:ascii="Arial" w:cs="Arial" w:eastAsia="Arial" w:hAnsi="Arial"/>
                <w:sz w:val="20"/>
                <w:szCs w:val="20"/>
                <w:color w:val="333333"/>
              </w:rPr>
              <w:t>71.9</w:t>
            </w:r>
          </w:p>
        </w:tc>
        <w:tc>
          <w:tcPr>
            <w:tcW w:w="680" w:type="dxa"/>
            <w:vAlign w:val="bottom"/>
          </w:tcPr>
          <w:p>
            <w:pPr>
              <w:spacing w:after="0"/>
              <w:rPr>
                <w:sz w:val="17"/>
                <w:szCs w:val="17"/>
                <w:color w:val="auto"/>
              </w:rPr>
            </w:pPr>
          </w:p>
        </w:tc>
        <w:tc>
          <w:tcPr>
            <w:tcW w:w="960" w:type="dxa"/>
            <w:vAlign w:val="bottom"/>
          </w:tcPr>
          <w:p>
            <w:pPr>
              <w:jc w:val="right"/>
              <w:ind w:right="119"/>
              <w:spacing w:after="0" w:line="200" w:lineRule="exact"/>
              <w:rPr>
                <w:sz w:val="20"/>
                <w:szCs w:val="20"/>
                <w:color w:val="auto"/>
              </w:rPr>
            </w:pPr>
            <w:r>
              <w:rPr>
                <w:rFonts w:ascii="Arial" w:cs="Arial" w:eastAsia="Arial" w:hAnsi="Arial"/>
                <w:sz w:val="20"/>
                <w:szCs w:val="20"/>
                <w:color w:val="333333"/>
              </w:rPr>
              <w:t>79.3</w:t>
            </w:r>
          </w:p>
        </w:tc>
        <w:tc>
          <w:tcPr>
            <w:tcW w:w="740" w:type="dxa"/>
            <w:vAlign w:val="bottom"/>
          </w:tcPr>
          <w:p>
            <w:pPr>
              <w:spacing w:after="0"/>
              <w:rPr>
                <w:sz w:val="17"/>
                <w:szCs w:val="17"/>
                <w:color w:val="auto"/>
              </w:rPr>
            </w:pPr>
          </w:p>
        </w:tc>
        <w:tc>
          <w:tcPr>
            <w:tcW w:w="1060" w:type="dxa"/>
            <w:vAlign w:val="bottom"/>
          </w:tcPr>
          <w:p>
            <w:pPr>
              <w:jc w:val="right"/>
              <w:ind w:right="200"/>
              <w:spacing w:after="0" w:line="200" w:lineRule="exact"/>
              <w:rPr>
                <w:sz w:val="20"/>
                <w:szCs w:val="20"/>
                <w:color w:val="auto"/>
              </w:rPr>
            </w:pPr>
            <w:r>
              <w:rPr>
                <w:rFonts w:ascii="Arial" w:cs="Arial" w:eastAsia="Arial" w:hAnsi="Arial"/>
                <w:sz w:val="20"/>
                <w:szCs w:val="20"/>
                <w:color w:val="333333"/>
              </w:rPr>
              <w:t>83.3</w:t>
            </w:r>
          </w:p>
        </w:tc>
        <w:tc>
          <w:tcPr>
            <w:tcW w:w="0" w:type="dxa"/>
            <w:vAlign w:val="bottom"/>
          </w:tcPr>
          <w:p>
            <w:pPr>
              <w:spacing w:after="0"/>
              <w:rPr>
                <w:sz w:val="1"/>
                <w:szCs w:val="1"/>
                <w:color w:val="auto"/>
              </w:rPr>
            </w:pPr>
          </w:p>
        </w:tc>
      </w:tr>
      <w:tr>
        <w:trPr>
          <w:trHeight w:val="236"/>
        </w:trPr>
        <w:tc>
          <w:tcPr>
            <w:tcW w:w="860" w:type="dxa"/>
            <w:vAlign w:val="bottom"/>
          </w:tcPr>
          <w:p>
            <w:pPr>
              <w:spacing w:after="0"/>
              <w:rPr>
                <w:sz w:val="20"/>
                <w:szCs w:val="20"/>
                <w:color w:val="auto"/>
              </w:rPr>
            </w:pPr>
          </w:p>
        </w:tc>
        <w:tc>
          <w:tcPr>
            <w:tcW w:w="4780" w:type="dxa"/>
            <w:vAlign w:val="bottom"/>
            <w:textDirection w:val="btLr"/>
          </w:tcPr>
          <w:p>
            <w:pPr>
              <w:ind w:left="4608"/>
              <w:spacing w:after="0"/>
              <w:rPr>
                <w:sz w:val="20"/>
                <w:szCs w:val="20"/>
                <w:color w:val="auto"/>
              </w:rPr>
            </w:pPr>
            <w:r>
              <w:rPr>
                <w:rFonts w:ascii="Arial" w:cs="Arial" w:eastAsia="Arial" w:hAnsi="Arial"/>
                <w:sz w:val="15"/>
                <w:szCs w:val="15"/>
                <w:b w:val="1"/>
                <w:bCs w:val="1"/>
                <w:color w:val="E4EBE6"/>
                <w:w w:val="71"/>
              </w:rPr>
              <w:t>2022</w:t>
            </w:r>
          </w:p>
        </w:tc>
        <w:tc>
          <w:tcPr>
            <w:tcW w:w="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6"/>
          <w:szCs w:val="16"/>
          <w:color w:val="333333"/>
        </w:rPr>
      </w:pPr>
      <w:r>
        <w:rPr>
          <w:rFonts w:ascii="Arial" w:cs="Arial" w:eastAsia="Arial" w:hAnsi="Arial"/>
          <w:sz w:val="16"/>
          <w:szCs w:val="16"/>
          <w:color w:val="333333"/>
        </w:rPr>
        <mc:AlternateContent>
          <mc:Choice Requires="wps">
            <w:drawing>
              <wp:anchor simplePos="0" relativeHeight="251657728" behindDoc="1" locked="0" layoutInCell="0" allowOverlap="1">
                <wp:simplePos x="0" y="0"/>
                <wp:positionH relativeFrom="column">
                  <wp:posOffset>542925</wp:posOffset>
                </wp:positionH>
                <wp:positionV relativeFrom="paragraph">
                  <wp:posOffset>-46990</wp:posOffset>
                </wp:positionV>
                <wp:extent cx="6332855" cy="19304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2855" cy="193040"/>
                        </a:xfrm>
                        <a:prstGeom prst="rect">
                          <a:avLst/>
                        </a:prstGeom>
                        <a:solidFill>
                          <a:srgbClr val="C1D2C9"/>
                        </a:solidFill>
                      </wps:spPr>
                      <wps:bodyPr/>
                    </wps:wsp>
                  </a:graphicData>
                </a:graphic>
              </wp:anchor>
            </w:drawing>
          </mc:Choice>
          <mc:Fallback>
            <w:pict>
              <v:rect id="Shape 3" o:spid="_x0000_s1028" style="position:absolute;margin-left:42.75pt;margin-top:-3.6999pt;width:498.65pt;height:15.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1D2C9" stroked="f"/>
            </w:pict>
          </mc:Fallback>
        </mc:AlternateContent>
      </w:r>
    </w:p>
    <w:p>
      <w:pPr>
        <w:ind w:left="1040"/>
        <w:spacing w:after="0"/>
        <w:rPr>
          <w:sz w:val="20"/>
          <w:szCs w:val="20"/>
          <w:color w:val="auto"/>
        </w:rPr>
      </w:pPr>
      <w:r>
        <w:rPr>
          <w:rFonts w:ascii="Arial" w:cs="Arial" w:eastAsia="Arial" w:hAnsi="Arial"/>
          <w:sz w:val="22"/>
          <w:szCs w:val="22"/>
          <w:color w:val="095C5B"/>
        </w:rPr>
        <w:t>OPERATIONAL HIGHLIGHTS</w:t>
      </w: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377" w:lineRule="exact"/>
        <w:rPr>
          <w:rFonts w:ascii="Arial" w:cs="Arial" w:eastAsia="Arial" w:hAnsi="Arial"/>
          <w:sz w:val="16"/>
          <w:szCs w:val="16"/>
          <w:color w:val="333333"/>
        </w:rPr>
      </w:pPr>
    </w:p>
    <w:p>
      <w:pPr>
        <w:ind w:left="1040"/>
        <w:spacing w:after="0"/>
        <w:rPr>
          <w:sz w:val="20"/>
          <w:szCs w:val="20"/>
          <w:color w:val="auto"/>
        </w:rPr>
      </w:pPr>
      <w:r>
        <w:rPr>
          <w:rFonts w:ascii="Arial" w:cs="Arial" w:eastAsia="Arial" w:hAnsi="Arial"/>
          <w:sz w:val="20"/>
          <w:szCs w:val="20"/>
          <w:color w:val="333333"/>
        </w:rPr>
        <w:t>Production:</w:t>
      </w:r>
    </w:p>
    <w:p>
      <w:pPr>
        <w:spacing w:after="0" w:line="230" w:lineRule="exact"/>
        <w:rPr>
          <w:rFonts w:ascii="Arial" w:cs="Arial" w:eastAsia="Arial" w:hAnsi="Arial"/>
          <w:sz w:val="16"/>
          <w:szCs w:val="16"/>
          <w:color w:val="333333"/>
        </w:rPr>
      </w:pPr>
    </w:p>
    <w:p>
      <w:pPr>
        <w:ind w:left="1040"/>
        <w:spacing w:after="0"/>
        <w:rPr>
          <w:sz w:val="20"/>
          <w:szCs w:val="20"/>
          <w:color w:val="auto"/>
        </w:rPr>
      </w:pPr>
      <w:r>
        <w:rPr>
          <w:rFonts w:ascii="Arial" w:cs="Arial" w:eastAsia="Arial" w:hAnsi="Arial"/>
          <w:sz w:val="20"/>
          <w:szCs w:val="20"/>
          <w:color w:val="333333"/>
        </w:rPr>
        <w:t>Oil (MBbl/d)NGLs(MBbl/d)NaturalGas(MMcf/d)Total(MBoe/d)</w:t>
      </w:r>
      <w:r>
        <w:rPr>
          <w:rFonts w:ascii="Arial" w:cs="Arial" w:eastAsia="Arial" w:hAnsi="Arial"/>
          <w:sz w:val="11"/>
          <w:szCs w:val="11"/>
          <w:color w:val="333333"/>
        </w:rPr>
        <w:t>(b)</w:t>
      </w:r>
    </w:p>
    <w:p>
      <w:pPr>
        <w:ind w:left="1040" w:right="8100"/>
        <w:spacing w:after="0" w:line="2394" w:lineRule="auto"/>
        <w:rPr>
          <w:sz w:val="20"/>
          <w:szCs w:val="20"/>
          <w:color w:val="auto"/>
        </w:rPr>
      </w:pPr>
      <w:r>
        <w:rPr>
          <w:rFonts w:ascii="Arial" w:cs="Arial" w:eastAsia="Arial" w:hAnsi="Arial"/>
          <w:sz w:val="16"/>
          <w:szCs w:val="16"/>
          <w:color w:val="333333"/>
        </w:rPr>
        <w:t>Average Realized Prices: Oil with hedge ($/Bbl) Oil without hedge ($/Bbl) NGLs ($/Bbl) Natural Gas ($/Mcf)</w:t>
      </w: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99" w:lineRule="exact"/>
        <w:rPr>
          <w:rFonts w:ascii="Arial" w:cs="Arial" w:eastAsia="Arial" w:hAnsi="Arial"/>
          <w:sz w:val="16"/>
          <w:szCs w:val="16"/>
          <w:color w:val="333333"/>
        </w:rPr>
      </w:pPr>
    </w:p>
    <w:p>
      <w:pPr>
        <w:ind w:left="1040"/>
        <w:spacing w:after="0"/>
        <w:rPr>
          <w:sz w:val="20"/>
          <w:szCs w:val="20"/>
          <w:color w:val="auto"/>
        </w:rPr>
      </w:pPr>
      <w:r>
        <w:rPr>
          <w:rFonts w:ascii="Arial" w:cs="Arial" w:eastAsia="Arial" w:hAnsi="Arial"/>
          <w:sz w:val="20"/>
          <w:szCs w:val="20"/>
          <w:color w:val="333333"/>
        </w:rPr>
        <w:t>Reserves:Oil(MMBbl)NGLs(MMBbl)NaturalGas(Bcf)Total(MMBoe)</w:t>
      </w:r>
      <w:r>
        <w:rPr>
          <w:rFonts w:ascii="Arial" w:cs="Arial" w:eastAsia="Arial" w:hAnsi="Arial"/>
          <w:sz w:val="11"/>
          <w:szCs w:val="11"/>
          <w:color w:val="333333"/>
        </w:rPr>
        <w:t>(b)</w:t>
      </w:r>
    </w:p>
    <w:p>
      <w:pPr>
        <w:ind w:left="1040" w:right="6740"/>
        <w:spacing w:after="0" w:line="263" w:lineRule="auto"/>
        <w:rPr>
          <w:sz w:val="20"/>
          <w:szCs w:val="20"/>
          <w:color w:val="auto"/>
        </w:rPr>
      </w:pPr>
      <w:r>
        <w:rPr>
          <w:rFonts w:ascii="Arial" w:cs="Arial" w:eastAsia="Arial" w:hAnsi="Arial"/>
          <w:sz w:val="19"/>
          <w:szCs w:val="19"/>
          <w:color w:val="333333"/>
        </w:rPr>
        <w:t>Standardized Measure of Discounted Future Net Cash Flows (in billions)</w:t>
      </w:r>
    </w:p>
    <w:p>
      <w:pPr>
        <w:spacing w:after="0" w:line="41" w:lineRule="exact"/>
        <w:rPr>
          <w:rFonts w:ascii="Arial" w:cs="Arial" w:eastAsia="Arial" w:hAnsi="Arial"/>
          <w:sz w:val="16"/>
          <w:szCs w:val="16"/>
          <w:color w:val="333333"/>
        </w:rPr>
      </w:pPr>
    </w:p>
    <w:p>
      <w:pPr>
        <w:ind w:left="1040"/>
        <w:spacing w:after="0"/>
        <w:rPr>
          <w:sz w:val="20"/>
          <w:szCs w:val="20"/>
          <w:color w:val="auto"/>
        </w:rPr>
      </w:pPr>
      <w:r>
        <w:rPr>
          <w:rFonts w:ascii="Arial" w:cs="Arial" w:eastAsia="Arial" w:hAnsi="Arial"/>
          <w:sz w:val="20"/>
          <w:szCs w:val="20"/>
          <w:color w:val="333333"/>
        </w:rPr>
        <w:t>PV-10 of Cash Flows (in billions)</w:t>
      </w:r>
      <w:r>
        <w:rPr>
          <w:rFonts w:ascii="Arial" w:cs="Arial" w:eastAsia="Arial" w:hAnsi="Arial"/>
          <w:sz w:val="23"/>
          <w:szCs w:val="23"/>
          <w:color w:val="333333"/>
          <w:vertAlign w:val="superscript"/>
        </w:rPr>
        <w:t>(a)</w:t>
      </w:r>
    </w:p>
    <w:p>
      <w:pPr>
        <w:spacing w:after="0" w:line="94" w:lineRule="exact"/>
        <w:rPr>
          <w:rFonts w:ascii="Arial" w:cs="Arial" w:eastAsia="Arial" w:hAnsi="Arial"/>
          <w:sz w:val="16"/>
          <w:szCs w:val="16"/>
          <w:color w:val="333333"/>
        </w:rPr>
      </w:pPr>
    </w:p>
    <w:p>
      <w:pPr>
        <w:ind w:left="1040" w:right="7300"/>
        <w:spacing w:after="0"/>
        <w:rPr>
          <w:sz w:val="20"/>
          <w:szCs w:val="20"/>
          <w:color w:val="auto"/>
        </w:rPr>
      </w:pPr>
      <w:r>
        <w:rPr>
          <w:rFonts w:ascii="Arial" w:cs="Arial" w:eastAsia="Arial" w:hAnsi="Arial"/>
          <w:sz w:val="20"/>
          <w:szCs w:val="20"/>
          <w:color w:val="333333"/>
        </w:rPr>
        <w:t>Net Mineral Acreage (in thousands): Developed</w:t>
      </w:r>
    </w:p>
    <w:p>
      <w:pPr>
        <w:ind w:left="1040" w:right="8960"/>
        <w:spacing w:after="0" w:line="8346" w:lineRule="auto"/>
        <w:rPr>
          <w:sz w:val="20"/>
          <w:szCs w:val="20"/>
          <w:color w:val="auto"/>
        </w:rPr>
      </w:pPr>
      <w:r>
        <w:rPr>
          <w:rFonts w:ascii="Arial" w:cs="Arial" w:eastAsia="Arial" w:hAnsi="Arial"/>
          <w:sz w:val="16"/>
          <w:szCs w:val="16"/>
          <w:color w:val="333333"/>
        </w:rPr>
        <w:t>Undeveloped Total</w:t>
      </w: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99" w:lineRule="exact"/>
        <w:rPr>
          <w:rFonts w:ascii="Arial" w:cs="Arial" w:eastAsia="Arial" w:hAnsi="Arial"/>
          <w:sz w:val="16"/>
          <w:szCs w:val="16"/>
          <w:color w:val="333333"/>
        </w:rPr>
      </w:pPr>
    </w:p>
    <w:p>
      <w:pPr>
        <w:ind w:left="1040"/>
        <w:spacing w:after="0"/>
        <w:rPr>
          <w:sz w:val="20"/>
          <w:szCs w:val="20"/>
          <w:color w:val="auto"/>
        </w:rPr>
      </w:pPr>
      <w:r>
        <w:rPr>
          <w:rFonts w:ascii="Arial" w:cs="Arial" w:eastAsia="Arial" w:hAnsi="Arial"/>
          <w:sz w:val="20"/>
          <w:szCs w:val="20"/>
          <w:color w:val="333333"/>
        </w:rPr>
        <w:t>Closing Share Price</w:t>
      </w:r>
    </w:p>
    <w:p>
      <w:pPr>
        <w:spacing w:after="0" w:line="361" w:lineRule="exact"/>
        <w:rPr>
          <w:rFonts w:ascii="Arial" w:cs="Arial" w:eastAsia="Arial" w:hAnsi="Arial"/>
          <w:sz w:val="16"/>
          <w:szCs w:val="16"/>
          <w:color w:val="333333"/>
        </w:rPr>
      </w:pPr>
    </w:p>
    <w:p>
      <w:pPr>
        <w:ind w:left="1040"/>
        <w:spacing w:after="0"/>
        <w:rPr>
          <w:sz w:val="20"/>
          <w:szCs w:val="20"/>
          <w:color w:val="auto"/>
        </w:rPr>
      </w:pPr>
      <w:r>
        <w:rPr>
          <w:rFonts w:ascii="Arial" w:cs="Arial" w:eastAsia="Arial" w:hAnsi="Arial"/>
          <w:sz w:val="12"/>
          <w:szCs w:val="12"/>
          <w:color w:val="333333"/>
        </w:rPr>
        <w:t>*Note: 2020 represents the combined successor and predecessor periods as defined in Note 1 - Nature of Business, Summary of Significant Accounting Policies and Other.</w:t>
      </w:r>
    </w:p>
    <w:p>
      <w:pPr>
        <w:spacing w:after="0" w:line="35" w:lineRule="exact"/>
        <w:rPr>
          <w:rFonts w:ascii="Arial" w:cs="Arial" w:eastAsia="Arial" w:hAnsi="Arial"/>
          <w:sz w:val="16"/>
          <w:szCs w:val="16"/>
          <w:color w:val="333333"/>
        </w:rPr>
      </w:pPr>
    </w:p>
    <w:p>
      <w:pPr>
        <w:ind w:left="1040"/>
        <w:spacing w:after="0" w:line="256" w:lineRule="auto"/>
        <w:rPr>
          <w:sz w:val="20"/>
          <w:szCs w:val="20"/>
          <w:color w:val="auto"/>
        </w:rPr>
      </w:pPr>
      <w:r>
        <w:rPr>
          <w:rFonts w:ascii="Arial" w:cs="Arial" w:eastAsia="Arial" w:hAnsi="Arial"/>
          <w:sz w:val="12"/>
          <w:szCs w:val="12"/>
          <w:color w:val="333333"/>
        </w:rPr>
        <w:t>(a) Please see crc.com, Investor Relations for copies of CRC's earnings releases and Annual Reports filed on Form 10-K that include a discussion of these performance and non-GAAP measures, including a reconcililation to the most closely related GAAP measure or information on the related calculations.</w:t>
      </w:r>
    </w:p>
    <w:p>
      <w:pPr>
        <w:spacing w:after="0" w:line="1" w:lineRule="exact"/>
        <w:rPr>
          <w:rFonts w:ascii="Arial" w:cs="Arial" w:eastAsia="Arial" w:hAnsi="Arial"/>
          <w:sz w:val="16"/>
          <w:szCs w:val="16"/>
          <w:color w:val="333333"/>
        </w:rPr>
      </w:pPr>
    </w:p>
    <w:p>
      <w:pPr>
        <w:ind w:left="1040"/>
        <w:spacing w:after="0"/>
        <w:rPr>
          <w:sz w:val="20"/>
          <w:szCs w:val="20"/>
          <w:color w:val="auto"/>
        </w:rPr>
      </w:pPr>
      <w:r>
        <w:rPr>
          <w:rFonts w:ascii="Arial" w:cs="Arial" w:eastAsia="Arial" w:hAnsi="Arial"/>
          <w:sz w:val="9"/>
          <w:szCs w:val="9"/>
          <w:color w:val="333333"/>
        </w:rPr>
        <w:t>(b) Natural gas volumes have been converted to Boe based on the equivalence of energy content between six Mcf of natural gas and one barrel of oil. Barrels of oil equivalence does not necessarily result in price equivalence.</w:t>
      </w:r>
    </w:p>
    <w:p>
      <w:pPr>
        <w:spacing w:after="0" w:line="37" w:lineRule="exact"/>
        <w:rPr>
          <w:rFonts w:ascii="Arial" w:cs="Arial" w:eastAsia="Arial" w:hAnsi="Arial"/>
          <w:sz w:val="16"/>
          <w:szCs w:val="16"/>
          <w:color w:val="333333"/>
        </w:rPr>
      </w:pPr>
    </w:p>
    <w:p>
      <w:pPr>
        <w:ind w:left="1040" w:right="140"/>
        <w:spacing w:after="0" w:line="278" w:lineRule="auto"/>
        <w:rPr>
          <w:sz w:val="20"/>
          <w:szCs w:val="20"/>
          <w:color w:val="auto"/>
        </w:rPr>
      </w:pPr>
      <w:r>
        <w:rPr>
          <w:rFonts w:ascii="Arial" w:cs="Arial" w:eastAsia="Arial" w:hAnsi="Arial"/>
          <w:sz w:val="10"/>
          <w:szCs w:val="10"/>
          <w:color w:val="333333"/>
        </w:rPr>
        <w:t>This report contains forward-looking statements that involve risks and uncertainties that could materially affect our expected results of operations, liquidity, cash flows and business prospects. For a discussion of these risks and uncertainties, please refer to the “Risk Factors” and “Forward-Looking Statements” described in our Annual Report on Form 10-K. Words such as “anticipate,” “believe,” “continue,” “could,” “estimate,” “expect,” “goal,” “intend,” “likely,” “may,” “might,” “plan,” “potential,” “project,” “seek,” “should,” “target,” “will” or “would” and similar words that reflect the prospective nature of events or outcomes typically identify forward-looking statements. Any forward-looking statement speaks only as of the date on which such statement is made and we undertake no obligation to correct or update any forward-looking statement, except as required by applicable law.</w:t>
      </w:r>
    </w:p>
    <w:p>
      <w:pPr>
        <w:sectPr>
          <w:pgSz w:w="11880" w:h="15480" w:orient="portrait"/>
          <w:cols w:equalWidth="0" w:num="1">
            <w:col w:w="10960"/>
          </w:cols>
          <w:pgMar w:left="0" w:top="689" w:right="920" w:bottom="144" w:gutter="0" w:footer="0" w:header="0"/>
        </w:sectPr>
      </w:pPr>
    </w:p>
    <w:bookmarkStart w:id="2" w:name="page3"/>
    <w:bookmarkEnd w:id="2"/>
    <w:p>
      <w:pPr>
        <w:spacing w:after="0"/>
        <w:rPr>
          <w:sz w:val="20"/>
          <w:szCs w:val="20"/>
          <w:color w:val="auto"/>
        </w:rPr>
      </w:pPr>
      <w:r>
        <w:rPr>
          <w:rFonts w:ascii="Arial" w:cs="Arial" w:eastAsia="Arial" w:hAnsi="Arial"/>
          <w:sz w:val="32"/>
          <w:szCs w:val="32"/>
          <w:b w:val="1"/>
          <w:bCs w:val="1"/>
          <w:color w:val="auto"/>
        </w:rPr>
        <w:t>A MESSAGE TO OUR SHAREHOLDERS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Dear Shareholders,</w:t>
      </w:r>
    </w:p>
    <w:p>
      <w:pPr>
        <w:spacing w:after="0" w:line="256" w:lineRule="exact"/>
        <w:rPr>
          <w:sz w:val="20"/>
          <w:szCs w:val="20"/>
          <w:color w:val="auto"/>
        </w:rPr>
      </w:pPr>
    </w:p>
    <w:p>
      <w:pPr>
        <w:ind w:right="200" w:firstLine="400"/>
        <w:spacing w:after="0" w:line="263" w:lineRule="auto"/>
        <w:rPr>
          <w:sz w:val="20"/>
          <w:szCs w:val="20"/>
          <w:color w:val="auto"/>
        </w:rPr>
      </w:pPr>
      <w:r>
        <w:rPr>
          <w:rFonts w:ascii="Arial" w:cs="Arial" w:eastAsia="Arial" w:hAnsi="Arial"/>
          <w:sz w:val="19"/>
          <w:szCs w:val="19"/>
          <w:color w:val="auto"/>
        </w:rPr>
        <w:t>During 2022 we demonstrated the adaptability of our teams, resilience of our assets and optionality of our portfolio. Despite inflationary pressures and an evolving regulatory environment, we remained focused on developing our core low-decline assets in the San Joaquin and Los Angeles basins to deliver some of the lowest carbon intensity barrels in the United States. We generated</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91,000 barrels of oil equivalent per day and delivered record operating cash flow and operating margin.</w:t>
      </w:r>
    </w:p>
    <w:p>
      <w:pPr>
        <w:spacing w:after="0" w:line="262" w:lineRule="exact"/>
        <w:rPr>
          <w:sz w:val="20"/>
          <w:szCs w:val="20"/>
          <w:color w:val="auto"/>
        </w:rPr>
      </w:pPr>
    </w:p>
    <w:p>
      <w:pPr>
        <w:ind w:firstLine="400"/>
        <w:spacing w:after="0" w:line="248" w:lineRule="auto"/>
        <w:rPr>
          <w:sz w:val="20"/>
          <w:szCs w:val="20"/>
          <w:color w:val="auto"/>
        </w:rPr>
      </w:pPr>
      <w:r>
        <w:rPr>
          <w:rFonts w:ascii="Arial" w:cs="Arial" w:eastAsia="Arial" w:hAnsi="Arial"/>
          <w:sz w:val="20"/>
          <w:szCs w:val="20"/>
          <w:color w:val="auto"/>
        </w:rPr>
        <w:t>We generated $690 million of operating cash flow, $311 million of free cash flow and returned over 100% of that free cash flow to shareholders through dividends and share repurchases. Since the inception of our share repurchase program in 2021 through year-end 2022, CRC has acquired nearly 14% of our common stock, demonstrating our commitment to shareholder returns.</w:t>
      </w:r>
    </w:p>
    <w:p>
      <w:pPr>
        <w:spacing w:after="0" w:line="249" w:lineRule="exact"/>
        <w:rPr>
          <w:sz w:val="20"/>
          <w:szCs w:val="20"/>
          <w:color w:val="auto"/>
        </w:rPr>
      </w:pPr>
    </w:p>
    <w:p>
      <w:pPr>
        <w:ind w:right="20" w:firstLine="400"/>
        <w:spacing w:after="0" w:line="250" w:lineRule="auto"/>
        <w:rPr>
          <w:sz w:val="20"/>
          <w:szCs w:val="20"/>
          <w:color w:val="auto"/>
        </w:rPr>
      </w:pPr>
      <w:r>
        <w:rPr>
          <w:rFonts w:ascii="Arial" w:cs="Arial" w:eastAsia="Arial" w:hAnsi="Arial"/>
          <w:sz w:val="20"/>
          <w:szCs w:val="20"/>
          <w:color w:val="auto"/>
        </w:rPr>
        <w:t>We also continued to advance our carbon management business. Building off momentum created in 2021, we filed two additional Class VI permits and now have storage applications representing a cumulative total of approximately 140 million metric tons of carbon storage. We also created a joint venture (JV) with Brookfield Renewable targeting sequestration of 5 million metric tons of carbon dioxide. The unique structure of the JV, in which Brookfield may contribute $10 per ton for its 49% share of storage assets under development, provides a marker for the value of our storage reservoirs and is expected to de-risk capital requirements for CRC. Additionally, at the end of 2022 and beginning of 2023, we announced our first two carbon dioxide management agreements – with Lone Cypress Energy Services, LLC, and Grannus, LLC – a significant milestone for our Carbon TerraVault business signifying both the demand for our storage tanks and a pathway to our first carbon capture and storage (CCS) projects.</w:t>
      </w:r>
    </w:p>
    <w:p>
      <w:pPr>
        <w:spacing w:after="0" w:line="245" w:lineRule="exact"/>
        <w:rPr>
          <w:sz w:val="20"/>
          <w:szCs w:val="20"/>
          <w:color w:val="auto"/>
        </w:rPr>
      </w:pPr>
    </w:p>
    <w:p>
      <w:pPr>
        <w:ind w:right="60" w:firstLine="400"/>
        <w:spacing w:after="0" w:line="249" w:lineRule="auto"/>
        <w:rPr>
          <w:sz w:val="20"/>
          <w:szCs w:val="20"/>
          <w:color w:val="auto"/>
        </w:rPr>
      </w:pPr>
      <w:r>
        <w:rPr>
          <w:rFonts w:ascii="Arial" w:cs="Arial" w:eastAsia="Arial" w:hAnsi="Arial"/>
          <w:sz w:val="20"/>
          <w:szCs w:val="20"/>
          <w:color w:val="auto"/>
        </w:rPr>
        <w:t>In addition to advancing CCS, we updated and expanded our ESG goals that build upon CRC’s commitment to sustainability and its 2045 Full-Scope Net Zero Goal for Scope 1, 2 and 3 emissions. The ESG goals tie 30% of executive annual incentive pay to ESG metrics; establish ethnic, racial and gender diversity in leadership goals; and enhance our methane and freshwater reduction goals and community giving goal. Our dedication to energy transition and our ongoing sustainability strategy aligns with California’s climate goals under the Paris Climate Accord and further positions CRC as one of the leading energy transition companies in the state.</w:t>
      </w:r>
    </w:p>
    <w:p>
      <w:pPr>
        <w:spacing w:after="0" w:line="250" w:lineRule="exact"/>
        <w:rPr>
          <w:sz w:val="20"/>
          <w:szCs w:val="20"/>
          <w:color w:val="auto"/>
        </w:rPr>
      </w:pPr>
    </w:p>
    <w:p>
      <w:pPr>
        <w:ind w:right="20" w:firstLine="400"/>
        <w:spacing w:after="0" w:line="249" w:lineRule="auto"/>
        <w:rPr>
          <w:sz w:val="20"/>
          <w:szCs w:val="20"/>
          <w:color w:val="auto"/>
        </w:rPr>
      </w:pPr>
      <w:r>
        <w:rPr>
          <w:rFonts w:ascii="Arial" w:cs="Arial" w:eastAsia="Arial" w:hAnsi="Arial"/>
          <w:sz w:val="20"/>
          <w:szCs w:val="20"/>
          <w:color w:val="auto"/>
        </w:rPr>
        <w:t>Looking ahead, CRC will maintain its shareholder return mindset with a focus on delivering strong and sustainable cash flows through disciplined capital allocation. CRC continues to adapt and evolve, and I am excited to have Francisco at the helm going forward. I would like to thank the talented women and men of CRC for their dedication and support as we continue to create a different kind of energy company.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1083310" cy="447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extLst>
                    </a:blip>
                    <a:srcRect/>
                    <a:stretch>
                      <a:fillRect/>
                    </a:stretch>
                  </pic:blipFill>
                  <pic:spPr bwMode="auto">
                    <a:xfrm>
                      <a:off x="0" y="0"/>
                      <a:ext cx="1083310" cy="447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Mark A. (Mac) McFarland</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President and Chief Executive Officer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California Resources Corporation</w:t>
      </w:r>
    </w:p>
    <w:p>
      <w:pPr>
        <w:sectPr>
          <w:pgSz w:w="11880" w:h="15480" w:orient="portrait"/>
          <w:cols w:equalWidth="0" w:num="1">
            <w:col w:w="9100"/>
          </w:cols>
          <w:pgMar w:left="1380" w:top="1318" w:right="1400"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INTENTIONALLY LEFT BLANK]</w:t>
      </w:r>
    </w:p>
    <w:p>
      <w:pPr>
        <w:sectPr>
          <w:pgSz w:w="11880" w:h="15480" w:orient="portrait"/>
          <w:cols w:equalWidth="0" w:num="1">
            <w:col w:w="9000"/>
          </w:cols>
          <w:pgMar w:left="1440" w:top="1440" w:right="1440" w:bottom="1440" w:gutter="0" w:footer="0" w:header="0"/>
        </w:sectPr>
      </w:pPr>
    </w:p>
    <w:bookmarkStart w:id="4" w:name="page5"/>
    <w:bookmarkEnd w:id="4"/>
    <w:p>
      <w:pPr>
        <w:jc w:val="center"/>
        <w:ind w:right="420"/>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13"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Washington, D.C. 20549</w:t>
      </w:r>
    </w:p>
    <w:p>
      <w:pPr>
        <w:spacing w:after="0" w:line="56" w:lineRule="exact"/>
        <w:rPr>
          <w:sz w:val="20"/>
          <w:szCs w:val="20"/>
          <w:color w:val="auto"/>
        </w:rPr>
      </w:pPr>
    </w:p>
    <w:p>
      <w:pPr>
        <w:jc w:val="center"/>
        <w:ind w:right="420"/>
        <w:spacing w:after="0"/>
        <w:rPr>
          <w:sz w:val="20"/>
          <w:szCs w:val="20"/>
          <w:color w:val="auto"/>
        </w:rPr>
      </w:pPr>
      <w:r>
        <w:rPr>
          <w:rFonts w:ascii="Arial" w:cs="Arial" w:eastAsia="Arial" w:hAnsi="Arial"/>
          <w:sz w:val="24"/>
          <w:szCs w:val="24"/>
          <w:b w:val="1"/>
          <w:bCs w:val="1"/>
          <w:color w:val="auto"/>
        </w:rPr>
        <w:t>Form 10-K</w:t>
      </w:r>
    </w:p>
    <w:p>
      <w:pPr>
        <w:spacing w:after="0" w:line="81" w:lineRule="exact"/>
        <w:rPr>
          <w:sz w:val="20"/>
          <w:szCs w:val="20"/>
          <w:color w:val="auto"/>
        </w:rPr>
      </w:pPr>
    </w:p>
    <w:p>
      <w:pPr>
        <w:ind w:left="640" w:right="500" w:hanging="640"/>
        <w:spacing w:after="0" w:line="250"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December 31, 2022</w:t>
      </w:r>
    </w:p>
    <w:p>
      <w:pPr>
        <w:spacing w:after="0" w:line="9" w:lineRule="exact"/>
        <w:rPr>
          <w:sz w:val="20"/>
          <w:szCs w:val="20"/>
          <w:color w:val="auto"/>
        </w:rPr>
      </w:pPr>
    </w:p>
    <w:p>
      <w:pPr>
        <w:ind w:left="640" w:right="600" w:hanging="630"/>
        <w:spacing w:after="0" w:line="245"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TRANSITION REPORT PURSUANT TO SECTION 13 OR 15(d) OF THE SECURITIES EXCHANGE ACT OF</w:t>
      </w:r>
      <w:r>
        <w:rPr>
          <w:rFonts w:ascii="Arial" w:cs="Arial" w:eastAsia="Arial" w:hAnsi="Arial"/>
          <w:sz w:val="18"/>
          <w:szCs w:val="18"/>
          <w:color w:val="auto"/>
        </w:rPr>
        <w:t xml:space="preserve"> </w:t>
      </w:r>
      <w:r>
        <w:rPr>
          <w:rFonts w:ascii="Arial" w:cs="Arial" w:eastAsia="Arial" w:hAnsi="Arial"/>
          <w:sz w:val="18"/>
          <w:szCs w:val="18"/>
          <w:b w:val="1"/>
          <w:bCs w:val="1"/>
          <w:color w:val="auto"/>
        </w:rPr>
        <w:t>1934</w:t>
      </w:r>
    </w:p>
    <w:p>
      <w:pPr>
        <w:sectPr>
          <w:pgSz w:w="11880" w:h="15480" w:orient="portrait"/>
          <w:cols w:equalWidth="0" w:num="1">
            <w:col w:w="10020"/>
          </w:cols>
          <w:pgMar w:left="1140" w:top="769" w:right="720" w:bottom="121" w:gutter="0" w:footer="0" w:header="0"/>
        </w:sectPr>
      </w:pPr>
    </w:p>
    <w:p>
      <w:pPr>
        <w:spacing w:after="0" w:line="23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 the transition period from</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33" w:lineRule="exact"/>
        <w:rPr>
          <w:sz w:val="20"/>
          <w:szCs w:val="20"/>
          <w:color w:val="auto"/>
        </w:rPr>
      </w:pPr>
    </w:p>
    <w:p>
      <w:pPr>
        <w:sectPr>
          <w:pgSz w:w="11880" w:h="15480" w:orient="portrait"/>
          <w:cols w:equalWidth="0" w:num="2">
            <w:col w:w="3360" w:space="720"/>
            <w:col w:w="5940"/>
          </w:cols>
          <w:pgMar w:left="1140" w:top="769" w:right="720" w:bottom="121" w:gutter="0" w:footer="0" w:header="0"/>
          <w:type w:val="continuous"/>
        </w:sectPr>
      </w:pPr>
    </w:p>
    <w:p>
      <w:pPr>
        <w:ind w:left="3260"/>
        <w:spacing w:after="0"/>
        <w:rPr>
          <w:sz w:val="20"/>
          <w:szCs w:val="20"/>
          <w:color w:val="auto"/>
        </w:rPr>
      </w:pPr>
      <w:r>
        <w:rPr>
          <w:rFonts w:ascii="Arial" w:cs="Arial" w:eastAsia="Arial" w:hAnsi="Arial"/>
          <w:sz w:val="17"/>
          <w:szCs w:val="17"/>
          <w:b w:val="1"/>
          <w:bCs w:val="1"/>
          <w:color w:val="auto"/>
        </w:rPr>
        <w:t>Commission File Number 001-36478</w:t>
      </w:r>
    </w:p>
    <w:p>
      <w:pPr>
        <w:sectPr>
          <w:pgSz w:w="11880" w:h="15480" w:orient="portrait"/>
          <w:cols w:equalWidth="0" w:num="1">
            <w:col w:w="10020"/>
          </w:cols>
          <w:pgMar w:left="1140" w:top="769" w:right="720" w:bottom="121" w:gutter="0" w:footer="0" w:header="0"/>
          <w:type w:val="continuous"/>
        </w:sectPr>
      </w:pPr>
    </w:p>
    <w:p>
      <w:pPr>
        <w:spacing w:after="0" w:line="73" w:lineRule="exact"/>
        <w:rPr>
          <w:sz w:val="20"/>
          <w:szCs w:val="20"/>
          <w:color w:val="auto"/>
        </w:rPr>
      </w:pPr>
    </w:p>
    <w:p>
      <w:pPr>
        <w:jc w:val="center"/>
        <w:ind w:right="420"/>
        <w:spacing w:after="0"/>
        <w:rPr>
          <w:sz w:val="20"/>
          <w:szCs w:val="20"/>
          <w:color w:val="auto"/>
        </w:rPr>
      </w:pPr>
      <w:r>
        <w:rPr>
          <w:rFonts w:ascii="Arial" w:cs="Arial" w:eastAsia="Arial" w:hAnsi="Arial"/>
          <w:sz w:val="35"/>
          <w:szCs w:val="35"/>
          <w:b w:val="1"/>
          <w:bCs w:val="1"/>
          <w:color w:val="auto"/>
        </w:rPr>
        <w:t>California Resources Corporation</w:t>
      </w:r>
    </w:p>
    <w:p>
      <w:pPr>
        <w:ind w:left="2760"/>
        <w:spacing w:after="0" w:line="220" w:lineRule="auto"/>
        <w:rPr>
          <w:sz w:val="20"/>
          <w:szCs w:val="20"/>
          <w:color w:val="auto"/>
        </w:rPr>
      </w:pPr>
      <w:r>
        <w:rPr>
          <w:rFonts w:ascii="Arial" w:cs="Arial" w:eastAsia="Arial" w:hAnsi="Arial"/>
          <w:sz w:val="18"/>
          <w:szCs w:val="18"/>
          <w:color w:val="auto"/>
        </w:rPr>
        <w:t>(Exact name of registrant as specified in its charter)</w:t>
      </w:r>
    </w:p>
    <w:p>
      <w:pPr>
        <w:sectPr>
          <w:pgSz w:w="11880" w:h="15480" w:orient="portrait"/>
          <w:cols w:equalWidth="0" w:num="1">
            <w:col w:w="10020"/>
          </w:cols>
          <w:pgMar w:left="1140" w:top="769" w:right="720" w:bottom="121" w:gutter="0" w:footer="0" w:header="0"/>
          <w:type w:val="continuous"/>
        </w:sectPr>
      </w:pPr>
    </w:p>
    <w:p>
      <w:pPr>
        <w:spacing w:after="0" w:line="97" w:lineRule="exact"/>
        <w:rPr>
          <w:sz w:val="20"/>
          <w:szCs w:val="20"/>
          <w:color w:val="auto"/>
        </w:rPr>
      </w:pPr>
    </w:p>
    <w:p>
      <w:pPr>
        <w:ind w:left="1920"/>
        <w:spacing w:after="0"/>
        <w:rPr>
          <w:sz w:val="20"/>
          <w:szCs w:val="20"/>
          <w:color w:val="auto"/>
        </w:rPr>
      </w:pPr>
      <w:r>
        <w:rPr>
          <w:rFonts w:ascii="Arial" w:cs="Arial" w:eastAsia="Arial" w:hAnsi="Arial"/>
          <w:sz w:val="19"/>
          <w:szCs w:val="19"/>
          <w:b w:val="1"/>
          <w:bCs w:val="1"/>
          <w:color w:val="auto"/>
        </w:rPr>
        <w:t>Delaware</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46-5670947</w:t>
      </w:r>
    </w:p>
    <w:p>
      <w:pPr>
        <w:spacing w:after="0" w:line="11" w:lineRule="exact"/>
        <w:rPr>
          <w:sz w:val="20"/>
          <w:szCs w:val="20"/>
          <w:color w:val="auto"/>
        </w:rPr>
      </w:pPr>
    </w:p>
    <w:p>
      <w:pPr>
        <w:sectPr>
          <w:pgSz w:w="11880" w:h="15480" w:orient="portrait"/>
          <w:cols w:equalWidth="0" w:num="2">
            <w:col w:w="5940" w:space="720"/>
            <w:col w:w="3360"/>
          </w:cols>
          <w:pgMar w:left="1140" w:top="769" w:right="720" w:bottom="121" w:gutter="0" w:footer="0" w:header="0"/>
          <w:type w:val="continuous"/>
        </w:sectPr>
      </w:pPr>
    </w:p>
    <w:p>
      <w:pPr>
        <w:ind w:left="1360"/>
        <w:spacing w:after="0"/>
        <w:rPr>
          <w:sz w:val="20"/>
          <w:szCs w:val="20"/>
          <w:color w:val="auto"/>
        </w:rPr>
      </w:pPr>
      <w:r>
        <w:rPr>
          <w:rFonts w:ascii="Arial" w:cs="Arial" w:eastAsia="Arial" w:hAnsi="Arial"/>
          <w:sz w:val="15"/>
          <w:szCs w:val="15"/>
          <w:color w:val="auto"/>
        </w:rPr>
        <w:t>(State or other jurisdiction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(I.R.S. Employer</w:t>
      </w:r>
    </w:p>
    <w:p>
      <w:pPr>
        <w:spacing w:after="0" w:line="28" w:lineRule="exact"/>
        <w:rPr>
          <w:sz w:val="20"/>
          <w:szCs w:val="20"/>
          <w:color w:val="auto"/>
        </w:rPr>
      </w:pPr>
    </w:p>
    <w:p>
      <w:pPr>
        <w:sectPr>
          <w:pgSz w:w="11880" w:h="15480" w:orient="portrait"/>
          <w:cols w:equalWidth="0" w:num="2">
            <w:col w:w="5900" w:space="720"/>
            <w:col w:w="3400"/>
          </w:cols>
          <w:pgMar w:left="1140" w:top="769" w:right="720" w:bottom="121" w:gutter="0" w:footer="0" w:header="0"/>
          <w:type w:val="continuous"/>
        </w:sectPr>
      </w:pPr>
    </w:p>
    <w:p>
      <w:pPr>
        <w:ind w:left="1320"/>
        <w:spacing w:after="0"/>
        <w:rPr>
          <w:sz w:val="20"/>
          <w:szCs w:val="20"/>
          <w:color w:val="auto"/>
        </w:rPr>
      </w:pPr>
      <w:r>
        <w:rPr>
          <w:rFonts w:ascii="Arial" w:cs="Arial" w:eastAsia="Arial" w:hAnsi="Arial"/>
          <w:sz w:val="15"/>
          <w:szCs w:val="15"/>
          <w:color w:val="auto"/>
        </w:rPr>
        <w:t>incorporation or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Identification No.)</w:t>
      </w:r>
    </w:p>
    <w:p>
      <w:pPr>
        <w:spacing w:after="0" w:line="26" w:lineRule="exact"/>
        <w:rPr>
          <w:sz w:val="20"/>
          <w:szCs w:val="20"/>
          <w:color w:val="auto"/>
        </w:rPr>
      </w:pPr>
    </w:p>
    <w:p>
      <w:pPr>
        <w:sectPr>
          <w:pgSz w:w="11880" w:h="15480" w:orient="portrait"/>
          <w:cols w:equalWidth="0" w:num="2">
            <w:col w:w="5860" w:space="720"/>
            <w:col w:w="3440"/>
          </w:cols>
          <w:pgMar w:left="1140" w:top="769" w:right="720" w:bottom="121" w:gutter="0" w:footer="0" w:header="0"/>
          <w:type w:val="continuous"/>
        </w:sectPr>
      </w:pPr>
    </w:p>
    <w:p>
      <w:pPr>
        <w:ind w:left="3240"/>
        <w:spacing w:after="0"/>
        <w:rPr>
          <w:sz w:val="20"/>
          <w:szCs w:val="20"/>
          <w:color w:val="auto"/>
        </w:rPr>
      </w:pPr>
      <w:r>
        <w:rPr>
          <w:rFonts w:ascii="Arial" w:cs="Arial" w:eastAsia="Arial" w:hAnsi="Arial"/>
          <w:sz w:val="20"/>
          <w:szCs w:val="20"/>
          <w:b w:val="1"/>
          <w:bCs w:val="1"/>
          <w:color w:val="auto"/>
        </w:rPr>
        <w:t>1 World Trade Center, Suite 1500</w:t>
      </w:r>
    </w:p>
    <w:p>
      <w:pPr>
        <w:spacing w:after="0" w:line="10" w:lineRule="exact"/>
        <w:rPr>
          <w:sz w:val="20"/>
          <w:szCs w:val="20"/>
          <w:color w:val="auto"/>
        </w:rPr>
      </w:pPr>
    </w:p>
    <w:p>
      <w:pPr>
        <w:ind w:left="3400"/>
        <w:spacing w:after="0"/>
        <w:rPr>
          <w:sz w:val="20"/>
          <w:szCs w:val="20"/>
          <w:color w:val="auto"/>
        </w:rPr>
      </w:pPr>
      <w:r>
        <w:rPr>
          <w:rFonts w:ascii="Arial" w:cs="Arial" w:eastAsia="Arial" w:hAnsi="Arial"/>
          <w:sz w:val="20"/>
          <w:szCs w:val="20"/>
          <w:b w:val="1"/>
          <w:bCs w:val="1"/>
          <w:color w:val="auto"/>
        </w:rPr>
        <w:t>Long Beach, California 90831</w:t>
      </w:r>
    </w:p>
    <w:p>
      <w:pPr>
        <w:spacing w:after="0" w:line="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(Address of principal executive offices) (Zip Code)</w:t>
      </w:r>
    </w:p>
    <w:p>
      <w:pPr>
        <w:spacing w:after="0" w:line="94" w:lineRule="exact"/>
        <w:rPr>
          <w:sz w:val="20"/>
          <w:szCs w:val="20"/>
          <w:color w:val="auto"/>
        </w:rPr>
      </w:pPr>
    </w:p>
    <w:p>
      <w:pPr>
        <w:jc w:val="center"/>
        <w:ind w:right="420"/>
        <w:spacing w:after="0"/>
        <w:rPr>
          <w:sz w:val="20"/>
          <w:szCs w:val="20"/>
          <w:color w:val="auto"/>
        </w:rPr>
      </w:pPr>
      <w:r>
        <w:rPr>
          <w:rFonts w:ascii="Arial" w:cs="Arial" w:eastAsia="Arial" w:hAnsi="Arial"/>
          <w:sz w:val="20"/>
          <w:szCs w:val="20"/>
          <w:b w:val="1"/>
          <w:bCs w:val="1"/>
          <w:color w:val="auto"/>
        </w:rPr>
        <w:t>(888) 848-4754</w:t>
      </w:r>
    </w:p>
    <w:p>
      <w:pPr>
        <w:spacing w:after="0" w:line="7"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(Registrant’s telephone number, including area code)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880" w:h="15480" w:orient="portrait"/>
          <w:cols w:equalWidth="0" w:num="1">
            <w:col w:w="10020"/>
          </w:cols>
          <w:pgMar w:left="1140" w:top="769" w:right="720" w:bottom="121" w:gutter="0" w:footer="0" w:header="0"/>
          <w:type w:val="continuous"/>
        </w:sectPr>
      </w:pPr>
    </w:p>
    <w:p>
      <w:pPr>
        <w:spacing w:after="0" w:line="95"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Title of Each Class</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Trading Symbol(s)</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Each Exchange on Which Registered</w:t>
      </w:r>
    </w:p>
    <w:p>
      <w:pPr>
        <w:spacing w:after="0" w:line="13" w:lineRule="exact"/>
        <w:rPr>
          <w:sz w:val="20"/>
          <w:szCs w:val="20"/>
          <w:color w:val="auto"/>
        </w:rPr>
      </w:pPr>
    </w:p>
    <w:p>
      <w:pPr>
        <w:sectPr>
          <w:pgSz w:w="11880" w:h="15480" w:orient="portrait"/>
          <w:cols w:equalWidth="0" w:num="3">
            <w:col w:w="3300" w:space="720"/>
            <w:col w:w="1580" w:space="480"/>
            <w:col w:w="3940"/>
          </w:cols>
          <w:pgMar w:left="1140" w:top="769" w:right="720" w:bottom="121" w:gutter="0" w:footer="0" w:header="0"/>
          <w:type w:val="continuous"/>
        </w:sectPr>
      </w:pPr>
    </w:p>
    <w:p>
      <w:pPr>
        <w:spacing w:after="0" w:line="6" w:lineRule="exact"/>
        <w:rPr>
          <w:sz w:val="20"/>
          <w:szCs w:val="20"/>
          <w:color w:val="auto"/>
        </w:rPr>
      </w:pPr>
    </w:p>
    <w:p>
      <w:pPr>
        <w:ind w:left="940"/>
        <w:spacing w:after="0"/>
        <w:rPr>
          <w:sz w:val="20"/>
          <w:szCs w:val="20"/>
          <w:color w:val="auto"/>
        </w:rPr>
      </w:pPr>
      <w:r>
        <w:rPr>
          <w:rFonts w:ascii="Arial" w:cs="Arial" w:eastAsia="Arial" w:hAnsi="Arial"/>
          <w:sz w:val="17"/>
          <w:szCs w:val="17"/>
          <w:color w:val="auto"/>
        </w:rPr>
        <w:t>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CRC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New York Stock Exchange</w:t>
      </w:r>
    </w:p>
    <w:p>
      <w:pPr>
        <w:spacing w:after="0" w:line="75" w:lineRule="exact"/>
        <w:rPr>
          <w:sz w:val="20"/>
          <w:szCs w:val="20"/>
          <w:color w:val="auto"/>
        </w:rPr>
      </w:pPr>
    </w:p>
    <w:p>
      <w:pPr>
        <w:sectPr>
          <w:pgSz w:w="11880" w:h="15480" w:orient="portrait"/>
          <w:cols w:equalWidth="0" w:num="3">
            <w:col w:w="3880" w:space="720"/>
            <w:col w:w="1660" w:space="720"/>
            <w:col w:w="3040"/>
          </w:cols>
          <w:pgMar w:left="1140" w:top="769" w:right="720" w:bottom="121" w:gutter="0" w:footer="0" w:header="0"/>
          <w:type w:val="continuous"/>
        </w:sectPr>
      </w:pPr>
    </w:p>
    <w:p>
      <w:pPr>
        <w:spacing w:after="0"/>
        <w:rPr>
          <w:sz w:val="20"/>
          <w:szCs w:val="20"/>
          <w:color w:val="auto"/>
        </w:rPr>
      </w:pPr>
      <w:r>
        <w:rPr>
          <w:rFonts w:ascii="Arial" w:cs="Arial" w:eastAsia="Arial" w:hAnsi="Arial"/>
          <w:sz w:val="15"/>
          <w:szCs w:val="15"/>
          <w:color w:val="auto"/>
        </w:rPr>
        <w:t>Securities registered pursuant to Section 12(g) of the Act: None</w:t>
      </w:r>
    </w:p>
    <w:p>
      <w:pPr>
        <w:sectPr>
          <w:pgSz w:w="11880" w:h="15480" w:orient="portrait"/>
          <w:cols w:equalWidth="0" w:num="1">
            <w:col w:w="10020"/>
          </w:cols>
          <w:pgMar w:left="1140" w:top="769" w:right="720" w:bottom="121" w:gutter="0" w:footer="0" w:header="0"/>
          <w:type w:val="continuous"/>
        </w:sectPr>
      </w:pPr>
    </w:p>
    <w:p>
      <w:pPr>
        <w:spacing w:after="0" w:line="86"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Yes ‘ No Í</w:t>
      </w:r>
    </w:p>
    <w:p>
      <w:pPr>
        <w:spacing w:after="0" w:line="79" w:lineRule="exact"/>
        <w:rPr>
          <w:sz w:val="20"/>
          <w:szCs w:val="20"/>
          <w:color w:val="auto"/>
        </w:rPr>
      </w:pPr>
    </w:p>
    <w:p>
      <w:pPr>
        <w:sectPr>
          <w:pgSz w:w="11880" w:h="15480" w:orient="portrait"/>
          <w:cols w:equalWidth="0" w:num="2">
            <w:col w:w="7940" w:space="420"/>
            <w:col w:w="1660"/>
          </w:cols>
          <w:pgMar w:left="1140" w:top="769" w:right="720" w:bottom="121" w:gutter="0" w:footer="0" w:header="0"/>
          <w:type w:val="continuous"/>
        </w:sectPr>
      </w:pPr>
    </w:p>
    <w:p>
      <w:pPr>
        <w:spacing w:after="0" w:line="254" w:lineRule="auto"/>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Yes ‘ No Í</w:t>
      </w:r>
    </w:p>
    <w:p>
      <w:pPr>
        <w:spacing w:after="0" w:line="79" w:lineRule="exact"/>
        <w:rPr>
          <w:sz w:val="20"/>
          <w:szCs w:val="20"/>
          <w:color w:val="auto"/>
        </w:rPr>
      </w:pPr>
    </w:p>
    <w:p>
      <w:pPr>
        <w:sectPr>
          <w:pgSz w:w="11880" w:h="15480" w:orient="portrait"/>
          <w:cols w:equalWidth="0" w:num="2">
            <w:col w:w="8020" w:space="340"/>
            <w:col w:w="1660"/>
          </w:cols>
          <w:pgMar w:left="1140" w:top="769" w:right="720" w:bottom="121" w:gutter="0" w:footer="0" w:header="0"/>
          <w:type w:val="continuous"/>
        </w:sectPr>
      </w:pPr>
    </w:p>
    <w:p>
      <w:pPr>
        <w:ind w:right="580"/>
        <w:spacing w:after="0" w:line="27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w:t>
      </w:r>
    </w:p>
    <w:p>
      <w:pPr>
        <w:spacing w:after="0" w:line="233" w:lineRule="auto"/>
        <w:tabs>
          <w:tab w:leader="none" w:pos="8380" w:val="left"/>
        </w:tabs>
        <w:rPr>
          <w:sz w:val="20"/>
          <w:szCs w:val="20"/>
          <w:color w:val="auto"/>
        </w:rPr>
      </w:pPr>
      <w:r>
        <w:rPr>
          <w:rFonts w:ascii="Arial" w:cs="Arial" w:eastAsia="Arial" w:hAnsi="Arial"/>
          <w:sz w:val="16"/>
          <w:szCs w:val="16"/>
          <w:color w:val="auto"/>
        </w:rPr>
        <w:t>and (2) has been subject to such filing requirements for the past 90 days.</w:t>
      </w:r>
      <w:r>
        <w:rPr>
          <w:sz w:val="20"/>
          <w:szCs w:val="20"/>
          <w:color w:val="auto"/>
        </w:rPr>
        <w:tab/>
      </w:r>
      <w:r>
        <w:rPr>
          <w:rFonts w:ascii="Arial" w:cs="Arial" w:eastAsia="Arial" w:hAnsi="Arial"/>
          <w:sz w:val="16"/>
          <w:szCs w:val="16"/>
          <w:color w:val="auto"/>
        </w:rPr>
        <w:t>Yes Í No ‘</w:t>
      </w:r>
    </w:p>
    <w:p>
      <w:pPr>
        <w:spacing w:after="0" w:line="80" w:lineRule="exact"/>
        <w:rPr>
          <w:sz w:val="20"/>
          <w:szCs w:val="20"/>
          <w:color w:val="auto"/>
        </w:rPr>
      </w:pPr>
    </w:p>
    <w:p>
      <w:pPr>
        <w:ind w:right="460"/>
        <w:spacing w:after="0" w:line="278" w:lineRule="auto"/>
        <w:rPr>
          <w:sz w:val="20"/>
          <w:szCs w:val="20"/>
          <w:color w:val="auto"/>
        </w:rPr>
      </w:pPr>
      <w:r>
        <w:rPr>
          <w:rFonts w:ascii="Arial" w:cs="Arial" w:eastAsia="Arial" w:hAnsi="Arial"/>
          <w:sz w:val="15"/>
          <w:szCs w:val="15"/>
          <w:color w:val="auto"/>
        </w:rPr>
        <w:t>Indicate by check mark whether the registrant has submitted electronically every Interactive Date File required to be submitted pursuant to Rule 405 of Regulation S-T (§232.405 of this chapter) during the preceding 12 months (or such shorter period as the registrant was</w:t>
      </w:r>
    </w:p>
    <w:p>
      <w:pPr>
        <w:spacing w:after="0" w:line="233" w:lineRule="auto"/>
        <w:tabs>
          <w:tab w:leader="none" w:pos="8400" w:val="left"/>
        </w:tabs>
        <w:rPr>
          <w:sz w:val="20"/>
          <w:szCs w:val="20"/>
          <w:color w:val="auto"/>
        </w:rPr>
      </w:pPr>
      <w:r>
        <w:rPr>
          <w:rFonts w:ascii="Arial" w:cs="Arial" w:eastAsia="Arial" w:hAnsi="Arial"/>
          <w:sz w:val="16"/>
          <w:szCs w:val="16"/>
          <w:color w:val="auto"/>
        </w:rPr>
        <w:t>required to submit such files).</w:t>
      </w:r>
      <w:r>
        <w:rPr>
          <w:sz w:val="20"/>
          <w:szCs w:val="20"/>
          <w:color w:val="auto"/>
        </w:rPr>
        <w:tab/>
      </w:r>
      <w:r>
        <w:rPr>
          <w:rFonts w:ascii="Arial" w:cs="Arial" w:eastAsia="Arial" w:hAnsi="Arial"/>
          <w:sz w:val="16"/>
          <w:szCs w:val="16"/>
          <w:color w:val="auto"/>
        </w:rPr>
        <w:t>Yes Í No ‘</w:t>
      </w:r>
    </w:p>
    <w:p>
      <w:pPr>
        <w:spacing w:after="0" w:line="80" w:lineRule="exact"/>
        <w:rPr>
          <w:sz w:val="20"/>
          <w:szCs w:val="20"/>
          <w:color w:val="auto"/>
        </w:rPr>
      </w:pPr>
    </w:p>
    <w:p>
      <w:pPr>
        <w:ind w:right="440"/>
        <w:spacing w:after="0" w:line="25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880" w:h="15480" w:orient="portrait"/>
          <w:cols w:equalWidth="0" w:num="1">
            <w:col w:w="10020"/>
          </w:cols>
          <w:pgMar w:left="1140" w:top="769" w:right="720" w:bottom="121" w:gutter="0" w:footer="0" w:header="0"/>
          <w:type w:val="continuous"/>
        </w:sectPr>
      </w:pPr>
    </w:p>
    <w:p>
      <w:pPr>
        <w:spacing w:after="0" w:line="6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Í</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center"/>
        <w:ind w:right="160"/>
        <w:spacing w:after="0"/>
        <w:rPr>
          <w:sz w:val="20"/>
          <w:szCs w:val="20"/>
          <w:color w:val="auto"/>
        </w:rPr>
      </w:pPr>
      <w:r>
        <w:rPr>
          <w:rFonts w:ascii="Arial" w:cs="Arial" w:eastAsia="Arial" w:hAnsi="Arial"/>
          <w:sz w:val="15"/>
          <w:szCs w:val="15"/>
          <w:color w:val="auto"/>
        </w:rPr>
        <w:t>Accelerated Filer</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Non-Accelerated Filer</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76" w:lineRule="exact"/>
        <w:rPr>
          <w:sz w:val="20"/>
          <w:szCs w:val="20"/>
          <w:color w:val="auto"/>
        </w:rPr>
      </w:pPr>
    </w:p>
    <w:p>
      <w:pPr>
        <w:sectPr>
          <w:pgSz w:w="11880" w:h="15480" w:orient="portrait"/>
          <w:cols w:equalWidth="0" w:num="6">
            <w:col w:w="2060" w:space="460"/>
            <w:col w:w="360" w:space="720"/>
            <w:col w:w="1360" w:space="720"/>
            <w:col w:w="260" w:space="720"/>
            <w:col w:w="1540" w:space="100"/>
            <w:col w:w="1720"/>
          </w:cols>
          <w:pgMar w:left="1140" w:top="769" w:right="720" w:bottom="121" w:gutter="0" w:footer="0" w:header="0"/>
          <w:type w:val="continuous"/>
        </w:sectPr>
      </w:pPr>
    </w:p>
    <w:p>
      <w:pPr>
        <w:spacing w:after="0" w:line="1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sectPr>
          <w:pgSz w:w="11880" w:h="15480" w:orient="portrait"/>
          <w:cols w:equalWidth="0" w:num="4">
            <w:col w:w="2400" w:space="120"/>
            <w:col w:w="360" w:space="720"/>
            <w:col w:w="1980" w:space="100"/>
            <w:col w:w="4340"/>
          </w:cols>
          <w:pgMar w:left="1140" w:top="769" w:right="720" w:bottom="121" w:gutter="0" w:footer="0" w:header="0"/>
          <w:type w:val="continuous"/>
        </w:sectPr>
      </w:pPr>
    </w:p>
    <w:p>
      <w:pPr>
        <w:ind w:right="980"/>
        <w:spacing w:after="0" w:line="254"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w:t>
      </w:r>
    </w:p>
    <w:p>
      <w:pPr>
        <w:spacing w:after="0" w:line="69" w:lineRule="exact"/>
        <w:rPr>
          <w:sz w:val="20"/>
          <w:szCs w:val="20"/>
          <w:color w:val="auto"/>
        </w:rPr>
      </w:pPr>
    </w:p>
    <w:p>
      <w:pPr>
        <w:ind w:right="460"/>
        <w:spacing w:after="0" w:line="278" w:lineRule="auto"/>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w:t>
      </w:r>
    </w:p>
    <w:p>
      <w:pPr>
        <w:spacing w:after="0" w:line="194" w:lineRule="auto"/>
        <w:tabs>
          <w:tab w:leader="none" w:pos="5040" w:val="left"/>
        </w:tabs>
        <w:rPr>
          <w:sz w:val="20"/>
          <w:szCs w:val="20"/>
          <w:color w:val="auto"/>
        </w:rPr>
      </w:pPr>
      <w:r>
        <w:rPr>
          <w:rFonts w:ascii="Arial" w:cs="Arial" w:eastAsia="Arial" w:hAnsi="Arial"/>
          <w:sz w:val="16"/>
          <w:szCs w:val="16"/>
          <w:color w:val="auto"/>
        </w:rPr>
        <w:t>public accounting firm that prepared or issued its audit report.</w:t>
      </w:r>
      <w:r>
        <w:rPr>
          <w:sz w:val="20"/>
          <w:szCs w:val="20"/>
          <w:color w:val="auto"/>
        </w:rPr>
        <w:tab/>
      </w:r>
      <w:r>
        <w:rPr>
          <w:rFonts w:ascii="Arial" w:cs="Arial" w:eastAsia="Arial" w:hAnsi="Arial"/>
          <w:sz w:val="16"/>
          <w:szCs w:val="16"/>
          <w:color w:val="auto"/>
        </w:rPr>
        <w:t>Í</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color w:val="auto"/>
        </w:rPr>
        <w:t>If securities are registered pursuant to Section 12(b) of the Act, indicate by check mark whether the financial statements of the registrant</w:t>
      </w:r>
    </w:p>
    <w:p>
      <w:pPr>
        <w:spacing w:after="0" w:line="229" w:lineRule="auto"/>
        <w:tabs>
          <w:tab w:leader="none" w:pos="7240" w:val="left"/>
        </w:tabs>
        <w:rPr>
          <w:sz w:val="20"/>
          <w:szCs w:val="20"/>
          <w:color w:val="auto"/>
        </w:rPr>
      </w:pPr>
      <w:r>
        <w:rPr>
          <w:rFonts w:ascii="Arial" w:cs="Arial" w:eastAsia="Arial" w:hAnsi="Arial"/>
          <w:sz w:val="16"/>
          <w:szCs w:val="16"/>
          <w:color w:val="auto"/>
        </w:rPr>
        <w:t>included in the filing reflect the correction of an error to previously issued financial statements.</w:t>
      </w:r>
      <w:r>
        <w:rPr>
          <w:sz w:val="20"/>
          <w:szCs w:val="20"/>
          <w:color w:val="auto"/>
        </w:rPr>
        <w:tab/>
      </w:r>
      <w:r>
        <w:rPr>
          <w:rFonts w:ascii="Arial" w:cs="Arial" w:eastAsia="Arial" w:hAnsi="Arial"/>
          <w:sz w:val="16"/>
          <w:szCs w:val="16"/>
          <w:color w:val="auto"/>
        </w:rPr>
        <w:t>‘</w:t>
      </w:r>
    </w:p>
    <w:p>
      <w:pPr>
        <w:spacing w:after="0" w:line="79" w:lineRule="exact"/>
        <w:rPr>
          <w:sz w:val="20"/>
          <w:szCs w:val="20"/>
          <w:color w:val="auto"/>
        </w:rPr>
      </w:pPr>
    </w:p>
    <w:p>
      <w:pPr>
        <w:ind w:right="640"/>
        <w:spacing w:after="0" w:line="254" w:lineRule="auto"/>
        <w:rPr>
          <w:sz w:val="20"/>
          <w:szCs w:val="20"/>
          <w:color w:val="auto"/>
        </w:rPr>
      </w:pPr>
      <w:r>
        <w:rPr>
          <w:rFonts w:ascii="Arial" w:cs="Arial" w:eastAsia="Arial" w:hAnsi="Arial"/>
          <w:sz w:val="16"/>
          <w:szCs w:val="16"/>
          <w:color w:val="auto"/>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spacing w:after="0" w:line="63" w:lineRule="exact"/>
        <w:rPr>
          <w:sz w:val="20"/>
          <w:szCs w:val="20"/>
          <w:color w:val="auto"/>
        </w:rPr>
      </w:pPr>
    </w:p>
    <w:p>
      <w:pPr>
        <w:spacing w:after="0"/>
        <w:tabs>
          <w:tab w:leader="none" w:pos="83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6"/>
          <w:szCs w:val="16"/>
          <w:color w:val="auto"/>
        </w:rPr>
        <w:t>Yes ‘ No Í</w:t>
      </w:r>
    </w:p>
    <w:p>
      <w:pPr>
        <w:spacing w:after="0" w:line="79" w:lineRule="exact"/>
        <w:rPr>
          <w:sz w:val="20"/>
          <w:szCs w:val="20"/>
          <w:color w:val="auto"/>
        </w:rPr>
      </w:pPr>
    </w:p>
    <w:p>
      <w:pPr>
        <w:jc w:val="both"/>
        <w:ind w:right="420"/>
        <w:spacing w:after="0" w:line="258" w:lineRule="auto"/>
        <w:rPr>
          <w:sz w:val="20"/>
          <w:szCs w:val="20"/>
          <w:color w:val="auto"/>
        </w:rPr>
      </w:pPr>
      <w:r>
        <w:rPr>
          <w:rFonts w:ascii="Arial" w:cs="Arial" w:eastAsia="Arial" w:hAnsi="Arial"/>
          <w:sz w:val="16"/>
          <w:szCs w:val="16"/>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Common Stock aggregate market value held by non-affiliates as of June 30, 2022: $2,901,083,185.</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has filed all documents and reports required to be filed by Section 12, 13 or 15(d) of the</w:t>
      </w:r>
    </w:p>
    <w:p>
      <w:pPr>
        <w:spacing w:after="0" w:line="16" w:lineRule="exact"/>
        <w:rPr>
          <w:sz w:val="20"/>
          <w:szCs w:val="20"/>
          <w:color w:val="auto"/>
        </w:rPr>
      </w:pPr>
    </w:p>
    <w:p>
      <w:pPr>
        <w:spacing w:after="0"/>
        <w:tabs>
          <w:tab w:leader="none" w:pos="8320" w:val="left"/>
        </w:tabs>
        <w:rPr>
          <w:sz w:val="20"/>
          <w:szCs w:val="20"/>
          <w:color w:val="auto"/>
        </w:rPr>
      </w:pPr>
      <w:r>
        <w:rPr>
          <w:rFonts w:ascii="Arial" w:cs="Arial" w:eastAsia="Arial" w:hAnsi="Arial"/>
          <w:sz w:val="16"/>
          <w:szCs w:val="16"/>
          <w:color w:val="auto"/>
        </w:rPr>
        <w:t>Securities Exchange Act of 1934 subsequent to the distribution of securities under a plan confirmed by a court.</w:t>
      </w:r>
      <w:r>
        <w:rPr>
          <w:sz w:val="20"/>
          <w:szCs w:val="20"/>
          <w:color w:val="auto"/>
        </w:rPr>
        <w:tab/>
      </w:r>
      <w:r>
        <w:rPr>
          <w:rFonts w:ascii="Arial" w:cs="Arial" w:eastAsia="Arial" w:hAnsi="Arial"/>
          <w:sz w:val="16"/>
          <w:szCs w:val="16"/>
          <w:color w:val="auto"/>
        </w:rPr>
        <w:t>Yes Í No ‘</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At January 31, 2023, there were 71,491,602 shares of Common Stock outstanding.</w:t>
      </w:r>
    </w:p>
    <w:p>
      <w:pPr>
        <w:spacing w:after="0" w:line="74"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DOCUMENTS INCORPORATED BY REFERENCE</w:t>
      </w:r>
    </w:p>
    <w:p>
      <w:pPr>
        <w:spacing w:after="0" w:line="79" w:lineRule="exact"/>
        <w:rPr>
          <w:sz w:val="20"/>
          <w:szCs w:val="20"/>
          <w:color w:val="auto"/>
        </w:rPr>
      </w:pPr>
    </w:p>
    <w:p>
      <w:pPr>
        <w:ind w:right="600" w:firstLine="240"/>
        <w:spacing w:after="0" w:line="257" w:lineRule="auto"/>
        <w:rPr>
          <w:sz w:val="20"/>
          <w:szCs w:val="20"/>
          <w:color w:val="auto"/>
        </w:rPr>
      </w:pPr>
      <w:r>
        <w:rPr>
          <w:rFonts w:ascii="Arial" w:cs="Arial" w:eastAsia="Arial" w:hAnsi="Arial"/>
          <w:sz w:val="16"/>
          <w:szCs w:val="16"/>
          <w:color w:val="auto"/>
        </w:rPr>
        <w:t>Portions of the Definitive Proxy Statement to be filed within 120 days after December 31, 2022 with the Securities and Exchange Commission in connection with the registrant’s 2023 Annual Meeting of Stockholders are incorporated by reference into Part III of this Form 10-K.</w:t>
      </w:r>
    </w:p>
    <w:p>
      <w:pPr>
        <w:sectPr>
          <w:pgSz w:w="11880" w:h="15480" w:orient="portrait"/>
          <w:cols w:equalWidth="0" w:num="1">
            <w:col w:w="10020"/>
          </w:cols>
          <w:pgMar w:left="1140" w:top="769" w:right="720" w:bottom="121" w:gutter="0" w:footer="0" w:header="0"/>
          <w:type w:val="continuous"/>
        </w:sectPr>
      </w:pPr>
    </w:p>
    <w:bookmarkStart w:id="5" w:name="page6"/>
    <w:bookmarkEnd w:id="5"/>
    <w:p>
      <w:pPr>
        <w:ind w:left="3480"/>
        <w:spacing w:after="0"/>
        <w:rPr>
          <w:sz w:val="20"/>
          <w:szCs w:val="20"/>
          <w:color w:val="auto"/>
        </w:rPr>
      </w:pPr>
      <w:r>
        <w:rPr>
          <w:rFonts w:ascii="Arial" w:cs="Arial" w:eastAsia="Arial" w:hAnsi="Arial"/>
          <w:sz w:val="20"/>
          <w:szCs w:val="20"/>
          <w:b w:val="1"/>
          <w:bCs w:val="1"/>
          <w:color w:val="auto"/>
        </w:rPr>
        <w:t>TABLE OF CONTENTS</w:t>
      </w: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5518150</wp:posOffset>
                </wp:positionH>
                <wp:positionV relativeFrom="paragraph">
                  <wp:posOffset>21590</wp:posOffset>
                </wp:positionV>
                <wp:extent cx="27305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30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5pt,1.7pt" to="456pt,1.7pt" o:allowincell="f" strokecolor="#000000" strokeweight="1pt"/>
            </w:pict>
          </mc:Fallback>
        </mc:AlternateConten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w:t>
      </w:r>
    </w:p>
    <w:p>
      <w:pPr>
        <w:spacing w:after="0" w:line="10" w:lineRule="exact"/>
        <w:rPr>
          <w:sz w:val="20"/>
          <w:szCs w:val="20"/>
          <w:color w:val="auto"/>
        </w:rPr>
      </w:pPr>
    </w:p>
    <w:p>
      <w:pPr>
        <w:ind w:left="200"/>
        <w:spacing w:after="0"/>
        <w:tabs>
          <w:tab w:leader="none" w:pos="8880" w:val="left"/>
        </w:tabs>
        <w:rPr>
          <w:sz w:val="20"/>
          <w:szCs w:val="20"/>
          <w:color w:val="auto"/>
        </w:rPr>
      </w:pPr>
      <w:r>
        <w:rPr>
          <w:rFonts w:ascii="Arial" w:cs="Arial" w:eastAsia="Arial" w:hAnsi="Arial"/>
          <w:sz w:val="20"/>
          <w:szCs w:val="20"/>
          <w:b w:val="1"/>
          <w:bCs w:val="1"/>
          <w:color w:val="auto"/>
        </w:rPr>
        <w:t xml:space="preserve">Items 1 &amp; 2 </w:t>
      </w:r>
      <w:r>
        <w:rPr>
          <w:rFonts w:ascii="Arial" w:cs="Arial" w:eastAsia="Arial" w:hAnsi="Arial"/>
          <w:sz w:val="20"/>
          <w:szCs w:val="20"/>
          <w:color w:val="auto"/>
        </w:rPr>
        <w:t>BUSINESS AND PROPERTIES . . . . . . . . . . . . . . . . . . . . . . . . . . . . . . . . . . . . . . . . .</w:t>
      </w:r>
      <w:r>
        <w:rPr>
          <w:sz w:val="20"/>
          <w:szCs w:val="20"/>
          <w:color w:val="auto"/>
        </w:rPr>
        <w:tab/>
      </w:r>
      <w:r>
        <w:rPr>
          <w:rFonts w:ascii="Arial" w:cs="Arial" w:eastAsia="Arial" w:hAnsi="Arial"/>
          <w:sz w:val="17"/>
          <w:szCs w:val="17"/>
          <w:b w:val="1"/>
          <w:bCs w:val="1"/>
          <w:color w:val="auto"/>
        </w:rPr>
        <w:t>6</w:t>
      </w:r>
    </w:p>
    <w:p>
      <w:pPr>
        <w:spacing w:after="0" w:line="10" w:lineRule="exact"/>
        <w:rPr>
          <w:sz w:val="20"/>
          <w:szCs w:val="20"/>
          <w:color w:val="auto"/>
        </w:rPr>
      </w:pPr>
    </w:p>
    <w:p>
      <w:pPr>
        <w:ind w:left="1500"/>
        <w:spacing w:after="0"/>
        <w:tabs>
          <w:tab w:leader="none" w:pos="4380" w:val="left"/>
          <w:tab w:leader="none" w:pos="8880" w:val="left"/>
        </w:tabs>
        <w:rPr>
          <w:sz w:val="20"/>
          <w:szCs w:val="20"/>
          <w:color w:val="auto"/>
        </w:rPr>
      </w:pPr>
      <w:r>
        <w:rPr>
          <w:rFonts w:ascii="Arial" w:cs="Arial" w:eastAsia="Arial" w:hAnsi="Arial"/>
          <w:sz w:val="20"/>
          <w:szCs w:val="20"/>
          <w:color w:val="auto"/>
        </w:rPr>
        <w:t>Business Overview and History</w:t>
        <w:tab/>
        <w:t>. . . . . . . . . . . . . . . . . . . . . . . . . . . . . . . . . . . . . . .</w:t>
      </w:r>
      <w:r>
        <w:rPr>
          <w:sz w:val="20"/>
          <w:szCs w:val="20"/>
          <w:color w:val="auto"/>
        </w:rPr>
        <w:tab/>
      </w:r>
      <w:r>
        <w:rPr>
          <w:rFonts w:ascii="Arial" w:cs="Arial" w:eastAsia="Arial" w:hAnsi="Arial"/>
          <w:sz w:val="17"/>
          <w:szCs w:val="17"/>
          <w:b w:val="1"/>
          <w:bCs w:val="1"/>
          <w:color w:val="auto"/>
        </w:rPr>
        <w:t>6</w:t>
      </w:r>
    </w:p>
    <w:p>
      <w:pPr>
        <w:spacing w:after="0" w:line="10" w:lineRule="exact"/>
        <w:rPr>
          <w:sz w:val="20"/>
          <w:szCs w:val="20"/>
          <w:color w:val="auto"/>
        </w:rPr>
      </w:pPr>
    </w:p>
    <w:p>
      <w:pPr>
        <w:ind w:left="1500"/>
        <w:spacing w:after="0"/>
        <w:tabs>
          <w:tab w:leader="none" w:pos="8880" w:val="left"/>
        </w:tabs>
        <w:rPr>
          <w:sz w:val="20"/>
          <w:szCs w:val="20"/>
          <w:color w:val="auto"/>
        </w:rPr>
      </w:pPr>
      <w:r>
        <w:rPr>
          <w:rFonts w:ascii="Arial" w:cs="Arial" w:eastAsia="Arial" w:hAnsi="Arial"/>
          <w:sz w:val="20"/>
          <w:szCs w:val="20"/>
          <w:color w:val="auto"/>
        </w:rPr>
        <w:t>Business Strategy  . . . . . . . . . . . . . . . . . . . . . . . . . . . . . . . . . . . . . . . . . . . . . . . . . .</w:t>
      </w:r>
      <w:r>
        <w:rPr>
          <w:sz w:val="20"/>
          <w:szCs w:val="20"/>
          <w:color w:val="auto"/>
        </w:rPr>
        <w:tab/>
      </w:r>
      <w:r>
        <w:rPr>
          <w:rFonts w:ascii="Arial" w:cs="Arial" w:eastAsia="Arial" w:hAnsi="Arial"/>
          <w:sz w:val="17"/>
          <w:szCs w:val="17"/>
          <w:b w:val="1"/>
          <w:bCs w:val="1"/>
          <w:color w:val="auto"/>
        </w:rPr>
        <w:t>6</w:t>
      </w:r>
    </w:p>
    <w:p>
      <w:pPr>
        <w:spacing w:after="0" w:line="10" w:lineRule="exact"/>
        <w:rPr>
          <w:sz w:val="20"/>
          <w:szCs w:val="20"/>
          <w:color w:val="auto"/>
        </w:rPr>
      </w:pPr>
    </w:p>
    <w:p>
      <w:pPr>
        <w:ind w:left="1500"/>
        <w:spacing w:after="0"/>
        <w:tabs>
          <w:tab w:leader="none" w:pos="8880" w:val="left"/>
        </w:tabs>
        <w:rPr>
          <w:sz w:val="20"/>
          <w:szCs w:val="20"/>
          <w:color w:val="auto"/>
        </w:rPr>
      </w:pPr>
      <w:r>
        <w:rPr>
          <w:rFonts w:ascii="Arial" w:cs="Arial" w:eastAsia="Arial" w:hAnsi="Arial"/>
          <w:sz w:val="20"/>
          <w:szCs w:val="20"/>
          <w:color w:val="auto"/>
        </w:rPr>
        <w:t>Oil and Natural Gas Operations  . . . . . . . . . . . . . . . . . . . . . . . . . . . . . . . . . . . . . . .</w:t>
      </w:r>
      <w:r>
        <w:rPr>
          <w:sz w:val="20"/>
          <w:szCs w:val="20"/>
          <w:color w:val="auto"/>
        </w:rPr>
        <w:tab/>
      </w:r>
      <w:r>
        <w:rPr>
          <w:rFonts w:ascii="Arial" w:cs="Arial" w:eastAsia="Arial" w:hAnsi="Arial"/>
          <w:sz w:val="17"/>
          <w:szCs w:val="17"/>
          <w:b w:val="1"/>
          <w:bCs w:val="1"/>
          <w:color w:val="auto"/>
        </w:rPr>
        <w:t>8</w:t>
      </w:r>
    </w:p>
    <w:p>
      <w:pPr>
        <w:spacing w:after="0" w:line="10" w:lineRule="exact"/>
        <w:rPr>
          <w:sz w:val="20"/>
          <w:szCs w:val="20"/>
          <w:color w:val="auto"/>
        </w:rPr>
      </w:pPr>
    </w:p>
    <w:p>
      <w:pPr>
        <w:ind w:left="1700"/>
        <w:spacing w:after="0"/>
        <w:tabs>
          <w:tab w:leader="none" w:pos="8780" w:val="left"/>
        </w:tabs>
        <w:rPr>
          <w:sz w:val="20"/>
          <w:szCs w:val="20"/>
          <w:color w:val="auto"/>
        </w:rPr>
      </w:pPr>
      <w:r>
        <w:rPr>
          <w:rFonts w:ascii="Arial" w:cs="Arial" w:eastAsia="Arial" w:hAnsi="Arial"/>
          <w:sz w:val="20"/>
          <w:szCs w:val="20"/>
          <w:color w:val="auto"/>
        </w:rPr>
        <w:t>Mineral Acreage . . . . . . . . . . . . . . . . . . . . . . . . . . . . . . . . . . . . . . . . . . . . . . . . . .</w:t>
      </w:r>
      <w:r>
        <w:rPr>
          <w:sz w:val="20"/>
          <w:szCs w:val="20"/>
          <w:color w:val="auto"/>
        </w:rPr>
        <w:tab/>
      </w:r>
      <w:r>
        <w:rPr>
          <w:rFonts w:ascii="Arial" w:cs="Arial" w:eastAsia="Arial" w:hAnsi="Arial"/>
          <w:sz w:val="17"/>
          <w:szCs w:val="17"/>
          <w:b w:val="1"/>
          <w:bCs w:val="1"/>
          <w:color w:val="auto"/>
        </w:rPr>
        <w:t>10</w:t>
      </w:r>
    </w:p>
    <w:p>
      <w:pPr>
        <w:spacing w:after="0" w:line="10" w:lineRule="exact"/>
        <w:rPr>
          <w:sz w:val="20"/>
          <w:szCs w:val="20"/>
          <w:color w:val="auto"/>
        </w:rPr>
      </w:pPr>
    </w:p>
    <w:p>
      <w:pPr>
        <w:ind w:left="1700"/>
        <w:spacing w:after="0"/>
        <w:tabs>
          <w:tab w:leader="none" w:pos="8780" w:val="left"/>
        </w:tabs>
        <w:rPr>
          <w:sz w:val="20"/>
          <w:szCs w:val="20"/>
          <w:color w:val="auto"/>
        </w:rPr>
      </w:pPr>
      <w:r>
        <w:rPr>
          <w:rFonts w:ascii="Arial" w:cs="Arial" w:eastAsia="Arial" w:hAnsi="Arial"/>
          <w:sz w:val="20"/>
          <w:szCs w:val="20"/>
          <w:color w:val="auto"/>
        </w:rPr>
        <w:t>Production, Price and Cost History . . . . . . . . . . . . . . . . . . . . . . . . . . . . . . . . . . .</w:t>
      </w:r>
      <w:r>
        <w:rPr>
          <w:sz w:val="20"/>
          <w:szCs w:val="20"/>
          <w:color w:val="auto"/>
        </w:rPr>
        <w:tab/>
      </w:r>
      <w:r>
        <w:rPr>
          <w:rFonts w:ascii="Arial" w:cs="Arial" w:eastAsia="Arial" w:hAnsi="Arial"/>
          <w:sz w:val="17"/>
          <w:szCs w:val="17"/>
          <w:b w:val="1"/>
          <w:bCs w:val="1"/>
          <w:color w:val="auto"/>
        </w:rPr>
        <w:t>11</w:t>
      </w:r>
    </w:p>
    <w:p>
      <w:pPr>
        <w:spacing w:after="0" w:line="10" w:lineRule="exact"/>
        <w:rPr>
          <w:sz w:val="20"/>
          <w:szCs w:val="20"/>
          <w:color w:val="auto"/>
        </w:rPr>
      </w:pPr>
    </w:p>
    <w:p>
      <w:pPr>
        <w:ind w:left="1700"/>
        <w:spacing w:after="0"/>
        <w:tabs>
          <w:tab w:leader="none" w:pos="8780" w:val="left"/>
        </w:tabs>
        <w:rPr>
          <w:sz w:val="20"/>
          <w:szCs w:val="20"/>
          <w:color w:val="auto"/>
        </w:rPr>
      </w:pPr>
      <w:r>
        <w:rPr>
          <w:rFonts w:ascii="Arial" w:cs="Arial" w:eastAsia="Arial" w:hAnsi="Arial"/>
          <w:sz w:val="20"/>
          <w:szCs w:val="20"/>
          <w:color w:val="auto"/>
        </w:rPr>
        <w:t>Estimated Proved Reserves and Future Net Cash Flows . . . . . . . . . . . . . . . . .</w:t>
      </w:r>
      <w:r>
        <w:rPr>
          <w:sz w:val="20"/>
          <w:szCs w:val="20"/>
          <w:color w:val="auto"/>
        </w:rPr>
        <w:tab/>
      </w:r>
      <w:r>
        <w:rPr>
          <w:rFonts w:ascii="Arial" w:cs="Arial" w:eastAsia="Arial" w:hAnsi="Arial"/>
          <w:sz w:val="17"/>
          <w:szCs w:val="17"/>
          <w:b w:val="1"/>
          <w:bCs w:val="1"/>
          <w:color w:val="auto"/>
        </w:rPr>
        <w:t>14</w:t>
      </w:r>
    </w:p>
    <w:p>
      <w:pPr>
        <w:spacing w:after="0" w:line="10" w:lineRule="exact"/>
        <w:rPr>
          <w:sz w:val="20"/>
          <w:szCs w:val="20"/>
          <w:color w:val="auto"/>
        </w:rPr>
      </w:pPr>
    </w:p>
    <w:p>
      <w:pPr>
        <w:ind w:left="1700"/>
        <w:spacing w:after="0"/>
        <w:tabs>
          <w:tab w:leader="none" w:pos="8780" w:val="left"/>
        </w:tabs>
        <w:rPr>
          <w:sz w:val="20"/>
          <w:szCs w:val="20"/>
          <w:color w:val="auto"/>
        </w:rPr>
      </w:pPr>
      <w:r>
        <w:rPr>
          <w:rFonts w:ascii="Arial" w:cs="Arial" w:eastAsia="Arial" w:hAnsi="Arial"/>
          <w:sz w:val="20"/>
          <w:szCs w:val="20"/>
          <w:color w:val="auto"/>
        </w:rPr>
        <w:t>Drilling Statistics . . . . . . . . . . . . . . . . . . . . . . . . . . . . . . . . . . . . . . . . . . . . . . . . . .</w:t>
      </w:r>
      <w:r>
        <w:rPr>
          <w:sz w:val="20"/>
          <w:szCs w:val="20"/>
          <w:color w:val="auto"/>
        </w:rPr>
        <w:tab/>
      </w:r>
      <w:r>
        <w:rPr>
          <w:rFonts w:ascii="Arial" w:cs="Arial" w:eastAsia="Arial" w:hAnsi="Arial"/>
          <w:sz w:val="17"/>
          <w:szCs w:val="17"/>
          <w:b w:val="1"/>
          <w:bCs w:val="1"/>
          <w:color w:val="auto"/>
        </w:rPr>
        <w:t>19</w:t>
      </w:r>
    </w:p>
    <w:p>
      <w:pPr>
        <w:spacing w:after="0" w:line="10" w:lineRule="exact"/>
        <w:rPr>
          <w:sz w:val="20"/>
          <w:szCs w:val="20"/>
          <w:color w:val="auto"/>
        </w:rPr>
      </w:pPr>
    </w:p>
    <w:p>
      <w:pPr>
        <w:ind w:left="1700"/>
        <w:spacing w:after="0"/>
        <w:tabs>
          <w:tab w:leader="none" w:pos="8780" w:val="left"/>
        </w:tabs>
        <w:rPr>
          <w:sz w:val="20"/>
          <w:szCs w:val="20"/>
          <w:color w:val="auto"/>
        </w:rPr>
      </w:pPr>
      <w:r>
        <w:rPr>
          <w:rFonts w:ascii="Arial" w:cs="Arial" w:eastAsia="Arial" w:hAnsi="Arial"/>
          <w:sz w:val="20"/>
          <w:szCs w:val="20"/>
          <w:color w:val="auto"/>
        </w:rPr>
        <w:t>Productive Wells . . . . . . . . . . . . . . . . . . . . . . . . . . . . . . . . . . . . . . . . . . . . . . . . . .</w:t>
      </w:r>
      <w:r>
        <w:rPr>
          <w:sz w:val="20"/>
          <w:szCs w:val="20"/>
          <w:color w:val="auto"/>
        </w:rPr>
        <w:tab/>
      </w:r>
      <w:r>
        <w:rPr>
          <w:rFonts w:ascii="Arial" w:cs="Arial" w:eastAsia="Arial" w:hAnsi="Arial"/>
          <w:sz w:val="17"/>
          <w:szCs w:val="17"/>
          <w:b w:val="1"/>
          <w:bCs w:val="1"/>
          <w:color w:val="auto"/>
        </w:rPr>
        <w:t>19</w:t>
      </w:r>
    </w:p>
    <w:p>
      <w:pPr>
        <w:spacing w:after="0" w:line="10" w:lineRule="exact"/>
        <w:rPr>
          <w:sz w:val="20"/>
          <w:szCs w:val="20"/>
          <w:color w:val="auto"/>
        </w:rPr>
      </w:pPr>
    </w:p>
    <w:p>
      <w:pPr>
        <w:ind w:left="1700"/>
        <w:spacing w:after="0"/>
        <w:tabs>
          <w:tab w:leader="none" w:pos="8780" w:val="left"/>
        </w:tabs>
        <w:rPr>
          <w:sz w:val="20"/>
          <w:szCs w:val="20"/>
          <w:color w:val="auto"/>
        </w:rPr>
      </w:pPr>
      <w:r>
        <w:rPr>
          <w:rFonts w:ascii="Arial" w:cs="Arial" w:eastAsia="Arial" w:hAnsi="Arial"/>
          <w:sz w:val="20"/>
          <w:szCs w:val="20"/>
          <w:color w:val="auto"/>
        </w:rPr>
        <w:t>Exploration Inventory . . . . . . . . . . . . . . . . . . . . . . . . . . . . . . . . . . . . . . . . . . . . . .</w:t>
      </w:r>
      <w:r>
        <w:rPr>
          <w:sz w:val="20"/>
          <w:szCs w:val="20"/>
          <w:color w:val="auto"/>
        </w:rPr>
        <w:tab/>
      </w:r>
      <w:r>
        <w:rPr>
          <w:rFonts w:ascii="Arial" w:cs="Arial" w:eastAsia="Arial" w:hAnsi="Arial"/>
          <w:sz w:val="17"/>
          <w:szCs w:val="17"/>
          <w:b w:val="1"/>
          <w:bCs w:val="1"/>
          <w:color w:val="auto"/>
        </w:rPr>
        <w:t>20</w:t>
      </w:r>
    </w:p>
    <w:p>
      <w:pPr>
        <w:spacing w:after="0" w:line="10" w:lineRule="exact"/>
        <w:rPr>
          <w:sz w:val="20"/>
          <w:szCs w:val="20"/>
          <w:color w:val="auto"/>
        </w:rPr>
      </w:pPr>
    </w:p>
    <w:p>
      <w:pPr>
        <w:ind w:left="1700"/>
        <w:spacing w:after="0"/>
        <w:tabs>
          <w:tab w:leader="none" w:pos="8780" w:val="left"/>
        </w:tabs>
        <w:rPr>
          <w:sz w:val="20"/>
          <w:szCs w:val="20"/>
          <w:color w:val="auto"/>
        </w:rPr>
      </w:pPr>
      <w:r>
        <w:rPr>
          <w:rFonts w:ascii="Arial" w:cs="Arial" w:eastAsia="Arial" w:hAnsi="Arial"/>
          <w:sz w:val="20"/>
          <w:szCs w:val="20"/>
          <w:color w:val="auto"/>
        </w:rPr>
        <w:t>Marketing Arrangements . . . . . . . . . . . . . . . . . . . . . . . . . . . . . . . . . . . . . . . . . . .</w:t>
      </w:r>
      <w:r>
        <w:rPr>
          <w:sz w:val="20"/>
          <w:szCs w:val="20"/>
          <w:color w:val="auto"/>
        </w:rPr>
        <w:tab/>
      </w:r>
      <w:r>
        <w:rPr>
          <w:rFonts w:ascii="Arial" w:cs="Arial" w:eastAsia="Arial" w:hAnsi="Arial"/>
          <w:sz w:val="17"/>
          <w:szCs w:val="17"/>
          <w:b w:val="1"/>
          <w:bCs w:val="1"/>
          <w:color w:val="auto"/>
        </w:rPr>
        <w:t>20</w:t>
      </w:r>
    </w:p>
    <w:p>
      <w:pPr>
        <w:spacing w:after="0" w:line="10" w:lineRule="exact"/>
        <w:rPr>
          <w:sz w:val="20"/>
          <w:szCs w:val="20"/>
          <w:color w:val="auto"/>
        </w:rPr>
      </w:pPr>
    </w:p>
    <w:p>
      <w:pPr>
        <w:ind w:left="1700"/>
        <w:spacing w:after="0"/>
        <w:tabs>
          <w:tab w:leader="none" w:pos="3000" w:val="left"/>
          <w:tab w:leader="none" w:pos="8780" w:val="left"/>
        </w:tabs>
        <w:rPr>
          <w:sz w:val="20"/>
          <w:szCs w:val="20"/>
          <w:color w:val="auto"/>
        </w:rPr>
      </w:pPr>
      <w:r>
        <w:rPr>
          <w:rFonts w:ascii="Arial" w:cs="Arial" w:eastAsia="Arial" w:hAnsi="Arial"/>
          <w:sz w:val="20"/>
          <w:szCs w:val="20"/>
          <w:color w:val="auto"/>
        </w:rPr>
        <w:t>Infrastructure</w:t>
        <w:tab/>
        <w:t>. . . . . . . . . . . . . . . . . . . . . . . . . . . . . . . . . . . . . . . . . . . . . . . . . . . .</w:t>
      </w:r>
      <w:r>
        <w:rPr>
          <w:sz w:val="20"/>
          <w:szCs w:val="20"/>
          <w:color w:val="auto"/>
        </w:rPr>
        <w:tab/>
      </w:r>
      <w:r>
        <w:rPr>
          <w:rFonts w:ascii="Arial" w:cs="Arial" w:eastAsia="Arial" w:hAnsi="Arial"/>
          <w:sz w:val="17"/>
          <w:szCs w:val="17"/>
          <w:b w:val="1"/>
          <w:bCs w:val="1"/>
          <w:color w:val="auto"/>
        </w:rPr>
        <w:t>23</w:t>
      </w:r>
    </w:p>
    <w:p>
      <w:pPr>
        <w:spacing w:after="0" w:line="12" w:lineRule="exact"/>
        <w:rPr>
          <w:sz w:val="20"/>
          <w:szCs w:val="20"/>
          <w:color w:val="auto"/>
        </w:rPr>
      </w:pPr>
    </w:p>
    <w:p>
      <w:pPr>
        <w:ind w:left="1700"/>
        <w:spacing w:after="0"/>
        <w:tabs>
          <w:tab w:leader="none" w:pos="8780" w:val="left"/>
        </w:tabs>
        <w:rPr>
          <w:sz w:val="20"/>
          <w:szCs w:val="20"/>
          <w:color w:val="auto"/>
        </w:rPr>
      </w:pPr>
      <w:r>
        <w:rPr>
          <w:rFonts w:ascii="Arial" w:cs="Arial" w:eastAsia="Arial" w:hAnsi="Arial"/>
          <w:sz w:val="20"/>
          <w:szCs w:val="20"/>
          <w:color w:val="auto"/>
        </w:rPr>
        <w:t>Carbon Management Business . . . . . . . . . . . . . . . . . . . . . . . . . . . . . . . . . . . . . .</w:t>
      </w:r>
      <w:r>
        <w:rPr>
          <w:sz w:val="20"/>
          <w:szCs w:val="20"/>
          <w:color w:val="auto"/>
        </w:rPr>
        <w:tab/>
      </w:r>
      <w:r>
        <w:rPr>
          <w:rFonts w:ascii="Arial" w:cs="Arial" w:eastAsia="Arial" w:hAnsi="Arial"/>
          <w:sz w:val="17"/>
          <w:szCs w:val="17"/>
          <w:b w:val="1"/>
          <w:bCs w:val="1"/>
          <w:color w:val="auto"/>
        </w:rPr>
        <w:t>23</w:t>
      </w:r>
    </w:p>
    <w:p>
      <w:pPr>
        <w:spacing w:after="0" w:line="10" w:lineRule="exact"/>
        <w:rPr>
          <w:sz w:val="20"/>
          <w:szCs w:val="20"/>
          <w:color w:val="auto"/>
        </w:rPr>
      </w:pPr>
    </w:p>
    <w:p>
      <w:pPr>
        <w:ind w:left="1700"/>
        <w:spacing w:after="0"/>
        <w:tabs>
          <w:tab w:leader="none" w:pos="8780" w:val="left"/>
        </w:tabs>
        <w:rPr>
          <w:sz w:val="20"/>
          <w:szCs w:val="20"/>
          <w:color w:val="auto"/>
        </w:rPr>
      </w:pPr>
      <w:r>
        <w:rPr>
          <w:rFonts w:ascii="Arial" w:cs="Arial" w:eastAsia="Arial" w:hAnsi="Arial"/>
          <w:sz w:val="20"/>
          <w:szCs w:val="20"/>
          <w:color w:val="auto"/>
        </w:rPr>
        <w:t>Human Capital Management . . . . . . . . . . . . . . . . . . . . . . . . . . . . . . . . . . . . . . . .</w:t>
      </w:r>
      <w:r>
        <w:rPr>
          <w:sz w:val="20"/>
          <w:szCs w:val="20"/>
          <w:color w:val="auto"/>
        </w:rPr>
        <w:tab/>
      </w:r>
      <w:r>
        <w:rPr>
          <w:rFonts w:ascii="Arial" w:cs="Arial" w:eastAsia="Arial" w:hAnsi="Arial"/>
          <w:sz w:val="17"/>
          <w:szCs w:val="17"/>
          <w:b w:val="1"/>
          <w:bCs w:val="1"/>
          <w:color w:val="auto"/>
        </w:rPr>
        <w:t>24</w:t>
      </w:r>
    </w:p>
    <w:p>
      <w:pPr>
        <w:spacing w:after="0" w:line="10" w:lineRule="exact"/>
        <w:rPr>
          <w:sz w:val="20"/>
          <w:szCs w:val="20"/>
          <w:color w:val="auto"/>
        </w:rPr>
      </w:pPr>
    </w:p>
    <w:p>
      <w:pPr>
        <w:ind w:left="1500"/>
        <w:spacing w:after="0"/>
        <w:tabs>
          <w:tab w:leader="none" w:pos="8780" w:val="left"/>
        </w:tabs>
        <w:rPr>
          <w:sz w:val="20"/>
          <w:szCs w:val="20"/>
          <w:color w:val="auto"/>
        </w:rPr>
      </w:pPr>
      <w:r>
        <w:rPr>
          <w:rFonts w:ascii="Arial" w:cs="Arial" w:eastAsia="Arial" w:hAnsi="Arial"/>
          <w:sz w:val="20"/>
          <w:szCs w:val="20"/>
          <w:color w:val="auto"/>
        </w:rPr>
        <w:t>Regulation of the Industries in Which We Operate . . . . . . . . . . . . . . . . . . . . . . . .</w:t>
      </w:r>
      <w:r>
        <w:rPr>
          <w:sz w:val="20"/>
          <w:szCs w:val="20"/>
          <w:color w:val="auto"/>
        </w:rPr>
        <w:tab/>
      </w:r>
      <w:r>
        <w:rPr>
          <w:rFonts w:ascii="Arial" w:cs="Arial" w:eastAsia="Arial" w:hAnsi="Arial"/>
          <w:sz w:val="17"/>
          <w:szCs w:val="17"/>
          <w:b w:val="1"/>
          <w:bCs w:val="1"/>
          <w:color w:val="auto"/>
        </w:rPr>
        <w:t>26</w:t>
      </w:r>
    </w:p>
    <w:p>
      <w:pPr>
        <w:spacing w:after="0" w:line="10" w:lineRule="exact"/>
        <w:rPr>
          <w:sz w:val="20"/>
          <w:szCs w:val="20"/>
          <w:color w:val="auto"/>
        </w:rPr>
      </w:pPr>
    </w:p>
    <w:p>
      <w:pPr>
        <w:ind w:left="1500"/>
        <w:spacing w:after="0"/>
        <w:tabs>
          <w:tab w:leader="none" w:pos="8780" w:val="left"/>
        </w:tabs>
        <w:rPr>
          <w:sz w:val="20"/>
          <w:szCs w:val="20"/>
          <w:color w:val="auto"/>
        </w:rPr>
      </w:pPr>
      <w:r>
        <w:rPr>
          <w:rFonts w:ascii="Arial" w:cs="Arial" w:eastAsia="Arial" w:hAnsi="Arial"/>
          <w:sz w:val="20"/>
          <w:szCs w:val="20"/>
          <w:color w:val="auto"/>
        </w:rPr>
        <w:t>Available Information . . . . . . . . . . . . . . . . . . . . . . . . . . . . . . . . . . . . . . . . . . . . . . . .</w:t>
      </w:r>
      <w:r>
        <w:rPr>
          <w:sz w:val="20"/>
          <w:szCs w:val="20"/>
          <w:color w:val="auto"/>
        </w:rPr>
        <w:tab/>
      </w:r>
      <w:r>
        <w:rPr>
          <w:rFonts w:ascii="Arial" w:cs="Arial" w:eastAsia="Arial" w:hAnsi="Arial"/>
          <w:sz w:val="17"/>
          <w:szCs w:val="17"/>
          <w:b w:val="1"/>
          <w:bCs w:val="1"/>
          <w:color w:val="auto"/>
        </w:rPr>
        <w:t>36</w:t>
      </w:r>
    </w:p>
    <w:p>
      <w:pPr>
        <w:spacing w:after="0" w:line="6" w:lineRule="exact"/>
        <w:rPr>
          <w:sz w:val="20"/>
          <w:szCs w:val="20"/>
          <w:color w:val="auto"/>
        </w:rPr>
      </w:pPr>
    </w:p>
    <w:p>
      <w:pPr>
        <w:ind w:left="200"/>
        <w:spacing w:after="0"/>
        <w:tabs>
          <w:tab w:leader="none" w:pos="1280" w:val="left"/>
          <w:tab w:leader="none" w:pos="2900" w:val="left"/>
          <w:tab w:leader="none" w:pos="878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20"/>
          <w:szCs w:val="20"/>
          <w:color w:val="auto"/>
        </w:rPr>
        <w:t>RISK FACTORS</w:t>
        <w:tab/>
        <w:t>. . . . . . . . . . . . . . . . . . . . . . . . . . . . . . . . . . . . . . . . . . . . . . . . . . . . .</w:t>
      </w:r>
      <w:r>
        <w:rPr>
          <w:sz w:val="20"/>
          <w:szCs w:val="20"/>
          <w:color w:val="auto"/>
        </w:rPr>
        <w:tab/>
      </w:r>
      <w:r>
        <w:rPr>
          <w:rFonts w:ascii="Arial" w:cs="Arial" w:eastAsia="Arial" w:hAnsi="Arial"/>
          <w:sz w:val="17"/>
          <w:szCs w:val="17"/>
          <w:b w:val="1"/>
          <w:bCs w:val="1"/>
          <w:color w:val="auto"/>
        </w:rPr>
        <w:t>37</w:t>
      </w:r>
    </w:p>
    <w:p>
      <w:pPr>
        <w:spacing w:after="0" w:line="6" w:lineRule="exact"/>
        <w:rPr>
          <w:sz w:val="20"/>
          <w:szCs w:val="20"/>
          <w:color w:val="auto"/>
        </w:rPr>
      </w:pPr>
    </w:p>
    <w:p>
      <w:pPr>
        <w:ind w:left="200"/>
        <w:spacing w:after="0"/>
        <w:tabs>
          <w:tab w:leader="none" w:pos="1280" w:val="left"/>
          <w:tab w:leader="none" w:pos="4700" w:val="left"/>
          <w:tab w:leader="none" w:pos="878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20"/>
          <w:szCs w:val="20"/>
          <w:color w:val="auto"/>
        </w:rPr>
        <w:t>UNRESOLVED STAFF COMMENTS</w:t>
        <w:tab/>
        <w:t>. . . . . . . . . . . . . . . . . . . . . . . . . . . . . . . . . . . .</w:t>
      </w:r>
      <w:r>
        <w:rPr>
          <w:sz w:val="20"/>
          <w:szCs w:val="20"/>
          <w:color w:val="auto"/>
        </w:rPr>
        <w:tab/>
      </w:r>
      <w:r>
        <w:rPr>
          <w:rFonts w:ascii="Arial" w:cs="Arial" w:eastAsia="Arial" w:hAnsi="Arial"/>
          <w:sz w:val="17"/>
          <w:szCs w:val="17"/>
          <w:b w:val="1"/>
          <w:bCs w:val="1"/>
          <w:color w:val="auto"/>
        </w:rPr>
        <w:t>61</w:t>
      </w:r>
    </w:p>
    <w:p>
      <w:pPr>
        <w:spacing w:after="0" w:line="6" w:lineRule="exact"/>
        <w:rPr>
          <w:sz w:val="20"/>
          <w:szCs w:val="20"/>
          <w:color w:val="auto"/>
        </w:rPr>
      </w:pPr>
    </w:p>
    <w:p>
      <w:pPr>
        <w:ind w:left="200"/>
        <w:spacing w:after="0"/>
        <w:tabs>
          <w:tab w:leader="none" w:pos="1280" w:val="left"/>
          <w:tab w:leader="none" w:pos="87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20"/>
          <w:szCs w:val="20"/>
          <w:color w:val="auto"/>
        </w:rPr>
        <w:t>LEGAL PROCEEDINGS . . . . . . . . . . . . . . . . . . . . . . . . . . . . . . . . . . . . . . . . . . . . . . .</w:t>
      </w:r>
      <w:r>
        <w:rPr>
          <w:sz w:val="20"/>
          <w:szCs w:val="20"/>
          <w:color w:val="auto"/>
        </w:rPr>
        <w:tab/>
      </w:r>
      <w:r>
        <w:rPr>
          <w:rFonts w:ascii="Arial" w:cs="Arial" w:eastAsia="Arial" w:hAnsi="Arial"/>
          <w:sz w:val="17"/>
          <w:szCs w:val="17"/>
          <w:b w:val="1"/>
          <w:bCs w:val="1"/>
          <w:color w:val="auto"/>
        </w:rPr>
        <w:t>61</w:t>
      </w:r>
    </w:p>
    <w:p>
      <w:pPr>
        <w:spacing w:after="0" w:line="6" w:lineRule="exact"/>
        <w:rPr>
          <w:sz w:val="20"/>
          <w:szCs w:val="20"/>
          <w:color w:val="auto"/>
        </w:rPr>
      </w:pPr>
    </w:p>
    <w:p>
      <w:pPr>
        <w:ind w:left="200"/>
        <w:spacing w:after="0"/>
        <w:tabs>
          <w:tab w:leader="none" w:pos="1280" w:val="left"/>
          <w:tab w:leader="none" w:pos="87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20"/>
          <w:szCs w:val="20"/>
          <w:color w:val="auto"/>
        </w:rPr>
        <w:t>MINE SAFETY DISCLOSURES . . . . . . . . . . . . . . . . . . . . . . . . . . . . . . . . . . . . . . . . .</w:t>
      </w:r>
      <w:r>
        <w:rPr>
          <w:sz w:val="20"/>
          <w:szCs w:val="20"/>
          <w:color w:val="auto"/>
        </w:rPr>
        <w:tab/>
      </w:r>
      <w:r>
        <w:rPr>
          <w:rFonts w:ascii="Arial" w:cs="Arial" w:eastAsia="Arial" w:hAnsi="Arial"/>
          <w:sz w:val="17"/>
          <w:szCs w:val="17"/>
          <w:b w:val="1"/>
          <w:bCs w:val="1"/>
          <w:color w:val="auto"/>
        </w:rPr>
        <w:t>61</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w:t>
      </w:r>
    </w:p>
    <w:p>
      <w:pPr>
        <w:spacing w:after="0" w:line="6"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20"/>
          <w:szCs w:val="20"/>
          <w:color w:val="auto"/>
        </w:rPr>
        <w:t>MARKET FOR REGISTRANT’S COMMON EQUITY, RELATED</w:t>
      </w:r>
    </w:p>
    <w:p>
      <w:pPr>
        <w:spacing w:after="0" w:line="1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STOCKHOLDER MATTERS AND ISSUER PURCHASES OF EQUITY</w:t>
      </w:r>
    </w:p>
    <w:p>
      <w:pPr>
        <w:spacing w:after="0" w:line="10" w:lineRule="exact"/>
        <w:rPr>
          <w:sz w:val="20"/>
          <w:szCs w:val="20"/>
          <w:color w:val="auto"/>
        </w:rPr>
      </w:pPr>
    </w:p>
    <w:p>
      <w:pPr>
        <w:ind w:left="1300"/>
        <w:spacing w:after="0"/>
        <w:tabs>
          <w:tab w:leader="none" w:pos="8780" w:val="left"/>
        </w:tabs>
        <w:rPr>
          <w:sz w:val="20"/>
          <w:szCs w:val="20"/>
          <w:color w:val="auto"/>
        </w:rPr>
      </w:pPr>
      <w:r>
        <w:rPr>
          <w:rFonts w:ascii="Arial" w:cs="Arial" w:eastAsia="Arial" w:hAnsi="Arial"/>
          <w:sz w:val="20"/>
          <w:szCs w:val="20"/>
          <w:color w:val="auto"/>
        </w:rPr>
        <w:t>SECURITIES . . . . . . . . . . . . . . . . . . . . . . . . . . . . . . . . . . . . . . . . . . . . . . . . . . . . . . . .</w:t>
      </w:r>
      <w:r>
        <w:rPr>
          <w:sz w:val="20"/>
          <w:szCs w:val="20"/>
          <w:color w:val="auto"/>
        </w:rPr>
        <w:tab/>
      </w:r>
      <w:r>
        <w:rPr>
          <w:rFonts w:ascii="Arial" w:cs="Arial" w:eastAsia="Arial" w:hAnsi="Arial"/>
          <w:sz w:val="17"/>
          <w:szCs w:val="17"/>
          <w:b w:val="1"/>
          <w:bCs w:val="1"/>
          <w:color w:val="auto"/>
        </w:rPr>
        <w:t>62</w:t>
      </w:r>
    </w:p>
    <w:p>
      <w:pPr>
        <w:spacing w:after="0" w:line="6" w:lineRule="exact"/>
        <w:rPr>
          <w:sz w:val="20"/>
          <w:szCs w:val="20"/>
          <w:color w:val="auto"/>
        </w:rPr>
      </w:pPr>
    </w:p>
    <w:p>
      <w:pPr>
        <w:ind w:left="200"/>
        <w:spacing w:after="0"/>
        <w:tabs>
          <w:tab w:leader="none" w:pos="1280" w:val="left"/>
          <w:tab w:leader="none" w:pos="87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20"/>
          <w:szCs w:val="20"/>
          <w:color w:val="auto"/>
        </w:rPr>
        <w:t>RESERVED . . . . . . . . . . . . . . . . . . . . . . . . . . . . . . . . . . . . . . . . . . . . . . . . . . . . . . . . .</w:t>
      </w:r>
      <w:r>
        <w:rPr>
          <w:sz w:val="20"/>
          <w:szCs w:val="20"/>
          <w:color w:val="auto"/>
        </w:rPr>
        <w:tab/>
      </w:r>
      <w:r>
        <w:rPr>
          <w:rFonts w:ascii="Arial" w:cs="Arial" w:eastAsia="Arial" w:hAnsi="Arial"/>
          <w:sz w:val="17"/>
          <w:szCs w:val="17"/>
          <w:b w:val="1"/>
          <w:bCs w:val="1"/>
          <w:color w:val="auto"/>
        </w:rPr>
        <w:t>65</w:t>
      </w:r>
    </w:p>
    <w:p>
      <w:pPr>
        <w:spacing w:after="0" w:line="10"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19"/>
          <w:szCs w:val="19"/>
          <w:color w:val="auto"/>
        </w:rPr>
        <w:t>MANAGEMENT’S DISCUSSION AND ANALYSIS OF FINANCIAL CONDITION</w:t>
      </w:r>
    </w:p>
    <w:p>
      <w:pPr>
        <w:spacing w:after="0" w:line="10" w:lineRule="exact"/>
        <w:rPr>
          <w:sz w:val="20"/>
          <w:szCs w:val="20"/>
          <w:color w:val="auto"/>
        </w:rPr>
      </w:pPr>
    </w:p>
    <w:p>
      <w:pPr>
        <w:ind w:left="1300"/>
        <w:spacing w:after="0"/>
        <w:tabs>
          <w:tab w:leader="none" w:pos="8780" w:val="left"/>
        </w:tabs>
        <w:rPr>
          <w:sz w:val="20"/>
          <w:szCs w:val="20"/>
          <w:color w:val="auto"/>
        </w:rPr>
      </w:pPr>
      <w:r>
        <w:rPr>
          <w:rFonts w:ascii="Arial" w:cs="Arial" w:eastAsia="Arial" w:hAnsi="Arial"/>
          <w:sz w:val="20"/>
          <w:szCs w:val="20"/>
          <w:color w:val="auto"/>
        </w:rPr>
        <w:t>AND RESULTS OF OPERATIONS  . . . . . . . . . . . . . . . . . . . . . . . . . . . . . . . . . . . . . .</w:t>
      </w:r>
      <w:r>
        <w:rPr>
          <w:sz w:val="20"/>
          <w:szCs w:val="20"/>
          <w:color w:val="auto"/>
        </w:rPr>
        <w:tab/>
      </w:r>
      <w:r>
        <w:rPr>
          <w:rFonts w:ascii="Arial" w:cs="Arial" w:eastAsia="Arial" w:hAnsi="Arial"/>
          <w:sz w:val="17"/>
          <w:szCs w:val="17"/>
          <w:b w:val="1"/>
          <w:bCs w:val="1"/>
          <w:color w:val="auto"/>
        </w:rPr>
        <w:t>66</w:t>
      </w:r>
    </w:p>
    <w:p>
      <w:pPr>
        <w:spacing w:after="0" w:line="10" w:lineRule="exact"/>
        <w:rPr>
          <w:sz w:val="20"/>
          <w:szCs w:val="20"/>
          <w:color w:val="auto"/>
        </w:rPr>
      </w:pPr>
    </w:p>
    <w:p>
      <w:pPr>
        <w:ind w:left="1500"/>
        <w:spacing w:after="0"/>
        <w:tabs>
          <w:tab w:leader="none" w:pos="8780" w:val="left"/>
        </w:tabs>
        <w:rPr>
          <w:sz w:val="20"/>
          <w:szCs w:val="20"/>
          <w:color w:val="auto"/>
        </w:rPr>
      </w:pPr>
      <w:r>
        <w:rPr>
          <w:rFonts w:ascii="Arial" w:cs="Arial" w:eastAsia="Arial" w:hAnsi="Arial"/>
          <w:sz w:val="20"/>
          <w:szCs w:val="20"/>
          <w:color w:val="auto"/>
        </w:rPr>
        <w:t>Basis of Presentation . . . . . . . . . . . . . . . . . . . . . . . . . . . . . . . . . . . . . . . . . . . . . . . .</w:t>
      </w:r>
      <w:r>
        <w:rPr>
          <w:sz w:val="20"/>
          <w:szCs w:val="20"/>
          <w:color w:val="auto"/>
        </w:rPr>
        <w:tab/>
      </w:r>
      <w:r>
        <w:rPr>
          <w:rFonts w:ascii="Arial" w:cs="Arial" w:eastAsia="Arial" w:hAnsi="Arial"/>
          <w:sz w:val="17"/>
          <w:szCs w:val="17"/>
          <w:b w:val="1"/>
          <w:bCs w:val="1"/>
          <w:color w:val="auto"/>
        </w:rPr>
        <w:t>66</w:t>
      </w:r>
    </w:p>
    <w:p>
      <w:pPr>
        <w:spacing w:after="0" w:line="10" w:lineRule="exact"/>
        <w:rPr>
          <w:sz w:val="20"/>
          <w:szCs w:val="20"/>
          <w:color w:val="auto"/>
        </w:rPr>
      </w:pPr>
    </w:p>
    <w:p>
      <w:pPr>
        <w:ind w:left="1500"/>
        <w:spacing w:after="0"/>
        <w:tabs>
          <w:tab w:leader="none" w:pos="5020" w:val="left"/>
          <w:tab w:leader="none" w:pos="8780" w:val="left"/>
        </w:tabs>
        <w:rPr>
          <w:sz w:val="20"/>
          <w:szCs w:val="20"/>
          <w:color w:val="auto"/>
        </w:rPr>
      </w:pPr>
      <w:r>
        <w:rPr>
          <w:rFonts w:ascii="Arial" w:cs="Arial" w:eastAsia="Arial" w:hAnsi="Arial"/>
          <w:sz w:val="20"/>
          <w:szCs w:val="20"/>
          <w:color w:val="auto"/>
        </w:rPr>
        <w:t>Supply Chain Constraints and Inflation</w:t>
        <w:tab/>
        <w:t>. . . . . . . . . . . . . . . . . . . . . . . . . . . . . . . . .</w:t>
      </w:r>
      <w:r>
        <w:rPr>
          <w:sz w:val="20"/>
          <w:szCs w:val="20"/>
          <w:color w:val="auto"/>
        </w:rPr>
        <w:tab/>
      </w:r>
      <w:r>
        <w:rPr>
          <w:rFonts w:ascii="Arial" w:cs="Arial" w:eastAsia="Arial" w:hAnsi="Arial"/>
          <w:sz w:val="17"/>
          <w:szCs w:val="17"/>
          <w:b w:val="1"/>
          <w:bCs w:val="1"/>
          <w:color w:val="auto"/>
        </w:rPr>
        <w:t>66</w:t>
      </w:r>
    </w:p>
    <w:p>
      <w:pPr>
        <w:spacing w:after="0" w:line="10" w:lineRule="exact"/>
        <w:rPr>
          <w:sz w:val="20"/>
          <w:szCs w:val="20"/>
          <w:color w:val="auto"/>
        </w:rPr>
      </w:pPr>
    </w:p>
    <w:p>
      <w:pPr>
        <w:ind w:left="1500"/>
        <w:spacing w:after="0"/>
        <w:tabs>
          <w:tab w:leader="none" w:pos="8780" w:val="left"/>
        </w:tabs>
        <w:rPr>
          <w:sz w:val="20"/>
          <w:szCs w:val="20"/>
          <w:color w:val="auto"/>
        </w:rPr>
      </w:pPr>
      <w:r>
        <w:rPr>
          <w:rFonts w:ascii="Arial" w:cs="Arial" w:eastAsia="Arial" w:hAnsi="Arial"/>
          <w:sz w:val="20"/>
          <w:szCs w:val="20"/>
          <w:color w:val="auto"/>
        </w:rPr>
        <w:t>Production, Prices and Realizations . . . . . . . . . . . . . . . . . . . . . . . . . . . . . . . . . . . .</w:t>
      </w:r>
      <w:r>
        <w:rPr>
          <w:sz w:val="20"/>
          <w:szCs w:val="20"/>
          <w:color w:val="auto"/>
        </w:rPr>
        <w:tab/>
      </w:r>
      <w:r>
        <w:rPr>
          <w:rFonts w:ascii="Arial" w:cs="Arial" w:eastAsia="Arial" w:hAnsi="Arial"/>
          <w:sz w:val="17"/>
          <w:szCs w:val="17"/>
          <w:b w:val="1"/>
          <w:bCs w:val="1"/>
          <w:color w:val="auto"/>
        </w:rPr>
        <w:t>67</w:t>
      </w:r>
    </w:p>
    <w:p>
      <w:pPr>
        <w:spacing w:after="0" w:line="10" w:lineRule="exact"/>
        <w:rPr>
          <w:sz w:val="20"/>
          <w:szCs w:val="20"/>
          <w:color w:val="auto"/>
        </w:rPr>
      </w:pPr>
    </w:p>
    <w:p>
      <w:pPr>
        <w:ind w:left="1500"/>
        <w:spacing w:after="0"/>
        <w:tabs>
          <w:tab w:leader="none" w:pos="8780" w:val="left"/>
        </w:tabs>
        <w:rPr>
          <w:sz w:val="20"/>
          <w:szCs w:val="20"/>
          <w:color w:val="auto"/>
        </w:rPr>
      </w:pPr>
      <w:r>
        <w:rPr>
          <w:rFonts w:ascii="Arial" w:cs="Arial" w:eastAsia="Arial" w:hAnsi="Arial"/>
          <w:sz w:val="20"/>
          <w:szCs w:val="20"/>
          <w:color w:val="auto"/>
        </w:rPr>
        <w:t>Divestitures . . . . . . . . . . . . . . . . . . . . . . . . . . . . . . . . . . . . . . . . . . . . . . . . . . . . . . . .</w:t>
      </w:r>
      <w:r>
        <w:rPr>
          <w:sz w:val="20"/>
          <w:szCs w:val="20"/>
          <w:color w:val="auto"/>
        </w:rPr>
        <w:tab/>
      </w:r>
      <w:r>
        <w:rPr>
          <w:rFonts w:ascii="Arial" w:cs="Arial" w:eastAsia="Arial" w:hAnsi="Arial"/>
          <w:sz w:val="17"/>
          <w:szCs w:val="17"/>
          <w:b w:val="1"/>
          <w:bCs w:val="1"/>
          <w:color w:val="auto"/>
        </w:rPr>
        <w:t>71</w:t>
      </w:r>
    </w:p>
    <w:p>
      <w:pPr>
        <w:spacing w:after="0" w:line="10" w:lineRule="exact"/>
        <w:rPr>
          <w:sz w:val="20"/>
          <w:szCs w:val="20"/>
          <w:color w:val="auto"/>
        </w:rPr>
      </w:pPr>
    </w:p>
    <w:p>
      <w:pPr>
        <w:ind w:left="1500"/>
        <w:spacing w:after="0"/>
        <w:tabs>
          <w:tab w:leader="none" w:pos="8780" w:val="left"/>
        </w:tabs>
        <w:rPr>
          <w:sz w:val="20"/>
          <w:szCs w:val="20"/>
          <w:color w:val="auto"/>
        </w:rPr>
      </w:pPr>
      <w:r>
        <w:rPr>
          <w:rFonts w:ascii="Arial" w:cs="Arial" w:eastAsia="Arial" w:hAnsi="Arial"/>
          <w:sz w:val="20"/>
          <w:szCs w:val="20"/>
          <w:color w:val="auto"/>
        </w:rPr>
        <w:t>Acquisitions and Joint Ventures  . . . . . . . . . . . . . . . . . . . . . . . . . . . . . . . . . . . . . . .</w:t>
      </w:r>
      <w:r>
        <w:rPr>
          <w:sz w:val="20"/>
          <w:szCs w:val="20"/>
          <w:color w:val="auto"/>
        </w:rPr>
        <w:tab/>
      </w:r>
      <w:r>
        <w:rPr>
          <w:rFonts w:ascii="Arial" w:cs="Arial" w:eastAsia="Arial" w:hAnsi="Arial"/>
          <w:sz w:val="17"/>
          <w:szCs w:val="17"/>
          <w:b w:val="1"/>
          <w:bCs w:val="1"/>
          <w:color w:val="auto"/>
        </w:rPr>
        <w:t>71</w:t>
      </w:r>
    </w:p>
    <w:p>
      <w:pPr>
        <w:spacing w:after="0" w:line="10" w:lineRule="exact"/>
        <w:rPr>
          <w:sz w:val="20"/>
          <w:szCs w:val="20"/>
          <w:color w:val="auto"/>
        </w:rPr>
      </w:pPr>
    </w:p>
    <w:p>
      <w:pPr>
        <w:ind w:left="1500"/>
        <w:spacing w:after="0"/>
        <w:tabs>
          <w:tab w:leader="none" w:pos="8780" w:val="left"/>
        </w:tabs>
        <w:rPr>
          <w:sz w:val="20"/>
          <w:szCs w:val="20"/>
          <w:color w:val="auto"/>
        </w:rPr>
      </w:pPr>
      <w:r>
        <w:rPr>
          <w:rFonts w:ascii="Arial" w:cs="Arial" w:eastAsia="Arial" w:hAnsi="Arial"/>
          <w:sz w:val="20"/>
          <w:szCs w:val="20"/>
          <w:color w:val="auto"/>
        </w:rPr>
        <w:t>Dividend Policy . . . . . . . . . . . . . . . . . . . . . . . . . . . . . . . . . . . . . . . . . . . . . . . . . . . . .</w:t>
      </w:r>
      <w:r>
        <w:rPr>
          <w:sz w:val="20"/>
          <w:szCs w:val="20"/>
          <w:color w:val="auto"/>
        </w:rPr>
        <w:tab/>
      </w:r>
      <w:r>
        <w:rPr>
          <w:rFonts w:ascii="Arial" w:cs="Arial" w:eastAsia="Arial" w:hAnsi="Arial"/>
          <w:sz w:val="17"/>
          <w:szCs w:val="17"/>
          <w:b w:val="1"/>
          <w:bCs w:val="1"/>
          <w:color w:val="auto"/>
        </w:rPr>
        <w:t>71</w:t>
      </w:r>
    </w:p>
    <w:p>
      <w:pPr>
        <w:spacing w:after="0" w:line="10" w:lineRule="exact"/>
        <w:rPr>
          <w:sz w:val="20"/>
          <w:szCs w:val="20"/>
          <w:color w:val="auto"/>
        </w:rPr>
      </w:pPr>
    </w:p>
    <w:p>
      <w:pPr>
        <w:ind w:left="1500"/>
        <w:spacing w:after="0"/>
        <w:tabs>
          <w:tab w:leader="none" w:pos="8780" w:val="left"/>
        </w:tabs>
        <w:rPr>
          <w:sz w:val="20"/>
          <w:szCs w:val="20"/>
          <w:color w:val="auto"/>
        </w:rPr>
      </w:pPr>
      <w:r>
        <w:rPr>
          <w:rFonts w:ascii="Arial" w:cs="Arial" w:eastAsia="Arial" w:hAnsi="Arial"/>
          <w:sz w:val="20"/>
          <w:szCs w:val="20"/>
          <w:color w:val="auto"/>
        </w:rPr>
        <w:t>Share Repurchase Program . . . . . . . . . . . . . . . . . . . . . . . . . . . . . . . . . . . . . . . . . .</w:t>
      </w:r>
      <w:r>
        <w:rPr>
          <w:sz w:val="20"/>
          <w:szCs w:val="20"/>
          <w:color w:val="auto"/>
        </w:rPr>
        <w:tab/>
      </w:r>
      <w:r>
        <w:rPr>
          <w:rFonts w:ascii="Arial" w:cs="Arial" w:eastAsia="Arial" w:hAnsi="Arial"/>
          <w:sz w:val="17"/>
          <w:szCs w:val="17"/>
          <w:b w:val="1"/>
          <w:bCs w:val="1"/>
          <w:color w:val="auto"/>
        </w:rPr>
        <w:t>71</w:t>
      </w:r>
    </w:p>
    <w:p>
      <w:pPr>
        <w:spacing w:after="0" w:line="10" w:lineRule="exact"/>
        <w:rPr>
          <w:sz w:val="20"/>
          <w:szCs w:val="20"/>
          <w:color w:val="auto"/>
        </w:rPr>
      </w:pPr>
    </w:p>
    <w:p>
      <w:pPr>
        <w:ind w:left="1500"/>
        <w:spacing w:after="0"/>
        <w:tabs>
          <w:tab w:leader="none" w:pos="8780" w:val="left"/>
        </w:tabs>
        <w:rPr>
          <w:sz w:val="20"/>
          <w:szCs w:val="20"/>
          <w:color w:val="auto"/>
        </w:rPr>
      </w:pPr>
      <w:r>
        <w:rPr>
          <w:rFonts w:ascii="Arial" w:cs="Arial" w:eastAsia="Arial" w:hAnsi="Arial"/>
          <w:sz w:val="20"/>
          <w:szCs w:val="20"/>
          <w:color w:val="auto"/>
        </w:rPr>
        <w:t>Seasonality . . . . . . . . . . . . . . . . . . . . . . . . . . . . . . . . . . . . . . . . . . . . . . . . . . . . . . . .</w:t>
      </w:r>
      <w:r>
        <w:rPr>
          <w:sz w:val="20"/>
          <w:szCs w:val="20"/>
          <w:color w:val="auto"/>
        </w:rPr>
        <w:tab/>
      </w:r>
      <w:r>
        <w:rPr>
          <w:rFonts w:ascii="Arial" w:cs="Arial" w:eastAsia="Arial" w:hAnsi="Arial"/>
          <w:sz w:val="17"/>
          <w:szCs w:val="17"/>
          <w:b w:val="1"/>
          <w:bCs w:val="1"/>
          <w:color w:val="auto"/>
        </w:rPr>
        <w:t>72</w:t>
      </w:r>
    </w:p>
    <w:p>
      <w:pPr>
        <w:spacing w:after="0" w:line="10" w:lineRule="exact"/>
        <w:rPr>
          <w:sz w:val="20"/>
          <w:szCs w:val="20"/>
          <w:color w:val="auto"/>
        </w:rPr>
      </w:pPr>
    </w:p>
    <w:p>
      <w:pPr>
        <w:ind w:left="1500"/>
        <w:spacing w:after="0"/>
        <w:tabs>
          <w:tab w:leader="none" w:pos="8780" w:val="left"/>
        </w:tabs>
        <w:rPr>
          <w:sz w:val="20"/>
          <w:szCs w:val="20"/>
          <w:color w:val="auto"/>
        </w:rPr>
      </w:pPr>
      <w:r>
        <w:rPr>
          <w:rFonts w:ascii="Arial" w:cs="Arial" w:eastAsia="Arial" w:hAnsi="Arial"/>
          <w:sz w:val="20"/>
          <w:szCs w:val="20"/>
          <w:color w:val="auto"/>
        </w:rPr>
        <w:t>Income Taxes . . . . . . . . . . . . . . . . . . . . . . . . . . . . . . . . . . . . . . . . . . . . . . . . . . . . . .</w:t>
      </w:r>
      <w:r>
        <w:rPr>
          <w:sz w:val="20"/>
          <w:szCs w:val="20"/>
          <w:color w:val="auto"/>
        </w:rPr>
        <w:tab/>
      </w:r>
      <w:r>
        <w:rPr>
          <w:rFonts w:ascii="Arial" w:cs="Arial" w:eastAsia="Arial" w:hAnsi="Arial"/>
          <w:sz w:val="17"/>
          <w:szCs w:val="17"/>
          <w:b w:val="1"/>
          <w:bCs w:val="1"/>
          <w:color w:val="auto"/>
        </w:rPr>
        <w:t>72</w:t>
      </w:r>
    </w:p>
    <w:p>
      <w:pPr>
        <w:spacing w:after="0" w:line="10" w:lineRule="exact"/>
        <w:rPr>
          <w:sz w:val="20"/>
          <w:szCs w:val="20"/>
          <w:color w:val="auto"/>
        </w:rPr>
      </w:pPr>
    </w:p>
    <w:p>
      <w:pPr>
        <w:ind w:left="1500"/>
        <w:spacing w:after="0"/>
        <w:tabs>
          <w:tab w:leader="none" w:pos="4600" w:val="left"/>
          <w:tab w:leader="none" w:pos="8780" w:val="left"/>
        </w:tabs>
        <w:rPr>
          <w:sz w:val="20"/>
          <w:szCs w:val="20"/>
          <w:color w:val="auto"/>
        </w:rPr>
      </w:pPr>
      <w:r>
        <w:rPr>
          <w:rFonts w:ascii="Arial" w:cs="Arial" w:eastAsia="Arial" w:hAnsi="Arial"/>
          <w:sz w:val="20"/>
          <w:szCs w:val="20"/>
          <w:color w:val="auto"/>
        </w:rPr>
        <w:t>Statement of Operations Analysis</w:t>
        <w:tab/>
        <w:t>. . . . . . . . . . . . . . . . . . . . . . . . . . . . . . . . . . . . .</w:t>
      </w:r>
      <w:r>
        <w:rPr>
          <w:sz w:val="20"/>
          <w:szCs w:val="20"/>
          <w:color w:val="auto"/>
        </w:rPr>
        <w:tab/>
      </w:r>
      <w:r>
        <w:rPr>
          <w:rFonts w:ascii="Arial" w:cs="Arial" w:eastAsia="Arial" w:hAnsi="Arial"/>
          <w:sz w:val="17"/>
          <w:szCs w:val="17"/>
          <w:b w:val="1"/>
          <w:bCs w:val="1"/>
          <w:color w:val="auto"/>
        </w:rPr>
        <w:t>73</w:t>
      </w:r>
    </w:p>
    <w:p>
      <w:pPr>
        <w:spacing w:after="0" w:line="10" w:lineRule="exact"/>
        <w:rPr>
          <w:sz w:val="20"/>
          <w:szCs w:val="20"/>
          <w:color w:val="auto"/>
        </w:rPr>
      </w:pPr>
    </w:p>
    <w:p>
      <w:pPr>
        <w:ind w:left="1500"/>
        <w:spacing w:after="0"/>
        <w:tabs>
          <w:tab w:leader="none" w:pos="8780" w:val="left"/>
        </w:tabs>
        <w:rPr>
          <w:sz w:val="20"/>
          <w:szCs w:val="20"/>
          <w:color w:val="auto"/>
        </w:rPr>
      </w:pPr>
      <w:r>
        <w:rPr>
          <w:rFonts w:ascii="Arial" w:cs="Arial" w:eastAsia="Arial" w:hAnsi="Arial"/>
          <w:sz w:val="20"/>
          <w:szCs w:val="20"/>
          <w:color w:val="auto"/>
        </w:rPr>
        <w:t>Liquidity and Capital Resources . . . . . . . . . . . . . . . . . . . . . . . . . . . . . . . . . . . . . . .</w:t>
      </w:r>
      <w:r>
        <w:rPr>
          <w:sz w:val="20"/>
          <w:szCs w:val="20"/>
          <w:color w:val="auto"/>
        </w:rPr>
        <w:tab/>
      </w:r>
      <w:r>
        <w:rPr>
          <w:rFonts w:ascii="Arial" w:cs="Arial" w:eastAsia="Arial" w:hAnsi="Arial"/>
          <w:sz w:val="17"/>
          <w:szCs w:val="17"/>
          <w:b w:val="1"/>
          <w:bCs w:val="1"/>
          <w:color w:val="auto"/>
        </w:rPr>
        <w:t>79</w:t>
      </w:r>
    </w:p>
    <w:p>
      <w:pPr>
        <w:spacing w:after="0" w:line="10" w:lineRule="exact"/>
        <w:rPr>
          <w:sz w:val="20"/>
          <w:szCs w:val="20"/>
          <w:color w:val="auto"/>
        </w:rPr>
      </w:pPr>
    </w:p>
    <w:p>
      <w:pPr>
        <w:ind w:left="1500"/>
        <w:spacing w:after="0"/>
        <w:tabs>
          <w:tab w:leader="none" w:pos="8780" w:val="left"/>
        </w:tabs>
        <w:rPr>
          <w:sz w:val="20"/>
          <w:szCs w:val="20"/>
          <w:color w:val="auto"/>
        </w:rPr>
      </w:pPr>
      <w:r>
        <w:rPr>
          <w:rFonts w:ascii="Arial" w:cs="Arial" w:eastAsia="Arial" w:hAnsi="Arial"/>
          <w:sz w:val="20"/>
          <w:szCs w:val="20"/>
          <w:color w:val="auto"/>
        </w:rPr>
        <w:t>Uses of Cash  . . . . . . . . . . . . . . . . . . . . . . . . . . . . . . . . . . . . . . . . . . . . . . . . . . . . . .</w:t>
      </w:r>
      <w:r>
        <w:rPr>
          <w:sz w:val="20"/>
          <w:szCs w:val="20"/>
          <w:color w:val="auto"/>
        </w:rPr>
        <w:tab/>
      </w:r>
      <w:r>
        <w:rPr>
          <w:rFonts w:ascii="Arial" w:cs="Arial" w:eastAsia="Arial" w:hAnsi="Arial"/>
          <w:sz w:val="17"/>
          <w:szCs w:val="17"/>
          <w:b w:val="1"/>
          <w:bCs w:val="1"/>
          <w:color w:val="auto"/>
        </w:rPr>
        <w:t>81</w:t>
      </w:r>
    </w:p>
    <w:p>
      <w:pPr>
        <w:spacing w:after="0" w:line="10" w:lineRule="exact"/>
        <w:rPr>
          <w:sz w:val="20"/>
          <w:szCs w:val="20"/>
          <w:color w:val="auto"/>
        </w:rPr>
      </w:pPr>
    </w:p>
    <w:p>
      <w:pPr>
        <w:ind w:left="1500"/>
        <w:spacing w:after="0"/>
        <w:tabs>
          <w:tab w:leader="none" w:pos="6180" w:val="left"/>
          <w:tab w:leader="none" w:pos="8780" w:val="left"/>
        </w:tabs>
        <w:rPr>
          <w:sz w:val="20"/>
          <w:szCs w:val="20"/>
          <w:color w:val="auto"/>
        </w:rPr>
      </w:pPr>
      <w:r>
        <w:rPr>
          <w:rFonts w:ascii="Arial" w:cs="Arial" w:eastAsia="Arial" w:hAnsi="Arial"/>
          <w:sz w:val="20"/>
          <w:szCs w:val="20"/>
          <w:color w:val="auto"/>
        </w:rPr>
        <w:t>Lawsuits, Claims, Commitments and Contingencies</w:t>
        <w:tab/>
        <w:t>. . . . . . . . . . . . . . . . . . . . . .</w:t>
      </w:r>
      <w:r>
        <w:rPr>
          <w:sz w:val="20"/>
          <w:szCs w:val="20"/>
          <w:color w:val="auto"/>
        </w:rPr>
        <w:tab/>
      </w:r>
      <w:r>
        <w:rPr>
          <w:rFonts w:ascii="Arial" w:cs="Arial" w:eastAsia="Arial" w:hAnsi="Arial"/>
          <w:sz w:val="17"/>
          <w:szCs w:val="17"/>
          <w:b w:val="1"/>
          <w:bCs w:val="1"/>
          <w:color w:val="auto"/>
        </w:rPr>
        <w:t>84</w:t>
      </w:r>
    </w:p>
    <w:p>
      <w:pPr>
        <w:spacing w:after="0" w:line="10" w:lineRule="exact"/>
        <w:rPr>
          <w:sz w:val="20"/>
          <w:szCs w:val="20"/>
          <w:color w:val="auto"/>
        </w:rPr>
      </w:pPr>
    </w:p>
    <w:p>
      <w:pPr>
        <w:ind w:left="1500"/>
        <w:spacing w:after="0"/>
        <w:tabs>
          <w:tab w:leader="none" w:pos="8780" w:val="left"/>
        </w:tabs>
        <w:rPr>
          <w:sz w:val="20"/>
          <w:szCs w:val="20"/>
          <w:color w:val="auto"/>
        </w:rPr>
      </w:pPr>
      <w:r>
        <w:rPr>
          <w:rFonts w:ascii="Arial" w:cs="Arial" w:eastAsia="Arial" w:hAnsi="Arial"/>
          <w:sz w:val="20"/>
          <w:szCs w:val="20"/>
          <w:color w:val="auto"/>
        </w:rPr>
        <w:t>Critical Accounting Estimates . . . . . . . . . . . . . . . . . . . . . . . . . . . . . . . . . . . . . . . . .</w:t>
      </w:r>
      <w:r>
        <w:rPr>
          <w:sz w:val="20"/>
          <w:szCs w:val="20"/>
          <w:color w:val="auto"/>
        </w:rPr>
        <w:tab/>
      </w:r>
      <w:r>
        <w:rPr>
          <w:rFonts w:ascii="Arial" w:cs="Arial" w:eastAsia="Arial" w:hAnsi="Arial"/>
          <w:sz w:val="17"/>
          <w:szCs w:val="17"/>
          <w:b w:val="1"/>
          <w:bCs w:val="1"/>
          <w:color w:val="auto"/>
        </w:rPr>
        <w:t>85</w:t>
      </w:r>
    </w:p>
    <w:p>
      <w:pPr>
        <w:spacing w:after="0" w:line="10" w:lineRule="exact"/>
        <w:rPr>
          <w:sz w:val="20"/>
          <w:szCs w:val="20"/>
          <w:color w:val="auto"/>
        </w:rPr>
      </w:pPr>
    </w:p>
    <w:p>
      <w:pPr>
        <w:ind w:left="1300"/>
        <w:spacing w:after="0"/>
        <w:tabs>
          <w:tab w:leader="none" w:pos="8780" w:val="left"/>
        </w:tabs>
        <w:rPr>
          <w:sz w:val="20"/>
          <w:szCs w:val="20"/>
          <w:color w:val="auto"/>
        </w:rPr>
      </w:pPr>
      <w:r>
        <w:rPr>
          <w:rFonts w:ascii="Arial" w:cs="Arial" w:eastAsia="Arial" w:hAnsi="Arial"/>
          <w:sz w:val="20"/>
          <w:szCs w:val="20"/>
          <w:color w:val="auto"/>
        </w:rPr>
        <w:t>FORWARD-LOOKING STATEMENTS  . . . . . . . . . . . . . . . . . . . . . . . . . . . . . . . . . . .</w:t>
      </w:r>
      <w:r>
        <w:rPr>
          <w:sz w:val="20"/>
          <w:szCs w:val="20"/>
          <w:color w:val="auto"/>
        </w:rPr>
        <w:tab/>
      </w:r>
      <w:r>
        <w:rPr>
          <w:rFonts w:ascii="Arial" w:cs="Arial" w:eastAsia="Arial" w:hAnsi="Arial"/>
          <w:sz w:val="17"/>
          <w:szCs w:val="17"/>
          <w:b w:val="1"/>
          <w:bCs w:val="1"/>
          <w:color w:val="auto"/>
        </w:rPr>
        <w:t>87</w:t>
      </w:r>
    </w:p>
    <w:p>
      <w:pPr>
        <w:spacing w:after="0" w:line="8"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20"/>
          <w:szCs w:val="20"/>
          <w:b w:val="1"/>
          <w:bCs w:val="1"/>
          <w:color w:val="auto"/>
        </w:rPr>
        <w:t>Item 7A</w:t>
      </w:r>
      <w:r>
        <w:rPr>
          <w:sz w:val="20"/>
          <w:szCs w:val="20"/>
          <w:color w:val="auto"/>
        </w:rPr>
        <w:tab/>
      </w:r>
      <w:r>
        <w:rPr>
          <w:rFonts w:ascii="Arial" w:cs="Arial" w:eastAsia="Arial" w:hAnsi="Arial"/>
          <w:sz w:val="19"/>
          <w:szCs w:val="19"/>
          <w:color w:val="auto"/>
        </w:rPr>
        <w:t>QUANTITATIVE AND QUALITATIVE DISCLOSURES ABOUT MARKET</w:t>
      </w:r>
    </w:p>
    <w:p>
      <w:pPr>
        <w:spacing w:after="0" w:line="10" w:lineRule="exact"/>
        <w:rPr>
          <w:sz w:val="20"/>
          <w:szCs w:val="20"/>
          <w:color w:val="auto"/>
        </w:rPr>
      </w:pPr>
    </w:p>
    <w:p>
      <w:pPr>
        <w:ind w:left="1300"/>
        <w:spacing w:after="0"/>
        <w:tabs>
          <w:tab w:leader="none" w:pos="8780" w:val="left"/>
        </w:tabs>
        <w:rPr>
          <w:sz w:val="20"/>
          <w:szCs w:val="20"/>
          <w:color w:val="auto"/>
        </w:rPr>
      </w:pPr>
      <w:r>
        <w:rPr>
          <w:rFonts w:ascii="Arial" w:cs="Arial" w:eastAsia="Arial" w:hAnsi="Arial"/>
          <w:sz w:val="20"/>
          <w:szCs w:val="20"/>
          <w:color w:val="auto"/>
        </w:rPr>
        <w:t>RISK . . . . . . . . . . . . . . . . . . . . . . . . . . . . . . . . . . . . . . . . . . . . . . . . . . . . . . . . . . . . . . .</w:t>
      </w:r>
      <w:r>
        <w:rPr>
          <w:sz w:val="20"/>
          <w:szCs w:val="20"/>
          <w:color w:val="auto"/>
        </w:rPr>
        <w:tab/>
      </w:r>
      <w:r>
        <w:rPr>
          <w:rFonts w:ascii="Arial" w:cs="Arial" w:eastAsia="Arial" w:hAnsi="Arial"/>
          <w:sz w:val="17"/>
          <w:szCs w:val="17"/>
          <w:b w:val="1"/>
          <w:bCs w:val="1"/>
          <w:color w:val="auto"/>
        </w:rPr>
        <w:t>89</w:t>
      </w:r>
    </w:p>
    <w:p>
      <w:pPr>
        <w:spacing w:after="0" w:line="8" w:lineRule="exact"/>
        <w:rPr>
          <w:sz w:val="20"/>
          <w:szCs w:val="20"/>
          <w:color w:val="auto"/>
        </w:rPr>
      </w:pPr>
    </w:p>
    <w:p>
      <w:pPr>
        <w:ind w:left="200"/>
        <w:spacing w:after="0"/>
        <w:tabs>
          <w:tab w:leader="none" w:pos="1280" w:val="left"/>
          <w:tab w:leader="none" w:pos="87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color w:val="auto"/>
        </w:rPr>
        <w:t>FINANCIAL STATEMENTS AND SUPPLEMENTARY DATA . . . . . . . . . . . . . . . . .</w:t>
      </w:r>
      <w:r>
        <w:rPr>
          <w:sz w:val="20"/>
          <w:szCs w:val="20"/>
          <w:color w:val="auto"/>
        </w:rPr>
        <w:tab/>
      </w:r>
      <w:r>
        <w:rPr>
          <w:rFonts w:ascii="Arial" w:cs="Arial" w:eastAsia="Arial" w:hAnsi="Arial"/>
          <w:sz w:val="17"/>
          <w:szCs w:val="17"/>
          <w:b w:val="1"/>
          <w:bCs w:val="1"/>
          <w:color w:val="auto"/>
        </w:rPr>
        <w:t>90</w:t>
      </w:r>
    </w:p>
    <w:p>
      <w:pPr>
        <w:spacing w:after="0" w:line="10" w:lineRule="exact"/>
        <w:rPr>
          <w:sz w:val="20"/>
          <w:szCs w:val="20"/>
          <w:color w:val="auto"/>
        </w:rPr>
      </w:pPr>
    </w:p>
    <w:p>
      <w:pPr>
        <w:ind w:left="1500"/>
        <w:spacing w:after="0"/>
        <w:tabs>
          <w:tab w:leader="none" w:pos="8780" w:val="left"/>
        </w:tabs>
        <w:rPr>
          <w:sz w:val="20"/>
          <w:szCs w:val="20"/>
          <w:color w:val="auto"/>
        </w:rPr>
      </w:pPr>
      <w:r>
        <w:rPr>
          <w:rFonts w:ascii="Arial" w:cs="Arial" w:eastAsia="Arial" w:hAnsi="Arial"/>
          <w:sz w:val="20"/>
          <w:szCs w:val="20"/>
          <w:color w:val="auto"/>
        </w:rPr>
        <w:t>Report of Independent Registered Public Accounting Firm  . . . . . . . . . . . . . . . . .</w:t>
      </w:r>
      <w:r>
        <w:rPr>
          <w:sz w:val="20"/>
          <w:szCs w:val="20"/>
          <w:color w:val="auto"/>
        </w:rPr>
        <w:tab/>
      </w:r>
      <w:r>
        <w:rPr>
          <w:rFonts w:ascii="Arial" w:cs="Arial" w:eastAsia="Arial" w:hAnsi="Arial"/>
          <w:sz w:val="17"/>
          <w:szCs w:val="17"/>
          <w:b w:val="1"/>
          <w:bCs w:val="1"/>
          <w:color w:val="auto"/>
        </w:rPr>
        <w:t>90</w:t>
      </w:r>
    </w:p>
    <w:p>
      <w:pPr>
        <w:spacing w:after="0" w:line="10" w:lineRule="exact"/>
        <w:rPr>
          <w:sz w:val="20"/>
          <w:szCs w:val="20"/>
          <w:color w:val="auto"/>
        </w:rPr>
      </w:pPr>
    </w:p>
    <w:p>
      <w:pPr>
        <w:ind w:left="1500"/>
        <w:spacing w:after="0"/>
        <w:tabs>
          <w:tab w:leader="none" w:pos="8780" w:val="left"/>
        </w:tabs>
        <w:rPr>
          <w:sz w:val="20"/>
          <w:szCs w:val="20"/>
          <w:color w:val="auto"/>
        </w:rPr>
      </w:pPr>
      <w:r>
        <w:rPr>
          <w:rFonts w:ascii="Arial" w:cs="Arial" w:eastAsia="Arial" w:hAnsi="Arial"/>
          <w:sz w:val="20"/>
          <w:szCs w:val="20"/>
          <w:color w:val="auto"/>
        </w:rPr>
        <w:t>Consolidated Balance Sheets . . . . . . . . . . . . . . . . . . . . . . . . . . . . . . . . . . . . . . . . .</w:t>
      </w:r>
      <w:r>
        <w:rPr>
          <w:sz w:val="20"/>
          <w:szCs w:val="20"/>
          <w:color w:val="auto"/>
        </w:rPr>
        <w:tab/>
      </w:r>
      <w:r>
        <w:rPr>
          <w:rFonts w:ascii="Arial" w:cs="Arial" w:eastAsia="Arial" w:hAnsi="Arial"/>
          <w:sz w:val="17"/>
          <w:szCs w:val="17"/>
          <w:b w:val="1"/>
          <w:bCs w:val="1"/>
          <w:color w:val="auto"/>
        </w:rPr>
        <w:t>93</w:t>
      </w:r>
    </w:p>
    <w:p>
      <w:pPr>
        <w:sectPr>
          <w:pgSz w:w="11880" w:h="15480" w:orient="portrait"/>
          <w:cols w:equalWidth="0" w:num="1">
            <w:col w:w="9120"/>
          </w:cols>
          <w:pgMar w:left="1380" w:top="1310" w:right="1380" w:bottom="653"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880" w:h="15480" w:orient="portrait"/>
          <w:cols w:equalWidth="0" w:num="1">
            <w:col w:w="9120"/>
          </w:cols>
          <w:pgMar w:left="1380" w:top="1310" w:right="1380" w:bottom="653" w:gutter="0" w:footer="0" w:header="0"/>
          <w:type w:val="continuous"/>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5518150</wp:posOffset>
                </wp:positionH>
                <wp:positionV relativeFrom="paragraph">
                  <wp:posOffset>21590</wp:posOffset>
                </wp:positionV>
                <wp:extent cx="27305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30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5pt,1.7pt" to="456pt,1.7pt" o:allowincell="f" strokecolor="#000000" strokeweight="1pt"/>
            </w:pict>
          </mc:Fallback>
        </mc:AlternateContent>
      </w:r>
    </w:p>
    <w:p>
      <w:pPr>
        <w:spacing w:after="0" w:line="74" w:lineRule="exact"/>
        <w:rPr>
          <w:sz w:val="20"/>
          <w:szCs w:val="20"/>
          <w:color w:val="auto"/>
        </w:rPr>
      </w:pPr>
    </w:p>
    <w:p>
      <w:pPr>
        <w:ind w:left="1500"/>
        <w:spacing w:after="0"/>
        <w:tabs>
          <w:tab w:leader="none" w:pos="8840" w:val="left"/>
        </w:tabs>
        <w:rPr>
          <w:sz w:val="20"/>
          <w:szCs w:val="20"/>
          <w:color w:val="auto"/>
        </w:rPr>
      </w:pPr>
      <w:r>
        <w:rPr>
          <w:rFonts w:ascii="Arial" w:cs="Arial" w:eastAsia="Arial" w:hAnsi="Arial"/>
          <w:sz w:val="20"/>
          <w:szCs w:val="20"/>
          <w:color w:val="auto"/>
        </w:rPr>
        <w:t>Consolidated Statements of Operations . . . . . . . . . . . . . . . . . . . . . . . . . . . . . . . . .</w:t>
      </w:r>
      <w:r>
        <w:rPr>
          <w:sz w:val="20"/>
          <w:szCs w:val="20"/>
          <w:color w:val="auto"/>
        </w:rPr>
        <w:tab/>
      </w:r>
      <w:r>
        <w:rPr>
          <w:rFonts w:ascii="Arial" w:cs="Arial" w:eastAsia="Arial" w:hAnsi="Arial"/>
          <w:sz w:val="17"/>
          <w:szCs w:val="17"/>
          <w:b w:val="1"/>
          <w:bCs w:val="1"/>
          <w:color w:val="auto"/>
        </w:rPr>
        <w:t>94</w:t>
      </w:r>
    </w:p>
    <w:p>
      <w:pPr>
        <w:spacing w:after="0" w:line="10" w:lineRule="exact"/>
        <w:rPr>
          <w:sz w:val="20"/>
          <w:szCs w:val="20"/>
          <w:color w:val="auto"/>
        </w:rPr>
      </w:pPr>
    </w:p>
    <w:p>
      <w:pPr>
        <w:ind w:left="1500"/>
        <w:spacing w:after="0"/>
        <w:tabs>
          <w:tab w:leader="none" w:pos="8840" w:val="left"/>
        </w:tabs>
        <w:rPr>
          <w:sz w:val="20"/>
          <w:szCs w:val="20"/>
          <w:color w:val="auto"/>
        </w:rPr>
      </w:pPr>
      <w:r>
        <w:rPr>
          <w:rFonts w:ascii="Arial" w:cs="Arial" w:eastAsia="Arial" w:hAnsi="Arial"/>
          <w:sz w:val="20"/>
          <w:szCs w:val="20"/>
          <w:color w:val="auto"/>
        </w:rPr>
        <w:t>Consolidated Statements of Comprehensive Income (Loss) . . . . . . . . . . . . . . . .</w:t>
      </w:r>
      <w:r>
        <w:rPr>
          <w:sz w:val="20"/>
          <w:szCs w:val="20"/>
          <w:color w:val="auto"/>
        </w:rPr>
        <w:tab/>
      </w:r>
      <w:r>
        <w:rPr>
          <w:rFonts w:ascii="Arial" w:cs="Arial" w:eastAsia="Arial" w:hAnsi="Arial"/>
          <w:sz w:val="17"/>
          <w:szCs w:val="17"/>
          <w:b w:val="1"/>
          <w:bCs w:val="1"/>
          <w:color w:val="auto"/>
        </w:rPr>
        <w:t>95</w:t>
      </w:r>
    </w:p>
    <w:p>
      <w:pPr>
        <w:spacing w:after="0" w:line="10" w:lineRule="exact"/>
        <w:rPr>
          <w:sz w:val="20"/>
          <w:szCs w:val="20"/>
          <w:color w:val="auto"/>
        </w:rPr>
      </w:pPr>
    </w:p>
    <w:p>
      <w:pPr>
        <w:ind w:left="1500"/>
        <w:spacing w:after="0"/>
        <w:tabs>
          <w:tab w:leader="none" w:pos="8840" w:val="left"/>
        </w:tabs>
        <w:rPr>
          <w:sz w:val="20"/>
          <w:szCs w:val="20"/>
          <w:color w:val="auto"/>
        </w:rPr>
      </w:pPr>
      <w:r>
        <w:rPr>
          <w:rFonts w:ascii="Arial" w:cs="Arial" w:eastAsia="Arial" w:hAnsi="Arial"/>
          <w:sz w:val="20"/>
          <w:szCs w:val="20"/>
          <w:color w:val="auto"/>
        </w:rPr>
        <w:t>Consolidated Statements of Changes in Stockholders’ Equity (Deficit) . . . . . . . .</w:t>
      </w:r>
      <w:r>
        <w:rPr>
          <w:sz w:val="20"/>
          <w:szCs w:val="20"/>
          <w:color w:val="auto"/>
        </w:rPr>
        <w:tab/>
      </w:r>
      <w:r>
        <w:rPr>
          <w:rFonts w:ascii="Arial" w:cs="Arial" w:eastAsia="Arial" w:hAnsi="Arial"/>
          <w:sz w:val="17"/>
          <w:szCs w:val="17"/>
          <w:b w:val="1"/>
          <w:bCs w:val="1"/>
          <w:color w:val="auto"/>
        </w:rPr>
        <w:t>96</w:t>
      </w:r>
    </w:p>
    <w:p>
      <w:pPr>
        <w:spacing w:after="0" w:line="10" w:lineRule="exact"/>
        <w:rPr>
          <w:sz w:val="20"/>
          <w:szCs w:val="20"/>
          <w:color w:val="auto"/>
        </w:rPr>
      </w:pPr>
    </w:p>
    <w:p>
      <w:pPr>
        <w:ind w:left="1500"/>
        <w:spacing w:after="0"/>
        <w:tabs>
          <w:tab w:leader="none" w:pos="8840" w:val="left"/>
        </w:tabs>
        <w:rPr>
          <w:sz w:val="20"/>
          <w:szCs w:val="20"/>
          <w:color w:val="auto"/>
        </w:rPr>
      </w:pPr>
      <w:r>
        <w:rPr>
          <w:rFonts w:ascii="Arial" w:cs="Arial" w:eastAsia="Arial" w:hAnsi="Arial"/>
          <w:sz w:val="20"/>
          <w:szCs w:val="20"/>
          <w:color w:val="auto"/>
        </w:rPr>
        <w:t>Consolidated Statements of Cash Flows . . . . . . . . . . . . . . . . . . . . . . . . . . . . . . . .</w:t>
      </w:r>
      <w:r>
        <w:rPr>
          <w:sz w:val="20"/>
          <w:szCs w:val="20"/>
          <w:color w:val="auto"/>
        </w:rPr>
        <w:tab/>
      </w:r>
      <w:r>
        <w:rPr>
          <w:rFonts w:ascii="Arial" w:cs="Arial" w:eastAsia="Arial" w:hAnsi="Arial"/>
          <w:sz w:val="17"/>
          <w:szCs w:val="17"/>
          <w:b w:val="1"/>
          <w:bCs w:val="1"/>
          <w:color w:val="auto"/>
        </w:rPr>
        <w:t>98</w:t>
      </w:r>
    </w:p>
    <w:p>
      <w:pPr>
        <w:spacing w:after="0" w:line="10" w:lineRule="exact"/>
        <w:rPr>
          <w:sz w:val="20"/>
          <w:szCs w:val="20"/>
          <w:color w:val="auto"/>
        </w:rPr>
      </w:pPr>
    </w:p>
    <w:p>
      <w:pPr>
        <w:ind w:left="1500"/>
        <w:spacing w:after="0"/>
        <w:tabs>
          <w:tab w:leader="none" w:pos="8740" w:val="left"/>
        </w:tabs>
        <w:rPr>
          <w:sz w:val="20"/>
          <w:szCs w:val="20"/>
          <w:color w:val="auto"/>
        </w:rPr>
      </w:pPr>
      <w:r>
        <w:rPr>
          <w:rFonts w:ascii="Arial" w:cs="Arial" w:eastAsia="Arial" w:hAnsi="Arial"/>
          <w:sz w:val="20"/>
          <w:szCs w:val="20"/>
          <w:color w:val="auto"/>
        </w:rPr>
        <w:t>Notes to Consolidated Financial Statements . . . . . . . . . . . . . . . . . . . . . . . . . . . . .</w:t>
      </w:r>
      <w:r>
        <w:rPr>
          <w:sz w:val="20"/>
          <w:szCs w:val="20"/>
          <w:color w:val="auto"/>
        </w:rPr>
        <w:tab/>
      </w:r>
      <w:r>
        <w:rPr>
          <w:rFonts w:ascii="Arial" w:cs="Arial" w:eastAsia="Arial" w:hAnsi="Arial"/>
          <w:sz w:val="17"/>
          <w:szCs w:val="17"/>
          <w:b w:val="1"/>
          <w:bCs w:val="1"/>
          <w:color w:val="auto"/>
        </w:rPr>
        <w:t>100</w:t>
      </w:r>
    </w:p>
    <w:p>
      <w:pPr>
        <w:spacing w:after="0" w:line="10" w:lineRule="exact"/>
        <w:rPr>
          <w:sz w:val="20"/>
          <w:szCs w:val="20"/>
          <w:color w:val="auto"/>
        </w:rPr>
      </w:pPr>
    </w:p>
    <w:p>
      <w:pPr>
        <w:ind w:left="1500"/>
        <w:spacing w:after="0"/>
        <w:tabs>
          <w:tab w:leader="none" w:pos="8740" w:val="left"/>
        </w:tabs>
        <w:rPr>
          <w:sz w:val="20"/>
          <w:szCs w:val="20"/>
          <w:color w:val="auto"/>
        </w:rPr>
      </w:pPr>
      <w:r>
        <w:rPr>
          <w:rFonts w:ascii="Arial" w:cs="Arial" w:eastAsia="Arial" w:hAnsi="Arial"/>
          <w:sz w:val="20"/>
          <w:szCs w:val="20"/>
          <w:color w:val="auto"/>
        </w:rPr>
        <w:t>Supplemental Oil and Gas Information (Unaudited) . . . . . . . . . . . . . . . . . . . . . . .</w:t>
      </w:r>
      <w:r>
        <w:rPr>
          <w:sz w:val="20"/>
          <w:szCs w:val="20"/>
          <w:color w:val="auto"/>
        </w:rPr>
        <w:tab/>
      </w:r>
      <w:r>
        <w:rPr>
          <w:rFonts w:ascii="Arial" w:cs="Arial" w:eastAsia="Arial" w:hAnsi="Arial"/>
          <w:sz w:val="17"/>
          <w:szCs w:val="17"/>
          <w:b w:val="1"/>
          <w:bCs w:val="1"/>
          <w:color w:val="auto"/>
        </w:rPr>
        <w:t>156</w:t>
      </w:r>
    </w:p>
    <w:p>
      <w:pPr>
        <w:spacing w:after="0" w:line="10" w:lineRule="exact"/>
        <w:rPr>
          <w:sz w:val="20"/>
          <w:szCs w:val="20"/>
          <w:color w:val="auto"/>
        </w:rPr>
      </w:pPr>
    </w:p>
    <w:p>
      <w:pPr>
        <w:ind w:left="1300"/>
        <w:spacing w:after="0"/>
        <w:tabs>
          <w:tab w:leader="none" w:pos="8740" w:val="left"/>
        </w:tabs>
        <w:rPr>
          <w:sz w:val="20"/>
          <w:szCs w:val="20"/>
          <w:color w:val="auto"/>
        </w:rPr>
      </w:pPr>
      <w:r>
        <w:rPr>
          <w:rFonts w:ascii="Arial" w:cs="Arial" w:eastAsia="Arial" w:hAnsi="Arial"/>
          <w:sz w:val="20"/>
          <w:szCs w:val="20"/>
          <w:color w:val="auto"/>
        </w:rPr>
        <w:t>SCHEDULE II - VALUATION AND QUALIFYING ACCOUNTS . . . . . . . . . . . . . . . .</w:t>
      </w:r>
      <w:r>
        <w:rPr>
          <w:sz w:val="20"/>
          <w:szCs w:val="20"/>
          <w:color w:val="auto"/>
        </w:rPr>
        <w:tab/>
      </w:r>
      <w:r>
        <w:rPr>
          <w:rFonts w:ascii="Arial" w:cs="Arial" w:eastAsia="Arial" w:hAnsi="Arial"/>
          <w:sz w:val="17"/>
          <w:szCs w:val="17"/>
          <w:b w:val="1"/>
          <w:bCs w:val="1"/>
          <w:color w:val="auto"/>
        </w:rPr>
        <w:t>162</w:t>
      </w:r>
    </w:p>
    <w:p>
      <w:pPr>
        <w:spacing w:after="0" w:line="10"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color w:val="auto"/>
        </w:rPr>
        <w:t>CHANGES IN AND DISAGREEMENTS WITH ACCOUNTANTS ON</w:t>
      </w:r>
    </w:p>
    <w:p>
      <w:pPr>
        <w:spacing w:after="0" w:line="10" w:lineRule="exact"/>
        <w:rPr>
          <w:sz w:val="20"/>
          <w:szCs w:val="20"/>
          <w:color w:val="auto"/>
        </w:rPr>
      </w:pPr>
    </w:p>
    <w:p>
      <w:pPr>
        <w:ind w:left="1300"/>
        <w:spacing w:after="0"/>
        <w:tabs>
          <w:tab w:leader="none" w:pos="8740" w:val="left"/>
        </w:tabs>
        <w:rPr>
          <w:sz w:val="20"/>
          <w:szCs w:val="20"/>
          <w:color w:val="auto"/>
        </w:rPr>
      </w:pPr>
      <w:r>
        <w:rPr>
          <w:rFonts w:ascii="Arial" w:cs="Arial" w:eastAsia="Arial" w:hAnsi="Arial"/>
          <w:sz w:val="20"/>
          <w:szCs w:val="20"/>
          <w:color w:val="auto"/>
        </w:rPr>
        <w:t>ACCOUNTING AND FINANCIAL DISCLOSURE . . . . . . . . . . . . . . . . . . . . . . . . . . .</w:t>
      </w:r>
      <w:r>
        <w:rPr>
          <w:sz w:val="20"/>
          <w:szCs w:val="20"/>
          <w:color w:val="auto"/>
        </w:rPr>
        <w:tab/>
      </w:r>
      <w:r>
        <w:rPr>
          <w:rFonts w:ascii="Arial" w:cs="Arial" w:eastAsia="Arial" w:hAnsi="Arial"/>
          <w:sz w:val="17"/>
          <w:szCs w:val="17"/>
          <w:b w:val="1"/>
          <w:bCs w:val="1"/>
          <w:color w:val="auto"/>
        </w:rPr>
        <w:t>163</w:t>
      </w:r>
    </w:p>
    <w:p>
      <w:pPr>
        <w:spacing w:after="0" w:line="6" w:lineRule="exact"/>
        <w:rPr>
          <w:sz w:val="20"/>
          <w:szCs w:val="20"/>
          <w:color w:val="auto"/>
        </w:rPr>
      </w:pPr>
    </w:p>
    <w:p>
      <w:pPr>
        <w:ind w:left="200"/>
        <w:spacing w:after="0"/>
        <w:tabs>
          <w:tab w:leader="none" w:pos="1280" w:val="left"/>
          <w:tab w:leader="none" w:pos="8740" w:val="left"/>
        </w:tabs>
        <w:rPr>
          <w:sz w:val="20"/>
          <w:szCs w:val="20"/>
          <w:color w:val="auto"/>
        </w:rPr>
      </w:pPr>
      <w:r>
        <w:rPr>
          <w:rFonts w:ascii="Arial" w:cs="Arial" w:eastAsia="Arial" w:hAnsi="Arial"/>
          <w:sz w:val="20"/>
          <w:szCs w:val="20"/>
          <w:b w:val="1"/>
          <w:bCs w:val="1"/>
          <w:color w:val="auto"/>
        </w:rPr>
        <w:t>Item 9A</w:t>
      </w:r>
      <w:r>
        <w:rPr>
          <w:sz w:val="20"/>
          <w:szCs w:val="20"/>
          <w:color w:val="auto"/>
        </w:rPr>
        <w:tab/>
      </w:r>
      <w:r>
        <w:rPr>
          <w:rFonts w:ascii="Arial" w:cs="Arial" w:eastAsia="Arial" w:hAnsi="Arial"/>
          <w:sz w:val="20"/>
          <w:szCs w:val="20"/>
          <w:color w:val="auto"/>
        </w:rPr>
        <w:t>CONTROLS AND PROCEDURES . . . . . . . . . . . . . . . . . . . . . . . . . . . . . . . . . . . . . . .</w:t>
      </w:r>
      <w:r>
        <w:rPr>
          <w:sz w:val="20"/>
          <w:szCs w:val="20"/>
          <w:color w:val="auto"/>
        </w:rPr>
        <w:tab/>
      </w:r>
      <w:r>
        <w:rPr>
          <w:rFonts w:ascii="Arial" w:cs="Arial" w:eastAsia="Arial" w:hAnsi="Arial"/>
          <w:sz w:val="17"/>
          <w:szCs w:val="17"/>
          <w:b w:val="1"/>
          <w:bCs w:val="1"/>
          <w:color w:val="auto"/>
        </w:rPr>
        <w:t>163</w:t>
      </w:r>
    </w:p>
    <w:p>
      <w:pPr>
        <w:spacing w:after="0" w:line="6" w:lineRule="exact"/>
        <w:rPr>
          <w:sz w:val="20"/>
          <w:szCs w:val="20"/>
          <w:color w:val="auto"/>
        </w:rPr>
      </w:pPr>
    </w:p>
    <w:p>
      <w:pPr>
        <w:ind w:left="200"/>
        <w:spacing w:after="0"/>
        <w:tabs>
          <w:tab w:leader="none" w:pos="1280" w:val="left"/>
          <w:tab w:leader="none" w:pos="8740" w:val="left"/>
        </w:tabs>
        <w:rPr>
          <w:sz w:val="20"/>
          <w:szCs w:val="20"/>
          <w:color w:val="auto"/>
        </w:rPr>
      </w:pPr>
      <w:r>
        <w:rPr>
          <w:rFonts w:ascii="Arial" w:cs="Arial" w:eastAsia="Arial" w:hAnsi="Arial"/>
          <w:sz w:val="20"/>
          <w:szCs w:val="20"/>
          <w:b w:val="1"/>
          <w:bCs w:val="1"/>
          <w:color w:val="auto"/>
        </w:rPr>
        <w:t>Item 9B</w:t>
      </w:r>
      <w:r>
        <w:rPr>
          <w:sz w:val="20"/>
          <w:szCs w:val="20"/>
          <w:color w:val="auto"/>
        </w:rPr>
        <w:tab/>
      </w:r>
      <w:r>
        <w:rPr>
          <w:rFonts w:ascii="Arial" w:cs="Arial" w:eastAsia="Arial" w:hAnsi="Arial"/>
          <w:sz w:val="20"/>
          <w:szCs w:val="20"/>
          <w:color w:val="auto"/>
        </w:rPr>
        <w:t>OTHER INFORMATION . . . . . . . . . . . . . . . . . . . . . . . . . . . . . . . . . . . . . . . . . . . . . . .</w:t>
      </w:r>
      <w:r>
        <w:rPr>
          <w:sz w:val="20"/>
          <w:szCs w:val="20"/>
          <w:color w:val="auto"/>
        </w:rPr>
        <w:tab/>
      </w:r>
      <w:r>
        <w:rPr>
          <w:rFonts w:ascii="Arial" w:cs="Arial" w:eastAsia="Arial" w:hAnsi="Arial"/>
          <w:sz w:val="17"/>
          <w:szCs w:val="17"/>
          <w:b w:val="1"/>
          <w:bCs w:val="1"/>
          <w:color w:val="auto"/>
        </w:rPr>
        <w:t>164</w:t>
      </w:r>
    </w:p>
    <w:p>
      <w:pPr>
        <w:spacing w:after="0" w:line="10"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20"/>
          <w:szCs w:val="20"/>
          <w:b w:val="1"/>
          <w:bCs w:val="1"/>
          <w:color w:val="auto"/>
        </w:rPr>
        <w:t>Item 9C</w:t>
      </w:r>
      <w:r>
        <w:rPr>
          <w:sz w:val="20"/>
          <w:szCs w:val="20"/>
          <w:color w:val="auto"/>
        </w:rPr>
        <w:tab/>
      </w:r>
      <w:r>
        <w:rPr>
          <w:rFonts w:ascii="Arial" w:cs="Arial" w:eastAsia="Arial" w:hAnsi="Arial"/>
          <w:sz w:val="19"/>
          <w:szCs w:val="19"/>
          <w:color w:val="auto"/>
        </w:rPr>
        <w:t>DISCLOSURE REGARDING FOREIGN JURISDICTIONS THAT PREVENT</w:t>
      </w:r>
    </w:p>
    <w:p>
      <w:pPr>
        <w:spacing w:after="0" w:line="10" w:lineRule="exact"/>
        <w:rPr>
          <w:sz w:val="20"/>
          <w:szCs w:val="20"/>
          <w:color w:val="auto"/>
        </w:rPr>
      </w:pPr>
    </w:p>
    <w:p>
      <w:pPr>
        <w:ind w:left="1300"/>
        <w:spacing w:after="0"/>
        <w:tabs>
          <w:tab w:leader="none" w:pos="8740" w:val="left"/>
        </w:tabs>
        <w:rPr>
          <w:sz w:val="20"/>
          <w:szCs w:val="20"/>
          <w:color w:val="auto"/>
        </w:rPr>
      </w:pPr>
      <w:r>
        <w:rPr>
          <w:rFonts w:ascii="Arial" w:cs="Arial" w:eastAsia="Arial" w:hAnsi="Arial"/>
          <w:sz w:val="20"/>
          <w:szCs w:val="20"/>
          <w:color w:val="auto"/>
        </w:rPr>
        <w:t>INSPECTIONS . . . . . . . . . . . . . . . . . . . . . . . . . . . . . . . . . . . . . . . . . . . . . . . . . . . . . . .</w:t>
      </w:r>
      <w:r>
        <w:rPr>
          <w:sz w:val="20"/>
          <w:szCs w:val="20"/>
          <w:color w:val="auto"/>
        </w:rPr>
        <w:tab/>
      </w:r>
      <w:r>
        <w:rPr>
          <w:rFonts w:ascii="Arial" w:cs="Arial" w:eastAsia="Arial" w:hAnsi="Arial"/>
          <w:sz w:val="17"/>
          <w:szCs w:val="17"/>
          <w:b w:val="1"/>
          <w:bCs w:val="1"/>
          <w:color w:val="auto"/>
        </w:rPr>
        <w:t>166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30" w:lineRule="exact"/>
        <w:rPr>
          <w:sz w:val="20"/>
          <w:szCs w:val="20"/>
          <w:color w:val="auto"/>
        </w:rPr>
      </w:pPr>
    </w:p>
    <w:p>
      <w:pPr>
        <w:ind w:left="200"/>
        <w:spacing w:after="0"/>
        <w:tabs>
          <w:tab w:leader="none" w:pos="1280" w:val="left"/>
          <w:tab w:leader="none" w:pos="874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color w:val="auto"/>
        </w:rPr>
        <w:t>DIRECTORS, EXECUTIVE OFFICERS AND CORPORATE GOVERNANCE . . . .</w:t>
      </w:r>
      <w:r>
        <w:rPr>
          <w:sz w:val="20"/>
          <w:szCs w:val="20"/>
          <w:color w:val="auto"/>
        </w:rPr>
        <w:tab/>
      </w:r>
      <w:r>
        <w:rPr>
          <w:rFonts w:ascii="Arial" w:cs="Arial" w:eastAsia="Arial" w:hAnsi="Arial"/>
          <w:sz w:val="17"/>
          <w:szCs w:val="17"/>
          <w:b w:val="1"/>
          <w:bCs w:val="1"/>
          <w:color w:val="auto"/>
        </w:rPr>
        <w:t>167</w:t>
      </w:r>
    </w:p>
    <w:p>
      <w:pPr>
        <w:spacing w:after="0" w:line="12" w:lineRule="exact"/>
        <w:rPr>
          <w:sz w:val="20"/>
          <w:szCs w:val="20"/>
          <w:color w:val="auto"/>
        </w:rPr>
      </w:pPr>
    </w:p>
    <w:p>
      <w:pPr>
        <w:ind w:left="1300"/>
        <w:spacing w:after="0"/>
        <w:tabs>
          <w:tab w:leader="none" w:pos="8740" w:val="left"/>
        </w:tabs>
        <w:rPr>
          <w:sz w:val="20"/>
          <w:szCs w:val="20"/>
          <w:color w:val="auto"/>
        </w:rPr>
      </w:pPr>
      <w:r>
        <w:rPr>
          <w:rFonts w:ascii="Arial" w:cs="Arial" w:eastAsia="Arial" w:hAnsi="Arial"/>
          <w:sz w:val="20"/>
          <w:szCs w:val="20"/>
          <w:color w:val="auto"/>
        </w:rPr>
        <w:t>EXECUTIVE OFFICERS . . . . . . . . . . . . . . . . . . . . . . . . . . . . . . . . . . . . . . . . . . . . . . .</w:t>
      </w:r>
      <w:r>
        <w:rPr>
          <w:sz w:val="20"/>
          <w:szCs w:val="20"/>
          <w:color w:val="auto"/>
        </w:rPr>
        <w:tab/>
      </w:r>
      <w:r>
        <w:rPr>
          <w:rFonts w:ascii="Arial" w:cs="Arial" w:eastAsia="Arial" w:hAnsi="Arial"/>
          <w:sz w:val="17"/>
          <w:szCs w:val="17"/>
          <w:b w:val="1"/>
          <w:bCs w:val="1"/>
          <w:color w:val="auto"/>
        </w:rPr>
        <w:t>167</w:t>
      </w:r>
    </w:p>
    <w:p>
      <w:pPr>
        <w:spacing w:after="0" w:line="6" w:lineRule="exact"/>
        <w:rPr>
          <w:sz w:val="20"/>
          <w:szCs w:val="20"/>
          <w:color w:val="auto"/>
        </w:rPr>
      </w:pPr>
    </w:p>
    <w:p>
      <w:pPr>
        <w:ind w:left="200"/>
        <w:spacing w:after="0"/>
        <w:tabs>
          <w:tab w:leader="none" w:pos="1280" w:val="left"/>
          <w:tab w:leader="none" w:pos="8740" w:val="left"/>
        </w:tabs>
        <w:rPr>
          <w:sz w:val="20"/>
          <w:szCs w:val="20"/>
          <w:color w:val="auto"/>
        </w:rPr>
      </w:pPr>
      <w:r>
        <w:rPr>
          <w:rFonts w:ascii="Arial" w:cs="Arial" w:eastAsia="Arial" w:hAnsi="Arial"/>
          <w:sz w:val="20"/>
          <w:szCs w:val="20"/>
          <w:b w:val="1"/>
          <w:bCs w:val="1"/>
          <w:color w:val="auto"/>
        </w:rPr>
        <w:t>Item 11</w:t>
      </w:r>
      <w:r>
        <w:rPr>
          <w:sz w:val="20"/>
          <w:szCs w:val="20"/>
          <w:color w:val="auto"/>
        </w:rPr>
        <w:tab/>
      </w:r>
      <w:r>
        <w:rPr>
          <w:rFonts w:ascii="Arial" w:cs="Arial" w:eastAsia="Arial" w:hAnsi="Arial"/>
          <w:sz w:val="20"/>
          <w:szCs w:val="20"/>
          <w:color w:val="auto"/>
        </w:rPr>
        <w:t>EXECUTIVE COMPENSATION . . . . . . . . . . . . . . . . . . . . . . . . . . . . . . . . . . . . . . . . .</w:t>
      </w:r>
      <w:r>
        <w:rPr>
          <w:sz w:val="20"/>
          <w:szCs w:val="20"/>
          <w:color w:val="auto"/>
        </w:rPr>
        <w:tab/>
      </w:r>
      <w:r>
        <w:rPr>
          <w:rFonts w:ascii="Arial" w:cs="Arial" w:eastAsia="Arial" w:hAnsi="Arial"/>
          <w:sz w:val="17"/>
          <w:szCs w:val="17"/>
          <w:b w:val="1"/>
          <w:bCs w:val="1"/>
          <w:color w:val="auto"/>
        </w:rPr>
        <w:t>168</w:t>
      </w:r>
    </w:p>
    <w:p>
      <w:pPr>
        <w:spacing w:after="0" w:line="10"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20"/>
          <w:szCs w:val="20"/>
          <w:b w:val="1"/>
          <w:bCs w:val="1"/>
          <w:color w:val="auto"/>
        </w:rPr>
        <w:t>Item 12</w:t>
      </w:r>
      <w:r>
        <w:rPr>
          <w:sz w:val="20"/>
          <w:szCs w:val="20"/>
          <w:color w:val="auto"/>
        </w:rPr>
        <w:tab/>
      </w:r>
      <w:r>
        <w:rPr>
          <w:rFonts w:ascii="Arial" w:cs="Arial" w:eastAsia="Arial" w:hAnsi="Arial"/>
          <w:sz w:val="19"/>
          <w:szCs w:val="19"/>
          <w:color w:val="auto"/>
        </w:rPr>
        <w:t>SECURITY OWNERSHIP OF CERTAIN BENEFICIAL OWNERS AND</w:t>
      </w:r>
    </w:p>
    <w:p>
      <w:pPr>
        <w:spacing w:after="0" w:line="10" w:lineRule="exact"/>
        <w:rPr>
          <w:sz w:val="20"/>
          <w:szCs w:val="20"/>
          <w:color w:val="auto"/>
        </w:rPr>
      </w:pPr>
    </w:p>
    <w:p>
      <w:pPr>
        <w:ind w:left="1300"/>
        <w:spacing w:after="0"/>
        <w:tabs>
          <w:tab w:leader="none" w:pos="8740" w:val="left"/>
        </w:tabs>
        <w:rPr>
          <w:sz w:val="20"/>
          <w:szCs w:val="20"/>
          <w:color w:val="auto"/>
        </w:rPr>
      </w:pPr>
      <w:r>
        <w:rPr>
          <w:rFonts w:ascii="Arial" w:cs="Arial" w:eastAsia="Arial" w:hAnsi="Arial"/>
          <w:sz w:val="20"/>
          <w:szCs w:val="20"/>
          <w:color w:val="auto"/>
        </w:rPr>
        <w:t>MANAGEMENT AND RELATED STOCKHOLDER MATTERS . . . . . . . . . . . . . . . .</w:t>
      </w:r>
      <w:r>
        <w:rPr>
          <w:sz w:val="20"/>
          <w:szCs w:val="20"/>
          <w:color w:val="auto"/>
        </w:rPr>
        <w:tab/>
      </w:r>
      <w:r>
        <w:rPr>
          <w:rFonts w:ascii="Arial" w:cs="Arial" w:eastAsia="Arial" w:hAnsi="Arial"/>
          <w:sz w:val="17"/>
          <w:szCs w:val="17"/>
          <w:b w:val="1"/>
          <w:bCs w:val="1"/>
          <w:color w:val="auto"/>
        </w:rPr>
        <w:t>168</w:t>
      </w:r>
    </w:p>
    <w:p>
      <w:pPr>
        <w:spacing w:after="0" w:line="10"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20"/>
          <w:szCs w:val="20"/>
          <w:b w:val="1"/>
          <w:bCs w:val="1"/>
          <w:color w:val="auto"/>
        </w:rPr>
        <w:t>Item 13</w:t>
      </w:r>
      <w:r>
        <w:rPr>
          <w:sz w:val="20"/>
          <w:szCs w:val="20"/>
          <w:color w:val="auto"/>
        </w:rPr>
        <w:tab/>
      </w:r>
      <w:r>
        <w:rPr>
          <w:rFonts w:ascii="Arial" w:cs="Arial" w:eastAsia="Arial" w:hAnsi="Arial"/>
          <w:sz w:val="19"/>
          <w:szCs w:val="19"/>
          <w:color w:val="auto"/>
        </w:rPr>
        <w:t>CERTAIN RELATIONSHIPS AND RELATED TRANSACTIONS AND DIRECTOR</w:t>
      </w:r>
    </w:p>
    <w:p>
      <w:pPr>
        <w:spacing w:after="0" w:line="10" w:lineRule="exact"/>
        <w:rPr>
          <w:sz w:val="20"/>
          <w:szCs w:val="20"/>
          <w:color w:val="auto"/>
        </w:rPr>
      </w:pPr>
    </w:p>
    <w:p>
      <w:pPr>
        <w:ind w:left="1300"/>
        <w:spacing w:after="0"/>
        <w:tabs>
          <w:tab w:leader="none" w:pos="3000" w:val="left"/>
          <w:tab w:leader="none" w:pos="8740" w:val="left"/>
        </w:tabs>
        <w:rPr>
          <w:sz w:val="20"/>
          <w:szCs w:val="20"/>
          <w:color w:val="auto"/>
        </w:rPr>
      </w:pPr>
      <w:r>
        <w:rPr>
          <w:rFonts w:ascii="Arial" w:cs="Arial" w:eastAsia="Arial" w:hAnsi="Arial"/>
          <w:sz w:val="20"/>
          <w:szCs w:val="20"/>
          <w:color w:val="auto"/>
        </w:rPr>
        <w:t>INDEPENDENCE</w:t>
        <w:tab/>
        <w:t>. . . . . . . . . . . . . . . . . . . . . . . . . . . . . . . . . . . . . . . . . . . . . . . . . . . .</w:t>
      </w:r>
      <w:r>
        <w:rPr>
          <w:sz w:val="20"/>
          <w:szCs w:val="20"/>
          <w:color w:val="auto"/>
        </w:rPr>
        <w:tab/>
      </w:r>
      <w:r>
        <w:rPr>
          <w:rFonts w:ascii="Arial" w:cs="Arial" w:eastAsia="Arial" w:hAnsi="Arial"/>
          <w:sz w:val="17"/>
          <w:szCs w:val="17"/>
          <w:b w:val="1"/>
          <w:bCs w:val="1"/>
          <w:color w:val="auto"/>
        </w:rPr>
        <w:t>168</w:t>
      </w:r>
    </w:p>
    <w:p>
      <w:pPr>
        <w:spacing w:after="0" w:line="6" w:lineRule="exact"/>
        <w:rPr>
          <w:sz w:val="20"/>
          <w:szCs w:val="20"/>
          <w:color w:val="auto"/>
        </w:rPr>
      </w:pPr>
    </w:p>
    <w:p>
      <w:pPr>
        <w:ind w:left="200"/>
        <w:spacing w:after="0"/>
        <w:tabs>
          <w:tab w:leader="none" w:pos="1280" w:val="left"/>
          <w:tab w:leader="none" w:pos="8740" w:val="left"/>
        </w:tabs>
        <w:rPr>
          <w:sz w:val="20"/>
          <w:szCs w:val="20"/>
          <w:color w:val="auto"/>
        </w:rPr>
      </w:pPr>
      <w:r>
        <w:rPr>
          <w:rFonts w:ascii="Arial" w:cs="Arial" w:eastAsia="Arial" w:hAnsi="Arial"/>
          <w:sz w:val="20"/>
          <w:szCs w:val="20"/>
          <w:b w:val="1"/>
          <w:bCs w:val="1"/>
          <w:color w:val="auto"/>
        </w:rPr>
        <w:t>Item 14</w:t>
      </w:r>
      <w:r>
        <w:rPr>
          <w:sz w:val="20"/>
          <w:szCs w:val="20"/>
          <w:color w:val="auto"/>
        </w:rPr>
        <w:tab/>
      </w:r>
      <w:r>
        <w:rPr>
          <w:rFonts w:ascii="Arial" w:cs="Arial" w:eastAsia="Arial" w:hAnsi="Arial"/>
          <w:sz w:val="20"/>
          <w:szCs w:val="20"/>
          <w:color w:val="auto"/>
        </w:rPr>
        <w:t>PRINCIPAL ACCOUNTANT FEES AND SERVICES . . . . . . . . . . . . . . . . . . . . . . . .</w:t>
      </w:r>
      <w:r>
        <w:rPr>
          <w:sz w:val="20"/>
          <w:szCs w:val="20"/>
          <w:color w:val="auto"/>
        </w:rPr>
        <w:tab/>
      </w:r>
      <w:r>
        <w:rPr>
          <w:rFonts w:ascii="Arial" w:cs="Arial" w:eastAsia="Arial" w:hAnsi="Arial"/>
          <w:sz w:val="17"/>
          <w:szCs w:val="17"/>
          <w:b w:val="1"/>
          <w:bCs w:val="1"/>
          <w:color w:val="auto"/>
        </w:rPr>
        <w:t>168</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32" w:lineRule="exact"/>
        <w:rPr>
          <w:sz w:val="20"/>
          <w:szCs w:val="20"/>
          <w:color w:val="auto"/>
        </w:rPr>
      </w:pPr>
    </w:p>
    <w:p>
      <w:pPr>
        <w:ind w:left="200"/>
        <w:spacing w:after="0"/>
        <w:tabs>
          <w:tab w:leader="none" w:pos="1280" w:val="left"/>
          <w:tab w:leader="none" w:pos="2380" w:val="left"/>
          <w:tab w:leader="none" w:pos="8740" w:val="left"/>
        </w:tabs>
        <w:rPr>
          <w:sz w:val="20"/>
          <w:szCs w:val="20"/>
          <w:color w:val="auto"/>
        </w:rPr>
      </w:pPr>
      <w:r>
        <w:rPr>
          <w:rFonts w:ascii="Arial" w:cs="Arial" w:eastAsia="Arial" w:hAnsi="Arial"/>
          <w:sz w:val="20"/>
          <w:szCs w:val="20"/>
          <w:b w:val="1"/>
          <w:bCs w:val="1"/>
          <w:color w:val="auto"/>
        </w:rPr>
        <w:t>Item 15</w:t>
      </w:r>
      <w:r>
        <w:rPr>
          <w:sz w:val="20"/>
          <w:szCs w:val="20"/>
          <w:color w:val="auto"/>
        </w:rPr>
        <w:tab/>
      </w:r>
      <w:r>
        <w:rPr>
          <w:rFonts w:ascii="Arial" w:cs="Arial" w:eastAsia="Arial" w:hAnsi="Arial"/>
          <w:sz w:val="20"/>
          <w:szCs w:val="20"/>
          <w:color w:val="auto"/>
        </w:rPr>
        <w:t>EXHIBITS</w:t>
        <w:tab/>
        <w:t>. . . . . . . . . . . . . . . . . . . . . . . . . . . . . . . . . . . . . . . . . . . . . . . . . . . . . . . . . .</w:t>
      </w:r>
      <w:r>
        <w:rPr>
          <w:sz w:val="20"/>
          <w:szCs w:val="20"/>
          <w:color w:val="auto"/>
        </w:rPr>
        <w:tab/>
      </w:r>
      <w:r>
        <w:rPr>
          <w:rFonts w:ascii="Arial" w:cs="Arial" w:eastAsia="Arial" w:hAnsi="Arial"/>
          <w:sz w:val="17"/>
          <w:szCs w:val="17"/>
          <w:b w:val="1"/>
          <w:bCs w:val="1"/>
          <w:color w:val="auto"/>
        </w:rPr>
        <w:t>169</w:t>
      </w:r>
    </w:p>
    <w:p>
      <w:pPr>
        <w:sectPr>
          <w:pgSz w:w="11880" w:h="15480" w:orient="portrait"/>
          <w:cols w:equalWidth="0" w:num="1">
            <w:col w:w="9120"/>
          </w:cols>
          <w:pgMar w:left="1380" w:top="1309" w:right="138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880" w:h="15480" w:orient="portrait"/>
          <w:cols w:equalWidth="0" w:num="1">
            <w:col w:w="9120"/>
          </w:cols>
          <w:pgMar w:left="1380" w:top="1309" w:right="1380" w:bottom="653" w:gutter="0" w:footer="0" w:header="0"/>
          <w:type w:val="continuous"/>
        </w:sectPr>
      </w:pPr>
    </w:p>
    <w:bookmarkStart w:id="7" w:name="page8"/>
    <w:bookmarkEnd w:id="7"/>
    <w:p>
      <w:pPr>
        <w:spacing w:after="0"/>
        <w:rPr>
          <w:sz w:val="20"/>
          <w:szCs w:val="20"/>
          <w:color w:val="auto"/>
        </w:rPr>
      </w:pPr>
      <w:r>
        <w:rPr>
          <w:rFonts w:ascii="Arial" w:cs="Arial" w:eastAsia="Arial" w:hAnsi="Arial"/>
          <w:sz w:val="20"/>
          <w:szCs w:val="20"/>
          <w:b w:val="1"/>
          <w:bCs w:val="1"/>
          <w:color w:val="auto"/>
        </w:rPr>
        <w:t>GLOSSARY AND SELECTED ABBREVIATIONS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are abbreviations and definitions of certain terms used within this Form 10-K:</w:t>
      </w:r>
    </w:p>
    <w:p>
      <w:pPr>
        <w:spacing w:after="0" w:line="210" w:lineRule="exact"/>
        <w:rPr>
          <w:sz w:val="20"/>
          <w:szCs w:val="20"/>
          <w:color w:val="auto"/>
        </w:rPr>
      </w:pPr>
    </w:p>
    <w:p>
      <w:pPr>
        <w:ind w:left="600" w:hanging="300"/>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ABR </w:t>
      </w:r>
      <w:r>
        <w:rPr>
          <w:rFonts w:ascii="Arial" w:cs="Arial" w:eastAsia="Arial" w:hAnsi="Arial"/>
          <w:sz w:val="20"/>
          <w:szCs w:val="20"/>
          <w:color w:val="auto"/>
        </w:rPr>
        <w:t>- Alternate base rate.</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ASC </w:t>
      </w:r>
      <w:r>
        <w:rPr>
          <w:rFonts w:ascii="Arial" w:cs="Arial" w:eastAsia="Arial" w:hAnsi="Arial"/>
          <w:sz w:val="20"/>
          <w:szCs w:val="20"/>
          <w:color w:val="auto"/>
        </w:rPr>
        <w:t>- Accounting Standards Codification.</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ARO </w:t>
      </w:r>
      <w:r>
        <w:rPr>
          <w:rFonts w:ascii="Arial" w:cs="Arial" w:eastAsia="Arial" w:hAnsi="Arial"/>
          <w:sz w:val="20"/>
          <w:szCs w:val="20"/>
          <w:color w:val="auto"/>
        </w:rPr>
        <w:t>- Asset retirement obligation.</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Bbl </w:t>
      </w:r>
      <w:r>
        <w:rPr>
          <w:rFonts w:ascii="Arial" w:cs="Arial" w:eastAsia="Arial" w:hAnsi="Arial"/>
          <w:sz w:val="20"/>
          <w:szCs w:val="20"/>
          <w:color w:val="auto"/>
        </w:rPr>
        <w:t>- Barrel.</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Bbl/d </w:t>
      </w:r>
      <w:r>
        <w:rPr>
          <w:rFonts w:ascii="Arial" w:cs="Arial" w:eastAsia="Arial" w:hAnsi="Arial"/>
          <w:sz w:val="20"/>
          <w:szCs w:val="20"/>
          <w:color w:val="auto"/>
        </w:rPr>
        <w:t>- Barrels per day.</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Bcf </w:t>
      </w:r>
      <w:r>
        <w:rPr>
          <w:rFonts w:ascii="Arial" w:cs="Arial" w:eastAsia="Arial" w:hAnsi="Arial"/>
          <w:sz w:val="20"/>
          <w:szCs w:val="20"/>
          <w:color w:val="auto"/>
        </w:rPr>
        <w:t>- Billion cubic feet.</w:t>
      </w:r>
    </w:p>
    <w:p>
      <w:pPr>
        <w:spacing w:after="0" w:line="10" w:lineRule="exact"/>
        <w:rPr>
          <w:rFonts w:ascii="Arial" w:cs="Arial" w:eastAsia="Arial" w:hAnsi="Arial"/>
          <w:sz w:val="20"/>
          <w:szCs w:val="20"/>
          <w:color w:val="auto"/>
        </w:rPr>
      </w:pPr>
    </w:p>
    <w:p>
      <w:pPr>
        <w:ind w:left="600" w:right="60" w:hanging="300"/>
        <w:spacing w:after="0" w:line="250" w:lineRule="auto"/>
        <w:tabs>
          <w:tab w:leader="none" w:pos="600" w:val="left"/>
        </w:tabs>
        <w:numPr>
          <w:ilvl w:val="0"/>
          <w:numId w:val="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Bcfe </w:t>
      </w:r>
      <w:r>
        <w:rPr>
          <w:rFonts w:ascii="Arial" w:cs="Arial" w:eastAsia="Arial" w:hAnsi="Arial"/>
          <w:sz w:val="20"/>
          <w:szCs w:val="20"/>
          <w:color w:val="auto"/>
        </w:rPr>
        <w:t>- Billion cubic feet of natural gas equivalent using the ratio of one barrel of oil, condensate,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or NGLs converted to six thousand cubic feet of natural gas.</w:t>
      </w:r>
    </w:p>
    <w:p>
      <w:pPr>
        <w:ind w:left="600" w:right="240" w:hanging="300"/>
        <w:spacing w:after="0" w:line="250" w:lineRule="auto"/>
        <w:tabs>
          <w:tab w:leader="none" w:pos="600" w:val="left"/>
        </w:tabs>
        <w:numPr>
          <w:ilvl w:val="0"/>
          <w:numId w:val="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Boe </w:t>
      </w:r>
      <w:r>
        <w:rPr>
          <w:rFonts w:ascii="Arial" w:cs="Arial" w:eastAsia="Arial" w:hAnsi="Arial"/>
          <w:sz w:val="20"/>
          <w:szCs w:val="20"/>
          <w:color w:val="auto"/>
        </w:rPr>
        <w:t>- We convert natural gas volumes to crude oil equivalents using a ratio of six thousand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cubic feet (Mcf) to one barrel of crude oil equivalent based on energy content. This is a widely used conversion method in the oil and natural gas industry.</w:t>
      </w:r>
    </w:p>
    <w:p>
      <w:pPr>
        <w:spacing w:after="0" w:line="1" w:lineRule="exact"/>
        <w:rPr>
          <w:rFonts w:ascii="Arial" w:cs="Arial" w:eastAsia="Arial" w:hAnsi="Arial"/>
          <w:sz w:val="20"/>
          <w:szCs w:val="20"/>
          <w:color w:val="auto"/>
        </w:rPr>
      </w:pPr>
    </w:p>
    <w:p>
      <w:pPr>
        <w:ind w:left="600" w:hanging="300"/>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Boe/d </w:t>
      </w:r>
      <w:r>
        <w:rPr>
          <w:rFonts w:ascii="Arial" w:cs="Arial" w:eastAsia="Arial" w:hAnsi="Arial"/>
          <w:sz w:val="20"/>
          <w:szCs w:val="20"/>
          <w:color w:val="auto"/>
        </w:rPr>
        <w:t>- Barrel of oil equivalent per day.</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Btu </w:t>
      </w:r>
      <w:r>
        <w:rPr>
          <w:rFonts w:ascii="Arial" w:cs="Arial" w:eastAsia="Arial" w:hAnsi="Arial"/>
          <w:sz w:val="20"/>
          <w:szCs w:val="20"/>
          <w:color w:val="auto"/>
        </w:rPr>
        <w:t>- British thermal unit.</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CalGEM </w:t>
      </w:r>
      <w:r>
        <w:rPr>
          <w:rFonts w:ascii="Arial" w:cs="Arial" w:eastAsia="Arial" w:hAnsi="Arial"/>
          <w:sz w:val="20"/>
          <w:szCs w:val="20"/>
          <w:color w:val="auto"/>
        </w:rPr>
        <w:t>- California Geologic Energy Management Division.</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CCS </w:t>
      </w:r>
      <w:r>
        <w:rPr>
          <w:rFonts w:ascii="Arial" w:cs="Arial" w:eastAsia="Arial" w:hAnsi="Arial"/>
          <w:sz w:val="20"/>
          <w:szCs w:val="20"/>
          <w:color w:val="auto"/>
        </w:rPr>
        <w:t>- Carbon capture and storage.</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CDMA </w:t>
      </w:r>
      <w:r>
        <w:rPr>
          <w:rFonts w:ascii="Arial" w:cs="Arial" w:eastAsia="Arial" w:hAnsi="Arial"/>
          <w:sz w:val="20"/>
          <w:szCs w:val="20"/>
          <w:color w:val="auto"/>
        </w:rPr>
        <w:t>- Carbon Dioxide Management Agreement.</w:t>
      </w:r>
    </w:p>
    <w:p>
      <w:pPr>
        <w:ind w:left="600" w:hanging="300"/>
        <w:spacing w:after="0" w:line="211" w:lineRule="auto"/>
        <w:tabs>
          <w:tab w:leader="none" w:pos="600" w:val="left"/>
        </w:tabs>
        <w:numPr>
          <w:ilvl w:val="0"/>
          <w:numId w:val="3"/>
        </w:numPr>
        <w:rPr>
          <w:rFonts w:ascii="Arial" w:cs="Arial" w:eastAsia="Arial" w:hAnsi="Arial"/>
          <w:sz w:val="20"/>
          <w:szCs w:val="20"/>
          <w:color w:val="auto"/>
        </w:rPr>
      </w:pPr>
      <w:r>
        <w:rPr>
          <w:rFonts w:ascii="Arial" w:cs="Arial" w:eastAsia="Arial" w:hAnsi="Arial"/>
          <w:sz w:val="20"/>
          <w:szCs w:val="20"/>
          <w:b w:val="1"/>
          <w:bCs w:val="1"/>
          <w:i w:val="1"/>
          <w:iCs w:val="1"/>
          <w:color w:val="auto"/>
        </w:rPr>
        <w:t>CO</w:t>
      </w:r>
      <w:r>
        <w:rPr>
          <w:rFonts w:ascii="Arial" w:cs="Arial" w:eastAsia="Arial" w:hAnsi="Arial"/>
          <w:sz w:val="26"/>
          <w:szCs w:val="26"/>
          <w:b w:val="1"/>
          <w:bCs w:val="1"/>
          <w:i w:val="1"/>
          <w:iCs w:val="1"/>
          <w:color w:val="auto"/>
          <w:vertAlign w:val="subscript"/>
        </w:rPr>
        <w:t>2</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Carbon dioxide.</w:t>
      </w:r>
    </w:p>
    <w:p>
      <w:pPr>
        <w:spacing w:after="0" w:line="1" w:lineRule="exact"/>
        <w:rPr>
          <w:rFonts w:ascii="Arial" w:cs="Arial" w:eastAsia="Arial" w:hAnsi="Arial"/>
          <w:sz w:val="20"/>
          <w:szCs w:val="20"/>
          <w:color w:val="auto"/>
        </w:rPr>
      </w:pPr>
    </w:p>
    <w:p>
      <w:pPr>
        <w:ind w:left="600" w:hanging="300"/>
        <w:spacing w:after="0" w:line="225" w:lineRule="auto"/>
        <w:tabs>
          <w:tab w:leader="none" w:pos="600" w:val="left"/>
        </w:tabs>
        <w:numPr>
          <w:ilvl w:val="0"/>
          <w:numId w:val="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DD&amp;A </w:t>
      </w:r>
      <w:r>
        <w:rPr>
          <w:rFonts w:ascii="Arial" w:cs="Arial" w:eastAsia="Arial" w:hAnsi="Arial"/>
          <w:sz w:val="20"/>
          <w:szCs w:val="20"/>
          <w:color w:val="auto"/>
        </w:rPr>
        <w:t>- Depletion, depreciation, and amortization.</w:t>
      </w:r>
    </w:p>
    <w:p>
      <w:pPr>
        <w:spacing w:after="0" w:line="9" w:lineRule="exact"/>
        <w:rPr>
          <w:rFonts w:ascii="Arial" w:cs="Arial" w:eastAsia="Arial" w:hAnsi="Arial"/>
          <w:sz w:val="20"/>
          <w:szCs w:val="20"/>
          <w:color w:val="auto"/>
        </w:rPr>
      </w:pPr>
    </w:p>
    <w:p>
      <w:pPr>
        <w:ind w:left="600" w:hanging="300"/>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EOR </w:t>
      </w:r>
      <w:r>
        <w:rPr>
          <w:rFonts w:ascii="Arial" w:cs="Arial" w:eastAsia="Arial" w:hAnsi="Arial"/>
          <w:sz w:val="20"/>
          <w:szCs w:val="20"/>
          <w:color w:val="auto"/>
        </w:rPr>
        <w:t>- Enhanced oil recovery.</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EPA </w:t>
      </w:r>
      <w:r>
        <w:rPr>
          <w:rFonts w:ascii="Arial" w:cs="Arial" w:eastAsia="Arial" w:hAnsi="Arial"/>
          <w:sz w:val="20"/>
          <w:szCs w:val="20"/>
          <w:color w:val="auto"/>
        </w:rPr>
        <w:t>- United States Environmental Protection Agency.</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ESG </w:t>
      </w:r>
      <w:r>
        <w:rPr>
          <w:rFonts w:ascii="Arial" w:cs="Arial" w:eastAsia="Arial" w:hAnsi="Arial"/>
          <w:sz w:val="20"/>
          <w:szCs w:val="20"/>
          <w:color w:val="auto"/>
        </w:rPr>
        <w:t>- Environmental, social and governance.</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E&amp;P </w:t>
      </w:r>
      <w:r>
        <w:rPr>
          <w:rFonts w:ascii="Arial" w:cs="Arial" w:eastAsia="Arial" w:hAnsi="Arial"/>
          <w:sz w:val="20"/>
          <w:szCs w:val="20"/>
          <w:color w:val="auto"/>
        </w:rPr>
        <w:t>- Exploration and production.</w:t>
      </w:r>
    </w:p>
    <w:p>
      <w:pPr>
        <w:spacing w:after="0" w:line="10" w:lineRule="exact"/>
        <w:rPr>
          <w:rFonts w:ascii="Arial" w:cs="Arial" w:eastAsia="Arial" w:hAnsi="Arial"/>
          <w:sz w:val="20"/>
          <w:szCs w:val="20"/>
          <w:color w:val="auto"/>
        </w:rPr>
      </w:pPr>
    </w:p>
    <w:p>
      <w:pPr>
        <w:ind w:left="600" w:right="120" w:hanging="300"/>
        <w:spacing w:after="0" w:line="250" w:lineRule="auto"/>
        <w:tabs>
          <w:tab w:leader="none" w:pos="600" w:val="left"/>
        </w:tabs>
        <w:numPr>
          <w:ilvl w:val="0"/>
          <w:numId w:val="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Full-Scope Net Zero </w:t>
      </w:r>
      <w:r>
        <w:rPr>
          <w:rFonts w:ascii="Arial" w:cs="Arial" w:eastAsia="Arial" w:hAnsi="Arial"/>
          <w:sz w:val="20"/>
          <w:szCs w:val="20"/>
          <w:color w:val="auto"/>
        </w:rPr>
        <w:t>- Achieving permanent storage of captured or removed carbon emissions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 a volume equal to all of our scope 1, 2 and 3 emissions by 2045.</w:t>
      </w:r>
    </w:p>
    <w:p>
      <w:pPr>
        <w:ind w:left="600" w:hanging="300"/>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GAAP </w:t>
      </w:r>
      <w:r>
        <w:rPr>
          <w:rFonts w:ascii="Arial" w:cs="Arial" w:eastAsia="Arial" w:hAnsi="Arial"/>
          <w:sz w:val="20"/>
          <w:szCs w:val="20"/>
          <w:color w:val="auto"/>
        </w:rPr>
        <w:t>- United States Generally Accepted Accounting Principles.</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G&amp;A </w:t>
      </w:r>
      <w:r>
        <w:rPr>
          <w:rFonts w:ascii="Arial" w:cs="Arial" w:eastAsia="Arial" w:hAnsi="Arial"/>
          <w:sz w:val="20"/>
          <w:szCs w:val="20"/>
          <w:color w:val="auto"/>
        </w:rPr>
        <w:t>- General and administrative expenses.</w:t>
      </w:r>
    </w:p>
    <w:p>
      <w:pPr>
        <w:spacing w:after="0" w:line="9" w:lineRule="exact"/>
        <w:rPr>
          <w:rFonts w:ascii="Arial" w:cs="Arial" w:eastAsia="Arial" w:hAnsi="Arial"/>
          <w:sz w:val="20"/>
          <w:szCs w:val="20"/>
          <w:color w:val="auto"/>
        </w:rPr>
      </w:pPr>
    </w:p>
    <w:p>
      <w:pPr>
        <w:ind w:left="600" w:hanging="300"/>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GHG </w:t>
      </w:r>
      <w:r>
        <w:rPr>
          <w:rFonts w:ascii="Arial" w:cs="Arial" w:eastAsia="Arial" w:hAnsi="Arial"/>
          <w:sz w:val="20"/>
          <w:szCs w:val="20"/>
          <w:color w:val="auto"/>
        </w:rPr>
        <w:t>- Greenhouse gases.</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JV </w:t>
      </w:r>
      <w:r>
        <w:rPr>
          <w:rFonts w:ascii="Arial" w:cs="Arial" w:eastAsia="Arial" w:hAnsi="Arial"/>
          <w:sz w:val="20"/>
          <w:szCs w:val="20"/>
          <w:color w:val="auto"/>
        </w:rPr>
        <w:t>- Joint venture.</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LCFS </w:t>
      </w:r>
      <w:r>
        <w:rPr>
          <w:rFonts w:ascii="Arial" w:cs="Arial" w:eastAsia="Arial" w:hAnsi="Arial"/>
          <w:sz w:val="20"/>
          <w:szCs w:val="20"/>
          <w:color w:val="auto"/>
        </w:rPr>
        <w:t>- Low Carbon Fuel Standard.</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LIBOR </w:t>
      </w:r>
      <w:r>
        <w:rPr>
          <w:rFonts w:ascii="Arial" w:cs="Arial" w:eastAsia="Arial" w:hAnsi="Arial"/>
          <w:sz w:val="20"/>
          <w:szCs w:val="20"/>
          <w:color w:val="auto"/>
        </w:rPr>
        <w:t>- London Interbank Offered Rate.</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MBbl </w:t>
      </w:r>
      <w:r>
        <w:rPr>
          <w:rFonts w:ascii="Arial" w:cs="Arial" w:eastAsia="Arial" w:hAnsi="Arial"/>
          <w:sz w:val="20"/>
          <w:szCs w:val="20"/>
          <w:color w:val="auto"/>
        </w:rPr>
        <w:t>- One thousand barrels of crude oil, condensate or NGLs.</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MBbl/d </w:t>
      </w:r>
      <w:r>
        <w:rPr>
          <w:rFonts w:ascii="Arial" w:cs="Arial" w:eastAsia="Arial" w:hAnsi="Arial"/>
          <w:sz w:val="20"/>
          <w:szCs w:val="20"/>
          <w:color w:val="auto"/>
        </w:rPr>
        <w:t>- One thousand barrels per day.</w:t>
      </w:r>
    </w:p>
    <w:p>
      <w:pPr>
        <w:spacing w:after="0" w:line="9" w:lineRule="exact"/>
        <w:rPr>
          <w:rFonts w:ascii="Arial" w:cs="Arial" w:eastAsia="Arial" w:hAnsi="Arial"/>
          <w:sz w:val="20"/>
          <w:szCs w:val="20"/>
          <w:color w:val="auto"/>
        </w:rPr>
      </w:pPr>
    </w:p>
    <w:p>
      <w:pPr>
        <w:ind w:left="600" w:hanging="300"/>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MBoe/d </w:t>
      </w:r>
      <w:r>
        <w:rPr>
          <w:rFonts w:ascii="Arial" w:cs="Arial" w:eastAsia="Arial" w:hAnsi="Arial"/>
          <w:sz w:val="20"/>
          <w:szCs w:val="20"/>
          <w:color w:val="auto"/>
        </w:rPr>
        <w:t>- One thousand barrels of oil equivalent per day.</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MBw/d </w:t>
      </w:r>
      <w:r>
        <w:rPr>
          <w:rFonts w:ascii="Arial" w:cs="Arial" w:eastAsia="Arial" w:hAnsi="Arial"/>
          <w:sz w:val="20"/>
          <w:szCs w:val="20"/>
          <w:color w:val="auto"/>
        </w:rPr>
        <w:t>- One thousand barrels of water per day</w:t>
      </w:r>
    </w:p>
    <w:p>
      <w:pPr>
        <w:spacing w:after="0" w:line="9" w:lineRule="exact"/>
        <w:rPr>
          <w:rFonts w:ascii="Arial" w:cs="Arial" w:eastAsia="Arial" w:hAnsi="Arial"/>
          <w:sz w:val="20"/>
          <w:szCs w:val="20"/>
          <w:color w:val="auto"/>
        </w:rPr>
      </w:pPr>
    </w:p>
    <w:p>
      <w:pPr>
        <w:ind w:left="600" w:hanging="300"/>
        <w:spacing w:after="0" w:line="248" w:lineRule="auto"/>
        <w:tabs>
          <w:tab w:leader="none" w:pos="600" w:val="left"/>
        </w:tabs>
        <w:numPr>
          <w:ilvl w:val="0"/>
          <w:numId w:val="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Mcf </w:t>
      </w:r>
      <w:r>
        <w:rPr>
          <w:rFonts w:ascii="Arial" w:cs="Arial" w:eastAsia="Arial" w:hAnsi="Arial"/>
          <w:sz w:val="20"/>
          <w:szCs w:val="20"/>
          <w:color w:val="auto"/>
        </w:rPr>
        <w:t>- One thousand cubic feet of natural gas equivalent, with liquids converted to an equivalent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volume of natural gas using the ratio of one barrel of oil to six thousand cubic feet of natural gas.</w:t>
      </w:r>
    </w:p>
    <w:p>
      <w:pPr>
        <w:spacing w:after="0" w:line="3" w:lineRule="exact"/>
        <w:rPr>
          <w:rFonts w:ascii="Arial" w:cs="Arial" w:eastAsia="Arial" w:hAnsi="Arial"/>
          <w:sz w:val="20"/>
          <w:szCs w:val="20"/>
          <w:color w:val="auto"/>
        </w:rPr>
      </w:pPr>
    </w:p>
    <w:p>
      <w:pPr>
        <w:ind w:left="600" w:hanging="300"/>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MHp </w:t>
      </w:r>
      <w:r>
        <w:rPr>
          <w:rFonts w:ascii="Arial" w:cs="Arial" w:eastAsia="Arial" w:hAnsi="Arial"/>
          <w:sz w:val="20"/>
          <w:szCs w:val="20"/>
          <w:color w:val="auto"/>
        </w:rPr>
        <w:t>- One thousand horsepower.</w:t>
      </w:r>
    </w:p>
    <w:p>
      <w:pPr>
        <w:spacing w:after="0" w:line="11" w:lineRule="exact"/>
        <w:rPr>
          <w:rFonts w:ascii="Arial" w:cs="Arial" w:eastAsia="Arial" w:hAnsi="Arial"/>
          <w:sz w:val="20"/>
          <w:szCs w:val="20"/>
          <w:color w:val="auto"/>
        </w:rPr>
      </w:pPr>
    </w:p>
    <w:p>
      <w:pPr>
        <w:ind w:left="600" w:hanging="300"/>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MMBbl </w:t>
      </w:r>
      <w:r>
        <w:rPr>
          <w:rFonts w:ascii="Arial" w:cs="Arial" w:eastAsia="Arial" w:hAnsi="Arial"/>
          <w:sz w:val="20"/>
          <w:szCs w:val="20"/>
          <w:color w:val="auto"/>
        </w:rPr>
        <w:t>- One million barrels of crude oil, condensate or NGLs.</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MMBoe </w:t>
      </w:r>
      <w:r>
        <w:rPr>
          <w:rFonts w:ascii="Arial" w:cs="Arial" w:eastAsia="Arial" w:hAnsi="Arial"/>
          <w:sz w:val="20"/>
          <w:szCs w:val="20"/>
          <w:color w:val="auto"/>
        </w:rPr>
        <w:t>- One million barrels of oil equivalent.</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MMBtu </w:t>
      </w:r>
      <w:r>
        <w:rPr>
          <w:rFonts w:ascii="Arial" w:cs="Arial" w:eastAsia="Arial" w:hAnsi="Arial"/>
          <w:sz w:val="20"/>
          <w:szCs w:val="20"/>
          <w:color w:val="auto"/>
        </w:rPr>
        <w:t>- One million British thermal units.</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MMcf/d </w:t>
      </w:r>
      <w:r>
        <w:rPr>
          <w:rFonts w:ascii="Arial" w:cs="Arial" w:eastAsia="Arial" w:hAnsi="Arial"/>
          <w:sz w:val="20"/>
          <w:szCs w:val="20"/>
          <w:color w:val="auto"/>
        </w:rPr>
        <w:t>- One million cubic feet of natural gas per day.</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MMT </w:t>
      </w:r>
      <w:r>
        <w:rPr>
          <w:rFonts w:ascii="Arial" w:cs="Arial" w:eastAsia="Arial" w:hAnsi="Arial"/>
          <w:sz w:val="20"/>
          <w:szCs w:val="20"/>
          <w:color w:val="auto"/>
        </w:rPr>
        <w:t>- Million metric tons.</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MMTPA </w:t>
      </w:r>
      <w:r>
        <w:rPr>
          <w:rFonts w:ascii="Arial" w:cs="Arial" w:eastAsia="Arial" w:hAnsi="Arial"/>
          <w:sz w:val="20"/>
          <w:szCs w:val="20"/>
          <w:color w:val="auto"/>
        </w:rPr>
        <w:t>- Million metric tons per annum.</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MW </w:t>
      </w:r>
      <w:r>
        <w:rPr>
          <w:rFonts w:ascii="Arial" w:cs="Arial" w:eastAsia="Arial" w:hAnsi="Arial"/>
          <w:sz w:val="20"/>
          <w:szCs w:val="20"/>
          <w:color w:val="auto"/>
        </w:rPr>
        <w:t>- Megawatts of power.</w:t>
      </w:r>
    </w:p>
    <w:p>
      <w:pPr>
        <w:spacing w:after="0" w:line="10" w:lineRule="exact"/>
        <w:rPr>
          <w:rFonts w:ascii="Arial" w:cs="Arial" w:eastAsia="Arial" w:hAnsi="Arial"/>
          <w:sz w:val="20"/>
          <w:szCs w:val="20"/>
          <w:color w:val="auto"/>
        </w:rPr>
      </w:pPr>
    </w:p>
    <w:p>
      <w:pPr>
        <w:ind w:left="600" w:right="200" w:hanging="300"/>
        <w:spacing w:after="0" w:line="248" w:lineRule="auto"/>
        <w:tabs>
          <w:tab w:leader="none" w:pos="600" w:val="left"/>
        </w:tabs>
        <w:numPr>
          <w:ilvl w:val="0"/>
          <w:numId w:val="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NGLs </w:t>
      </w:r>
      <w:r>
        <w:rPr>
          <w:rFonts w:ascii="Arial" w:cs="Arial" w:eastAsia="Arial" w:hAnsi="Arial"/>
          <w:sz w:val="20"/>
          <w:szCs w:val="20"/>
          <w:color w:val="auto"/>
        </w:rPr>
        <w:t>- Natural gas liquids. Hydrocarbons found in natural gas that may be extracted as purity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products such as ethane, propane, isobutane and normal butane, and natural gasoline.</w:t>
      </w:r>
    </w:p>
    <w:p>
      <w:pPr>
        <w:spacing w:after="0" w:line="4" w:lineRule="exact"/>
        <w:rPr>
          <w:rFonts w:ascii="Arial" w:cs="Arial" w:eastAsia="Arial" w:hAnsi="Arial"/>
          <w:sz w:val="20"/>
          <w:szCs w:val="20"/>
          <w:color w:val="auto"/>
        </w:rPr>
      </w:pPr>
    </w:p>
    <w:p>
      <w:pPr>
        <w:ind w:left="600" w:hanging="300"/>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NYMEX </w:t>
      </w:r>
      <w:r>
        <w:rPr>
          <w:rFonts w:ascii="Arial" w:cs="Arial" w:eastAsia="Arial" w:hAnsi="Arial"/>
          <w:sz w:val="20"/>
          <w:szCs w:val="20"/>
          <w:color w:val="auto"/>
        </w:rPr>
        <w:t>- The New York Mercantile Exchange.</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OCTG </w:t>
      </w:r>
      <w:r>
        <w:rPr>
          <w:rFonts w:ascii="Arial" w:cs="Arial" w:eastAsia="Arial" w:hAnsi="Arial"/>
          <w:sz w:val="20"/>
          <w:szCs w:val="20"/>
          <w:color w:val="auto"/>
        </w:rPr>
        <w:t>- Oil country tubular goods.</w:t>
      </w:r>
    </w:p>
    <w:p>
      <w:pPr>
        <w:sectPr>
          <w:pgSz w:w="11880" w:h="15480" w:orient="portrait"/>
          <w:cols w:equalWidth="0" w:num="1">
            <w:col w:w="9120"/>
          </w:cols>
          <w:pgMar w:left="1380" w:top="1310" w:right="1380" w:bottom="655" w:gutter="0" w:footer="0" w:header="0"/>
        </w:sect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880" w:h="15480" w:orient="portrait"/>
          <w:cols w:equalWidth="0" w:num="1">
            <w:col w:w="9120"/>
          </w:cols>
          <w:pgMar w:left="1380" w:top="1310" w:right="1380" w:bottom="655" w:gutter="0" w:footer="0" w:header="0"/>
          <w:type w:val="continuous"/>
        </w:sectPr>
      </w:pPr>
    </w:p>
    <w:bookmarkStart w:id="8" w:name="page9"/>
    <w:bookmarkEnd w:id="8"/>
    <w:p>
      <w:pPr>
        <w:ind w:left="540" w:hanging="300"/>
        <w:spacing w:after="0"/>
        <w:tabs>
          <w:tab w:leader="none" w:pos="540" w:val="left"/>
        </w:tabs>
        <w:numPr>
          <w:ilvl w:val="0"/>
          <w:numId w:val="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Oil spill prevention rate </w:t>
      </w:r>
      <w:r>
        <w:rPr>
          <w:rFonts w:ascii="Arial" w:cs="Arial" w:eastAsia="Arial" w:hAnsi="Arial"/>
          <w:sz w:val="20"/>
          <w:szCs w:val="20"/>
          <w:color w:val="auto"/>
        </w:rPr>
        <w:t>- Calculated as total Boe less net barrels lost divided by total Boe.</w:t>
      </w:r>
    </w:p>
    <w:p>
      <w:pPr>
        <w:spacing w:after="0" w:line="10" w:lineRule="exact"/>
        <w:rPr>
          <w:rFonts w:ascii="Arial" w:cs="Arial" w:eastAsia="Arial" w:hAnsi="Arial"/>
          <w:sz w:val="20"/>
          <w:szCs w:val="20"/>
          <w:color w:val="auto"/>
        </w:rPr>
      </w:pPr>
    </w:p>
    <w:p>
      <w:pPr>
        <w:ind w:left="540" w:hanging="300"/>
        <w:spacing w:after="0"/>
        <w:tabs>
          <w:tab w:leader="none" w:pos="540" w:val="left"/>
        </w:tabs>
        <w:numPr>
          <w:ilvl w:val="0"/>
          <w:numId w:val="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OPEC </w:t>
      </w:r>
      <w:r>
        <w:rPr>
          <w:rFonts w:ascii="Arial" w:cs="Arial" w:eastAsia="Arial" w:hAnsi="Arial"/>
          <w:sz w:val="20"/>
          <w:szCs w:val="20"/>
          <w:color w:val="auto"/>
        </w:rPr>
        <w:t>- Organization of the Petroleum Exporting Countries.</w:t>
      </w:r>
    </w:p>
    <w:p>
      <w:pPr>
        <w:spacing w:after="0" w:line="10" w:lineRule="exact"/>
        <w:rPr>
          <w:rFonts w:ascii="Arial" w:cs="Arial" w:eastAsia="Arial" w:hAnsi="Arial"/>
          <w:sz w:val="20"/>
          <w:szCs w:val="20"/>
          <w:color w:val="auto"/>
        </w:rPr>
      </w:pPr>
    </w:p>
    <w:p>
      <w:pPr>
        <w:ind w:left="540" w:hanging="300"/>
        <w:spacing w:after="0"/>
        <w:tabs>
          <w:tab w:leader="none" w:pos="540" w:val="left"/>
        </w:tabs>
        <w:numPr>
          <w:ilvl w:val="0"/>
          <w:numId w:val="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OPEC+ </w:t>
      </w:r>
      <w:r>
        <w:rPr>
          <w:rFonts w:ascii="Arial" w:cs="Arial" w:eastAsia="Arial" w:hAnsi="Arial"/>
          <w:sz w:val="20"/>
          <w:szCs w:val="20"/>
          <w:color w:val="auto"/>
        </w:rPr>
        <w:t>- OPEC together with Russia and certain other producing countries.</w:t>
      </w:r>
    </w:p>
    <w:p>
      <w:pPr>
        <w:spacing w:after="0" w:line="10" w:lineRule="exact"/>
        <w:rPr>
          <w:rFonts w:ascii="Arial" w:cs="Arial" w:eastAsia="Arial" w:hAnsi="Arial"/>
          <w:sz w:val="20"/>
          <w:szCs w:val="20"/>
          <w:color w:val="auto"/>
        </w:rPr>
      </w:pPr>
    </w:p>
    <w:p>
      <w:pPr>
        <w:ind w:left="540" w:hanging="300"/>
        <w:spacing w:after="0"/>
        <w:tabs>
          <w:tab w:leader="none" w:pos="540" w:val="left"/>
        </w:tabs>
        <w:numPr>
          <w:ilvl w:val="0"/>
          <w:numId w:val="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PHMSA </w:t>
      </w:r>
      <w:r>
        <w:rPr>
          <w:rFonts w:ascii="Arial" w:cs="Arial" w:eastAsia="Arial" w:hAnsi="Arial"/>
          <w:sz w:val="20"/>
          <w:szCs w:val="20"/>
          <w:color w:val="auto"/>
        </w:rPr>
        <w:t>- Pipeline and Hazardous Materials Safety Administration.</w:t>
      </w:r>
    </w:p>
    <w:p>
      <w:pPr>
        <w:spacing w:after="0" w:line="10" w:lineRule="exact"/>
        <w:rPr>
          <w:rFonts w:ascii="Arial" w:cs="Arial" w:eastAsia="Arial" w:hAnsi="Arial"/>
          <w:sz w:val="20"/>
          <w:szCs w:val="20"/>
          <w:color w:val="auto"/>
        </w:rPr>
      </w:pPr>
    </w:p>
    <w:p>
      <w:pPr>
        <w:ind w:left="540" w:right="60" w:hanging="300"/>
        <w:spacing w:after="0" w:line="248" w:lineRule="auto"/>
        <w:tabs>
          <w:tab w:leader="none" w:pos="540" w:val="left"/>
        </w:tabs>
        <w:numPr>
          <w:ilvl w:val="0"/>
          <w:numId w:val="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Proved developed reserves </w:t>
      </w:r>
      <w:r>
        <w:rPr>
          <w:rFonts w:ascii="Arial" w:cs="Arial" w:eastAsia="Arial" w:hAnsi="Arial"/>
          <w:sz w:val="20"/>
          <w:szCs w:val="20"/>
          <w:color w:val="auto"/>
        </w:rPr>
        <w:t>- Reserves that can be expected to be recovered through existing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wells with existing equipment and operating methods.</w:t>
      </w:r>
    </w:p>
    <w:p>
      <w:pPr>
        <w:spacing w:after="0" w:line="4" w:lineRule="exact"/>
        <w:rPr>
          <w:rFonts w:ascii="Arial" w:cs="Arial" w:eastAsia="Arial" w:hAnsi="Arial"/>
          <w:sz w:val="20"/>
          <w:szCs w:val="20"/>
          <w:color w:val="auto"/>
        </w:rPr>
      </w:pPr>
    </w:p>
    <w:p>
      <w:pPr>
        <w:ind w:left="540" w:right="100" w:hanging="300"/>
        <w:spacing w:after="0" w:line="249" w:lineRule="auto"/>
        <w:tabs>
          <w:tab w:leader="none" w:pos="540" w:val="left"/>
        </w:tabs>
        <w:numPr>
          <w:ilvl w:val="0"/>
          <w:numId w:val="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Proved reserves </w:t>
      </w:r>
      <w:r>
        <w:rPr>
          <w:rFonts w:ascii="Arial" w:cs="Arial" w:eastAsia="Arial" w:hAnsi="Arial"/>
          <w:sz w:val="20"/>
          <w:szCs w:val="20"/>
          <w:color w:val="auto"/>
        </w:rPr>
        <w:t>- The estimated quantities of natural gas, NGLs, and oil that geological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engineering data demonstrate with reasonable certainty to be commercially recoverable in future years from known reservoirs under existing economic conditions, operating methods and government regulations.</w:t>
      </w:r>
    </w:p>
    <w:p>
      <w:pPr>
        <w:spacing w:after="0" w:line="5" w:lineRule="exact"/>
        <w:rPr>
          <w:rFonts w:ascii="Arial" w:cs="Arial" w:eastAsia="Arial" w:hAnsi="Arial"/>
          <w:sz w:val="20"/>
          <w:szCs w:val="20"/>
          <w:color w:val="auto"/>
        </w:rPr>
      </w:pPr>
    </w:p>
    <w:p>
      <w:pPr>
        <w:ind w:left="540" w:hanging="300"/>
        <w:spacing w:after="0" w:line="249" w:lineRule="auto"/>
        <w:tabs>
          <w:tab w:leader="none" w:pos="540" w:val="left"/>
        </w:tabs>
        <w:numPr>
          <w:ilvl w:val="0"/>
          <w:numId w:val="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Proved undeveloped reserves </w:t>
      </w:r>
      <w:r>
        <w:rPr>
          <w:rFonts w:ascii="Arial" w:cs="Arial" w:eastAsia="Arial" w:hAnsi="Arial"/>
          <w:sz w:val="20"/>
          <w:szCs w:val="20"/>
          <w:color w:val="auto"/>
        </w:rPr>
        <w:t>- Proved reserves that are expected to be recovered from new</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wells on undrilled acreage that are reasonably certain of production when drilled or from existing wells where a relatively major expenditure is required for recompletion.</w:t>
      </w:r>
    </w:p>
    <w:p>
      <w:pPr>
        <w:spacing w:after="0" w:line="4" w:lineRule="exact"/>
        <w:rPr>
          <w:rFonts w:ascii="Arial" w:cs="Arial" w:eastAsia="Arial" w:hAnsi="Arial"/>
          <w:sz w:val="20"/>
          <w:szCs w:val="20"/>
          <w:color w:val="auto"/>
        </w:rPr>
      </w:pPr>
    </w:p>
    <w:p>
      <w:pPr>
        <w:ind w:left="540" w:hanging="300"/>
        <w:spacing w:after="0"/>
        <w:tabs>
          <w:tab w:leader="none" w:pos="540" w:val="left"/>
        </w:tabs>
        <w:numPr>
          <w:ilvl w:val="0"/>
          <w:numId w:val="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PSCs </w:t>
      </w:r>
      <w:r>
        <w:rPr>
          <w:rFonts w:ascii="Arial" w:cs="Arial" w:eastAsia="Arial" w:hAnsi="Arial"/>
          <w:sz w:val="20"/>
          <w:szCs w:val="20"/>
          <w:color w:val="auto"/>
        </w:rPr>
        <w:t>- Production-sharing contracts.</w:t>
      </w:r>
    </w:p>
    <w:p>
      <w:pPr>
        <w:spacing w:after="0" w:line="10" w:lineRule="exact"/>
        <w:rPr>
          <w:rFonts w:ascii="Arial" w:cs="Arial" w:eastAsia="Arial" w:hAnsi="Arial"/>
          <w:sz w:val="20"/>
          <w:szCs w:val="20"/>
          <w:color w:val="auto"/>
        </w:rPr>
      </w:pPr>
    </w:p>
    <w:p>
      <w:pPr>
        <w:ind w:left="540" w:right="180" w:hanging="300"/>
        <w:spacing w:after="0" w:line="250" w:lineRule="auto"/>
        <w:tabs>
          <w:tab w:leader="none" w:pos="540" w:val="left"/>
        </w:tabs>
        <w:numPr>
          <w:ilvl w:val="0"/>
          <w:numId w:val="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PV-10 </w:t>
      </w:r>
      <w:r>
        <w:rPr>
          <w:rFonts w:ascii="Arial" w:cs="Arial" w:eastAsia="Arial" w:hAnsi="Arial"/>
          <w:sz w:val="20"/>
          <w:szCs w:val="20"/>
          <w:color w:val="auto"/>
        </w:rPr>
        <w:t>- Non-GAAP financial measure and represents the year-end present value of estimated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future cash flows from proved oil and natural gas reserves, less future development and operating costs, discounted at 10% per annum and using SEC Prices. PV-10 facilitates the comparisons to other companies as it is not dependent on the tax-paying status of the entity.</w:t>
      </w:r>
    </w:p>
    <w:p>
      <w:pPr>
        <w:spacing w:after="0" w:line="1" w:lineRule="exact"/>
        <w:rPr>
          <w:rFonts w:ascii="Arial" w:cs="Arial" w:eastAsia="Arial" w:hAnsi="Arial"/>
          <w:sz w:val="20"/>
          <w:szCs w:val="20"/>
          <w:color w:val="auto"/>
        </w:rPr>
      </w:pPr>
    </w:p>
    <w:p>
      <w:pPr>
        <w:ind w:left="540" w:hanging="300"/>
        <w:spacing w:after="0"/>
        <w:tabs>
          <w:tab w:leader="none" w:pos="540" w:val="left"/>
        </w:tabs>
        <w:numPr>
          <w:ilvl w:val="0"/>
          <w:numId w:val="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Scope 1 emissions </w:t>
      </w:r>
      <w:r>
        <w:rPr>
          <w:rFonts w:ascii="Arial" w:cs="Arial" w:eastAsia="Arial" w:hAnsi="Arial"/>
          <w:sz w:val="20"/>
          <w:szCs w:val="20"/>
          <w:color w:val="auto"/>
        </w:rPr>
        <w:t>- Our direct emissions.</w:t>
      </w:r>
    </w:p>
    <w:p>
      <w:pPr>
        <w:spacing w:after="0" w:line="10" w:lineRule="exact"/>
        <w:rPr>
          <w:rFonts w:ascii="Arial" w:cs="Arial" w:eastAsia="Arial" w:hAnsi="Arial"/>
          <w:sz w:val="20"/>
          <w:szCs w:val="20"/>
          <w:color w:val="auto"/>
        </w:rPr>
      </w:pPr>
    </w:p>
    <w:p>
      <w:pPr>
        <w:ind w:left="540" w:right="100" w:hanging="300"/>
        <w:spacing w:after="0" w:line="250" w:lineRule="auto"/>
        <w:tabs>
          <w:tab w:leader="none" w:pos="540" w:val="left"/>
        </w:tabs>
        <w:numPr>
          <w:ilvl w:val="0"/>
          <w:numId w:val="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Scope 2 emissions </w:t>
      </w:r>
      <w:r>
        <w:rPr>
          <w:rFonts w:ascii="Arial" w:cs="Arial" w:eastAsia="Arial" w:hAnsi="Arial"/>
          <w:sz w:val="20"/>
          <w:szCs w:val="20"/>
          <w:color w:val="auto"/>
        </w:rPr>
        <w:t>- Indirect emissions from energy that we use (</w:t>
      </w:r>
      <w:r>
        <w:rPr>
          <w:rFonts w:ascii="Arial" w:cs="Arial" w:eastAsia="Arial" w:hAnsi="Arial"/>
          <w:sz w:val="20"/>
          <w:szCs w:val="20"/>
          <w:i w:val="1"/>
          <w:iCs w:val="1"/>
          <w:color w:val="auto"/>
        </w:rPr>
        <w:t>e.g.</w:t>
      </w:r>
      <w:r>
        <w:rPr>
          <w:rFonts w:ascii="Arial" w:cs="Arial" w:eastAsia="Arial" w:hAnsi="Arial"/>
          <w:sz w:val="20"/>
          <w:szCs w:val="20"/>
          <w:color w:val="auto"/>
        </w:rPr>
        <w:t>, electricity, heat, steam,</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cooling) that is produced by others.</w:t>
      </w:r>
    </w:p>
    <w:p>
      <w:pPr>
        <w:ind w:left="540" w:right="20" w:hanging="300"/>
        <w:spacing w:after="0" w:line="250" w:lineRule="auto"/>
        <w:tabs>
          <w:tab w:leader="none" w:pos="540" w:val="left"/>
        </w:tabs>
        <w:numPr>
          <w:ilvl w:val="0"/>
          <w:numId w:val="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Scope 3 emissions </w:t>
      </w:r>
      <w:r>
        <w:rPr>
          <w:rFonts w:ascii="Arial" w:cs="Arial" w:eastAsia="Arial" w:hAnsi="Arial"/>
          <w:sz w:val="20"/>
          <w:szCs w:val="20"/>
          <w:color w:val="auto"/>
        </w:rPr>
        <w:t>- Indirect emissions from upstream and downstream processing and use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our products.</w:t>
      </w:r>
    </w:p>
    <w:p>
      <w:pPr>
        <w:ind w:left="540" w:hanging="300"/>
        <w:spacing w:after="0"/>
        <w:tabs>
          <w:tab w:leader="none" w:pos="540" w:val="left"/>
        </w:tabs>
        <w:numPr>
          <w:ilvl w:val="0"/>
          <w:numId w:val="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SDWA </w:t>
      </w:r>
      <w:r>
        <w:rPr>
          <w:rFonts w:ascii="Arial" w:cs="Arial" w:eastAsia="Arial" w:hAnsi="Arial"/>
          <w:sz w:val="20"/>
          <w:szCs w:val="20"/>
          <w:color w:val="auto"/>
        </w:rPr>
        <w:t>- Safe Drinking Water Act.</w:t>
      </w:r>
    </w:p>
    <w:p>
      <w:pPr>
        <w:spacing w:after="0" w:line="10" w:lineRule="exact"/>
        <w:rPr>
          <w:rFonts w:ascii="Arial" w:cs="Arial" w:eastAsia="Arial" w:hAnsi="Arial"/>
          <w:sz w:val="20"/>
          <w:szCs w:val="20"/>
          <w:color w:val="auto"/>
        </w:rPr>
      </w:pPr>
    </w:p>
    <w:p>
      <w:pPr>
        <w:ind w:left="540" w:hanging="300"/>
        <w:spacing w:after="0"/>
        <w:tabs>
          <w:tab w:leader="none" w:pos="540" w:val="left"/>
        </w:tabs>
        <w:numPr>
          <w:ilvl w:val="0"/>
          <w:numId w:val="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SEC </w:t>
      </w:r>
      <w:r>
        <w:rPr>
          <w:rFonts w:ascii="Arial" w:cs="Arial" w:eastAsia="Arial" w:hAnsi="Arial"/>
          <w:sz w:val="20"/>
          <w:szCs w:val="20"/>
          <w:color w:val="auto"/>
        </w:rPr>
        <w:t>- United States Securities and Exchange Commission.</w:t>
      </w:r>
    </w:p>
    <w:p>
      <w:pPr>
        <w:spacing w:after="0" w:line="10" w:lineRule="exact"/>
        <w:rPr>
          <w:rFonts w:ascii="Arial" w:cs="Arial" w:eastAsia="Arial" w:hAnsi="Arial"/>
          <w:sz w:val="20"/>
          <w:szCs w:val="20"/>
          <w:color w:val="auto"/>
        </w:rPr>
      </w:pPr>
    </w:p>
    <w:p>
      <w:pPr>
        <w:ind w:left="540" w:right="340" w:hanging="300"/>
        <w:spacing w:after="0" w:line="250" w:lineRule="auto"/>
        <w:tabs>
          <w:tab w:leader="none" w:pos="540" w:val="left"/>
        </w:tabs>
        <w:numPr>
          <w:ilvl w:val="0"/>
          <w:numId w:val="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SEC Prices </w:t>
      </w:r>
      <w:r>
        <w:rPr>
          <w:rFonts w:ascii="Arial" w:cs="Arial" w:eastAsia="Arial" w:hAnsi="Arial"/>
          <w:sz w:val="20"/>
          <w:szCs w:val="20"/>
          <w:color w:val="auto"/>
        </w:rPr>
        <w:t>- The unweighted arithmetic average of the first day-of-the-month price for each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month within the year used to determine estimated volumes and cash flows for our proved reserves.</w:t>
      </w:r>
    </w:p>
    <w:p>
      <w:pPr>
        <w:spacing w:after="0" w:line="1" w:lineRule="exact"/>
        <w:rPr>
          <w:rFonts w:ascii="Arial" w:cs="Arial" w:eastAsia="Arial" w:hAnsi="Arial"/>
          <w:sz w:val="20"/>
          <w:szCs w:val="20"/>
          <w:color w:val="auto"/>
        </w:rPr>
      </w:pPr>
    </w:p>
    <w:p>
      <w:pPr>
        <w:ind w:left="540" w:right="100" w:hanging="300"/>
        <w:spacing w:after="0" w:line="250" w:lineRule="auto"/>
        <w:tabs>
          <w:tab w:leader="none" w:pos="540" w:val="left"/>
        </w:tabs>
        <w:numPr>
          <w:ilvl w:val="0"/>
          <w:numId w:val="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SOFR </w:t>
      </w:r>
      <w:r>
        <w:rPr>
          <w:rFonts w:ascii="Arial" w:cs="Arial" w:eastAsia="Arial" w:hAnsi="Arial"/>
          <w:sz w:val="20"/>
          <w:szCs w:val="20"/>
          <w:color w:val="auto"/>
        </w:rPr>
        <w:t>- Secured overnight financing rate as administered by the Federal Reserve Bank of New</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York.</w:t>
      </w:r>
    </w:p>
    <w:p>
      <w:pPr>
        <w:ind w:left="540" w:right="240" w:hanging="300"/>
        <w:spacing w:after="0" w:line="250" w:lineRule="auto"/>
        <w:tabs>
          <w:tab w:leader="none" w:pos="540" w:val="left"/>
        </w:tabs>
        <w:numPr>
          <w:ilvl w:val="0"/>
          <w:numId w:val="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Standardized measure </w:t>
      </w:r>
      <w:r>
        <w:rPr>
          <w:rFonts w:ascii="Arial" w:cs="Arial" w:eastAsia="Arial" w:hAnsi="Arial"/>
          <w:sz w:val="20"/>
          <w:szCs w:val="20"/>
          <w:color w:val="auto"/>
        </w:rPr>
        <w:t>- The year-end present value of after-tax estimated future cash flows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from proved oil and natural gas reserves, less future development and operating costs, discounted at 10% per annum and using SEC Prices. Standardized measure is prescribed by the SEC as an industry standard asset value measure to compare reserves with consistent pricing, costs and discount assumptions.</w:t>
      </w:r>
    </w:p>
    <w:p>
      <w:pPr>
        <w:spacing w:after="0" w:line="2" w:lineRule="exact"/>
        <w:rPr>
          <w:rFonts w:ascii="Arial" w:cs="Arial" w:eastAsia="Arial" w:hAnsi="Arial"/>
          <w:sz w:val="20"/>
          <w:szCs w:val="20"/>
          <w:color w:val="auto"/>
        </w:rPr>
      </w:pPr>
    </w:p>
    <w:p>
      <w:pPr>
        <w:ind w:left="540" w:right="60" w:hanging="300"/>
        <w:spacing w:after="0" w:line="250" w:lineRule="auto"/>
        <w:tabs>
          <w:tab w:leader="none" w:pos="540" w:val="left"/>
        </w:tabs>
        <w:numPr>
          <w:ilvl w:val="0"/>
          <w:numId w:val="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TRIR </w:t>
      </w:r>
      <w:r>
        <w:rPr>
          <w:rFonts w:ascii="Arial" w:cs="Arial" w:eastAsia="Arial" w:hAnsi="Arial"/>
          <w:sz w:val="20"/>
          <w:szCs w:val="20"/>
          <w:color w:val="auto"/>
        </w:rPr>
        <w:t>- Total Recordable Incident Rate calculated as recordable incidents per 200,000 hours for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all workers (employees and contractors).</w:t>
      </w:r>
    </w:p>
    <w:p>
      <w:pPr>
        <w:ind w:left="540" w:right="20" w:hanging="300"/>
        <w:spacing w:after="0" w:line="250" w:lineRule="auto"/>
        <w:tabs>
          <w:tab w:leader="none" w:pos="540" w:val="left"/>
        </w:tabs>
        <w:numPr>
          <w:ilvl w:val="0"/>
          <w:numId w:val="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Working interest </w:t>
      </w:r>
      <w:r>
        <w:rPr>
          <w:rFonts w:ascii="Arial" w:cs="Arial" w:eastAsia="Arial" w:hAnsi="Arial"/>
          <w:sz w:val="20"/>
          <w:szCs w:val="20"/>
          <w:color w:val="auto"/>
        </w:rPr>
        <w:t>- The right granted to a lessee of a property to explore for and to produce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own oil, natural gas or other minerals in-place. A working interest owner bears the cost of development and operations of the property.</w:t>
      </w:r>
    </w:p>
    <w:p>
      <w:pPr>
        <w:spacing w:after="0" w:line="1" w:lineRule="exact"/>
        <w:rPr>
          <w:rFonts w:ascii="Arial" w:cs="Arial" w:eastAsia="Arial" w:hAnsi="Arial"/>
          <w:sz w:val="20"/>
          <w:szCs w:val="20"/>
          <w:color w:val="auto"/>
        </w:rPr>
      </w:pPr>
    </w:p>
    <w:p>
      <w:pPr>
        <w:ind w:left="540" w:hanging="300"/>
        <w:spacing w:after="0"/>
        <w:tabs>
          <w:tab w:leader="none" w:pos="540" w:val="left"/>
        </w:tabs>
        <w:numPr>
          <w:ilvl w:val="0"/>
          <w:numId w:val="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WTI </w:t>
      </w:r>
      <w:r>
        <w:rPr>
          <w:rFonts w:ascii="Arial" w:cs="Arial" w:eastAsia="Arial" w:hAnsi="Arial"/>
          <w:sz w:val="20"/>
          <w:szCs w:val="20"/>
          <w:color w:val="auto"/>
        </w:rPr>
        <w:t>- West Texas Intermediate.</w:t>
      </w:r>
    </w:p>
    <w:p>
      <w:pPr>
        <w:sectPr>
          <w:pgSz w:w="11880" w:h="15480" w:orient="portrait"/>
          <w:cols w:equalWidth="0" w:num="1">
            <w:col w:w="9040"/>
          </w:cols>
          <w:pgMar w:left="1440" w:top="1311" w:right="140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5</w:t>
      </w:r>
    </w:p>
    <w:p>
      <w:pPr>
        <w:sectPr>
          <w:pgSz w:w="11880" w:h="15480" w:orient="portrait"/>
          <w:cols w:equalWidth="0" w:num="1">
            <w:col w:w="9040"/>
          </w:cols>
          <w:pgMar w:left="1440" w:top="1311" w:right="1400" w:bottom="655" w:gutter="0" w:footer="0" w:header="0"/>
          <w:type w:val="continuous"/>
        </w:sectPr>
      </w:pPr>
    </w:p>
    <w:bookmarkStart w:id="9" w:name="page10"/>
    <w:bookmarkEnd w:id="9"/>
    <w:p>
      <w:pPr>
        <w:spacing w:after="0"/>
        <w:rPr>
          <w:sz w:val="20"/>
          <w:szCs w:val="20"/>
          <w:color w:val="auto"/>
        </w:rPr>
      </w:pPr>
      <w:r>
        <w:rPr>
          <w:rFonts w:ascii="Arial" w:cs="Arial" w:eastAsia="Arial" w:hAnsi="Arial"/>
          <w:sz w:val="20"/>
          <w:szCs w:val="20"/>
          <w:b w:val="1"/>
          <w:bCs w:val="1"/>
          <w:color w:val="auto"/>
        </w:rPr>
        <w:t>PART I</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ITEMS 1 &amp; 2 BUSINESS AND PROPERTIES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Overview and History</w:t>
      </w:r>
    </w:p>
    <w:p>
      <w:pPr>
        <w:spacing w:after="0" w:line="176" w:lineRule="exact"/>
        <w:rPr>
          <w:sz w:val="20"/>
          <w:szCs w:val="20"/>
          <w:color w:val="auto"/>
        </w:rPr>
      </w:pPr>
    </w:p>
    <w:p>
      <w:pPr>
        <w:ind w:right="20" w:firstLine="300"/>
        <w:spacing w:after="0" w:line="250" w:lineRule="auto"/>
        <w:rPr>
          <w:sz w:val="20"/>
          <w:szCs w:val="20"/>
          <w:color w:val="auto"/>
        </w:rPr>
      </w:pPr>
      <w:r>
        <w:rPr>
          <w:rFonts w:ascii="Arial" w:cs="Arial" w:eastAsia="Arial" w:hAnsi="Arial"/>
          <w:sz w:val="20"/>
          <w:szCs w:val="20"/>
          <w:color w:val="auto"/>
        </w:rPr>
        <w:t xml:space="preserve">We are an independent oil and natural gas exploration and production company operating properties exclusively within California. We provide affordable and reliable energy in a safe and responsible manner, to support and enhance the quality of life of Californians and the local communities in which we operate. We do this through the development of our broad portfolio of assets while adhering to our commitment to create shareholder value. We also have some of the lowest carbon intensity production in the United States. We are committed to energy transition and decarbonization through our carbon management business that we refer to as Carbon TerraVault. We are in the early stages of developing several carbon capture and storage projects in California. In August 2022, Carbon TerraVault entered into a joint venture with BGTF Sierra Aggregator (Brookfield) to pursue certain of these opportunities (Carbon TerraVault JV). Over time, we intend to conduct our carbon management business on a stand-alone basis. We expect that this will provide greater flexibility to consider strategic options, including the potential separation from our E&amp;P business. See </w:t>
      </w:r>
      <w:r>
        <w:rPr>
          <w:rFonts w:ascii="Arial" w:cs="Arial" w:eastAsia="Arial" w:hAnsi="Arial"/>
          <w:sz w:val="20"/>
          <w:szCs w:val="20"/>
          <w:i w:val="1"/>
          <w:iCs w:val="1"/>
          <w:color w:val="auto"/>
        </w:rPr>
        <w:t>Part II,</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Item 8 – Financial Statements and Supplementary Data, Note 8 Investment in Unconsolidated Subsidiary and Related Party Transactions </w:t>
      </w:r>
      <w:r>
        <w:rPr>
          <w:rFonts w:ascii="Arial" w:cs="Arial" w:eastAsia="Arial" w:hAnsi="Arial"/>
          <w:sz w:val="20"/>
          <w:szCs w:val="20"/>
          <w:color w:val="auto"/>
        </w:rPr>
        <w:t>for more information on the Carbon TerraVault JV.</w:t>
      </w:r>
    </w:p>
    <w:p>
      <w:pPr>
        <w:spacing w:after="0" w:line="166"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We qualified for and adopted fresh start accounting in connection with our emergence from bankruptcy on October 27, 2020, at which point we became a new entity for financial reporting purposes. We adopted an accounting convenience date of October 31, 2020 for the application of fresh start accounting. As a result of the application of fresh start accounting and the effects of the implementation of our joint plan of reorganization (the Plan), the financial statements after October 31, 2020 may not be comparable to the financial statements prior to that date. Accordingly, “black-line” financial statements are presented to distinguish between Predecessor and Successor companies. References to “Predecessor” refer to the Company for periods ending on or prior to October 31, 2020 and references to “Successor” refer to the Company for periods subsequent to October 31, 2020.</w:t>
      </w:r>
    </w:p>
    <w:p>
      <w:pPr>
        <w:spacing w:after="0" w:line="171" w:lineRule="exact"/>
        <w:rPr>
          <w:sz w:val="20"/>
          <w:szCs w:val="20"/>
          <w:color w:val="auto"/>
        </w:rPr>
      </w:pPr>
    </w:p>
    <w:p>
      <w:pPr>
        <w:ind w:right="300" w:firstLine="300"/>
        <w:spacing w:after="0" w:line="249" w:lineRule="auto"/>
        <w:rPr>
          <w:sz w:val="20"/>
          <w:szCs w:val="20"/>
          <w:color w:val="auto"/>
        </w:rPr>
      </w:pPr>
      <w:r>
        <w:rPr>
          <w:rFonts w:ascii="Arial" w:cs="Arial" w:eastAsia="Arial" w:hAnsi="Arial"/>
          <w:sz w:val="20"/>
          <w:szCs w:val="20"/>
          <w:color w:val="auto"/>
        </w:rPr>
        <w:t xml:space="preserve">See </w:t>
      </w:r>
      <w:r>
        <w:rPr>
          <w:rFonts w:ascii="Arial" w:cs="Arial" w:eastAsia="Arial" w:hAnsi="Arial"/>
          <w:sz w:val="20"/>
          <w:szCs w:val="20"/>
          <w:i w:val="1"/>
          <w:iCs w:val="1"/>
          <w:color w:val="auto"/>
        </w:rPr>
        <w:t>Part II, Item 8 – Financial Statements and Supplementary Data, Note 15 Chapter 11</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Proceedings </w:t>
      </w:r>
      <w:r>
        <w:rPr>
          <w:rFonts w:ascii="Arial" w:cs="Arial" w:eastAsia="Arial" w:hAnsi="Arial"/>
          <w:sz w:val="20"/>
          <w:szCs w:val="20"/>
          <w:color w:val="auto"/>
        </w:rPr>
        <w:t>and</w:t>
      </w:r>
      <w:r>
        <w:rPr>
          <w:rFonts w:ascii="Arial" w:cs="Arial" w:eastAsia="Arial" w:hAnsi="Arial"/>
          <w:sz w:val="20"/>
          <w:szCs w:val="20"/>
          <w:i w:val="1"/>
          <w:iCs w:val="1"/>
          <w:color w:val="auto"/>
        </w:rPr>
        <w:t xml:space="preserve"> Note 16 Fresh Start Accounting </w:t>
      </w:r>
      <w:r>
        <w:rPr>
          <w:rFonts w:ascii="Arial" w:cs="Arial" w:eastAsia="Arial" w:hAnsi="Arial"/>
          <w:sz w:val="20"/>
          <w:szCs w:val="20"/>
          <w:color w:val="auto"/>
        </w:rPr>
        <w:t>for additional information on the terms of the Plan,</w:t>
      </w:r>
      <w:r>
        <w:rPr>
          <w:rFonts w:ascii="Arial" w:cs="Arial" w:eastAsia="Arial" w:hAnsi="Arial"/>
          <w:sz w:val="20"/>
          <w:szCs w:val="20"/>
          <w:i w:val="1"/>
          <w:iCs w:val="1"/>
          <w:color w:val="auto"/>
        </w:rPr>
        <w:t xml:space="preserve"> </w:t>
      </w:r>
      <w:r>
        <w:rPr>
          <w:rFonts w:ascii="Arial" w:cs="Arial" w:eastAsia="Arial" w:hAnsi="Arial"/>
          <w:sz w:val="20"/>
          <w:szCs w:val="20"/>
          <w:color w:val="auto"/>
        </w:rPr>
        <w:t>our emergence from bankruptcy and application of fresh start accounting</w:t>
      </w:r>
      <w:r>
        <w:rPr>
          <w:rFonts w:ascii="Arial" w:cs="Arial" w:eastAsia="Arial" w:hAnsi="Arial"/>
          <w:sz w:val="20"/>
          <w:szCs w:val="20"/>
          <w:i w:val="1"/>
          <w:iCs w:val="1"/>
          <w:color w:val="auto"/>
        </w:rPr>
        <w:t>.</w:t>
      </w:r>
    </w:p>
    <w:p>
      <w:pPr>
        <w:spacing w:after="0" w:line="206" w:lineRule="exact"/>
        <w:rPr>
          <w:sz w:val="20"/>
          <w:szCs w:val="20"/>
          <w:color w:val="auto"/>
        </w:rPr>
      </w:pPr>
    </w:p>
    <w:p>
      <w:pPr>
        <w:ind w:right="100" w:firstLine="300"/>
        <w:spacing w:after="0" w:line="248" w:lineRule="auto"/>
        <w:rPr>
          <w:sz w:val="20"/>
          <w:szCs w:val="20"/>
          <w:color w:val="auto"/>
        </w:rPr>
      </w:pPr>
      <w:r>
        <w:rPr>
          <w:rFonts w:ascii="Arial" w:cs="Arial" w:eastAsia="Arial" w:hAnsi="Arial"/>
          <w:sz w:val="20"/>
          <w:szCs w:val="20"/>
          <w:color w:val="auto"/>
        </w:rPr>
        <w:t>Except when the context otherwise requires or where otherwise indicated, all references to ‘‘CRC,’’ the ‘‘Company,’’ ‘‘we,’’ ‘‘us’’ and ‘‘our’’ refer to California Resources Corporation and its consolidated subsidiaries.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Strategy</w:t>
      </w:r>
    </w:p>
    <w:p>
      <w:pPr>
        <w:spacing w:after="0" w:line="174" w:lineRule="exact"/>
        <w:rPr>
          <w:sz w:val="20"/>
          <w:szCs w:val="20"/>
          <w:color w:val="auto"/>
        </w:rPr>
      </w:pPr>
    </w:p>
    <w:p>
      <w:pPr>
        <w:jc w:val="both"/>
        <w:ind w:right="60" w:firstLine="300"/>
        <w:spacing w:after="0" w:line="248" w:lineRule="auto"/>
        <w:rPr>
          <w:sz w:val="20"/>
          <w:szCs w:val="20"/>
          <w:color w:val="auto"/>
        </w:rPr>
      </w:pPr>
      <w:r>
        <w:rPr>
          <w:rFonts w:ascii="Arial" w:cs="Arial" w:eastAsia="Arial" w:hAnsi="Arial"/>
          <w:sz w:val="20"/>
          <w:szCs w:val="20"/>
          <w:color w:val="auto"/>
        </w:rPr>
        <w:t>Our strategy is to continue to develop our oil and natural gas assets while pursuing opportunities in the emerging industries of decarbonization and energy transition. To accomplish our strategy, we have developed the following key priorities:</w:t>
      </w:r>
    </w:p>
    <w:p>
      <w:pPr>
        <w:spacing w:after="0" w:line="165" w:lineRule="exact"/>
        <w:rPr>
          <w:sz w:val="20"/>
          <w:szCs w:val="20"/>
          <w:color w:val="auto"/>
        </w:rPr>
      </w:pPr>
    </w:p>
    <w:p>
      <w:pPr>
        <w:ind w:left="600" w:right="80" w:hanging="300"/>
        <w:spacing w:after="0" w:line="249" w:lineRule="auto"/>
        <w:tabs>
          <w:tab w:leader="none" w:pos="60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Adjust our corporate structure</w:t>
      </w:r>
      <w:r>
        <w:rPr>
          <w:rFonts w:ascii="Arial" w:cs="Arial" w:eastAsia="Arial" w:hAnsi="Arial"/>
          <w:sz w:val="20"/>
          <w:szCs w:val="20"/>
          <w:color w:val="auto"/>
        </w:rPr>
        <w:t>. We intend to manage our carbon management business on a</w:t>
      </w:r>
      <w:r>
        <w:rPr>
          <w:rFonts w:ascii="Arial" w:cs="Arial" w:eastAsia="Arial" w:hAnsi="Arial"/>
          <w:sz w:val="20"/>
          <w:szCs w:val="20"/>
          <w:b w:val="1"/>
          <w:bCs w:val="1"/>
          <w:color w:val="auto"/>
        </w:rPr>
        <w:t xml:space="preserve"> </w:t>
      </w:r>
      <w:r>
        <w:rPr>
          <w:rFonts w:ascii="Arial" w:cs="Arial" w:eastAsia="Arial" w:hAnsi="Arial"/>
          <w:sz w:val="20"/>
          <w:szCs w:val="20"/>
          <w:color w:val="auto"/>
        </w:rPr>
        <w:t>stand-alone basis over time. We expect that this will provide greater flexibility to consider strategic options, including the potential separation from our E&amp;P business. We also recently installed a board of directors at Carbon TerraVault Holdings, LLC that will focus on growing and developing our carbon management business on a stand-alone basis.</w:t>
      </w:r>
    </w:p>
    <w:p>
      <w:pPr>
        <w:sectPr>
          <w:pgSz w:w="11880" w:h="15480" w:orient="portrait"/>
          <w:cols w:equalWidth="0" w:num="1">
            <w:col w:w="9120"/>
          </w:cols>
          <w:pgMar w:left="1380" w:top="1310"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880" w:h="15480" w:orient="portrait"/>
          <w:cols w:equalWidth="0" w:num="1">
            <w:col w:w="9120"/>
          </w:cols>
          <w:pgMar w:left="1380" w:top="1310" w:right="1380" w:bottom="655" w:gutter="0" w:footer="0" w:header="0"/>
          <w:type w:val="continuous"/>
        </w:sectPr>
      </w:pPr>
    </w:p>
    <w:bookmarkStart w:id="10" w:name="page11"/>
    <w:bookmarkEnd w:id="10"/>
    <w:p>
      <w:pPr>
        <w:ind w:left="540" w:right="100" w:hanging="300"/>
        <w:spacing w:after="0" w:line="250" w:lineRule="auto"/>
        <w:tabs>
          <w:tab w:leader="none" w:pos="540"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Advance our carbon management business</w:t>
      </w:r>
      <w:r>
        <w:rPr>
          <w:rFonts w:ascii="Arial" w:cs="Arial" w:eastAsia="Arial" w:hAnsi="Arial"/>
          <w:sz w:val="20"/>
          <w:szCs w:val="20"/>
          <w:color w:val="auto"/>
        </w:rPr>
        <w:t>. We intend to continue to build our carbon</w:t>
      </w:r>
      <w:r>
        <w:rPr>
          <w:rFonts w:ascii="Arial" w:cs="Arial" w:eastAsia="Arial" w:hAnsi="Arial"/>
          <w:sz w:val="20"/>
          <w:szCs w:val="20"/>
          <w:b w:val="1"/>
          <w:bCs w:val="1"/>
          <w:color w:val="auto"/>
        </w:rPr>
        <w:t xml:space="preserve"> </w:t>
      </w:r>
      <w:r>
        <w:rPr>
          <w:rFonts w:ascii="Arial" w:cs="Arial" w:eastAsia="Arial" w:hAnsi="Arial"/>
          <w:sz w:val="20"/>
          <w:szCs w:val="20"/>
          <w:color w:val="auto"/>
        </w:rPr>
        <w:t>management business through Carbon TerraVault. Our efforts will build on the progress made in 2022, including the formation of the Carbon TerraVault JV with Brookfield. We also executed two carbon management service agreements with Lone Cypress Energy Services, LLC and Grannus, LLC to provide permanent carbon storage. We are focused on signing up additional emitter projects and submitting additional Class VI permit applications with the EPA for permanent carbon capture and sequestration. We are also evaluating our Elk Hills power plant as a potential emissions source for carbon capture and sequestration, and are working with a consortium of industry participants to advance the development of a direct air capture hub to be located in Kern County.</w:t>
      </w:r>
    </w:p>
    <w:p>
      <w:pPr>
        <w:spacing w:after="0" w:line="198" w:lineRule="exact"/>
        <w:rPr>
          <w:rFonts w:ascii="Arial" w:cs="Arial" w:eastAsia="Arial" w:hAnsi="Arial"/>
          <w:sz w:val="20"/>
          <w:szCs w:val="20"/>
          <w:color w:val="auto"/>
        </w:rPr>
      </w:pPr>
    </w:p>
    <w:p>
      <w:pPr>
        <w:ind w:left="540" w:hanging="300"/>
        <w:spacing w:after="0" w:line="265" w:lineRule="auto"/>
        <w:tabs>
          <w:tab w:leader="none" w:pos="540" w:val="left"/>
        </w:tabs>
        <w:numPr>
          <w:ilvl w:val="0"/>
          <w:numId w:val="6"/>
        </w:numPr>
        <w:rPr>
          <w:rFonts w:ascii="Arial" w:cs="Arial" w:eastAsia="Arial" w:hAnsi="Arial"/>
          <w:sz w:val="19"/>
          <w:szCs w:val="19"/>
          <w:color w:val="auto"/>
        </w:rPr>
      </w:pPr>
      <w:r>
        <w:rPr>
          <w:rFonts w:ascii="Arial" w:cs="Arial" w:eastAsia="Arial" w:hAnsi="Arial"/>
          <w:sz w:val="19"/>
          <w:szCs w:val="19"/>
          <w:b w:val="1"/>
          <w:bCs w:val="1"/>
          <w:color w:val="auto"/>
        </w:rPr>
        <w:t>Execute on a core E&amp;P development plan</w:t>
      </w:r>
      <w:r>
        <w:rPr>
          <w:rFonts w:ascii="Arial" w:cs="Arial" w:eastAsia="Arial" w:hAnsi="Arial"/>
          <w:sz w:val="19"/>
          <w:szCs w:val="19"/>
          <w:color w:val="auto"/>
        </w:rPr>
        <w:t>. In light of recent regulatory changes in California, we</w:t>
      </w:r>
      <w:r>
        <w:rPr>
          <w:rFonts w:ascii="Arial" w:cs="Arial" w:eastAsia="Arial" w:hAnsi="Arial"/>
          <w:sz w:val="19"/>
          <w:szCs w:val="19"/>
          <w:b w:val="1"/>
          <w:bCs w:val="1"/>
          <w:color w:val="auto"/>
        </w:rPr>
        <w:t xml:space="preserve"> </w:t>
      </w:r>
      <w:r>
        <w:rPr>
          <w:rFonts w:ascii="Arial" w:cs="Arial" w:eastAsia="Arial" w:hAnsi="Arial"/>
          <w:sz w:val="19"/>
          <w:szCs w:val="19"/>
          <w:color w:val="auto"/>
        </w:rPr>
        <w:t>will reduce our average rig count to 1.5 rigs in 2023 (down from approximately 4 rigs in 2022) with a drilling program focused on executing projects where we have permits in hand. We also intend to increase our workover activity in 2023 to help minimize production decline. We further plan to develop field level EIRs for the CEQA review process which we expect will reduce uncertainty in obtaining permits for the majority of our proved undeveloped resources in future years.</w:t>
      </w:r>
    </w:p>
    <w:p>
      <w:pPr>
        <w:spacing w:after="0" w:line="182" w:lineRule="exact"/>
        <w:rPr>
          <w:rFonts w:ascii="Arial" w:cs="Arial" w:eastAsia="Arial" w:hAnsi="Arial"/>
          <w:sz w:val="19"/>
          <w:szCs w:val="19"/>
          <w:color w:val="auto"/>
        </w:rPr>
      </w:pPr>
    </w:p>
    <w:p>
      <w:pPr>
        <w:ind w:left="540" w:right="60" w:hanging="300"/>
        <w:spacing w:after="0" w:line="266" w:lineRule="auto"/>
        <w:tabs>
          <w:tab w:leader="none" w:pos="540" w:val="left"/>
        </w:tabs>
        <w:numPr>
          <w:ilvl w:val="0"/>
          <w:numId w:val="6"/>
        </w:numPr>
        <w:rPr>
          <w:rFonts w:ascii="Arial" w:cs="Arial" w:eastAsia="Arial" w:hAnsi="Arial"/>
          <w:sz w:val="19"/>
          <w:szCs w:val="19"/>
          <w:color w:val="auto"/>
        </w:rPr>
      </w:pPr>
      <w:r>
        <w:rPr>
          <w:rFonts w:ascii="Arial" w:cs="Arial" w:eastAsia="Arial" w:hAnsi="Arial"/>
          <w:sz w:val="19"/>
          <w:szCs w:val="19"/>
          <w:b w:val="1"/>
          <w:bCs w:val="1"/>
          <w:color w:val="auto"/>
        </w:rPr>
        <w:t>Focus on cost reductions and portfolio optimization</w:t>
      </w:r>
      <w:r>
        <w:rPr>
          <w:rFonts w:ascii="Arial" w:cs="Arial" w:eastAsia="Arial" w:hAnsi="Arial"/>
          <w:sz w:val="19"/>
          <w:szCs w:val="19"/>
          <w:color w:val="auto"/>
        </w:rPr>
        <w:t>. In light of the changing regulatory</w:t>
      </w:r>
      <w:r>
        <w:rPr>
          <w:rFonts w:ascii="Arial" w:cs="Arial" w:eastAsia="Arial" w:hAnsi="Arial"/>
          <w:sz w:val="19"/>
          <w:szCs w:val="19"/>
          <w:b w:val="1"/>
          <w:bCs w:val="1"/>
          <w:color w:val="auto"/>
        </w:rPr>
        <w:t xml:space="preserve"> </w:t>
      </w:r>
      <w:r>
        <w:rPr>
          <w:rFonts w:ascii="Arial" w:cs="Arial" w:eastAsia="Arial" w:hAnsi="Arial"/>
          <w:sz w:val="19"/>
          <w:szCs w:val="19"/>
          <w:color w:val="auto"/>
        </w:rPr>
        <w:t>environment in California, we will adjust our capital program in 2023 to optimize near term cash flow. We intend to focus on cost reduction initiatives and expect to reduce our non-energy operating costs and general and administrative costs by the end of the year. We also plan to continue to pursue the sale of our Huntington Beach surface acreage as well as other non-core real estate assets.</w:t>
      </w:r>
    </w:p>
    <w:p>
      <w:pPr>
        <w:spacing w:after="0" w:line="183" w:lineRule="exact"/>
        <w:rPr>
          <w:rFonts w:ascii="Arial" w:cs="Arial" w:eastAsia="Arial" w:hAnsi="Arial"/>
          <w:sz w:val="19"/>
          <w:szCs w:val="19"/>
          <w:color w:val="auto"/>
        </w:rPr>
      </w:pPr>
    </w:p>
    <w:p>
      <w:pPr>
        <w:ind w:left="540" w:right="20" w:hanging="300"/>
        <w:spacing w:after="0" w:line="265" w:lineRule="auto"/>
        <w:tabs>
          <w:tab w:leader="none" w:pos="540" w:val="left"/>
        </w:tabs>
        <w:numPr>
          <w:ilvl w:val="0"/>
          <w:numId w:val="6"/>
        </w:numPr>
        <w:rPr>
          <w:rFonts w:ascii="Arial" w:cs="Arial" w:eastAsia="Arial" w:hAnsi="Arial"/>
          <w:sz w:val="19"/>
          <w:szCs w:val="19"/>
          <w:color w:val="auto"/>
        </w:rPr>
      </w:pPr>
      <w:r>
        <w:rPr>
          <w:rFonts w:ascii="Arial" w:cs="Arial" w:eastAsia="Arial" w:hAnsi="Arial"/>
          <w:sz w:val="19"/>
          <w:szCs w:val="19"/>
          <w:b w:val="1"/>
          <w:bCs w:val="1"/>
          <w:color w:val="auto"/>
        </w:rPr>
        <w:t xml:space="preserve">Improve our financial flexibility and maintain a strong balance sheet. </w:t>
      </w:r>
      <w:r>
        <w:rPr>
          <w:rFonts w:ascii="Arial" w:cs="Arial" w:eastAsia="Arial" w:hAnsi="Arial"/>
          <w:sz w:val="19"/>
          <w:szCs w:val="19"/>
          <w:color w:val="auto"/>
        </w:rPr>
        <w:t>We are pursuing</w:t>
      </w:r>
      <w:r>
        <w:rPr>
          <w:rFonts w:ascii="Arial" w:cs="Arial" w:eastAsia="Arial" w:hAnsi="Arial"/>
          <w:sz w:val="19"/>
          <w:szCs w:val="19"/>
          <w:b w:val="1"/>
          <w:bCs w:val="1"/>
          <w:color w:val="auto"/>
        </w:rPr>
        <w:t xml:space="preserve"> </w:t>
      </w:r>
      <w:r>
        <w:rPr>
          <w:rFonts w:ascii="Arial" w:cs="Arial" w:eastAsia="Arial" w:hAnsi="Arial"/>
          <w:sz w:val="19"/>
          <w:szCs w:val="19"/>
          <w:color w:val="auto"/>
        </w:rPr>
        <w:t>options to amend and extend or replace our Revolving Credit Facility, as well as refinancing options for our $600 million of Senior Notes. We expect that these steps will allow us to extend our debt maturities and provide us with greater financial flexibility to increase shareholder returns. We also intend to pursue financing options for our carbon management business that are separate from the rest of our business. We remain committed to maintaining our strong liquidity position.</w:t>
      </w:r>
    </w:p>
    <w:p>
      <w:pPr>
        <w:spacing w:after="0" w:line="184" w:lineRule="exact"/>
        <w:rPr>
          <w:rFonts w:ascii="Arial" w:cs="Arial" w:eastAsia="Arial" w:hAnsi="Arial"/>
          <w:sz w:val="19"/>
          <w:szCs w:val="19"/>
          <w:color w:val="auto"/>
        </w:rPr>
      </w:pPr>
    </w:p>
    <w:p>
      <w:pPr>
        <w:ind w:left="540" w:right="60" w:hanging="300"/>
        <w:spacing w:after="0" w:line="250" w:lineRule="auto"/>
        <w:tabs>
          <w:tab w:leader="none" w:pos="540"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Focus on increasing shareholder returns</w:t>
      </w:r>
      <w:r>
        <w:rPr>
          <w:rFonts w:ascii="Arial" w:cs="Arial" w:eastAsia="Arial" w:hAnsi="Arial"/>
          <w:sz w:val="20"/>
          <w:szCs w:val="20"/>
          <w:color w:val="auto"/>
        </w:rPr>
        <w:t>. CRC intends to optimize capital allocation and</w:t>
      </w:r>
      <w:r>
        <w:rPr>
          <w:rFonts w:ascii="Arial" w:cs="Arial" w:eastAsia="Arial" w:hAnsi="Arial"/>
          <w:sz w:val="20"/>
          <w:szCs w:val="20"/>
          <w:b w:val="1"/>
          <w:bCs w:val="1"/>
          <w:color w:val="auto"/>
        </w:rPr>
        <w:t xml:space="preserve"> </w:t>
      </w:r>
      <w:r>
        <w:rPr>
          <w:rFonts w:ascii="Arial" w:cs="Arial" w:eastAsia="Arial" w:hAnsi="Arial"/>
          <w:sz w:val="20"/>
          <w:szCs w:val="20"/>
          <w:color w:val="auto"/>
        </w:rPr>
        <w:t>focus on cost reduction opportunities in 2023 to drive cash flow generation. We expect that the combination of these efforts will allow us to continue to increase shareholder returns. To that end, our Board has authorized a 30% increase to its shareholder repurchase program for a total of $1.1 billion, with approximately $640 million remaining on its authorization as of December 31, 2022 after taking into account this increase.</w:t>
      </w:r>
    </w:p>
    <w:p>
      <w:pPr>
        <w:spacing w:after="0" w:line="192" w:lineRule="exact"/>
        <w:rPr>
          <w:rFonts w:ascii="Arial" w:cs="Arial" w:eastAsia="Arial" w:hAnsi="Arial"/>
          <w:sz w:val="20"/>
          <w:szCs w:val="20"/>
          <w:color w:val="auto"/>
        </w:rPr>
      </w:pPr>
    </w:p>
    <w:p>
      <w:pPr>
        <w:ind w:left="540" w:right="20" w:hanging="300"/>
        <w:spacing w:after="0" w:line="250" w:lineRule="auto"/>
        <w:tabs>
          <w:tab w:leader="none" w:pos="540"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 xml:space="preserve">Maintain our commitment to safety and sustainability and demonstrate leadership on ESG practices in the E&amp;P space. </w:t>
      </w:r>
      <w:r>
        <w:rPr>
          <w:rFonts w:ascii="Arial" w:cs="Arial" w:eastAsia="Arial" w:hAnsi="Arial"/>
          <w:sz w:val="20"/>
          <w:szCs w:val="20"/>
          <w:color w:val="auto"/>
        </w:rPr>
        <w:t>We are committed to exceptional environmental and safety</w:t>
      </w:r>
      <w:r>
        <w:rPr>
          <w:rFonts w:ascii="Arial" w:cs="Arial" w:eastAsia="Arial" w:hAnsi="Arial"/>
          <w:sz w:val="20"/>
          <w:szCs w:val="20"/>
          <w:b w:val="1"/>
          <w:bCs w:val="1"/>
          <w:color w:val="auto"/>
        </w:rPr>
        <w:t xml:space="preserve"> </w:t>
      </w:r>
      <w:r>
        <w:rPr>
          <w:rFonts w:ascii="Arial" w:cs="Arial" w:eastAsia="Arial" w:hAnsi="Arial"/>
          <w:sz w:val="20"/>
          <w:szCs w:val="20"/>
          <w:color w:val="auto"/>
        </w:rPr>
        <w:t>performance and achieved a 99.9999% oil spill prevention rate in 2022 and registered a workforce TRIR of 0.62. We have some of the lowest carbon intensity production among oil and natural gas producers in the United States and established a Full-Scope Net Zero goal to permanently store captured or removed carbon emissions equal to our Scope 1, 2 and 3 emissions by 2045, which aligns us with the State of California’s 2045 net zero ambitions and puts us ahead of the net zero goals in the Paris Agreement. We intend to achieve this goal through our existing and future decarbonization projects, including those projects that will be developed by the Carbon TerraVault JV. Our ESG goals focus not only on lowering greenhouse gas emissions, but also decreasing methane emissions, reducing freshwater consumption, expanding leadership diversity, enhancing community engagement. We have increased accountability by linking executive compensation to ESG performance. For 2023, 30% of our management team’s annual incentive related to company performance is tied to safety and ESG related metrics, including the advancement of our carbon management business.</w:t>
      </w:r>
    </w:p>
    <w:p>
      <w:pPr>
        <w:sectPr>
          <w:pgSz w:w="11880" w:h="15480" w:orient="portrait"/>
          <w:cols w:equalWidth="0" w:num="1">
            <w:col w:w="9060"/>
          </w:cols>
          <w:pgMar w:left="1440" w:top="1312" w:right="1380" w:bottom="655" w:gutter="0" w:footer="0" w:header="0"/>
        </w:sectPr>
      </w:pPr>
    </w:p>
    <w:p>
      <w:pPr>
        <w:spacing w:after="0" w:line="244"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7</w:t>
      </w:r>
    </w:p>
    <w:p>
      <w:pPr>
        <w:sectPr>
          <w:pgSz w:w="11880" w:h="15480" w:orient="portrait"/>
          <w:cols w:equalWidth="0" w:num="1">
            <w:col w:w="9060"/>
          </w:cols>
          <w:pgMar w:left="1440" w:top="1312" w:right="1380" w:bottom="655" w:gutter="0" w:footer="0" w:header="0"/>
          <w:type w:val="continuous"/>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Oil and Natural Gas Operations</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As of December 31, 2022, our proved reserves totaled an estimated 417 MMBoe, of which 294</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MMBbl were crude oil and condensate reserves, 38 MMBbl were NGL reserves and 511 BcF, or 85</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MMBoe, were natural gas reserves.</w:t>
      </w:r>
    </w:p>
    <w:p>
      <w:pPr>
        <w:spacing w:after="0" w:line="216" w:lineRule="exact"/>
        <w:rPr>
          <w:sz w:val="20"/>
          <w:szCs w:val="20"/>
          <w:color w:val="auto"/>
        </w:rPr>
      </w:pPr>
    </w:p>
    <w:p>
      <w:pPr>
        <w:ind w:right="220" w:firstLine="300"/>
        <w:spacing w:after="0" w:line="248" w:lineRule="auto"/>
        <w:rPr>
          <w:sz w:val="20"/>
          <w:szCs w:val="20"/>
          <w:color w:val="auto"/>
        </w:rPr>
      </w:pPr>
      <w:r>
        <w:rPr>
          <w:rFonts w:ascii="Arial" w:cs="Arial" w:eastAsia="Arial" w:hAnsi="Arial"/>
          <w:sz w:val="20"/>
          <w:szCs w:val="20"/>
          <w:color w:val="auto"/>
        </w:rPr>
        <w:t>As of December 31, 2022, we held approximately 1.9 million net mineral acres, the largest non-governmental mineral acreage position in California. Our operated asset base spans 97 distinct fields with approximately 10,000 operated wells. We had average net production of approximately 91 MBoe/d (60% oil) for the year ended December 31, 2022.</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20"/>
          <w:szCs w:val="20"/>
          <w:color w:val="auto"/>
        </w:rPr>
        <w:t>The following table highlights key information about our operations as of and for the year ended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2022:</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6"/>
              </w:rPr>
              <w:t>San</w:t>
            </w:r>
          </w:p>
        </w:tc>
        <w:tc>
          <w:tcPr>
            <w:tcW w:w="2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9"/>
              </w:rPr>
              <w:t>Los</w:t>
            </w:r>
          </w:p>
        </w:tc>
        <w:tc>
          <w:tcPr>
            <w:tcW w:w="20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Ventura</w:t>
            </w:r>
          </w:p>
        </w:tc>
        <w:tc>
          <w:tcPr>
            <w:tcW w:w="200" w:type="dxa"/>
            <w:vAlign w:val="bottom"/>
          </w:tcPr>
          <w:p>
            <w:pPr>
              <w:spacing w:after="0"/>
              <w:rPr>
                <w:sz w:val="17"/>
                <w:szCs w:val="17"/>
                <w:color w:val="auto"/>
              </w:rPr>
            </w:pP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Sacramento</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50"/>
        </w:trPr>
        <w:tc>
          <w:tcPr>
            <w:tcW w:w="2340" w:type="dxa"/>
            <w:vAlign w:val="bottom"/>
          </w:tcPr>
          <w:p>
            <w:pPr>
              <w:spacing w:after="0"/>
              <w:rPr>
                <w:sz w:val="13"/>
                <w:szCs w:val="13"/>
                <w:color w:val="auto"/>
              </w:rPr>
            </w:pPr>
          </w:p>
        </w:tc>
        <w:tc>
          <w:tcPr>
            <w:tcW w:w="88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rPr>
              <w:t>Joaquin</w:t>
            </w:r>
          </w:p>
        </w:tc>
        <w:tc>
          <w:tcPr>
            <w:tcW w:w="200" w:type="dxa"/>
            <w:vAlign w:val="bottom"/>
          </w:tcPr>
          <w:p>
            <w:pPr>
              <w:spacing w:after="0"/>
              <w:rPr>
                <w:sz w:val="13"/>
                <w:szCs w:val="13"/>
                <w:color w:val="auto"/>
              </w:rPr>
            </w:pPr>
          </w:p>
        </w:tc>
        <w:tc>
          <w:tcPr>
            <w:tcW w:w="88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rPr>
              <w:t>Angeles</w:t>
            </w:r>
          </w:p>
        </w:tc>
        <w:tc>
          <w:tcPr>
            <w:tcW w:w="2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Other</w:t>
            </w:r>
          </w:p>
        </w:tc>
        <w:tc>
          <w:tcPr>
            <w:tcW w:w="20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340" w:type="dxa"/>
            <w:vAlign w:val="bottom"/>
          </w:tcPr>
          <w:p>
            <w:pPr>
              <w:spacing w:after="0"/>
              <w:rPr>
                <w:sz w:val="18"/>
                <w:szCs w:val="18"/>
                <w:color w:val="auto"/>
              </w:rPr>
            </w:pPr>
          </w:p>
        </w:tc>
        <w:tc>
          <w:tcPr>
            <w:tcW w:w="88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b w:val="1"/>
                <w:bCs w:val="1"/>
                <w:color w:val="auto"/>
                <w:w w:val="97"/>
              </w:rPr>
              <w:t>Basin</w:t>
            </w:r>
          </w:p>
        </w:tc>
        <w:tc>
          <w:tcPr>
            <w:tcW w:w="200" w:type="dxa"/>
            <w:vAlign w:val="bottom"/>
          </w:tcPr>
          <w:p>
            <w:pPr>
              <w:spacing w:after="0"/>
              <w:rPr>
                <w:sz w:val="18"/>
                <w:szCs w:val="18"/>
                <w:color w:val="auto"/>
              </w:rPr>
            </w:pPr>
          </w:p>
        </w:tc>
        <w:tc>
          <w:tcPr>
            <w:tcW w:w="88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b w:val="1"/>
                <w:bCs w:val="1"/>
                <w:color w:val="auto"/>
              </w:rPr>
              <w:t>Basin</w:t>
            </w: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ind w:right="10"/>
              <w:spacing w:after="0" w:line="210" w:lineRule="exact"/>
              <w:rPr>
                <w:sz w:val="20"/>
                <w:szCs w:val="20"/>
                <w:color w:val="auto"/>
              </w:rPr>
            </w:pPr>
            <w:r>
              <w:rPr>
                <w:rFonts w:ascii="Arial" w:cs="Arial" w:eastAsia="Arial" w:hAnsi="Arial"/>
                <w:sz w:val="18"/>
                <w:szCs w:val="18"/>
                <w:b w:val="1"/>
                <w:bCs w:val="1"/>
                <w:color w:val="auto"/>
              </w:rPr>
              <w:t>Basin</w:t>
            </w:r>
            <w:r>
              <w:rPr>
                <w:rFonts w:ascii="Arial" w:cs="Arial" w:eastAsia="Arial" w:hAnsi="Arial"/>
                <w:sz w:val="23"/>
                <w:szCs w:val="23"/>
                <w:b w:val="1"/>
                <w:bCs w:val="1"/>
                <w:color w:val="auto"/>
                <w:vertAlign w:val="superscript"/>
              </w:rPr>
              <w:t>(a)</w:t>
            </w:r>
          </w:p>
        </w:tc>
        <w:tc>
          <w:tcPr>
            <w:tcW w:w="200" w:type="dxa"/>
            <w:vAlign w:val="bottom"/>
          </w:tcPr>
          <w:p>
            <w:pPr>
              <w:spacing w:after="0"/>
              <w:rPr>
                <w:sz w:val="18"/>
                <w:szCs w:val="18"/>
                <w:color w:val="auto"/>
              </w:rPr>
            </w:pPr>
          </w:p>
        </w:tc>
        <w:tc>
          <w:tcPr>
            <w:tcW w:w="122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b w:val="1"/>
                <w:bCs w:val="1"/>
                <w:color w:val="auto"/>
              </w:rPr>
              <w:t>Basin</w:t>
            </w:r>
          </w:p>
        </w:tc>
        <w:tc>
          <w:tcPr>
            <w:tcW w:w="200" w:type="dxa"/>
            <w:vAlign w:val="bottom"/>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Operations</w:t>
            </w:r>
          </w:p>
        </w:tc>
        <w:tc>
          <w:tcPr>
            <w:tcW w:w="0" w:type="dxa"/>
            <w:vAlign w:val="bottom"/>
          </w:tcPr>
          <w:p>
            <w:pPr>
              <w:spacing w:after="0"/>
              <w:rPr>
                <w:sz w:val="1"/>
                <w:szCs w:val="1"/>
                <w:color w:val="auto"/>
              </w:rPr>
            </w:pPr>
          </w:p>
        </w:tc>
      </w:tr>
      <w:tr>
        <w:trPr>
          <w:trHeight w:val="215"/>
        </w:trPr>
        <w:tc>
          <w:tcPr>
            <w:tcW w:w="2340" w:type="dxa"/>
            <w:vAlign w:val="bottom"/>
          </w:tcPr>
          <w:p>
            <w:pPr>
              <w:spacing w:after="0"/>
              <w:rPr>
                <w:sz w:val="20"/>
                <w:szCs w:val="20"/>
                <w:color w:val="auto"/>
              </w:rPr>
            </w:pPr>
            <w:r>
              <w:rPr>
                <w:rFonts w:ascii="Arial" w:cs="Arial" w:eastAsia="Arial" w:hAnsi="Arial"/>
                <w:sz w:val="18"/>
                <w:szCs w:val="18"/>
                <w:b w:val="1"/>
                <w:bCs w:val="1"/>
                <w:color w:val="auto"/>
              </w:rPr>
              <w:t>Mineral Acreage</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340" w:type="dxa"/>
            <w:vAlign w:val="bottom"/>
          </w:tcPr>
          <w:p>
            <w:pPr>
              <w:spacing w:after="0" w:line="190" w:lineRule="exact"/>
              <w:rPr>
                <w:sz w:val="20"/>
                <w:szCs w:val="20"/>
                <w:color w:val="auto"/>
              </w:rPr>
            </w:pPr>
            <w:r>
              <w:rPr>
                <w:rFonts w:ascii="Arial" w:cs="Arial" w:eastAsia="Arial" w:hAnsi="Arial"/>
                <w:sz w:val="18"/>
                <w:szCs w:val="18"/>
                <w:color w:val="auto"/>
              </w:rPr>
              <w:t>Net mineral acreage</w:t>
            </w: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340" w:type="dxa"/>
            <w:vAlign w:val="bottom"/>
          </w:tcPr>
          <w:p>
            <w:pPr>
              <w:spacing w:after="0" w:line="190" w:lineRule="exact"/>
              <w:rPr>
                <w:sz w:val="20"/>
                <w:szCs w:val="20"/>
                <w:color w:val="auto"/>
              </w:rPr>
            </w:pPr>
            <w:r>
              <w:rPr>
                <w:rFonts w:ascii="Arial" w:cs="Arial" w:eastAsia="Arial" w:hAnsi="Arial"/>
                <w:sz w:val="18"/>
                <w:szCs w:val="18"/>
                <w:color w:val="auto"/>
              </w:rPr>
              <w:t>(thousands) . . . . . . . . . . . .</w:t>
            </w:r>
          </w:p>
        </w:tc>
        <w:tc>
          <w:tcPr>
            <w:tcW w:w="880" w:type="dxa"/>
            <w:vAlign w:val="bottom"/>
          </w:tcPr>
          <w:p>
            <w:pPr>
              <w:jc w:val="right"/>
              <w:ind w:right="110"/>
              <w:spacing w:after="0" w:line="190" w:lineRule="exact"/>
              <w:rPr>
                <w:sz w:val="20"/>
                <w:szCs w:val="20"/>
                <w:color w:val="auto"/>
              </w:rPr>
            </w:pPr>
            <w:r>
              <w:rPr>
                <w:rFonts w:ascii="Arial" w:cs="Arial" w:eastAsia="Arial" w:hAnsi="Arial"/>
                <w:sz w:val="18"/>
                <w:szCs w:val="18"/>
                <w:color w:val="auto"/>
              </w:rPr>
              <w:t>1,248</w:t>
            </w:r>
          </w:p>
        </w:tc>
        <w:tc>
          <w:tcPr>
            <w:tcW w:w="1080" w:type="dxa"/>
            <w:vAlign w:val="bottom"/>
            <w:gridSpan w:val="2"/>
          </w:tcPr>
          <w:p>
            <w:pPr>
              <w:jc w:val="right"/>
              <w:ind w:right="111"/>
              <w:spacing w:after="0" w:line="190" w:lineRule="exact"/>
              <w:rPr>
                <w:sz w:val="20"/>
                <w:szCs w:val="20"/>
                <w:color w:val="auto"/>
              </w:rPr>
            </w:pPr>
            <w:r>
              <w:rPr>
                <w:rFonts w:ascii="Arial" w:cs="Arial" w:eastAsia="Arial" w:hAnsi="Arial"/>
                <w:sz w:val="18"/>
                <w:szCs w:val="18"/>
                <w:color w:val="auto"/>
              </w:rPr>
              <w:t>29</w:t>
            </w:r>
          </w:p>
        </w:tc>
        <w:tc>
          <w:tcPr>
            <w:tcW w:w="1040" w:type="dxa"/>
            <w:vAlign w:val="bottom"/>
            <w:gridSpan w:val="2"/>
          </w:tcPr>
          <w:p>
            <w:pPr>
              <w:jc w:val="right"/>
              <w:ind w:right="110"/>
              <w:spacing w:after="0" w:line="190" w:lineRule="exact"/>
              <w:rPr>
                <w:sz w:val="20"/>
                <w:szCs w:val="20"/>
                <w:color w:val="auto"/>
              </w:rPr>
            </w:pPr>
            <w:r>
              <w:rPr>
                <w:rFonts w:ascii="Arial" w:cs="Arial" w:eastAsia="Arial" w:hAnsi="Arial"/>
                <w:sz w:val="18"/>
                <w:szCs w:val="18"/>
                <w:color w:val="auto"/>
              </w:rPr>
              <w:t>6</w:t>
            </w:r>
          </w:p>
        </w:tc>
        <w:tc>
          <w:tcPr>
            <w:tcW w:w="1420" w:type="dxa"/>
            <w:vAlign w:val="bottom"/>
            <w:gridSpan w:val="2"/>
          </w:tcPr>
          <w:p>
            <w:pPr>
              <w:jc w:val="right"/>
              <w:ind w:right="290"/>
              <w:spacing w:after="0" w:line="190" w:lineRule="exact"/>
              <w:rPr>
                <w:sz w:val="20"/>
                <w:szCs w:val="20"/>
                <w:color w:val="auto"/>
              </w:rPr>
            </w:pPr>
            <w:r>
              <w:rPr>
                <w:rFonts w:ascii="Arial" w:cs="Arial" w:eastAsia="Arial" w:hAnsi="Arial"/>
                <w:sz w:val="18"/>
                <w:szCs w:val="18"/>
                <w:color w:val="auto"/>
              </w:rPr>
              <w:t>466</w:t>
            </w:r>
          </w:p>
        </w:tc>
        <w:tc>
          <w:tcPr>
            <w:tcW w:w="1040" w:type="dxa"/>
            <w:vAlign w:val="bottom"/>
            <w:gridSpan w:val="2"/>
          </w:tcPr>
          <w:p>
            <w:pPr>
              <w:jc w:val="right"/>
              <w:ind w:right="90"/>
              <w:spacing w:after="0" w:line="190" w:lineRule="exact"/>
              <w:rPr>
                <w:sz w:val="20"/>
                <w:szCs w:val="20"/>
                <w:color w:val="auto"/>
              </w:rPr>
            </w:pPr>
            <w:r>
              <w:rPr>
                <w:rFonts w:ascii="Arial" w:cs="Arial" w:eastAsia="Arial" w:hAnsi="Arial"/>
                <w:sz w:val="18"/>
                <w:szCs w:val="18"/>
                <w:color w:val="auto"/>
              </w:rPr>
              <w:t>118</w:t>
            </w:r>
          </w:p>
        </w:tc>
        <w:tc>
          <w:tcPr>
            <w:tcW w:w="1320" w:type="dxa"/>
            <w:vAlign w:val="bottom"/>
            <w:gridSpan w:val="2"/>
          </w:tcPr>
          <w:p>
            <w:pPr>
              <w:jc w:val="right"/>
              <w:ind w:right="230"/>
              <w:spacing w:after="0" w:line="190" w:lineRule="exact"/>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190"/>
        </w:trPr>
        <w:tc>
          <w:tcPr>
            <w:tcW w:w="2340" w:type="dxa"/>
            <w:vAlign w:val="bottom"/>
          </w:tcPr>
          <w:p>
            <w:pPr>
              <w:spacing w:after="0" w:line="190" w:lineRule="exact"/>
              <w:rPr>
                <w:sz w:val="20"/>
                <w:szCs w:val="20"/>
                <w:color w:val="auto"/>
              </w:rPr>
            </w:pPr>
            <w:r>
              <w:rPr>
                <w:rFonts w:ascii="Arial" w:cs="Arial" w:eastAsia="Arial" w:hAnsi="Arial"/>
                <w:sz w:val="18"/>
                <w:szCs w:val="18"/>
                <w:color w:val="auto"/>
              </w:rPr>
              <w:t>Average net mineral</w:t>
            </w: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340" w:type="dxa"/>
            <w:vAlign w:val="bottom"/>
          </w:tcPr>
          <w:p>
            <w:pPr>
              <w:spacing w:after="0" w:line="188" w:lineRule="exact"/>
              <w:rPr>
                <w:sz w:val="20"/>
                <w:szCs w:val="20"/>
                <w:color w:val="auto"/>
              </w:rPr>
            </w:pPr>
            <w:r>
              <w:rPr>
                <w:rFonts w:ascii="Arial" w:cs="Arial" w:eastAsia="Arial" w:hAnsi="Arial"/>
                <w:sz w:val="18"/>
                <w:szCs w:val="18"/>
                <w:color w:val="auto"/>
              </w:rPr>
              <w:t>acreage held in fee (%)  . .</w:t>
            </w:r>
          </w:p>
        </w:tc>
        <w:tc>
          <w:tcPr>
            <w:tcW w:w="880" w:type="dxa"/>
            <w:vAlign w:val="bottom"/>
          </w:tcPr>
          <w:p>
            <w:pPr>
              <w:jc w:val="right"/>
              <w:spacing w:after="0" w:line="188" w:lineRule="exact"/>
              <w:rPr>
                <w:sz w:val="20"/>
                <w:szCs w:val="20"/>
                <w:color w:val="auto"/>
              </w:rPr>
            </w:pPr>
            <w:r>
              <w:rPr>
                <w:rFonts w:ascii="Arial" w:cs="Arial" w:eastAsia="Arial" w:hAnsi="Arial"/>
                <w:sz w:val="18"/>
                <w:szCs w:val="18"/>
                <w:color w:val="auto"/>
              </w:rPr>
              <w:t>81 %</w:t>
            </w:r>
          </w:p>
        </w:tc>
        <w:tc>
          <w:tcPr>
            <w:tcW w:w="1080" w:type="dxa"/>
            <w:vAlign w:val="bottom"/>
            <w:gridSpan w:val="2"/>
          </w:tcPr>
          <w:p>
            <w:pPr>
              <w:jc w:val="right"/>
              <w:spacing w:after="0" w:line="188" w:lineRule="exact"/>
              <w:rPr>
                <w:sz w:val="20"/>
                <w:szCs w:val="20"/>
                <w:color w:val="auto"/>
              </w:rPr>
            </w:pPr>
            <w:r>
              <w:rPr>
                <w:rFonts w:ascii="Arial" w:cs="Arial" w:eastAsia="Arial" w:hAnsi="Arial"/>
                <w:sz w:val="18"/>
                <w:szCs w:val="18"/>
                <w:color w:val="auto"/>
              </w:rPr>
              <w:t>47 %</w:t>
            </w:r>
          </w:p>
        </w:tc>
        <w:tc>
          <w:tcPr>
            <w:tcW w:w="200" w:type="dxa"/>
            <w:vAlign w:val="bottom"/>
          </w:tcPr>
          <w:p>
            <w:pPr>
              <w:spacing w:after="0"/>
              <w:rPr>
                <w:sz w:val="16"/>
                <w:szCs w:val="16"/>
                <w:color w:val="auto"/>
              </w:rPr>
            </w:pPr>
          </w:p>
        </w:tc>
        <w:tc>
          <w:tcPr>
            <w:tcW w:w="840" w:type="dxa"/>
            <w:vAlign w:val="bottom"/>
          </w:tcPr>
          <w:p>
            <w:pPr>
              <w:jc w:val="right"/>
              <w:spacing w:after="0" w:line="188" w:lineRule="exact"/>
              <w:rPr>
                <w:sz w:val="20"/>
                <w:szCs w:val="20"/>
                <w:color w:val="auto"/>
              </w:rPr>
            </w:pPr>
            <w:r>
              <w:rPr>
                <w:rFonts w:ascii="Arial" w:cs="Arial" w:eastAsia="Arial" w:hAnsi="Arial"/>
                <w:sz w:val="18"/>
                <w:szCs w:val="18"/>
                <w:color w:val="auto"/>
              </w:rPr>
              <w:t>— %</w:t>
            </w:r>
          </w:p>
        </w:tc>
        <w:tc>
          <w:tcPr>
            <w:tcW w:w="1420" w:type="dxa"/>
            <w:vAlign w:val="bottom"/>
            <w:gridSpan w:val="2"/>
          </w:tcPr>
          <w:p>
            <w:pPr>
              <w:jc w:val="right"/>
              <w:ind w:right="110"/>
              <w:spacing w:after="0" w:line="188" w:lineRule="exact"/>
              <w:rPr>
                <w:sz w:val="20"/>
                <w:szCs w:val="20"/>
                <w:color w:val="auto"/>
              </w:rPr>
            </w:pPr>
            <w:r>
              <w:rPr>
                <w:rFonts w:ascii="Arial" w:cs="Arial" w:eastAsia="Arial" w:hAnsi="Arial"/>
                <w:sz w:val="18"/>
                <w:szCs w:val="18"/>
                <w:color w:val="auto"/>
              </w:rPr>
              <w:t>41 %</w:t>
            </w:r>
          </w:p>
        </w:tc>
        <w:tc>
          <w:tcPr>
            <w:tcW w:w="1040" w:type="dxa"/>
            <w:vAlign w:val="bottom"/>
            <w:gridSpan w:val="2"/>
          </w:tcPr>
          <w:p>
            <w:pPr>
              <w:jc w:val="right"/>
              <w:spacing w:after="0" w:line="188" w:lineRule="exact"/>
              <w:rPr>
                <w:sz w:val="20"/>
                <w:szCs w:val="20"/>
                <w:color w:val="auto"/>
              </w:rPr>
            </w:pPr>
            <w:r>
              <w:rPr>
                <w:rFonts w:ascii="Arial" w:cs="Arial" w:eastAsia="Arial" w:hAnsi="Arial"/>
                <w:sz w:val="18"/>
                <w:szCs w:val="18"/>
                <w:color w:val="auto"/>
              </w:rPr>
              <w:t>97 %</w:t>
            </w:r>
          </w:p>
        </w:tc>
        <w:tc>
          <w:tcPr>
            <w:tcW w:w="1320" w:type="dxa"/>
            <w:vAlign w:val="bottom"/>
            <w:gridSpan w:val="2"/>
          </w:tcPr>
          <w:p>
            <w:pPr>
              <w:jc w:val="right"/>
              <w:ind w:right="50"/>
              <w:spacing w:after="0" w:line="188" w:lineRule="exact"/>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190"/>
        </w:trPr>
        <w:tc>
          <w:tcPr>
            <w:tcW w:w="2340" w:type="dxa"/>
            <w:vAlign w:val="bottom"/>
          </w:tcPr>
          <w:p>
            <w:pPr>
              <w:spacing w:after="0" w:line="190" w:lineRule="exact"/>
              <w:rPr>
                <w:sz w:val="20"/>
                <w:szCs w:val="20"/>
                <w:color w:val="auto"/>
              </w:rPr>
            </w:pPr>
            <w:r>
              <w:rPr>
                <w:rFonts w:ascii="Arial" w:cs="Arial" w:eastAsia="Arial" w:hAnsi="Arial"/>
                <w:sz w:val="18"/>
                <w:szCs w:val="18"/>
                <w:b w:val="1"/>
                <w:bCs w:val="1"/>
                <w:color w:val="auto"/>
              </w:rPr>
              <w:t>Number of producing</w:t>
            </w: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340" w:type="dxa"/>
            <w:vAlign w:val="bottom"/>
          </w:tcPr>
          <w:p>
            <w:pPr>
              <w:spacing w:after="0" w:line="190" w:lineRule="exact"/>
              <w:rPr>
                <w:sz w:val="20"/>
                <w:szCs w:val="20"/>
                <w:color w:val="auto"/>
              </w:rPr>
            </w:pPr>
            <w:r>
              <w:rPr>
                <w:rFonts w:ascii="Arial" w:cs="Arial" w:eastAsia="Arial" w:hAnsi="Arial"/>
                <w:sz w:val="18"/>
                <w:szCs w:val="18"/>
                <w:b w:val="1"/>
                <w:bCs w:val="1"/>
                <w:color w:val="auto"/>
              </w:rPr>
              <w:t xml:space="preserve">fields we operate </w:t>
            </w:r>
            <w:r>
              <w:rPr>
                <w:rFonts w:ascii="Arial" w:cs="Arial" w:eastAsia="Arial" w:hAnsi="Arial"/>
                <w:sz w:val="18"/>
                <w:szCs w:val="18"/>
                <w:color w:val="auto"/>
              </w:rPr>
              <w:t>. . . . . . .</w:t>
            </w:r>
          </w:p>
        </w:tc>
        <w:tc>
          <w:tcPr>
            <w:tcW w:w="880" w:type="dxa"/>
            <w:vAlign w:val="bottom"/>
          </w:tcPr>
          <w:p>
            <w:pPr>
              <w:jc w:val="right"/>
              <w:ind w:right="110"/>
              <w:spacing w:after="0" w:line="190" w:lineRule="exact"/>
              <w:rPr>
                <w:sz w:val="20"/>
                <w:szCs w:val="20"/>
                <w:color w:val="auto"/>
              </w:rPr>
            </w:pPr>
            <w:r>
              <w:rPr>
                <w:rFonts w:ascii="Arial" w:cs="Arial" w:eastAsia="Arial" w:hAnsi="Arial"/>
                <w:sz w:val="18"/>
                <w:szCs w:val="18"/>
                <w:color w:val="auto"/>
              </w:rPr>
              <w:t>42</w:t>
            </w:r>
          </w:p>
        </w:tc>
        <w:tc>
          <w:tcPr>
            <w:tcW w:w="1080" w:type="dxa"/>
            <w:vAlign w:val="bottom"/>
            <w:gridSpan w:val="2"/>
          </w:tcPr>
          <w:p>
            <w:pPr>
              <w:jc w:val="right"/>
              <w:ind w:right="111"/>
              <w:spacing w:after="0" w:line="190" w:lineRule="exact"/>
              <w:rPr>
                <w:sz w:val="20"/>
                <w:szCs w:val="20"/>
                <w:color w:val="auto"/>
              </w:rPr>
            </w:pPr>
            <w:r>
              <w:rPr>
                <w:rFonts w:ascii="Arial" w:cs="Arial" w:eastAsia="Arial" w:hAnsi="Arial"/>
                <w:sz w:val="18"/>
                <w:szCs w:val="18"/>
                <w:color w:val="auto"/>
              </w:rPr>
              <w:t>5</w:t>
            </w:r>
          </w:p>
        </w:tc>
        <w:tc>
          <w:tcPr>
            <w:tcW w:w="200" w:type="dxa"/>
            <w:vAlign w:val="bottom"/>
          </w:tcPr>
          <w:p>
            <w:pPr>
              <w:spacing w:after="0"/>
              <w:rPr>
                <w:sz w:val="16"/>
                <w:szCs w:val="16"/>
                <w:color w:val="auto"/>
              </w:rPr>
            </w:pPr>
          </w:p>
        </w:tc>
        <w:tc>
          <w:tcPr>
            <w:tcW w:w="840" w:type="dxa"/>
            <w:vAlign w:val="bottom"/>
          </w:tcPr>
          <w:p>
            <w:pPr>
              <w:jc w:val="right"/>
              <w:ind w:right="110"/>
              <w:spacing w:after="0" w:line="190"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90"/>
              <w:spacing w:after="0" w:line="190" w:lineRule="exact"/>
              <w:rPr>
                <w:sz w:val="20"/>
                <w:szCs w:val="20"/>
                <w:color w:val="auto"/>
              </w:rPr>
            </w:pPr>
            <w:r>
              <w:rPr>
                <w:rFonts w:ascii="Arial" w:cs="Arial" w:eastAsia="Arial" w:hAnsi="Arial"/>
                <w:sz w:val="18"/>
                <w:szCs w:val="18"/>
                <w:color w:val="auto"/>
              </w:rPr>
              <w:t>50</w:t>
            </w:r>
          </w:p>
        </w:tc>
        <w:tc>
          <w:tcPr>
            <w:tcW w:w="200" w:type="dxa"/>
            <w:vAlign w:val="bottom"/>
          </w:tcPr>
          <w:p>
            <w:pPr>
              <w:spacing w:after="0"/>
              <w:rPr>
                <w:sz w:val="16"/>
                <w:szCs w:val="16"/>
                <w:color w:val="auto"/>
              </w:rPr>
            </w:pPr>
          </w:p>
        </w:tc>
        <w:tc>
          <w:tcPr>
            <w:tcW w:w="840" w:type="dxa"/>
            <w:vAlign w:val="bottom"/>
          </w:tcPr>
          <w:p>
            <w:pPr>
              <w:jc w:val="right"/>
              <w:ind w:right="90"/>
              <w:spacing w:after="0" w:line="190"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30"/>
              <w:spacing w:after="0" w:line="190"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90"/>
        </w:trPr>
        <w:tc>
          <w:tcPr>
            <w:tcW w:w="2340" w:type="dxa"/>
            <w:vAlign w:val="bottom"/>
          </w:tcPr>
          <w:p>
            <w:pPr>
              <w:spacing w:after="0" w:line="190" w:lineRule="exact"/>
              <w:rPr>
                <w:sz w:val="20"/>
                <w:szCs w:val="20"/>
                <w:color w:val="auto"/>
              </w:rPr>
            </w:pPr>
            <w:r>
              <w:rPr>
                <w:rFonts w:ascii="Arial" w:cs="Arial" w:eastAsia="Arial" w:hAnsi="Arial"/>
                <w:sz w:val="18"/>
                <w:szCs w:val="18"/>
                <w:b w:val="1"/>
                <w:bCs w:val="1"/>
                <w:color w:val="auto"/>
              </w:rPr>
              <w:t xml:space="preserve">Average drilling rigs </w:t>
            </w:r>
            <w:r>
              <w:rPr>
                <w:rFonts w:ascii="Arial" w:cs="Arial" w:eastAsia="Arial" w:hAnsi="Arial"/>
                <w:sz w:val="18"/>
                <w:szCs w:val="18"/>
                <w:color w:val="auto"/>
              </w:rPr>
              <w:t>. . . .</w:t>
            </w:r>
          </w:p>
        </w:tc>
        <w:tc>
          <w:tcPr>
            <w:tcW w:w="880" w:type="dxa"/>
            <w:vAlign w:val="bottom"/>
          </w:tcPr>
          <w:p>
            <w:pPr>
              <w:jc w:val="right"/>
              <w:ind w:right="110"/>
              <w:spacing w:after="0" w:line="190" w:lineRule="exact"/>
              <w:rPr>
                <w:sz w:val="20"/>
                <w:szCs w:val="20"/>
                <w:color w:val="auto"/>
              </w:rPr>
            </w:pPr>
            <w:r>
              <w:rPr>
                <w:rFonts w:ascii="Arial" w:cs="Arial" w:eastAsia="Arial" w:hAnsi="Arial"/>
                <w:sz w:val="18"/>
                <w:szCs w:val="18"/>
                <w:color w:val="auto"/>
              </w:rPr>
              <w:t>2</w:t>
            </w:r>
          </w:p>
        </w:tc>
        <w:tc>
          <w:tcPr>
            <w:tcW w:w="1080" w:type="dxa"/>
            <w:vAlign w:val="bottom"/>
            <w:gridSpan w:val="2"/>
          </w:tcPr>
          <w:p>
            <w:pPr>
              <w:jc w:val="right"/>
              <w:ind w:right="111"/>
              <w:spacing w:after="0" w:line="190"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6"/>
                <w:szCs w:val="16"/>
                <w:color w:val="auto"/>
              </w:rPr>
            </w:pPr>
          </w:p>
        </w:tc>
        <w:tc>
          <w:tcPr>
            <w:tcW w:w="840" w:type="dxa"/>
            <w:vAlign w:val="bottom"/>
          </w:tcPr>
          <w:p>
            <w:pPr>
              <w:jc w:val="right"/>
              <w:ind w:right="110"/>
              <w:spacing w:after="0" w:line="19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220" w:type="dxa"/>
            <w:vAlign w:val="bottom"/>
          </w:tcPr>
          <w:p>
            <w:pPr>
              <w:jc w:val="right"/>
              <w:ind w:right="290"/>
              <w:spacing w:after="0" w:line="19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840" w:type="dxa"/>
            <w:vAlign w:val="bottom"/>
          </w:tcPr>
          <w:p>
            <w:pPr>
              <w:jc w:val="right"/>
              <w:ind w:right="90"/>
              <w:spacing w:after="0" w:line="190"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30"/>
              <w:spacing w:after="0" w:line="190"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0"/>
        </w:trPr>
        <w:tc>
          <w:tcPr>
            <w:tcW w:w="2340" w:type="dxa"/>
            <w:vAlign w:val="bottom"/>
          </w:tcPr>
          <w:p>
            <w:pPr>
              <w:spacing w:after="0" w:line="190" w:lineRule="exact"/>
              <w:rPr>
                <w:sz w:val="20"/>
                <w:szCs w:val="20"/>
                <w:color w:val="auto"/>
              </w:rPr>
            </w:pPr>
            <w:r>
              <w:rPr>
                <w:rFonts w:ascii="Arial" w:cs="Arial" w:eastAsia="Arial" w:hAnsi="Arial"/>
                <w:sz w:val="18"/>
                <w:szCs w:val="18"/>
                <w:b w:val="1"/>
                <w:bCs w:val="1"/>
                <w:color w:val="auto"/>
              </w:rPr>
              <w:t>Net wells drilled and</w:t>
            </w: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line="203" w:lineRule="exact"/>
              <w:rPr>
                <w:sz w:val="20"/>
                <w:szCs w:val="20"/>
                <w:color w:val="auto"/>
              </w:rPr>
            </w:pPr>
            <w:r>
              <w:rPr>
                <w:rFonts w:ascii="Arial" w:cs="Arial" w:eastAsia="Arial" w:hAnsi="Arial"/>
                <w:sz w:val="18"/>
                <w:szCs w:val="18"/>
                <w:b w:val="1"/>
                <w:bCs w:val="1"/>
                <w:color w:val="auto"/>
              </w:rPr>
              <w:t xml:space="preserve">completed </w:t>
            </w:r>
            <w:r>
              <w:rPr>
                <w:rFonts w:ascii="Arial" w:cs="Arial" w:eastAsia="Arial" w:hAnsi="Arial"/>
                <w:sz w:val="18"/>
                <w:szCs w:val="18"/>
                <w:color w:val="auto"/>
              </w:rPr>
              <w:t>. . . . . . . . . . . . .</w:t>
            </w:r>
          </w:p>
        </w:tc>
        <w:tc>
          <w:tcPr>
            <w:tcW w:w="88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114.3</w:t>
            </w:r>
          </w:p>
        </w:tc>
        <w:tc>
          <w:tcPr>
            <w:tcW w:w="1080" w:type="dxa"/>
            <w:vAlign w:val="bottom"/>
            <w:gridSpan w:val="2"/>
          </w:tcPr>
          <w:p>
            <w:pPr>
              <w:jc w:val="right"/>
              <w:ind w:right="111"/>
              <w:spacing w:after="0" w:line="203" w:lineRule="exact"/>
              <w:rPr>
                <w:sz w:val="20"/>
                <w:szCs w:val="20"/>
                <w:color w:val="auto"/>
              </w:rPr>
            </w:pPr>
            <w:r>
              <w:rPr>
                <w:rFonts w:ascii="Arial" w:cs="Arial" w:eastAsia="Arial" w:hAnsi="Arial"/>
                <w:sz w:val="18"/>
                <w:szCs w:val="18"/>
                <w:color w:val="auto"/>
              </w:rPr>
              <w:t>35.0</w:t>
            </w:r>
          </w:p>
        </w:tc>
        <w:tc>
          <w:tcPr>
            <w:tcW w:w="200" w:type="dxa"/>
            <w:vAlign w:val="bottom"/>
          </w:tcPr>
          <w:p>
            <w:pPr>
              <w:spacing w:after="0"/>
              <w:rPr>
                <w:sz w:val="17"/>
                <w:szCs w:val="17"/>
                <w:color w:val="auto"/>
              </w:rPr>
            </w:pPr>
          </w:p>
        </w:tc>
        <w:tc>
          <w:tcPr>
            <w:tcW w:w="84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20" w:type="dxa"/>
            <w:vAlign w:val="bottom"/>
          </w:tcPr>
          <w:p>
            <w:pPr>
              <w:jc w:val="right"/>
              <w:ind w:right="29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40" w:type="dxa"/>
            <w:vAlign w:val="bottom"/>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30"/>
              <w:spacing w:after="0" w:line="203" w:lineRule="exact"/>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379"/>
        </w:trPr>
        <w:tc>
          <w:tcPr>
            <w:tcW w:w="2340" w:type="dxa"/>
            <w:vAlign w:val="bottom"/>
          </w:tcPr>
          <w:p>
            <w:pPr>
              <w:spacing w:after="0"/>
              <w:rPr>
                <w:sz w:val="20"/>
                <w:szCs w:val="20"/>
                <w:color w:val="auto"/>
              </w:rPr>
            </w:pPr>
            <w:r>
              <w:rPr>
                <w:rFonts w:ascii="Arial" w:cs="Arial" w:eastAsia="Arial" w:hAnsi="Arial"/>
                <w:sz w:val="18"/>
                <w:szCs w:val="18"/>
                <w:b w:val="1"/>
                <w:bCs w:val="1"/>
                <w:color w:val="auto"/>
              </w:rPr>
              <w:t>Proved reserves</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340" w:type="dxa"/>
            <w:vAlign w:val="bottom"/>
          </w:tcPr>
          <w:p>
            <w:pPr>
              <w:spacing w:after="0" w:line="190" w:lineRule="exact"/>
              <w:rPr>
                <w:sz w:val="20"/>
                <w:szCs w:val="20"/>
                <w:color w:val="auto"/>
              </w:rPr>
            </w:pPr>
            <w:r>
              <w:rPr>
                <w:rFonts w:ascii="Arial" w:cs="Arial" w:eastAsia="Arial" w:hAnsi="Arial"/>
                <w:sz w:val="18"/>
                <w:szCs w:val="18"/>
                <w:color w:val="auto"/>
              </w:rPr>
              <w:t>Oil (MMBbl) . . . . . . . . . . . .</w:t>
            </w:r>
          </w:p>
        </w:tc>
        <w:tc>
          <w:tcPr>
            <w:tcW w:w="880" w:type="dxa"/>
            <w:vAlign w:val="bottom"/>
          </w:tcPr>
          <w:p>
            <w:pPr>
              <w:jc w:val="right"/>
              <w:ind w:right="110"/>
              <w:spacing w:after="0" w:line="190" w:lineRule="exact"/>
              <w:rPr>
                <w:sz w:val="20"/>
                <w:szCs w:val="20"/>
                <w:color w:val="auto"/>
              </w:rPr>
            </w:pPr>
            <w:r>
              <w:rPr>
                <w:rFonts w:ascii="Arial" w:cs="Arial" w:eastAsia="Arial" w:hAnsi="Arial"/>
                <w:sz w:val="18"/>
                <w:szCs w:val="18"/>
                <w:color w:val="auto"/>
              </w:rPr>
              <w:t>182</w:t>
            </w:r>
          </w:p>
        </w:tc>
        <w:tc>
          <w:tcPr>
            <w:tcW w:w="1080" w:type="dxa"/>
            <w:vAlign w:val="bottom"/>
            <w:gridSpan w:val="2"/>
          </w:tcPr>
          <w:p>
            <w:pPr>
              <w:jc w:val="right"/>
              <w:ind w:right="111"/>
              <w:spacing w:after="0" w:line="190" w:lineRule="exact"/>
              <w:rPr>
                <w:sz w:val="20"/>
                <w:szCs w:val="20"/>
                <w:color w:val="auto"/>
              </w:rPr>
            </w:pPr>
            <w:r>
              <w:rPr>
                <w:rFonts w:ascii="Arial" w:cs="Arial" w:eastAsia="Arial" w:hAnsi="Arial"/>
                <w:sz w:val="18"/>
                <w:szCs w:val="18"/>
                <w:color w:val="auto"/>
              </w:rPr>
              <w:t>112</w:t>
            </w:r>
          </w:p>
        </w:tc>
        <w:tc>
          <w:tcPr>
            <w:tcW w:w="200" w:type="dxa"/>
            <w:vAlign w:val="bottom"/>
          </w:tcPr>
          <w:p>
            <w:pPr>
              <w:spacing w:after="0"/>
              <w:rPr>
                <w:sz w:val="16"/>
                <w:szCs w:val="16"/>
                <w:color w:val="auto"/>
              </w:rPr>
            </w:pPr>
          </w:p>
        </w:tc>
        <w:tc>
          <w:tcPr>
            <w:tcW w:w="840" w:type="dxa"/>
            <w:vAlign w:val="bottom"/>
          </w:tcPr>
          <w:p>
            <w:pPr>
              <w:jc w:val="right"/>
              <w:ind w:right="110"/>
              <w:spacing w:after="0" w:line="19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220" w:type="dxa"/>
            <w:vAlign w:val="bottom"/>
          </w:tcPr>
          <w:p>
            <w:pPr>
              <w:jc w:val="right"/>
              <w:ind w:right="290"/>
              <w:spacing w:after="0" w:line="19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840" w:type="dxa"/>
            <w:vAlign w:val="bottom"/>
          </w:tcPr>
          <w:p>
            <w:pPr>
              <w:jc w:val="right"/>
              <w:ind w:right="90"/>
              <w:spacing w:after="0" w:line="190"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30"/>
              <w:spacing w:after="0" w:line="190" w:lineRule="exact"/>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190"/>
        </w:trPr>
        <w:tc>
          <w:tcPr>
            <w:tcW w:w="2340" w:type="dxa"/>
            <w:vAlign w:val="bottom"/>
          </w:tcPr>
          <w:p>
            <w:pPr>
              <w:spacing w:after="0" w:line="190" w:lineRule="exact"/>
              <w:rPr>
                <w:sz w:val="20"/>
                <w:szCs w:val="20"/>
                <w:color w:val="auto"/>
              </w:rPr>
            </w:pPr>
            <w:r>
              <w:rPr>
                <w:rFonts w:ascii="Arial" w:cs="Arial" w:eastAsia="Arial" w:hAnsi="Arial"/>
                <w:sz w:val="18"/>
                <w:szCs w:val="18"/>
                <w:color w:val="auto"/>
              </w:rPr>
              <w:t>NGLs (MMBbl) . . . . . . . . . .</w:t>
            </w:r>
          </w:p>
        </w:tc>
        <w:tc>
          <w:tcPr>
            <w:tcW w:w="880" w:type="dxa"/>
            <w:vAlign w:val="bottom"/>
          </w:tcPr>
          <w:p>
            <w:pPr>
              <w:jc w:val="right"/>
              <w:ind w:right="110"/>
              <w:spacing w:after="0" w:line="190" w:lineRule="exact"/>
              <w:rPr>
                <w:sz w:val="20"/>
                <w:szCs w:val="20"/>
                <w:color w:val="auto"/>
              </w:rPr>
            </w:pPr>
            <w:r>
              <w:rPr>
                <w:rFonts w:ascii="Arial" w:cs="Arial" w:eastAsia="Arial" w:hAnsi="Arial"/>
                <w:sz w:val="18"/>
                <w:szCs w:val="18"/>
                <w:color w:val="auto"/>
              </w:rPr>
              <w:t>38</w:t>
            </w:r>
          </w:p>
        </w:tc>
        <w:tc>
          <w:tcPr>
            <w:tcW w:w="200" w:type="dxa"/>
            <w:vAlign w:val="bottom"/>
          </w:tcPr>
          <w:p>
            <w:pPr>
              <w:spacing w:after="0"/>
              <w:rPr>
                <w:sz w:val="16"/>
                <w:szCs w:val="16"/>
                <w:color w:val="auto"/>
              </w:rPr>
            </w:pPr>
          </w:p>
        </w:tc>
        <w:tc>
          <w:tcPr>
            <w:tcW w:w="880" w:type="dxa"/>
            <w:vAlign w:val="bottom"/>
          </w:tcPr>
          <w:p>
            <w:pPr>
              <w:jc w:val="right"/>
              <w:ind w:right="111"/>
              <w:spacing w:after="0" w:line="19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840" w:type="dxa"/>
            <w:vAlign w:val="bottom"/>
          </w:tcPr>
          <w:p>
            <w:pPr>
              <w:jc w:val="right"/>
              <w:ind w:right="110"/>
              <w:spacing w:after="0" w:line="19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220" w:type="dxa"/>
            <w:vAlign w:val="bottom"/>
          </w:tcPr>
          <w:p>
            <w:pPr>
              <w:jc w:val="right"/>
              <w:ind w:right="290"/>
              <w:spacing w:after="0" w:line="19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840" w:type="dxa"/>
            <w:vAlign w:val="bottom"/>
          </w:tcPr>
          <w:p>
            <w:pPr>
              <w:jc w:val="right"/>
              <w:ind w:right="90"/>
              <w:spacing w:after="0" w:line="190"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30"/>
              <w:spacing w:after="0" w:line="190"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1"/>
        </w:trPr>
        <w:tc>
          <w:tcPr>
            <w:tcW w:w="2340" w:type="dxa"/>
            <w:vAlign w:val="bottom"/>
          </w:tcPr>
          <w:p>
            <w:pPr>
              <w:spacing w:after="0" w:line="201" w:lineRule="exact"/>
              <w:rPr>
                <w:sz w:val="20"/>
                <w:szCs w:val="20"/>
                <w:color w:val="auto"/>
              </w:rPr>
            </w:pPr>
            <w:r>
              <w:rPr>
                <w:rFonts w:ascii="Arial" w:cs="Arial" w:eastAsia="Arial" w:hAnsi="Arial"/>
                <w:sz w:val="18"/>
                <w:szCs w:val="18"/>
                <w:color w:val="auto"/>
              </w:rPr>
              <w:t>Natural gas (Bcf) . . . . . . . .</w:t>
            </w:r>
          </w:p>
        </w:tc>
        <w:tc>
          <w:tcPr>
            <w:tcW w:w="88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451</w:t>
            </w:r>
          </w:p>
        </w:tc>
        <w:tc>
          <w:tcPr>
            <w:tcW w:w="1080" w:type="dxa"/>
            <w:vAlign w:val="bottom"/>
            <w:gridSpan w:val="2"/>
          </w:tcPr>
          <w:p>
            <w:pPr>
              <w:jc w:val="right"/>
              <w:ind w:right="111"/>
              <w:spacing w:after="0" w:line="201" w:lineRule="exact"/>
              <w:rPr>
                <w:sz w:val="20"/>
                <w:szCs w:val="20"/>
                <w:color w:val="auto"/>
              </w:rPr>
            </w:pPr>
            <w:r>
              <w:rPr>
                <w:rFonts w:ascii="Arial" w:cs="Arial" w:eastAsia="Arial" w:hAnsi="Arial"/>
                <w:sz w:val="18"/>
                <w:szCs w:val="18"/>
                <w:color w:val="auto"/>
              </w:rPr>
              <w:t>7</w:t>
            </w:r>
          </w:p>
        </w:tc>
        <w:tc>
          <w:tcPr>
            <w:tcW w:w="200" w:type="dxa"/>
            <w:vAlign w:val="bottom"/>
          </w:tcPr>
          <w:p>
            <w:pPr>
              <w:spacing w:after="0"/>
              <w:rPr>
                <w:sz w:val="17"/>
                <w:szCs w:val="17"/>
                <w:color w:val="auto"/>
              </w:rPr>
            </w:pPr>
          </w:p>
        </w:tc>
        <w:tc>
          <w:tcPr>
            <w:tcW w:w="84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90"/>
              <w:spacing w:after="0" w:line="201" w:lineRule="exact"/>
              <w:rPr>
                <w:sz w:val="20"/>
                <w:szCs w:val="20"/>
                <w:color w:val="auto"/>
              </w:rPr>
            </w:pPr>
            <w:r>
              <w:rPr>
                <w:rFonts w:ascii="Arial" w:cs="Arial" w:eastAsia="Arial" w:hAnsi="Arial"/>
                <w:sz w:val="18"/>
                <w:szCs w:val="18"/>
                <w:color w:val="auto"/>
              </w:rPr>
              <w:t>53</w:t>
            </w:r>
          </w:p>
        </w:tc>
        <w:tc>
          <w:tcPr>
            <w:tcW w:w="200" w:type="dxa"/>
            <w:vAlign w:val="bottom"/>
          </w:tcPr>
          <w:p>
            <w:pPr>
              <w:spacing w:after="0"/>
              <w:rPr>
                <w:sz w:val="17"/>
                <w:szCs w:val="17"/>
                <w:color w:val="auto"/>
              </w:rPr>
            </w:pPr>
          </w:p>
        </w:tc>
        <w:tc>
          <w:tcPr>
            <w:tcW w:w="840" w:type="dxa"/>
            <w:vAlign w:val="bottom"/>
          </w:tcPr>
          <w:p>
            <w:pPr>
              <w:jc w:val="right"/>
              <w:ind w:right="90"/>
              <w:spacing w:after="0" w:line="201"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30"/>
              <w:spacing w:after="0" w:line="201" w:lineRule="exact"/>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34"/>
        </w:trPr>
        <w:tc>
          <w:tcPr>
            <w:tcW w:w="23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Total (MMBoe) . . . . . . . . . .</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295</w:t>
            </w:r>
          </w:p>
        </w:tc>
        <w:tc>
          <w:tcPr>
            <w:tcW w:w="1080" w:type="dxa"/>
            <w:vAlign w:val="bottom"/>
            <w:gridSpan w:val="2"/>
          </w:tcPr>
          <w:p>
            <w:pPr>
              <w:jc w:val="right"/>
              <w:ind w:right="111"/>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18"/>
                <w:szCs w:val="18"/>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9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3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34"/>
        </w:trPr>
        <w:tc>
          <w:tcPr>
            <w:tcW w:w="2340" w:type="dxa"/>
            <w:vAlign w:val="bottom"/>
            <w:vMerge w:val="restart"/>
          </w:tcPr>
          <w:p>
            <w:pPr>
              <w:spacing w:after="0"/>
              <w:rPr>
                <w:sz w:val="20"/>
                <w:szCs w:val="20"/>
                <w:color w:val="auto"/>
              </w:rPr>
            </w:pPr>
            <w:r>
              <w:rPr>
                <w:rFonts w:ascii="Arial" w:cs="Arial" w:eastAsia="Arial" w:hAnsi="Arial"/>
                <w:sz w:val="18"/>
                <w:szCs w:val="18"/>
                <w:color w:val="auto"/>
              </w:rPr>
              <w:t>Oil percentage of proved</w:t>
            </w: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40" w:type="dxa"/>
            <w:vAlign w:val="bottom"/>
            <w:vMerge w:val="continue"/>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3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340" w:type="dxa"/>
            <w:vAlign w:val="bottom"/>
          </w:tcPr>
          <w:p>
            <w:pPr>
              <w:spacing w:after="0" w:line="201" w:lineRule="exact"/>
              <w:rPr>
                <w:sz w:val="20"/>
                <w:szCs w:val="20"/>
                <w:color w:val="auto"/>
              </w:rPr>
            </w:pPr>
            <w:r>
              <w:rPr>
                <w:rFonts w:ascii="Arial" w:cs="Arial" w:eastAsia="Arial" w:hAnsi="Arial"/>
                <w:sz w:val="18"/>
                <w:szCs w:val="18"/>
                <w:color w:val="auto"/>
              </w:rPr>
              <w:t>reserves . . . . . . . . . . . . . . .</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62 %</w:t>
            </w:r>
          </w:p>
        </w:tc>
        <w:tc>
          <w:tcPr>
            <w:tcW w:w="10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99 %</w:t>
            </w:r>
          </w:p>
        </w:tc>
        <w:tc>
          <w:tcPr>
            <w:tcW w:w="20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 %</w:t>
            </w:r>
          </w:p>
        </w:tc>
        <w:tc>
          <w:tcPr>
            <w:tcW w:w="200" w:type="dxa"/>
            <w:vAlign w:val="bottom"/>
          </w:tcPr>
          <w:p>
            <w:pPr>
              <w:spacing w:after="0"/>
              <w:rPr>
                <w:sz w:val="17"/>
                <w:szCs w:val="17"/>
                <w:color w:val="auto"/>
              </w:rPr>
            </w:pPr>
          </w:p>
        </w:tc>
        <w:tc>
          <w:tcPr>
            <w:tcW w:w="122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 %</w:t>
            </w:r>
          </w:p>
        </w:tc>
        <w:tc>
          <w:tcPr>
            <w:tcW w:w="20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 %</w:t>
            </w:r>
          </w:p>
        </w:tc>
        <w:tc>
          <w:tcPr>
            <w:tcW w:w="1320" w:type="dxa"/>
            <w:vAlign w:val="bottom"/>
            <w:gridSpan w:val="2"/>
          </w:tcPr>
          <w:p>
            <w:pPr>
              <w:jc w:val="right"/>
              <w:ind w:right="50"/>
              <w:spacing w:after="0" w:line="201" w:lineRule="exact"/>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379"/>
        </w:trPr>
        <w:tc>
          <w:tcPr>
            <w:tcW w:w="2340" w:type="dxa"/>
            <w:vAlign w:val="bottom"/>
          </w:tcPr>
          <w:p>
            <w:pPr>
              <w:spacing w:after="0"/>
              <w:rPr>
                <w:sz w:val="20"/>
                <w:szCs w:val="20"/>
                <w:color w:val="auto"/>
              </w:rPr>
            </w:pPr>
            <w:r>
              <w:rPr>
                <w:rFonts w:ascii="Arial" w:cs="Arial" w:eastAsia="Arial" w:hAnsi="Arial"/>
                <w:sz w:val="18"/>
                <w:szCs w:val="18"/>
                <w:b w:val="1"/>
                <w:bCs w:val="1"/>
                <w:color w:val="auto"/>
              </w:rPr>
              <w:t>Production</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340" w:type="dxa"/>
            <w:vAlign w:val="bottom"/>
          </w:tcPr>
          <w:p>
            <w:pPr>
              <w:spacing w:after="0" w:line="190" w:lineRule="exact"/>
              <w:rPr>
                <w:sz w:val="20"/>
                <w:szCs w:val="20"/>
                <w:color w:val="auto"/>
              </w:rPr>
            </w:pPr>
            <w:r>
              <w:rPr>
                <w:rFonts w:ascii="Arial" w:cs="Arial" w:eastAsia="Arial" w:hAnsi="Arial"/>
                <w:sz w:val="18"/>
                <w:szCs w:val="18"/>
                <w:color w:val="auto"/>
              </w:rPr>
              <w:t>Total net production</w:t>
            </w: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340" w:type="dxa"/>
            <w:vAlign w:val="bottom"/>
          </w:tcPr>
          <w:p>
            <w:pPr>
              <w:spacing w:after="0" w:line="190" w:lineRule="exact"/>
              <w:rPr>
                <w:sz w:val="20"/>
                <w:szCs w:val="20"/>
                <w:color w:val="auto"/>
              </w:rPr>
            </w:pPr>
            <w:r>
              <w:rPr>
                <w:rFonts w:ascii="Arial" w:cs="Arial" w:eastAsia="Arial" w:hAnsi="Arial"/>
                <w:sz w:val="18"/>
                <w:szCs w:val="18"/>
                <w:color w:val="auto"/>
              </w:rPr>
              <w:t>(MMBoe)  . . . . . . . . . . . . . .</w:t>
            </w:r>
          </w:p>
        </w:tc>
        <w:tc>
          <w:tcPr>
            <w:tcW w:w="880" w:type="dxa"/>
            <w:vAlign w:val="bottom"/>
          </w:tcPr>
          <w:p>
            <w:pPr>
              <w:jc w:val="right"/>
              <w:ind w:right="110"/>
              <w:spacing w:after="0" w:line="190" w:lineRule="exact"/>
              <w:rPr>
                <w:sz w:val="20"/>
                <w:szCs w:val="20"/>
                <w:color w:val="auto"/>
              </w:rPr>
            </w:pPr>
            <w:r>
              <w:rPr>
                <w:rFonts w:ascii="Arial" w:cs="Arial" w:eastAsia="Arial" w:hAnsi="Arial"/>
                <w:sz w:val="18"/>
                <w:szCs w:val="18"/>
                <w:color w:val="auto"/>
              </w:rPr>
              <w:t>25</w:t>
            </w:r>
          </w:p>
        </w:tc>
        <w:tc>
          <w:tcPr>
            <w:tcW w:w="1080" w:type="dxa"/>
            <w:vAlign w:val="bottom"/>
            <w:gridSpan w:val="2"/>
          </w:tcPr>
          <w:p>
            <w:pPr>
              <w:jc w:val="right"/>
              <w:ind w:right="111"/>
              <w:spacing w:after="0" w:line="190" w:lineRule="exact"/>
              <w:rPr>
                <w:sz w:val="20"/>
                <w:szCs w:val="20"/>
                <w:color w:val="auto"/>
              </w:rPr>
            </w:pPr>
            <w:r>
              <w:rPr>
                <w:rFonts w:ascii="Arial" w:cs="Arial" w:eastAsia="Arial" w:hAnsi="Arial"/>
                <w:sz w:val="18"/>
                <w:szCs w:val="18"/>
                <w:color w:val="auto"/>
              </w:rPr>
              <w:t>7</w:t>
            </w:r>
          </w:p>
        </w:tc>
        <w:tc>
          <w:tcPr>
            <w:tcW w:w="200" w:type="dxa"/>
            <w:vAlign w:val="bottom"/>
          </w:tcPr>
          <w:p>
            <w:pPr>
              <w:spacing w:after="0"/>
              <w:rPr>
                <w:sz w:val="16"/>
                <w:szCs w:val="16"/>
                <w:color w:val="auto"/>
              </w:rPr>
            </w:pPr>
          </w:p>
        </w:tc>
        <w:tc>
          <w:tcPr>
            <w:tcW w:w="840" w:type="dxa"/>
            <w:vAlign w:val="bottom"/>
          </w:tcPr>
          <w:p>
            <w:pPr>
              <w:jc w:val="right"/>
              <w:ind w:right="110"/>
              <w:spacing w:after="0" w:line="190"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90"/>
              <w:spacing w:after="0" w:line="190"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6"/>
                <w:szCs w:val="16"/>
                <w:color w:val="auto"/>
              </w:rPr>
            </w:pPr>
          </w:p>
        </w:tc>
        <w:tc>
          <w:tcPr>
            <w:tcW w:w="840" w:type="dxa"/>
            <w:vAlign w:val="bottom"/>
          </w:tcPr>
          <w:p>
            <w:pPr>
              <w:jc w:val="right"/>
              <w:ind w:right="90"/>
              <w:spacing w:after="0" w:line="190"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30"/>
              <w:spacing w:after="0" w:line="190"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0"/>
        </w:trPr>
        <w:tc>
          <w:tcPr>
            <w:tcW w:w="2340" w:type="dxa"/>
            <w:vAlign w:val="bottom"/>
          </w:tcPr>
          <w:p>
            <w:pPr>
              <w:spacing w:after="0" w:line="190" w:lineRule="exact"/>
              <w:rPr>
                <w:sz w:val="20"/>
                <w:szCs w:val="20"/>
                <w:color w:val="auto"/>
              </w:rPr>
            </w:pPr>
            <w:r>
              <w:rPr>
                <w:rFonts w:ascii="Arial" w:cs="Arial" w:eastAsia="Arial" w:hAnsi="Arial"/>
                <w:sz w:val="18"/>
                <w:szCs w:val="18"/>
                <w:color w:val="auto"/>
              </w:rPr>
              <w:t>Average daily net</w:t>
            </w: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340" w:type="dxa"/>
            <w:vAlign w:val="bottom"/>
          </w:tcPr>
          <w:p>
            <w:pPr>
              <w:spacing w:after="0" w:line="201" w:lineRule="exact"/>
              <w:rPr>
                <w:sz w:val="20"/>
                <w:szCs w:val="20"/>
                <w:color w:val="auto"/>
              </w:rPr>
            </w:pPr>
            <w:r>
              <w:rPr>
                <w:rFonts w:ascii="Arial" w:cs="Arial" w:eastAsia="Arial" w:hAnsi="Arial"/>
                <w:sz w:val="18"/>
                <w:szCs w:val="18"/>
                <w:color w:val="auto"/>
              </w:rPr>
              <w:t>production (MBoe/d) . . . . .</w:t>
            </w:r>
          </w:p>
        </w:tc>
        <w:tc>
          <w:tcPr>
            <w:tcW w:w="88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70</w:t>
            </w:r>
          </w:p>
        </w:tc>
        <w:tc>
          <w:tcPr>
            <w:tcW w:w="1080" w:type="dxa"/>
            <w:vAlign w:val="bottom"/>
            <w:gridSpan w:val="2"/>
          </w:tcPr>
          <w:p>
            <w:pPr>
              <w:jc w:val="right"/>
              <w:ind w:right="111"/>
              <w:spacing w:after="0" w:line="201" w:lineRule="exact"/>
              <w:rPr>
                <w:sz w:val="20"/>
                <w:szCs w:val="20"/>
                <w:color w:val="auto"/>
              </w:rPr>
            </w:pPr>
            <w:r>
              <w:rPr>
                <w:rFonts w:ascii="Arial" w:cs="Arial" w:eastAsia="Arial" w:hAnsi="Arial"/>
                <w:sz w:val="18"/>
                <w:szCs w:val="18"/>
                <w:color w:val="auto"/>
              </w:rPr>
              <w:t>18</w:t>
            </w:r>
          </w:p>
        </w:tc>
        <w:tc>
          <w:tcPr>
            <w:tcW w:w="200" w:type="dxa"/>
            <w:vAlign w:val="bottom"/>
          </w:tcPr>
          <w:p>
            <w:pPr>
              <w:spacing w:after="0"/>
              <w:rPr>
                <w:sz w:val="17"/>
                <w:szCs w:val="17"/>
                <w:color w:val="auto"/>
              </w:rPr>
            </w:pPr>
          </w:p>
        </w:tc>
        <w:tc>
          <w:tcPr>
            <w:tcW w:w="84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90"/>
              <w:spacing w:after="0" w:line="201"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7"/>
                <w:szCs w:val="17"/>
                <w:color w:val="auto"/>
              </w:rPr>
            </w:pPr>
          </w:p>
        </w:tc>
        <w:tc>
          <w:tcPr>
            <w:tcW w:w="840" w:type="dxa"/>
            <w:vAlign w:val="bottom"/>
          </w:tcPr>
          <w:p>
            <w:pPr>
              <w:jc w:val="right"/>
              <w:ind w:right="90"/>
              <w:spacing w:after="0" w:line="201"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30"/>
              <w:spacing w:after="0" w:line="201"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320" w:right="520" w:hanging="320"/>
        <w:spacing w:after="0" w:line="258" w:lineRule="auto"/>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Reflects one non-operated field in the Ventura basin included in assets held for sale. See </w:t>
      </w:r>
      <w:r>
        <w:rPr>
          <w:rFonts w:ascii="Arial" w:cs="Arial" w:eastAsia="Arial" w:hAnsi="Arial"/>
          <w:sz w:val="16"/>
          <w:szCs w:val="16"/>
          <w:i w:val="1"/>
          <w:iCs w:val="1"/>
          <w:color w:val="auto"/>
        </w:rPr>
        <w:t>Part II, Item 8 –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Statements and Supplementary Data, Note 3 Divestitures and Acquisitions </w:t>
      </w:r>
      <w:r>
        <w:rPr>
          <w:rFonts w:ascii="Arial" w:cs="Arial" w:eastAsia="Arial" w:hAnsi="Arial"/>
          <w:sz w:val="16"/>
          <w:szCs w:val="16"/>
          <w:color w:val="auto"/>
        </w:rPr>
        <w:t>for more information on our Ventura Basin</w:t>
      </w:r>
      <w:r>
        <w:rPr>
          <w:rFonts w:ascii="Arial" w:cs="Arial" w:eastAsia="Arial" w:hAnsi="Arial"/>
          <w:sz w:val="16"/>
          <w:szCs w:val="16"/>
          <w:i w:val="1"/>
          <w:iCs w:val="1"/>
          <w:color w:val="auto"/>
        </w:rPr>
        <w:t xml:space="preserve"> </w:t>
      </w:r>
      <w:r>
        <w:rPr>
          <w:rFonts w:ascii="Arial" w:cs="Arial" w:eastAsia="Arial" w:hAnsi="Arial"/>
          <w:sz w:val="16"/>
          <w:szCs w:val="16"/>
          <w:color w:val="auto"/>
        </w:rPr>
        <w:t>divestiture.</w:t>
      </w:r>
    </w:p>
    <w:p>
      <w:pPr>
        <w:spacing w:after="0" w:line="212" w:lineRule="exact"/>
        <w:rPr>
          <w:sz w:val="20"/>
          <w:szCs w:val="20"/>
          <w:color w:val="auto"/>
        </w:rPr>
      </w:pPr>
    </w:p>
    <w:p>
      <w:pPr>
        <w:jc w:val="both"/>
        <w:ind w:right="620" w:firstLine="300"/>
        <w:spacing w:after="0" w:line="248" w:lineRule="auto"/>
        <w:rPr>
          <w:sz w:val="20"/>
          <w:szCs w:val="20"/>
          <w:color w:val="auto"/>
        </w:rPr>
      </w:pPr>
      <w:r>
        <w:rPr>
          <w:rFonts w:ascii="Arial" w:cs="Arial" w:eastAsia="Arial" w:hAnsi="Arial"/>
          <w:sz w:val="20"/>
          <w:szCs w:val="20"/>
          <w:color w:val="auto"/>
        </w:rPr>
        <w:t xml:space="preserve">For a discussion of the regulatory issues affecting the development of our oil and natural gas properties, see </w:t>
      </w:r>
      <w:r>
        <w:rPr>
          <w:rFonts w:ascii="Arial" w:cs="Arial" w:eastAsia="Arial" w:hAnsi="Arial"/>
          <w:sz w:val="20"/>
          <w:szCs w:val="20"/>
          <w:i w:val="1"/>
          <w:iCs w:val="1"/>
          <w:color w:val="auto"/>
        </w:rPr>
        <w:t>Regulation of the Industries in Which We Operate, Regulation of Exploration and</w:t>
      </w:r>
      <w:r>
        <w:rPr>
          <w:rFonts w:ascii="Arial" w:cs="Arial" w:eastAsia="Arial" w:hAnsi="Arial"/>
          <w:sz w:val="20"/>
          <w:szCs w:val="20"/>
          <w:color w:val="auto"/>
        </w:rPr>
        <w:t xml:space="preserve"> </w:t>
      </w:r>
      <w:r>
        <w:rPr>
          <w:rFonts w:ascii="Arial" w:cs="Arial" w:eastAsia="Arial" w:hAnsi="Arial"/>
          <w:sz w:val="20"/>
          <w:szCs w:val="20"/>
          <w:i w:val="1"/>
          <w:iCs w:val="1"/>
          <w:color w:val="auto"/>
        </w:rPr>
        <w:t>Production Activities.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San Joaquin Basin</w:t>
      </w:r>
    </w:p>
    <w:p>
      <w:pPr>
        <w:spacing w:after="0" w:line="215" w:lineRule="exact"/>
        <w:rPr>
          <w:sz w:val="20"/>
          <w:szCs w:val="20"/>
          <w:color w:val="auto"/>
        </w:rPr>
      </w:pPr>
    </w:p>
    <w:p>
      <w:pPr>
        <w:ind w:right="200" w:firstLine="300"/>
        <w:spacing w:after="0" w:line="248" w:lineRule="auto"/>
        <w:rPr>
          <w:sz w:val="20"/>
          <w:szCs w:val="20"/>
          <w:color w:val="auto"/>
        </w:rPr>
      </w:pPr>
      <w:r>
        <w:rPr>
          <w:rFonts w:ascii="Arial" w:cs="Arial" w:eastAsia="Arial" w:hAnsi="Arial"/>
          <w:sz w:val="20"/>
          <w:szCs w:val="20"/>
          <w:color w:val="auto"/>
        </w:rPr>
        <w:t>Commercial petroleum development in the San Joaquin basin began in the 1800s. The basin contains multiple stacked formations throughout its areal extent, and we believe that this basin provides appealing opportunities for re-development of existing wells, as well as new discoveries and unconventional play potential. The geology of the San Joaquin basin continues to yield stratigraphic and structural trap discoveries.</w:t>
      </w:r>
    </w:p>
    <w:p>
      <w:pPr>
        <w:sectPr>
          <w:pgSz w:w="11880" w:h="15480" w:orient="portrait"/>
          <w:cols w:equalWidth="0" w:num="1">
            <w:col w:w="9120"/>
          </w:cols>
          <w:pgMar w:left="1380" w:top="1310"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880" w:h="15480" w:orient="portrait"/>
          <w:cols w:equalWidth="0" w:num="1">
            <w:col w:w="9120"/>
          </w:cols>
          <w:pgMar w:left="1380" w:top="1310" w:right="1380" w:bottom="655" w:gutter="0" w:footer="0" w:header="0"/>
          <w:type w:val="continuous"/>
        </w:sectPr>
      </w:pPr>
    </w:p>
    <w:bookmarkStart w:id="12" w:name="page13"/>
    <w:bookmarkEnd w:id="12"/>
    <w:p>
      <w:pPr>
        <w:ind w:right="20" w:firstLine="300"/>
        <w:spacing w:after="0" w:line="248" w:lineRule="auto"/>
        <w:rPr>
          <w:sz w:val="20"/>
          <w:szCs w:val="20"/>
          <w:color w:val="auto"/>
        </w:rPr>
      </w:pPr>
      <w:r>
        <w:rPr>
          <w:rFonts w:ascii="Arial" w:cs="Arial" w:eastAsia="Arial" w:hAnsi="Arial"/>
          <w:sz w:val="20"/>
          <w:szCs w:val="20"/>
          <w:color w:val="auto"/>
        </w:rPr>
        <w:t>We hold substantially all the working, surface and mineral interests in the Elk Hills field, which is our largest producing asset in the San Joaquin Basin and have a large ownership interest in several other oil fields located in the San Joaquin basin including Buena Vista and Coles Levee. We have also been successfully developing steamfloods in our Kern Front operations.</w:t>
      </w:r>
    </w:p>
    <w:p>
      <w:pPr>
        <w:spacing w:after="0" w:line="209" w:lineRule="exact"/>
        <w:rPr>
          <w:sz w:val="20"/>
          <w:szCs w:val="20"/>
          <w:color w:val="auto"/>
        </w:rPr>
      </w:pPr>
    </w:p>
    <w:p>
      <w:pPr>
        <w:ind w:right="40" w:firstLine="300"/>
        <w:spacing w:after="0" w:line="248" w:lineRule="auto"/>
        <w:rPr>
          <w:sz w:val="20"/>
          <w:szCs w:val="20"/>
          <w:color w:val="auto"/>
        </w:rPr>
      </w:pPr>
      <w:r>
        <w:rPr>
          <w:rFonts w:ascii="Arial" w:cs="Arial" w:eastAsia="Arial" w:hAnsi="Arial"/>
          <w:sz w:val="20"/>
          <w:szCs w:val="20"/>
          <w:color w:val="auto"/>
        </w:rPr>
        <w:t>At Elk Hills we operate efficient natural gas processing facilities, including a cryogenic gas plant, with a combined gas processing capacity of over 520 MMcf/d. Additionally, our Elk Hills power plant generates sufficient electricity to operate the field, and sells excess power to the wholesale market and a utility. Our operations at Elk Hills also include an advanced central control facility and remote automation control on over 95% of the producing wells.</w:t>
      </w:r>
    </w:p>
    <w:p>
      <w:pPr>
        <w:spacing w:after="0" w:line="212" w:lineRule="exact"/>
        <w:rPr>
          <w:sz w:val="20"/>
          <w:szCs w:val="20"/>
          <w:color w:val="auto"/>
        </w:rPr>
      </w:pPr>
    </w:p>
    <w:p>
      <w:pPr>
        <w:ind w:right="200" w:firstLine="300"/>
        <w:spacing w:after="0" w:line="247" w:lineRule="auto"/>
        <w:rPr>
          <w:sz w:val="20"/>
          <w:szCs w:val="20"/>
          <w:color w:val="auto"/>
        </w:rPr>
      </w:pPr>
      <w:r>
        <w:rPr>
          <w:rFonts w:ascii="Arial" w:cs="Arial" w:eastAsia="Arial" w:hAnsi="Arial"/>
          <w:sz w:val="20"/>
          <w:szCs w:val="20"/>
          <w:color w:val="auto"/>
        </w:rPr>
        <w:t>We believe our extensive 3D seismic library, which covers over 700,000 acres in the San Joaquin basin, or approximately 50% of our gross mineral acreage in this basin, gives us a competitive advantage in field development.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Los Angeles Basin</w:t>
      </w:r>
    </w:p>
    <w:p>
      <w:pPr>
        <w:spacing w:after="0" w:line="215"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color w:val="auto"/>
        </w:rPr>
        <w:t xml:space="preserve">This basin is a northwest-trending plain about 50 miles long and 20 miles wide. Most of the significant discoveries in the Los Angeles basin date back to the 1920s. The Los Angeles basin has one of the highest concentrations per acre of crude oil in the world. Large active oil fields in this basin include the Wilmington and Huntington Beach fields, where we have significant operations. Most of our Wilmington production is subject to a set of contracts similar to production-sharing contracts (PSCs) under which we first recover the capital and operating costs we incur on behalf of the state and the city of Long Beach and then receive our share of profits. See </w:t>
      </w:r>
      <w:r>
        <w:rPr>
          <w:rFonts w:ascii="Arial" w:cs="Arial" w:eastAsia="Arial" w:hAnsi="Arial"/>
          <w:sz w:val="20"/>
          <w:szCs w:val="20"/>
          <w:i w:val="1"/>
          <w:iCs w:val="1"/>
          <w:color w:val="auto"/>
        </w:rPr>
        <w:t>Production, Price and Cost History</w:t>
      </w:r>
      <w:r>
        <w:rPr>
          <w:rFonts w:ascii="Arial" w:cs="Arial" w:eastAsia="Arial" w:hAnsi="Arial"/>
          <w:sz w:val="20"/>
          <w:szCs w:val="20"/>
          <w:color w:val="auto"/>
        </w:rPr>
        <w:t xml:space="preserve"> below for more information on our PSCs.</w:t>
      </w:r>
    </w:p>
    <w:p>
      <w:pPr>
        <w:spacing w:after="0" w:line="211"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We are pursuing the potential divestiture of certain real estate properties, including two properties in Huntington Beach. One of these properties is a one-acre parcel at Fort Apache and the other is an approximately 90 acre surface property at our Huntington Beach field. At the Huntington Beach field, we have begun the plugging and abandonment of approximately 30 existing wells and are working towards the longer-term remediation of the larger property to provide flexibility for real estate sales in the future.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Sacramento Basin</w:t>
      </w:r>
    </w:p>
    <w:p>
      <w:pPr>
        <w:spacing w:after="0" w:line="215" w:lineRule="exact"/>
        <w:rPr>
          <w:sz w:val="20"/>
          <w:szCs w:val="20"/>
          <w:color w:val="auto"/>
        </w:rPr>
      </w:pPr>
    </w:p>
    <w:p>
      <w:pPr>
        <w:ind w:right="220" w:firstLine="300"/>
        <w:spacing w:after="0" w:line="249" w:lineRule="auto"/>
        <w:rPr>
          <w:sz w:val="20"/>
          <w:szCs w:val="20"/>
          <w:color w:val="auto"/>
        </w:rPr>
      </w:pPr>
      <w:r>
        <w:rPr>
          <w:rFonts w:ascii="Arial" w:cs="Arial" w:eastAsia="Arial" w:hAnsi="Arial"/>
          <w:sz w:val="20"/>
          <w:szCs w:val="20"/>
          <w:color w:val="auto"/>
        </w:rPr>
        <w:t>The Sacramento basin is a deep, thick sequence of sedimentary deposits of natural gas within an elongated northwest-trending structural feature covering about 7.7 million acres. Exploration and development in the basin began in 1918. Our significant mineral acreage position in the Sacramento basin gives us the option for future development and rapid production growth in an attractive natural gas price environment.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Ventura Basin</w:t>
      </w:r>
    </w:p>
    <w:p>
      <w:pPr>
        <w:spacing w:after="0" w:line="215" w:lineRule="exact"/>
        <w:rPr>
          <w:sz w:val="20"/>
          <w:szCs w:val="20"/>
          <w:color w:val="auto"/>
        </w:rPr>
      </w:pPr>
    </w:p>
    <w:p>
      <w:pPr>
        <w:ind w:right="520" w:firstLine="300"/>
        <w:spacing w:after="0" w:line="248" w:lineRule="auto"/>
        <w:rPr>
          <w:sz w:val="20"/>
          <w:szCs w:val="20"/>
          <w:color w:val="auto"/>
        </w:rPr>
      </w:pPr>
      <w:r>
        <w:rPr>
          <w:rFonts w:ascii="Arial" w:cs="Arial" w:eastAsia="Arial" w:hAnsi="Arial"/>
          <w:sz w:val="20"/>
          <w:szCs w:val="20"/>
          <w:color w:val="auto"/>
        </w:rPr>
        <w:t>We divested a vast majority of our assets in the Ventura basin other than a de minimis non-operated asset, during the fourth quarter of 2021 and the first quarter of 2022. Our remaining Ventura basin asset is expected to be sold in the first half of 2023.</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w:t>
      </w:r>
    </w:p>
    <w:p>
      <w:pPr>
        <w:spacing w:after="0" w:line="215" w:lineRule="exact"/>
        <w:rPr>
          <w:sz w:val="20"/>
          <w:szCs w:val="20"/>
          <w:color w:val="auto"/>
        </w:rPr>
      </w:pPr>
    </w:p>
    <w:p>
      <w:pPr>
        <w:ind w:right="400" w:firstLine="300"/>
        <w:spacing w:after="0" w:line="243" w:lineRule="auto"/>
        <w:rPr>
          <w:sz w:val="20"/>
          <w:szCs w:val="20"/>
          <w:color w:val="auto"/>
        </w:rPr>
      </w:pPr>
      <w:r>
        <w:rPr>
          <w:rFonts w:ascii="Arial" w:cs="Arial" w:eastAsia="Arial" w:hAnsi="Arial"/>
          <w:sz w:val="20"/>
          <w:szCs w:val="20"/>
          <w:color w:val="auto"/>
        </w:rPr>
        <w:t>Other than the basins described above, we also have mineral interests in undeveloped acreage throughout California including in the Salinas basin and the Santa Maria basin.</w:t>
      </w:r>
    </w:p>
    <w:p>
      <w:pPr>
        <w:sectPr>
          <w:pgSz w:w="11880" w:h="15480" w:orient="portrait"/>
          <w:cols w:equalWidth="0" w:num="1">
            <w:col w:w="9120"/>
          </w:cols>
          <w:pgMar w:left="1380" w:top="1316"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880" w:h="15480" w:orient="portrait"/>
          <w:cols w:equalWidth="0" w:num="1">
            <w:col w:w="9120"/>
          </w:cols>
          <w:pgMar w:left="1380" w:top="1316" w:right="1380" w:bottom="655" w:gutter="0" w:footer="0" w:header="0"/>
          <w:type w:val="continuous"/>
        </w:sectPr>
      </w:pPr>
    </w:p>
    <w:bookmarkStart w:id="13" w:name="page14"/>
    <w:bookmarkEnd w:id="13"/>
    <w:p>
      <w:pPr>
        <w:spacing w:after="0"/>
        <w:rPr>
          <w:sz w:val="20"/>
          <w:szCs w:val="20"/>
          <w:color w:val="auto"/>
        </w:rPr>
      </w:pPr>
      <w:r>
        <w:rPr>
          <w:rFonts w:ascii="Arial" w:cs="Arial" w:eastAsia="Arial" w:hAnsi="Arial"/>
          <w:sz w:val="20"/>
          <w:szCs w:val="20"/>
          <w:b w:val="1"/>
          <w:bCs w:val="1"/>
          <w:color w:val="auto"/>
        </w:rPr>
        <w:t>Mineral Acreage</w:t>
      </w:r>
    </w:p>
    <w:p>
      <w:pPr>
        <w:spacing w:after="0" w:line="216" w:lineRule="exact"/>
        <w:rPr>
          <w:sz w:val="20"/>
          <w:szCs w:val="20"/>
          <w:color w:val="auto"/>
        </w:rPr>
      </w:pPr>
    </w:p>
    <w:p>
      <w:pPr>
        <w:ind w:right="320" w:firstLine="300"/>
        <w:spacing w:after="0" w:line="243" w:lineRule="auto"/>
        <w:rPr>
          <w:sz w:val="20"/>
          <w:szCs w:val="20"/>
          <w:color w:val="auto"/>
        </w:rPr>
      </w:pPr>
      <w:r>
        <w:rPr>
          <w:rFonts w:ascii="Arial" w:cs="Arial" w:eastAsia="Arial" w:hAnsi="Arial"/>
          <w:sz w:val="20"/>
          <w:szCs w:val="20"/>
          <w:color w:val="auto"/>
        </w:rPr>
        <w:t>The following table summarizes our gross and net developed and undeveloped mineral acreage as of December 31, 2022.</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San Joaquin</w:t>
            </w:r>
          </w:p>
        </w:tc>
        <w:tc>
          <w:tcPr>
            <w:tcW w:w="2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20"/>
                <w:szCs w:val="20"/>
                <w:b w:val="1"/>
                <w:bCs w:val="1"/>
                <w:color w:val="auto"/>
                <w:w w:val="99"/>
              </w:rPr>
              <w:t>Los Angeles</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Ventura</w:t>
            </w:r>
          </w:p>
        </w:tc>
        <w:tc>
          <w:tcPr>
            <w:tcW w:w="2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20"/>
                <w:szCs w:val="20"/>
                <w:b w:val="1"/>
                <w:bCs w:val="1"/>
                <w:color w:val="auto"/>
                <w:w w:val="99"/>
              </w:rPr>
              <w:t>Sacramento</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48"/>
        </w:trPr>
        <w:tc>
          <w:tcPr>
            <w:tcW w:w="1540" w:type="dxa"/>
            <w:vAlign w:val="bottom"/>
          </w:tcPr>
          <w:p>
            <w:pPr>
              <w:spacing w:after="0"/>
              <w:rPr>
                <w:sz w:val="21"/>
                <w:szCs w:val="21"/>
                <w:color w:val="auto"/>
              </w:rPr>
            </w:pPr>
          </w:p>
        </w:tc>
        <w:tc>
          <w:tcPr>
            <w:tcW w:w="1280" w:type="dxa"/>
            <w:vAlign w:val="bottom"/>
            <w:tcBorders>
              <w:bottom w:val="single" w:sz="8" w:color="auto"/>
            </w:tcBorders>
          </w:tcPr>
          <w:p>
            <w:pPr>
              <w:jc w:val="right"/>
              <w:ind w:right="260"/>
              <w:spacing w:after="0" w:line="228" w:lineRule="exact"/>
              <w:rPr>
                <w:sz w:val="20"/>
                <w:szCs w:val="20"/>
                <w:color w:val="auto"/>
              </w:rPr>
            </w:pPr>
            <w:r>
              <w:rPr>
                <w:rFonts w:ascii="Arial" w:cs="Arial" w:eastAsia="Arial" w:hAnsi="Arial"/>
                <w:sz w:val="20"/>
                <w:szCs w:val="20"/>
                <w:b w:val="1"/>
                <w:bCs w:val="1"/>
                <w:color w:val="auto"/>
              </w:rPr>
              <w:t>Basin</w:t>
            </w:r>
          </w:p>
        </w:tc>
        <w:tc>
          <w:tcPr>
            <w:tcW w:w="200" w:type="dxa"/>
            <w:vAlign w:val="bottom"/>
          </w:tcPr>
          <w:p>
            <w:pPr>
              <w:spacing w:after="0"/>
              <w:rPr>
                <w:sz w:val="21"/>
                <w:szCs w:val="21"/>
                <w:color w:val="auto"/>
              </w:rPr>
            </w:pPr>
          </w:p>
        </w:tc>
        <w:tc>
          <w:tcPr>
            <w:tcW w:w="1300" w:type="dxa"/>
            <w:vAlign w:val="bottom"/>
            <w:tcBorders>
              <w:bottom w:val="single" w:sz="8" w:color="auto"/>
            </w:tcBorders>
          </w:tcPr>
          <w:p>
            <w:pPr>
              <w:jc w:val="center"/>
              <w:spacing w:after="0" w:line="228" w:lineRule="exact"/>
              <w:rPr>
                <w:sz w:val="20"/>
                <w:szCs w:val="20"/>
                <w:color w:val="auto"/>
              </w:rPr>
            </w:pPr>
            <w:r>
              <w:rPr>
                <w:rFonts w:ascii="Arial" w:cs="Arial" w:eastAsia="Arial" w:hAnsi="Arial"/>
                <w:sz w:val="20"/>
                <w:szCs w:val="20"/>
                <w:b w:val="1"/>
                <w:bCs w:val="1"/>
                <w:color w:val="auto"/>
                <w:w w:val="99"/>
              </w:rPr>
              <w:t>Basin</w:t>
            </w:r>
          </w:p>
        </w:tc>
        <w:tc>
          <w:tcPr>
            <w:tcW w:w="200" w:type="dxa"/>
            <w:vAlign w:val="bottom"/>
          </w:tcPr>
          <w:p>
            <w:pPr>
              <w:spacing w:after="0"/>
              <w:rPr>
                <w:sz w:val="21"/>
                <w:szCs w:val="21"/>
                <w:color w:val="auto"/>
              </w:rPr>
            </w:pPr>
          </w:p>
        </w:tc>
        <w:tc>
          <w:tcPr>
            <w:tcW w:w="840" w:type="dxa"/>
            <w:vAlign w:val="bottom"/>
            <w:tcBorders>
              <w:bottom w:val="single" w:sz="8" w:color="auto"/>
            </w:tcBorders>
          </w:tcPr>
          <w:p>
            <w:pPr>
              <w:jc w:val="right"/>
              <w:ind w:right="64"/>
              <w:spacing w:after="0" w:line="228" w:lineRule="exact"/>
              <w:rPr>
                <w:sz w:val="20"/>
                <w:szCs w:val="20"/>
                <w:color w:val="auto"/>
              </w:rPr>
            </w:pPr>
            <w:r>
              <w:rPr>
                <w:rFonts w:ascii="Arial" w:cs="Arial" w:eastAsia="Arial" w:hAnsi="Arial"/>
                <w:sz w:val="20"/>
                <w:szCs w:val="20"/>
                <w:b w:val="1"/>
                <w:bCs w:val="1"/>
                <w:color w:val="auto"/>
              </w:rPr>
              <w:t>Basin</w:t>
            </w:r>
          </w:p>
        </w:tc>
        <w:tc>
          <w:tcPr>
            <w:tcW w:w="200" w:type="dxa"/>
            <w:vAlign w:val="bottom"/>
          </w:tcPr>
          <w:p>
            <w:pPr>
              <w:spacing w:after="0"/>
              <w:rPr>
                <w:sz w:val="21"/>
                <w:szCs w:val="21"/>
                <w:color w:val="auto"/>
              </w:rPr>
            </w:pPr>
          </w:p>
        </w:tc>
        <w:tc>
          <w:tcPr>
            <w:tcW w:w="1240" w:type="dxa"/>
            <w:vAlign w:val="bottom"/>
            <w:tcBorders>
              <w:bottom w:val="single" w:sz="8" w:color="auto"/>
            </w:tcBorders>
          </w:tcPr>
          <w:p>
            <w:pPr>
              <w:jc w:val="center"/>
              <w:spacing w:after="0" w:line="228" w:lineRule="exact"/>
              <w:rPr>
                <w:sz w:val="20"/>
                <w:szCs w:val="20"/>
                <w:color w:val="auto"/>
              </w:rPr>
            </w:pPr>
            <w:r>
              <w:rPr>
                <w:rFonts w:ascii="Arial" w:cs="Arial" w:eastAsia="Arial" w:hAnsi="Arial"/>
                <w:sz w:val="20"/>
                <w:szCs w:val="20"/>
                <w:b w:val="1"/>
                <w:bCs w:val="1"/>
                <w:color w:val="auto"/>
                <w:w w:val="99"/>
              </w:rPr>
              <w:t>Basin</w:t>
            </w:r>
          </w:p>
        </w:tc>
        <w:tc>
          <w:tcPr>
            <w:tcW w:w="200" w:type="dxa"/>
            <w:vAlign w:val="bottom"/>
          </w:tcPr>
          <w:p>
            <w:pPr>
              <w:spacing w:after="0"/>
              <w:rPr>
                <w:sz w:val="21"/>
                <w:szCs w:val="21"/>
                <w:color w:val="auto"/>
              </w:rPr>
            </w:pPr>
          </w:p>
        </w:tc>
        <w:tc>
          <w:tcPr>
            <w:tcW w:w="1100" w:type="dxa"/>
            <w:vAlign w:val="bottom"/>
            <w:tcBorders>
              <w:bottom w:val="single" w:sz="8" w:color="auto"/>
            </w:tcBorders>
          </w:tcPr>
          <w:p>
            <w:pPr>
              <w:jc w:val="right"/>
              <w:ind w:right="100"/>
              <w:spacing w:after="0" w:line="247" w:lineRule="exact"/>
              <w:rPr>
                <w:sz w:val="20"/>
                <w:szCs w:val="20"/>
                <w:color w:val="auto"/>
              </w:rPr>
            </w:pPr>
            <w:r>
              <w:rPr>
                <w:rFonts w:ascii="Arial" w:cs="Arial" w:eastAsia="Arial" w:hAnsi="Arial"/>
                <w:sz w:val="20"/>
                <w:szCs w:val="20"/>
                <w:b w:val="1"/>
                <w:bCs w:val="1"/>
                <w:color w:val="auto"/>
              </w:rPr>
              <w:t>Other</w:t>
            </w:r>
            <w:r>
              <w:rPr>
                <w:rFonts w:ascii="Arial" w:cs="Arial" w:eastAsia="Arial" w:hAnsi="Arial"/>
                <w:sz w:val="26"/>
                <w:szCs w:val="26"/>
                <w:b w:val="1"/>
                <w:bCs w:val="1"/>
                <w:color w:val="auto"/>
                <w:vertAlign w:val="superscript"/>
              </w:rPr>
              <w:t>(a)</w:t>
            </w:r>
          </w:p>
        </w:tc>
        <w:tc>
          <w:tcPr>
            <w:tcW w:w="200" w:type="dxa"/>
            <w:vAlign w:val="bottom"/>
          </w:tcPr>
          <w:p>
            <w:pPr>
              <w:spacing w:after="0"/>
              <w:rPr>
                <w:sz w:val="21"/>
                <w:szCs w:val="21"/>
                <w:color w:val="auto"/>
              </w:rPr>
            </w:pPr>
          </w:p>
        </w:tc>
        <w:tc>
          <w:tcPr>
            <w:tcW w:w="1060" w:type="dxa"/>
            <w:vAlign w:val="bottom"/>
            <w:tcBorders>
              <w:bottom w:val="single" w:sz="8" w:color="auto"/>
            </w:tcBorders>
          </w:tcPr>
          <w:p>
            <w:pPr>
              <w:jc w:val="right"/>
              <w:ind w:right="200"/>
              <w:spacing w:after="0" w:line="228" w:lineRule="exact"/>
              <w:rPr>
                <w:sz w:val="20"/>
                <w:szCs w:val="20"/>
                <w:color w:val="auto"/>
              </w:rPr>
            </w:pPr>
            <w:r>
              <w:rPr>
                <w:rFonts w:ascii="Arial" w:cs="Arial" w:eastAsia="Arial" w:hAnsi="Arial"/>
                <w:sz w:val="20"/>
                <w:szCs w:val="20"/>
                <w:b w:val="1"/>
                <w:bCs w:val="1"/>
                <w:color w:val="auto"/>
              </w:rPr>
              <w:t>Total</w:t>
            </w:r>
          </w:p>
        </w:tc>
      </w:tr>
      <w:tr>
        <w:trPr>
          <w:trHeight w:val="192"/>
        </w:trPr>
        <w:tc>
          <w:tcPr>
            <w:tcW w:w="15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gridSpan w:val="3"/>
          </w:tcPr>
          <w:p>
            <w:pPr>
              <w:ind w:left="38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64"/>
        </w:trPr>
        <w:tc>
          <w:tcPr>
            <w:tcW w:w="1540" w:type="dxa"/>
            <w:vAlign w:val="bottom"/>
          </w:tcPr>
          <w:p>
            <w:pPr>
              <w:spacing w:after="0" w:line="265" w:lineRule="exact"/>
              <w:rPr>
                <w:sz w:val="20"/>
                <w:szCs w:val="20"/>
                <w:color w:val="auto"/>
              </w:rPr>
            </w:pPr>
            <w:r>
              <w:rPr>
                <w:rFonts w:ascii="Arial" w:cs="Arial" w:eastAsia="Arial" w:hAnsi="Arial"/>
                <w:sz w:val="20"/>
                <w:szCs w:val="20"/>
                <w:color w:val="auto"/>
              </w:rPr>
              <w:t>Developed</w:t>
            </w:r>
            <w:r>
              <w:rPr>
                <w:rFonts w:ascii="Arial" w:cs="Arial" w:eastAsia="Arial" w:hAnsi="Arial"/>
                <w:sz w:val="26"/>
                <w:szCs w:val="26"/>
                <w:color w:val="auto"/>
                <w:vertAlign w:val="superscript"/>
              </w:rPr>
              <w:t>(b)</w:t>
            </w:r>
          </w:p>
        </w:tc>
        <w:tc>
          <w:tcPr>
            <w:tcW w:w="1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40"/>
        </w:trPr>
        <w:tc>
          <w:tcPr>
            <w:tcW w:w="1540" w:type="dxa"/>
            <w:vAlign w:val="bottom"/>
          </w:tcPr>
          <w:p>
            <w:pPr>
              <w:jc w:val="right"/>
              <w:ind w:right="100"/>
              <w:spacing w:after="0" w:line="240" w:lineRule="exact"/>
              <w:rPr>
                <w:sz w:val="20"/>
                <w:szCs w:val="20"/>
                <w:color w:val="auto"/>
              </w:rPr>
            </w:pPr>
            <w:r>
              <w:rPr>
                <w:rFonts w:ascii="Arial" w:cs="Arial" w:eastAsia="Arial" w:hAnsi="Arial"/>
                <w:sz w:val="20"/>
                <w:szCs w:val="20"/>
                <w:color w:val="auto"/>
              </w:rPr>
              <w:t>Gross</w:t>
            </w:r>
            <w:r>
              <w:rPr>
                <w:rFonts w:ascii="Arial" w:cs="Arial" w:eastAsia="Arial" w:hAnsi="Arial"/>
                <w:sz w:val="26"/>
                <w:szCs w:val="26"/>
                <w:color w:val="auto"/>
                <w:vertAlign w:val="superscript"/>
              </w:rPr>
              <w:t>(c)</w:t>
            </w:r>
            <w:r>
              <w:rPr>
                <w:rFonts w:ascii="Arial" w:cs="Arial" w:eastAsia="Arial" w:hAnsi="Arial"/>
                <w:sz w:val="20"/>
                <w:szCs w:val="20"/>
                <w:color w:val="auto"/>
              </w:rPr>
              <w:t xml:space="preserve">  . . . .</w:t>
            </w:r>
          </w:p>
        </w:tc>
        <w:tc>
          <w:tcPr>
            <w:tcW w:w="1280" w:type="dxa"/>
            <w:vAlign w:val="bottom"/>
          </w:tcPr>
          <w:p>
            <w:pPr>
              <w:jc w:val="right"/>
              <w:ind w:right="300"/>
              <w:spacing w:after="0" w:line="224" w:lineRule="exact"/>
              <w:rPr>
                <w:sz w:val="20"/>
                <w:szCs w:val="20"/>
                <w:color w:val="auto"/>
              </w:rPr>
            </w:pPr>
            <w:r>
              <w:rPr>
                <w:rFonts w:ascii="Arial" w:cs="Arial" w:eastAsia="Arial" w:hAnsi="Arial"/>
                <w:sz w:val="20"/>
                <w:szCs w:val="20"/>
                <w:color w:val="auto"/>
              </w:rPr>
              <w:t>460</w:t>
            </w:r>
          </w:p>
        </w:tc>
        <w:tc>
          <w:tcPr>
            <w:tcW w:w="1500" w:type="dxa"/>
            <w:vAlign w:val="bottom"/>
            <w:gridSpan w:val="2"/>
          </w:tcPr>
          <w:p>
            <w:pPr>
              <w:jc w:val="center"/>
              <w:ind w:left="100"/>
              <w:spacing w:after="0" w:line="224" w:lineRule="exact"/>
              <w:rPr>
                <w:sz w:val="20"/>
                <w:szCs w:val="20"/>
                <w:color w:val="auto"/>
              </w:rPr>
            </w:pPr>
            <w:r>
              <w:rPr>
                <w:rFonts w:ascii="Arial" w:cs="Arial" w:eastAsia="Arial" w:hAnsi="Arial"/>
                <w:sz w:val="20"/>
                <w:szCs w:val="20"/>
                <w:color w:val="auto"/>
                <w:w w:val="98"/>
              </w:rPr>
              <w:t>20</w:t>
            </w:r>
          </w:p>
        </w:tc>
        <w:tc>
          <w:tcPr>
            <w:tcW w:w="1040" w:type="dxa"/>
            <w:vAlign w:val="bottom"/>
            <w:gridSpan w:val="2"/>
          </w:tcPr>
          <w:p>
            <w:pPr>
              <w:jc w:val="right"/>
              <w:ind w:right="224"/>
              <w:spacing w:after="0" w:line="224" w:lineRule="exact"/>
              <w:rPr>
                <w:sz w:val="20"/>
                <w:szCs w:val="20"/>
                <w:color w:val="auto"/>
              </w:rPr>
            </w:pPr>
            <w:r>
              <w:rPr>
                <w:rFonts w:ascii="Arial" w:cs="Arial" w:eastAsia="Arial" w:hAnsi="Arial"/>
                <w:sz w:val="20"/>
                <w:szCs w:val="20"/>
                <w:color w:val="auto"/>
              </w:rPr>
              <w:t>6</w:t>
            </w:r>
          </w:p>
        </w:tc>
        <w:tc>
          <w:tcPr>
            <w:tcW w:w="1440" w:type="dxa"/>
            <w:vAlign w:val="bottom"/>
            <w:gridSpan w:val="2"/>
          </w:tcPr>
          <w:p>
            <w:pPr>
              <w:jc w:val="center"/>
              <w:ind w:left="100"/>
              <w:spacing w:after="0" w:line="224" w:lineRule="exact"/>
              <w:rPr>
                <w:sz w:val="20"/>
                <w:szCs w:val="20"/>
                <w:color w:val="auto"/>
              </w:rPr>
            </w:pPr>
            <w:r>
              <w:rPr>
                <w:rFonts w:ascii="Arial" w:cs="Arial" w:eastAsia="Arial" w:hAnsi="Arial"/>
                <w:sz w:val="20"/>
                <w:szCs w:val="20"/>
                <w:color w:val="auto"/>
                <w:w w:val="95"/>
              </w:rPr>
              <w:t>259</w:t>
            </w:r>
          </w:p>
        </w:tc>
        <w:tc>
          <w:tcPr>
            <w:tcW w:w="1300" w:type="dxa"/>
            <w:vAlign w:val="bottom"/>
            <w:gridSpan w:val="2"/>
          </w:tcPr>
          <w:p>
            <w:pPr>
              <w:jc w:val="right"/>
              <w:ind w:right="280"/>
              <w:spacing w:after="0" w:line="224" w:lineRule="exact"/>
              <w:rPr>
                <w:sz w:val="20"/>
                <w:szCs w:val="20"/>
                <w:color w:val="auto"/>
              </w:rPr>
            </w:pPr>
            <w:r>
              <w:rPr>
                <w:rFonts w:ascii="Arial" w:cs="Arial" w:eastAsia="Arial" w:hAnsi="Arial"/>
                <w:sz w:val="20"/>
                <w:szCs w:val="20"/>
                <w:color w:val="auto"/>
              </w:rPr>
              <w:t>2</w:t>
            </w:r>
          </w:p>
        </w:tc>
        <w:tc>
          <w:tcPr>
            <w:tcW w:w="1260" w:type="dxa"/>
            <w:vAlign w:val="bottom"/>
            <w:gridSpan w:val="2"/>
          </w:tcPr>
          <w:p>
            <w:pPr>
              <w:jc w:val="right"/>
              <w:ind w:right="180"/>
              <w:spacing w:after="0" w:line="224" w:lineRule="exact"/>
              <w:rPr>
                <w:sz w:val="20"/>
                <w:szCs w:val="20"/>
                <w:color w:val="auto"/>
              </w:rPr>
            </w:pPr>
            <w:r>
              <w:rPr>
                <w:rFonts w:ascii="Arial" w:cs="Arial" w:eastAsia="Arial" w:hAnsi="Arial"/>
                <w:sz w:val="20"/>
                <w:szCs w:val="20"/>
                <w:color w:val="auto"/>
              </w:rPr>
              <w:t>747</w:t>
            </w:r>
          </w:p>
        </w:tc>
      </w:tr>
      <w:tr>
        <w:trPr>
          <w:trHeight w:val="240"/>
        </w:trPr>
        <w:tc>
          <w:tcPr>
            <w:tcW w:w="1540" w:type="dxa"/>
            <w:vAlign w:val="bottom"/>
          </w:tcPr>
          <w:p>
            <w:pPr>
              <w:jc w:val="right"/>
              <w:ind w:right="100"/>
              <w:spacing w:after="0" w:line="240" w:lineRule="exact"/>
              <w:rPr>
                <w:sz w:val="20"/>
                <w:szCs w:val="20"/>
                <w:color w:val="auto"/>
              </w:rPr>
            </w:pPr>
            <w:r>
              <w:rPr>
                <w:rFonts w:ascii="Arial" w:cs="Arial" w:eastAsia="Arial" w:hAnsi="Arial"/>
                <w:sz w:val="20"/>
                <w:szCs w:val="20"/>
                <w:color w:val="auto"/>
              </w:rPr>
              <w:t>Net</w:t>
            </w:r>
            <w:r>
              <w:rPr>
                <w:rFonts w:ascii="Arial" w:cs="Arial" w:eastAsia="Arial" w:hAnsi="Arial"/>
                <w:sz w:val="26"/>
                <w:szCs w:val="26"/>
                <w:color w:val="auto"/>
                <w:vertAlign w:val="superscript"/>
              </w:rPr>
              <w:t>(d)</w:t>
            </w:r>
            <w:r>
              <w:rPr>
                <w:rFonts w:ascii="Arial" w:cs="Arial" w:eastAsia="Arial" w:hAnsi="Arial"/>
                <w:sz w:val="20"/>
                <w:szCs w:val="20"/>
                <w:color w:val="auto"/>
              </w:rPr>
              <w:t xml:space="preserve">  . . . . . .</w:t>
            </w:r>
          </w:p>
        </w:tc>
        <w:tc>
          <w:tcPr>
            <w:tcW w:w="1280" w:type="dxa"/>
            <w:vAlign w:val="bottom"/>
          </w:tcPr>
          <w:p>
            <w:pPr>
              <w:jc w:val="right"/>
              <w:ind w:right="300"/>
              <w:spacing w:after="0" w:line="224" w:lineRule="exact"/>
              <w:rPr>
                <w:sz w:val="20"/>
                <w:szCs w:val="20"/>
                <w:color w:val="auto"/>
              </w:rPr>
            </w:pPr>
            <w:r>
              <w:rPr>
                <w:rFonts w:ascii="Arial" w:cs="Arial" w:eastAsia="Arial" w:hAnsi="Arial"/>
                <w:sz w:val="20"/>
                <w:szCs w:val="20"/>
                <w:color w:val="auto"/>
              </w:rPr>
              <w:t>421</w:t>
            </w:r>
          </w:p>
        </w:tc>
        <w:tc>
          <w:tcPr>
            <w:tcW w:w="1500" w:type="dxa"/>
            <w:vAlign w:val="bottom"/>
            <w:gridSpan w:val="2"/>
          </w:tcPr>
          <w:p>
            <w:pPr>
              <w:jc w:val="center"/>
              <w:ind w:left="100"/>
              <w:spacing w:after="0" w:line="224" w:lineRule="exact"/>
              <w:rPr>
                <w:sz w:val="20"/>
                <w:szCs w:val="20"/>
                <w:color w:val="auto"/>
              </w:rPr>
            </w:pPr>
            <w:r>
              <w:rPr>
                <w:rFonts w:ascii="Arial" w:cs="Arial" w:eastAsia="Arial" w:hAnsi="Arial"/>
                <w:sz w:val="20"/>
                <w:szCs w:val="20"/>
                <w:color w:val="auto"/>
                <w:w w:val="98"/>
              </w:rPr>
              <w:t>15</w:t>
            </w:r>
          </w:p>
        </w:tc>
        <w:tc>
          <w:tcPr>
            <w:tcW w:w="1040" w:type="dxa"/>
            <w:vAlign w:val="bottom"/>
            <w:gridSpan w:val="2"/>
          </w:tcPr>
          <w:p>
            <w:pPr>
              <w:jc w:val="right"/>
              <w:ind w:right="224"/>
              <w:spacing w:after="0" w:line="224" w:lineRule="exact"/>
              <w:rPr>
                <w:sz w:val="20"/>
                <w:szCs w:val="20"/>
                <w:color w:val="auto"/>
              </w:rPr>
            </w:pPr>
            <w:r>
              <w:rPr>
                <w:rFonts w:ascii="Arial" w:cs="Arial" w:eastAsia="Arial" w:hAnsi="Arial"/>
                <w:sz w:val="20"/>
                <w:szCs w:val="20"/>
                <w:color w:val="auto"/>
              </w:rPr>
              <w:t>6</w:t>
            </w:r>
          </w:p>
        </w:tc>
        <w:tc>
          <w:tcPr>
            <w:tcW w:w="1440" w:type="dxa"/>
            <w:vAlign w:val="bottom"/>
            <w:gridSpan w:val="2"/>
          </w:tcPr>
          <w:p>
            <w:pPr>
              <w:jc w:val="center"/>
              <w:ind w:left="100"/>
              <w:spacing w:after="0" w:line="224" w:lineRule="exact"/>
              <w:rPr>
                <w:sz w:val="20"/>
                <w:szCs w:val="20"/>
                <w:color w:val="auto"/>
              </w:rPr>
            </w:pPr>
            <w:r>
              <w:rPr>
                <w:rFonts w:ascii="Arial" w:cs="Arial" w:eastAsia="Arial" w:hAnsi="Arial"/>
                <w:sz w:val="20"/>
                <w:szCs w:val="20"/>
                <w:color w:val="auto"/>
                <w:w w:val="95"/>
              </w:rPr>
              <w:t>246</w:t>
            </w:r>
          </w:p>
        </w:tc>
        <w:tc>
          <w:tcPr>
            <w:tcW w:w="1300" w:type="dxa"/>
            <w:vAlign w:val="bottom"/>
            <w:gridSpan w:val="2"/>
          </w:tcPr>
          <w:p>
            <w:pPr>
              <w:jc w:val="right"/>
              <w:ind w:right="280"/>
              <w:spacing w:after="0" w:line="224" w:lineRule="exact"/>
              <w:rPr>
                <w:sz w:val="20"/>
                <w:szCs w:val="20"/>
                <w:color w:val="auto"/>
              </w:rPr>
            </w:pPr>
            <w:r>
              <w:rPr>
                <w:rFonts w:ascii="Arial" w:cs="Arial" w:eastAsia="Arial" w:hAnsi="Arial"/>
                <w:sz w:val="20"/>
                <w:szCs w:val="20"/>
                <w:color w:val="auto"/>
              </w:rPr>
              <w:t>1</w:t>
            </w:r>
          </w:p>
        </w:tc>
        <w:tc>
          <w:tcPr>
            <w:tcW w:w="1260" w:type="dxa"/>
            <w:vAlign w:val="bottom"/>
            <w:gridSpan w:val="2"/>
          </w:tcPr>
          <w:p>
            <w:pPr>
              <w:jc w:val="right"/>
              <w:ind w:right="180"/>
              <w:spacing w:after="0" w:line="224" w:lineRule="exact"/>
              <w:rPr>
                <w:sz w:val="20"/>
                <w:szCs w:val="20"/>
                <w:color w:val="auto"/>
              </w:rPr>
            </w:pPr>
            <w:r>
              <w:rPr>
                <w:rFonts w:ascii="Arial" w:cs="Arial" w:eastAsia="Arial" w:hAnsi="Arial"/>
                <w:sz w:val="20"/>
                <w:szCs w:val="20"/>
                <w:color w:val="auto"/>
              </w:rPr>
              <w:t>689</w:t>
            </w:r>
          </w:p>
        </w:tc>
      </w:tr>
      <w:tr>
        <w:trPr>
          <w:trHeight w:val="240"/>
        </w:trPr>
        <w:tc>
          <w:tcPr>
            <w:tcW w:w="1540" w:type="dxa"/>
            <w:vAlign w:val="bottom"/>
          </w:tcPr>
          <w:p>
            <w:pPr>
              <w:jc w:val="right"/>
              <w:ind w:right="100"/>
              <w:spacing w:after="0" w:line="240" w:lineRule="exact"/>
              <w:rPr>
                <w:sz w:val="20"/>
                <w:szCs w:val="20"/>
                <w:color w:val="auto"/>
              </w:rPr>
            </w:pPr>
            <w:r>
              <w:rPr>
                <w:rFonts w:ascii="Arial" w:cs="Arial" w:eastAsia="Arial" w:hAnsi="Arial"/>
                <w:sz w:val="20"/>
                <w:szCs w:val="20"/>
                <w:color w:val="auto"/>
                <w:w w:val="94"/>
              </w:rPr>
              <w:t>Undeveloped</w:t>
            </w:r>
            <w:r>
              <w:rPr>
                <w:rFonts w:ascii="Arial" w:cs="Arial" w:eastAsia="Arial" w:hAnsi="Arial"/>
                <w:sz w:val="26"/>
                <w:szCs w:val="26"/>
                <w:color w:val="auto"/>
                <w:w w:val="94"/>
                <w:vertAlign w:val="superscript"/>
              </w:rPr>
              <w:t>(e)</w:t>
            </w: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0"/>
        </w:trPr>
        <w:tc>
          <w:tcPr>
            <w:tcW w:w="1540" w:type="dxa"/>
            <w:vAlign w:val="bottom"/>
          </w:tcPr>
          <w:p>
            <w:pPr>
              <w:jc w:val="right"/>
              <w:ind w:right="100"/>
              <w:spacing w:after="0" w:line="240" w:lineRule="exact"/>
              <w:rPr>
                <w:sz w:val="20"/>
                <w:szCs w:val="20"/>
                <w:color w:val="auto"/>
              </w:rPr>
            </w:pPr>
            <w:r>
              <w:rPr>
                <w:rFonts w:ascii="Arial" w:cs="Arial" w:eastAsia="Arial" w:hAnsi="Arial"/>
                <w:sz w:val="20"/>
                <w:szCs w:val="20"/>
                <w:color w:val="auto"/>
              </w:rPr>
              <w:t>Gross</w:t>
            </w:r>
            <w:r>
              <w:rPr>
                <w:rFonts w:ascii="Arial" w:cs="Arial" w:eastAsia="Arial" w:hAnsi="Arial"/>
                <w:sz w:val="26"/>
                <w:szCs w:val="26"/>
                <w:color w:val="auto"/>
                <w:vertAlign w:val="superscript"/>
              </w:rPr>
              <w:t>(c)</w:t>
            </w:r>
            <w:r>
              <w:rPr>
                <w:rFonts w:ascii="Arial" w:cs="Arial" w:eastAsia="Arial" w:hAnsi="Arial"/>
                <w:sz w:val="20"/>
                <w:szCs w:val="20"/>
                <w:color w:val="auto"/>
              </w:rPr>
              <w:t xml:space="preserve">  . . . .</w:t>
            </w:r>
          </w:p>
        </w:tc>
        <w:tc>
          <w:tcPr>
            <w:tcW w:w="1280" w:type="dxa"/>
            <w:vAlign w:val="bottom"/>
          </w:tcPr>
          <w:p>
            <w:pPr>
              <w:jc w:val="right"/>
              <w:ind w:right="300"/>
              <w:spacing w:after="0" w:line="224" w:lineRule="exact"/>
              <w:rPr>
                <w:sz w:val="20"/>
                <w:szCs w:val="20"/>
                <w:color w:val="auto"/>
              </w:rPr>
            </w:pPr>
            <w:r>
              <w:rPr>
                <w:rFonts w:ascii="Arial" w:cs="Arial" w:eastAsia="Arial" w:hAnsi="Arial"/>
                <w:sz w:val="20"/>
                <w:szCs w:val="20"/>
                <w:color w:val="auto"/>
              </w:rPr>
              <w:t>1,008</w:t>
            </w:r>
          </w:p>
        </w:tc>
        <w:tc>
          <w:tcPr>
            <w:tcW w:w="1500" w:type="dxa"/>
            <w:vAlign w:val="bottom"/>
            <w:gridSpan w:val="2"/>
          </w:tcPr>
          <w:p>
            <w:pPr>
              <w:jc w:val="center"/>
              <w:ind w:left="100"/>
              <w:spacing w:after="0" w:line="224" w:lineRule="exact"/>
              <w:rPr>
                <w:sz w:val="20"/>
                <w:szCs w:val="20"/>
                <w:color w:val="auto"/>
              </w:rPr>
            </w:pPr>
            <w:r>
              <w:rPr>
                <w:rFonts w:ascii="Arial" w:cs="Arial" w:eastAsia="Arial" w:hAnsi="Arial"/>
                <w:sz w:val="20"/>
                <w:szCs w:val="20"/>
                <w:color w:val="auto"/>
                <w:w w:val="98"/>
              </w:rPr>
              <w:t>17</w:t>
            </w:r>
          </w:p>
        </w:tc>
        <w:tc>
          <w:tcPr>
            <w:tcW w:w="200" w:type="dxa"/>
            <w:vAlign w:val="bottom"/>
          </w:tcPr>
          <w:p>
            <w:pPr>
              <w:spacing w:after="0"/>
              <w:rPr>
                <w:sz w:val="20"/>
                <w:szCs w:val="20"/>
                <w:color w:val="auto"/>
              </w:rPr>
            </w:pPr>
          </w:p>
        </w:tc>
        <w:tc>
          <w:tcPr>
            <w:tcW w:w="840" w:type="dxa"/>
            <w:vAlign w:val="bottom"/>
          </w:tcPr>
          <w:p>
            <w:pPr>
              <w:jc w:val="right"/>
              <w:ind w:right="224"/>
              <w:spacing w:after="0" w:line="224" w:lineRule="exact"/>
              <w:rPr>
                <w:sz w:val="20"/>
                <w:szCs w:val="20"/>
                <w:color w:val="auto"/>
              </w:rPr>
            </w:pPr>
            <w:r>
              <w:rPr>
                <w:rFonts w:ascii="Arial" w:cs="Arial" w:eastAsia="Arial" w:hAnsi="Arial"/>
                <w:sz w:val="20"/>
                <w:szCs w:val="20"/>
                <w:color w:val="auto"/>
              </w:rPr>
              <w:t>—</w:t>
            </w:r>
          </w:p>
        </w:tc>
        <w:tc>
          <w:tcPr>
            <w:tcW w:w="1440" w:type="dxa"/>
            <w:vAlign w:val="bottom"/>
            <w:gridSpan w:val="2"/>
          </w:tcPr>
          <w:p>
            <w:pPr>
              <w:jc w:val="center"/>
              <w:ind w:left="100"/>
              <w:spacing w:after="0" w:line="224" w:lineRule="exact"/>
              <w:rPr>
                <w:sz w:val="20"/>
                <w:szCs w:val="20"/>
                <w:color w:val="auto"/>
              </w:rPr>
            </w:pPr>
            <w:r>
              <w:rPr>
                <w:rFonts w:ascii="Arial" w:cs="Arial" w:eastAsia="Arial" w:hAnsi="Arial"/>
                <w:sz w:val="20"/>
                <w:szCs w:val="20"/>
                <w:color w:val="auto"/>
                <w:w w:val="95"/>
              </w:rPr>
              <w:t>265</w:t>
            </w:r>
          </w:p>
        </w:tc>
        <w:tc>
          <w:tcPr>
            <w:tcW w:w="1300" w:type="dxa"/>
            <w:vAlign w:val="bottom"/>
            <w:gridSpan w:val="2"/>
          </w:tcPr>
          <w:p>
            <w:pPr>
              <w:jc w:val="right"/>
              <w:ind w:right="280"/>
              <w:spacing w:after="0" w:line="224" w:lineRule="exact"/>
              <w:rPr>
                <w:sz w:val="20"/>
                <w:szCs w:val="20"/>
                <w:color w:val="auto"/>
              </w:rPr>
            </w:pPr>
            <w:r>
              <w:rPr>
                <w:rFonts w:ascii="Arial" w:cs="Arial" w:eastAsia="Arial" w:hAnsi="Arial"/>
                <w:sz w:val="20"/>
                <w:szCs w:val="20"/>
                <w:color w:val="auto"/>
              </w:rPr>
              <w:t>142</w:t>
            </w:r>
          </w:p>
        </w:tc>
        <w:tc>
          <w:tcPr>
            <w:tcW w:w="1260" w:type="dxa"/>
            <w:vAlign w:val="bottom"/>
            <w:gridSpan w:val="2"/>
          </w:tcPr>
          <w:p>
            <w:pPr>
              <w:jc w:val="right"/>
              <w:ind w:right="180"/>
              <w:spacing w:after="0" w:line="224" w:lineRule="exact"/>
              <w:rPr>
                <w:sz w:val="20"/>
                <w:szCs w:val="20"/>
                <w:color w:val="auto"/>
              </w:rPr>
            </w:pPr>
            <w:r>
              <w:rPr>
                <w:rFonts w:ascii="Arial" w:cs="Arial" w:eastAsia="Arial" w:hAnsi="Arial"/>
                <w:sz w:val="20"/>
                <w:szCs w:val="20"/>
                <w:color w:val="auto"/>
              </w:rPr>
              <w:t>1,432</w:t>
            </w:r>
          </w:p>
        </w:tc>
      </w:tr>
      <w:tr>
        <w:trPr>
          <w:trHeight w:val="240"/>
        </w:trPr>
        <w:tc>
          <w:tcPr>
            <w:tcW w:w="1540" w:type="dxa"/>
            <w:vAlign w:val="bottom"/>
          </w:tcPr>
          <w:p>
            <w:pPr>
              <w:jc w:val="right"/>
              <w:ind w:right="100"/>
              <w:spacing w:after="0" w:line="240" w:lineRule="exact"/>
              <w:rPr>
                <w:sz w:val="20"/>
                <w:szCs w:val="20"/>
                <w:color w:val="auto"/>
              </w:rPr>
            </w:pPr>
            <w:r>
              <w:rPr>
                <w:rFonts w:ascii="Arial" w:cs="Arial" w:eastAsia="Arial" w:hAnsi="Arial"/>
                <w:sz w:val="20"/>
                <w:szCs w:val="20"/>
                <w:color w:val="auto"/>
              </w:rPr>
              <w:t>Net</w:t>
            </w:r>
            <w:r>
              <w:rPr>
                <w:rFonts w:ascii="Arial" w:cs="Arial" w:eastAsia="Arial" w:hAnsi="Arial"/>
                <w:sz w:val="26"/>
                <w:szCs w:val="26"/>
                <w:color w:val="auto"/>
                <w:vertAlign w:val="superscript"/>
              </w:rPr>
              <w:t>(d)</w:t>
            </w:r>
            <w:r>
              <w:rPr>
                <w:rFonts w:ascii="Arial" w:cs="Arial" w:eastAsia="Arial" w:hAnsi="Arial"/>
                <w:sz w:val="20"/>
                <w:szCs w:val="20"/>
                <w:color w:val="auto"/>
              </w:rPr>
              <w:t xml:space="preserve">  . . . . . .</w:t>
            </w:r>
          </w:p>
        </w:tc>
        <w:tc>
          <w:tcPr>
            <w:tcW w:w="1280" w:type="dxa"/>
            <w:vAlign w:val="bottom"/>
          </w:tcPr>
          <w:p>
            <w:pPr>
              <w:jc w:val="right"/>
              <w:ind w:right="300"/>
              <w:spacing w:after="0" w:line="224" w:lineRule="exact"/>
              <w:rPr>
                <w:sz w:val="20"/>
                <w:szCs w:val="20"/>
                <w:color w:val="auto"/>
              </w:rPr>
            </w:pPr>
            <w:r>
              <w:rPr>
                <w:rFonts w:ascii="Arial" w:cs="Arial" w:eastAsia="Arial" w:hAnsi="Arial"/>
                <w:sz w:val="20"/>
                <w:szCs w:val="20"/>
                <w:color w:val="auto"/>
              </w:rPr>
              <w:t>827</w:t>
            </w:r>
          </w:p>
        </w:tc>
        <w:tc>
          <w:tcPr>
            <w:tcW w:w="1500" w:type="dxa"/>
            <w:vAlign w:val="bottom"/>
            <w:gridSpan w:val="2"/>
          </w:tcPr>
          <w:p>
            <w:pPr>
              <w:jc w:val="center"/>
              <w:ind w:left="100"/>
              <w:spacing w:after="0" w:line="224" w:lineRule="exact"/>
              <w:rPr>
                <w:sz w:val="20"/>
                <w:szCs w:val="20"/>
                <w:color w:val="auto"/>
              </w:rPr>
            </w:pPr>
            <w:r>
              <w:rPr>
                <w:rFonts w:ascii="Arial" w:cs="Arial" w:eastAsia="Arial" w:hAnsi="Arial"/>
                <w:sz w:val="20"/>
                <w:szCs w:val="20"/>
                <w:color w:val="auto"/>
                <w:w w:val="98"/>
              </w:rPr>
              <w:t>14</w:t>
            </w:r>
          </w:p>
        </w:tc>
        <w:tc>
          <w:tcPr>
            <w:tcW w:w="200" w:type="dxa"/>
            <w:vAlign w:val="bottom"/>
          </w:tcPr>
          <w:p>
            <w:pPr>
              <w:spacing w:after="0"/>
              <w:rPr>
                <w:sz w:val="20"/>
                <w:szCs w:val="20"/>
                <w:color w:val="auto"/>
              </w:rPr>
            </w:pPr>
          </w:p>
        </w:tc>
        <w:tc>
          <w:tcPr>
            <w:tcW w:w="840" w:type="dxa"/>
            <w:vAlign w:val="bottom"/>
          </w:tcPr>
          <w:p>
            <w:pPr>
              <w:jc w:val="right"/>
              <w:ind w:right="224"/>
              <w:spacing w:after="0" w:line="224" w:lineRule="exact"/>
              <w:rPr>
                <w:sz w:val="20"/>
                <w:szCs w:val="20"/>
                <w:color w:val="auto"/>
              </w:rPr>
            </w:pPr>
            <w:r>
              <w:rPr>
                <w:rFonts w:ascii="Arial" w:cs="Arial" w:eastAsia="Arial" w:hAnsi="Arial"/>
                <w:sz w:val="20"/>
                <w:szCs w:val="20"/>
                <w:color w:val="auto"/>
              </w:rPr>
              <w:t>—</w:t>
            </w:r>
          </w:p>
        </w:tc>
        <w:tc>
          <w:tcPr>
            <w:tcW w:w="1440" w:type="dxa"/>
            <w:vAlign w:val="bottom"/>
            <w:gridSpan w:val="2"/>
          </w:tcPr>
          <w:p>
            <w:pPr>
              <w:jc w:val="center"/>
              <w:ind w:left="100"/>
              <w:spacing w:after="0" w:line="224" w:lineRule="exact"/>
              <w:rPr>
                <w:sz w:val="20"/>
                <w:szCs w:val="20"/>
                <w:color w:val="auto"/>
              </w:rPr>
            </w:pPr>
            <w:r>
              <w:rPr>
                <w:rFonts w:ascii="Arial" w:cs="Arial" w:eastAsia="Arial" w:hAnsi="Arial"/>
                <w:sz w:val="20"/>
                <w:szCs w:val="20"/>
                <w:color w:val="auto"/>
                <w:w w:val="95"/>
              </w:rPr>
              <w:t>220</w:t>
            </w:r>
          </w:p>
        </w:tc>
        <w:tc>
          <w:tcPr>
            <w:tcW w:w="1300" w:type="dxa"/>
            <w:vAlign w:val="bottom"/>
            <w:gridSpan w:val="2"/>
          </w:tcPr>
          <w:p>
            <w:pPr>
              <w:jc w:val="right"/>
              <w:ind w:right="280"/>
              <w:spacing w:after="0" w:line="224" w:lineRule="exact"/>
              <w:rPr>
                <w:sz w:val="20"/>
                <w:szCs w:val="20"/>
                <w:color w:val="auto"/>
              </w:rPr>
            </w:pPr>
            <w:r>
              <w:rPr>
                <w:rFonts w:ascii="Arial" w:cs="Arial" w:eastAsia="Arial" w:hAnsi="Arial"/>
                <w:sz w:val="20"/>
                <w:szCs w:val="20"/>
                <w:color w:val="auto"/>
              </w:rPr>
              <w:t>117</w:t>
            </w:r>
          </w:p>
        </w:tc>
        <w:tc>
          <w:tcPr>
            <w:tcW w:w="1260" w:type="dxa"/>
            <w:vAlign w:val="bottom"/>
            <w:gridSpan w:val="2"/>
          </w:tcPr>
          <w:p>
            <w:pPr>
              <w:jc w:val="right"/>
              <w:ind w:right="180"/>
              <w:spacing w:after="0" w:line="224" w:lineRule="exact"/>
              <w:rPr>
                <w:sz w:val="20"/>
                <w:szCs w:val="20"/>
                <w:color w:val="auto"/>
              </w:rPr>
            </w:pPr>
            <w:r>
              <w:rPr>
                <w:rFonts w:ascii="Arial" w:cs="Arial" w:eastAsia="Arial" w:hAnsi="Arial"/>
                <w:sz w:val="20"/>
                <w:szCs w:val="20"/>
                <w:color w:val="auto"/>
              </w:rPr>
              <w:t>1,178</w:t>
            </w:r>
          </w:p>
        </w:tc>
      </w:tr>
      <w:tr>
        <w:trPr>
          <w:trHeight w:val="224"/>
        </w:trPr>
        <w:tc>
          <w:tcPr>
            <w:tcW w:w="1540" w:type="dxa"/>
            <w:vAlign w:val="bottom"/>
          </w:tcPr>
          <w:p>
            <w:pPr>
              <w:spacing w:after="0" w:line="224" w:lineRule="exact"/>
              <w:rPr>
                <w:sz w:val="20"/>
                <w:szCs w:val="20"/>
                <w:color w:val="auto"/>
              </w:rPr>
            </w:pPr>
            <w:r>
              <w:rPr>
                <w:rFonts w:ascii="Arial" w:cs="Arial" w:eastAsia="Arial" w:hAnsi="Arial"/>
                <w:sz w:val="20"/>
                <w:szCs w:val="20"/>
                <w:color w:val="auto"/>
              </w:rPr>
              <w:t>Total</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6"/>
        </w:trPr>
        <w:tc>
          <w:tcPr>
            <w:tcW w:w="1540" w:type="dxa"/>
            <w:vAlign w:val="bottom"/>
          </w:tcPr>
          <w:p>
            <w:pPr>
              <w:jc w:val="right"/>
              <w:ind w:right="100"/>
              <w:spacing w:after="0" w:line="256" w:lineRule="exact"/>
              <w:rPr>
                <w:sz w:val="20"/>
                <w:szCs w:val="20"/>
                <w:color w:val="auto"/>
              </w:rPr>
            </w:pPr>
            <w:r>
              <w:rPr>
                <w:rFonts w:ascii="Arial" w:cs="Arial" w:eastAsia="Arial" w:hAnsi="Arial"/>
                <w:sz w:val="20"/>
                <w:szCs w:val="20"/>
                <w:color w:val="auto"/>
              </w:rPr>
              <w:t>Gross</w:t>
            </w:r>
            <w:r>
              <w:rPr>
                <w:rFonts w:ascii="Arial" w:cs="Arial" w:eastAsia="Arial" w:hAnsi="Arial"/>
                <w:sz w:val="26"/>
                <w:szCs w:val="26"/>
                <w:color w:val="auto"/>
                <w:vertAlign w:val="superscript"/>
              </w:rPr>
              <w:t>(c)</w:t>
            </w:r>
            <w:r>
              <w:rPr>
                <w:rFonts w:ascii="Arial" w:cs="Arial" w:eastAsia="Arial" w:hAnsi="Arial"/>
                <w:sz w:val="20"/>
                <w:szCs w:val="20"/>
                <w:color w:val="auto"/>
              </w:rPr>
              <w:t xml:space="preserve">  . . . .</w:t>
            </w:r>
          </w:p>
        </w:tc>
        <w:tc>
          <w:tcPr>
            <w:tcW w:w="1280" w:type="dxa"/>
            <w:vAlign w:val="bottom"/>
          </w:tcPr>
          <w:p>
            <w:pPr>
              <w:jc w:val="right"/>
              <w:ind w:right="300"/>
              <w:spacing w:after="0"/>
              <w:rPr>
                <w:sz w:val="20"/>
                <w:szCs w:val="20"/>
                <w:color w:val="auto"/>
              </w:rPr>
            </w:pPr>
            <w:r>
              <w:rPr>
                <w:rFonts w:ascii="Arial" w:cs="Arial" w:eastAsia="Arial" w:hAnsi="Arial"/>
                <w:sz w:val="20"/>
                <w:szCs w:val="20"/>
                <w:color w:val="auto"/>
              </w:rPr>
              <w:t>1,468</w:t>
            </w:r>
          </w:p>
        </w:tc>
        <w:tc>
          <w:tcPr>
            <w:tcW w:w="1500" w:type="dxa"/>
            <w:vAlign w:val="bottom"/>
            <w:gridSpan w:val="2"/>
          </w:tcPr>
          <w:p>
            <w:pPr>
              <w:jc w:val="center"/>
              <w:ind w:left="100"/>
              <w:spacing w:after="0"/>
              <w:rPr>
                <w:sz w:val="20"/>
                <w:szCs w:val="20"/>
                <w:color w:val="auto"/>
              </w:rPr>
            </w:pPr>
            <w:r>
              <w:rPr>
                <w:rFonts w:ascii="Arial" w:cs="Arial" w:eastAsia="Arial" w:hAnsi="Arial"/>
                <w:sz w:val="20"/>
                <w:szCs w:val="20"/>
                <w:color w:val="auto"/>
                <w:w w:val="98"/>
              </w:rPr>
              <w:t>37</w:t>
            </w:r>
          </w:p>
        </w:tc>
        <w:tc>
          <w:tcPr>
            <w:tcW w:w="1040" w:type="dxa"/>
            <w:vAlign w:val="bottom"/>
            <w:gridSpan w:val="2"/>
          </w:tcPr>
          <w:p>
            <w:pPr>
              <w:jc w:val="right"/>
              <w:ind w:right="224"/>
              <w:spacing w:after="0"/>
              <w:rPr>
                <w:sz w:val="20"/>
                <w:szCs w:val="20"/>
                <w:color w:val="auto"/>
              </w:rPr>
            </w:pPr>
            <w:r>
              <w:rPr>
                <w:rFonts w:ascii="Arial" w:cs="Arial" w:eastAsia="Arial" w:hAnsi="Arial"/>
                <w:sz w:val="20"/>
                <w:szCs w:val="20"/>
                <w:color w:val="auto"/>
              </w:rPr>
              <w:t>6</w:t>
            </w:r>
          </w:p>
        </w:tc>
        <w:tc>
          <w:tcPr>
            <w:tcW w:w="1440" w:type="dxa"/>
            <w:vAlign w:val="bottom"/>
            <w:gridSpan w:val="2"/>
          </w:tcPr>
          <w:p>
            <w:pPr>
              <w:jc w:val="center"/>
              <w:ind w:left="100"/>
              <w:spacing w:after="0"/>
              <w:rPr>
                <w:sz w:val="20"/>
                <w:szCs w:val="20"/>
                <w:color w:val="auto"/>
              </w:rPr>
            </w:pPr>
            <w:r>
              <w:rPr>
                <w:rFonts w:ascii="Arial" w:cs="Arial" w:eastAsia="Arial" w:hAnsi="Arial"/>
                <w:sz w:val="20"/>
                <w:szCs w:val="20"/>
                <w:color w:val="auto"/>
                <w:w w:val="95"/>
              </w:rPr>
              <w:t>524</w:t>
            </w:r>
          </w:p>
        </w:tc>
        <w:tc>
          <w:tcPr>
            <w:tcW w:w="1300" w:type="dxa"/>
            <w:vAlign w:val="bottom"/>
            <w:gridSpan w:val="2"/>
          </w:tcPr>
          <w:p>
            <w:pPr>
              <w:jc w:val="right"/>
              <w:ind w:right="280"/>
              <w:spacing w:after="0"/>
              <w:rPr>
                <w:sz w:val="20"/>
                <w:szCs w:val="20"/>
                <w:color w:val="auto"/>
              </w:rPr>
            </w:pPr>
            <w:r>
              <w:rPr>
                <w:rFonts w:ascii="Arial" w:cs="Arial" w:eastAsia="Arial" w:hAnsi="Arial"/>
                <w:sz w:val="20"/>
                <w:szCs w:val="20"/>
                <w:color w:val="auto"/>
              </w:rPr>
              <w:t>144</w:t>
            </w:r>
          </w:p>
        </w:tc>
        <w:tc>
          <w:tcPr>
            <w:tcW w:w="1260" w:type="dxa"/>
            <w:vAlign w:val="bottom"/>
            <w:gridSpan w:val="2"/>
          </w:tcPr>
          <w:p>
            <w:pPr>
              <w:jc w:val="right"/>
              <w:ind w:right="180"/>
              <w:spacing w:after="0"/>
              <w:rPr>
                <w:sz w:val="20"/>
                <w:szCs w:val="20"/>
                <w:color w:val="auto"/>
              </w:rPr>
            </w:pPr>
            <w:r>
              <w:rPr>
                <w:rFonts w:ascii="Arial" w:cs="Arial" w:eastAsia="Arial" w:hAnsi="Arial"/>
                <w:sz w:val="20"/>
                <w:szCs w:val="20"/>
                <w:color w:val="auto"/>
              </w:rPr>
              <w:t>2,179</w:t>
            </w:r>
          </w:p>
        </w:tc>
      </w:tr>
      <w:tr>
        <w:trPr>
          <w:trHeight w:val="300"/>
        </w:trPr>
        <w:tc>
          <w:tcPr>
            <w:tcW w:w="1540" w:type="dxa"/>
            <w:vAlign w:val="bottom"/>
          </w:tcPr>
          <w:p>
            <w:pPr>
              <w:jc w:val="right"/>
              <w:ind w:right="100"/>
              <w:spacing w:after="0"/>
              <w:rPr>
                <w:sz w:val="20"/>
                <w:szCs w:val="20"/>
                <w:color w:val="auto"/>
              </w:rPr>
            </w:pPr>
            <w:r>
              <w:rPr>
                <w:rFonts w:ascii="Arial" w:cs="Arial" w:eastAsia="Arial" w:hAnsi="Arial"/>
                <w:sz w:val="20"/>
                <w:szCs w:val="20"/>
                <w:color w:val="auto"/>
              </w:rPr>
              <w:t>Net</w:t>
            </w:r>
            <w:r>
              <w:rPr>
                <w:rFonts w:ascii="Arial" w:cs="Arial" w:eastAsia="Arial" w:hAnsi="Arial"/>
                <w:sz w:val="26"/>
                <w:szCs w:val="26"/>
                <w:color w:val="auto"/>
                <w:vertAlign w:val="superscript"/>
              </w:rPr>
              <w:t>(d)</w:t>
            </w:r>
            <w:r>
              <w:rPr>
                <w:rFonts w:ascii="Arial" w:cs="Arial" w:eastAsia="Arial" w:hAnsi="Arial"/>
                <w:sz w:val="20"/>
                <w:szCs w:val="20"/>
                <w:color w:val="auto"/>
              </w:rPr>
              <w:t xml:space="preserve">  . . . . . .</w:t>
            </w:r>
          </w:p>
        </w:tc>
        <w:tc>
          <w:tcPr>
            <w:tcW w:w="1280" w:type="dxa"/>
            <w:vAlign w:val="bottom"/>
          </w:tcPr>
          <w:p>
            <w:pPr>
              <w:jc w:val="right"/>
              <w:ind w:right="300"/>
              <w:spacing w:after="0" w:line="224" w:lineRule="exact"/>
              <w:rPr>
                <w:sz w:val="20"/>
                <w:szCs w:val="20"/>
                <w:color w:val="auto"/>
              </w:rPr>
            </w:pPr>
            <w:r>
              <w:rPr>
                <w:rFonts w:ascii="Arial" w:cs="Arial" w:eastAsia="Arial" w:hAnsi="Arial"/>
                <w:sz w:val="20"/>
                <w:szCs w:val="20"/>
                <w:color w:val="auto"/>
              </w:rPr>
              <w:t>1,248</w:t>
            </w:r>
          </w:p>
        </w:tc>
        <w:tc>
          <w:tcPr>
            <w:tcW w:w="1500" w:type="dxa"/>
            <w:vAlign w:val="bottom"/>
            <w:gridSpan w:val="2"/>
          </w:tcPr>
          <w:p>
            <w:pPr>
              <w:jc w:val="center"/>
              <w:ind w:left="100"/>
              <w:spacing w:after="0" w:line="224" w:lineRule="exact"/>
              <w:rPr>
                <w:sz w:val="20"/>
                <w:szCs w:val="20"/>
                <w:color w:val="auto"/>
              </w:rPr>
            </w:pPr>
            <w:r>
              <w:rPr>
                <w:rFonts w:ascii="Arial" w:cs="Arial" w:eastAsia="Arial" w:hAnsi="Arial"/>
                <w:sz w:val="20"/>
                <w:szCs w:val="20"/>
                <w:color w:val="auto"/>
                <w:w w:val="98"/>
              </w:rPr>
              <w:t>29</w:t>
            </w:r>
          </w:p>
        </w:tc>
        <w:tc>
          <w:tcPr>
            <w:tcW w:w="1040" w:type="dxa"/>
            <w:vAlign w:val="bottom"/>
            <w:gridSpan w:val="2"/>
          </w:tcPr>
          <w:p>
            <w:pPr>
              <w:jc w:val="right"/>
              <w:ind w:right="224"/>
              <w:spacing w:after="0" w:line="224" w:lineRule="exact"/>
              <w:rPr>
                <w:sz w:val="20"/>
                <w:szCs w:val="20"/>
                <w:color w:val="auto"/>
              </w:rPr>
            </w:pPr>
            <w:r>
              <w:rPr>
                <w:rFonts w:ascii="Arial" w:cs="Arial" w:eastAsia="Arial" w:hAnsi="Arial"/>
                <w:sz w:val="20"/>
                <w:szCs w:val="20"/>
                <w:color w:val="auto"/>
              </w:rPr>
              <w:t>6</w:t>
            </w:r>
          </w:p>
        </w:tc>
        <w:tc>
          <w:tcPr>
            <w:tcW w:w="1440" w:type="dxa"/>
            <w:vAlign w:val="bottom"/>
            <w:gridSpan w:val="2"/>
          </w:tcPr>
          <w:p>
            <w:pPr>
              <w:jc w:val="center"/>
              <w:ind w:left="100"/>
              <w:spacing w:after="0" w:line="224" w:lineRule="exact"/>
              <w:rPr>
                <w:sz w:val="20"/>
                <w:szCs w:val="20"/>
                <w:color w:val="auto"/>
              </w:rPr>
            </w:pPr>
            <w:r>
              <w:rPr>
                <w:rFonts w:ascii="Arial" w:cs="Arial" w:eastAsia="Arial" w:hAnsi="Arial"/>
                <w:sz w:val="20"/>
                <w:szCs w:val="20"/>
                <w:color w:val="auto"/>
                <w:w w:val="95"/>
              </w:rPr>
              <w:t>466</w:t>
            </w:r>
          </w:p>
        </w:tc>
        <w:tc>
          <w:tcPr>
            <w:tcW w:w="1300" w:type="dxa"/>
            <w:vAlign w:val="bottom"/>
            <w:gridSpan w:val="2"/>
          </w:tcPr>
          <w:p>
            <w:pPr>
              <w:jc w:val="right"/>
              <w:ind w:right="280"/>
              <w:spacing w:after="0" w:line="224" w:lineRule="exact"/>
              <w:rPr>
                <w:sz w:val="20"/>
                <w:szCs w:val="20"/>
                <w:color w:val="auto"/>
              </w:rPr>
            </w:pPr>
            <w:r>
              <w:rPr>
                <w:rFonts w:ascii="Arial" w:cs="Arial" w:eastAsia="Arial" w:hAnsi="Arial"/>
                <w:sz w:val="20"/>
                <w:szCs w:val="20"/>
                <w:color w:val="auto"/>
              </w:rPr>
              <w:t>118</w:t>
            </w:r>
          </w:p>
        </w:tc>
        <w:tc>
          <w:tcPr>
            <w:tcW w:w="1260" w:type="dxa"/>
            <w:vAlign w:val="bottom"/>
            <w:gridSpan w:val="2"/>
          </w:tcPr>
          <w:p>
            <w:pPr>
              <w:jc w:val="right"/>
              <w:ind w:right="180"/>
              <w:spacing w:after="0" w:line="224" w:lineRule="exact"/>
              <w:rPr>
                <w:sz w:val="20"/>
                <w:szCs w:val="20"/>
                <w:color w:val="auto"/>
              </w:rPr>
            </w:pPr>
            <w:r>
              <w:rPr>
                <w:rFonts w:ascii="Arial" w:cs="Arial" w:eastAsia="Arial" w:hAnsi="Arial"/>
                <w:sz w:val="20"/>
                <w:szCs w:val="20"/>
                <w:color w:val="auto"/>
              </w:rPr>
              <w:t>1,867</w:t>
            </w:r>
          </w:p>
        </w:tc>
      </w:tr>
    </w:tbl>
    <w:p>
      <w:pPr>
        <w:ind w:left="520" w:right="340" w:hanging="328"/>
        <w:spacing w:after="0" w:line="242" w:lineRule="auto"/>
        <w:tabs>
          <w:tab w:leader="none" w:pos="52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Reflects remaining mineral acreage to be retained in the Ventura Basin and nearby areas. See </w:t>
      </w:r>
      <w:r>
        <w:rPr>
          <w:rFonts w:ascii="Arial" w:cs="Arial" w:eastAsia="Arial" w:hAnsi="Arial"/>
          <w:sz w:val="16"/>
          <w:szCs w:val="16"/>
          <w:i w:val="1"/>
          <w:iCs w:val="1"/>
          <w:color w:val="auto"/>
        </w:rPr>
        <w:t>Part II, Item 8 –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Statements and Supplementary Data, Note 3 Divestitures and Acquisitions </w:t>
      </w:r>
      <w:r>
        <w:rPr>
          <w:rFonts w:ascii="Arial" w:cs="Arial" w:eastAsia="Arial" w:hAnsi="Arial"/>
          <w:sz w:val="16"/>
          <w:szCs w:val="16"/>
          <w:color w:val="auto"/>
        </w:rPr>
        <w:t>for more information on our Ventura Basin</w:t>
      </w:r>
      <w:r>
        <w:rPr>
          <w:rFonts w:ascii="Arial" w:cs="Arial" w:eastAsia="Arial" w:hAnsi="Arial"/>
          <w:sz w:val="16"/>
          <w:szCs w:val="16"/>
          <w:i w:val="1"/>
          <w:iCs w:val="1"/>
          <w:color w:val="auto"/>
        </w:rPr>
        <w:t xml:space="preserve"> </w:t>
      </w:r>
      <w:r>
        <w:rPr>
          <w:rFonts w:ascii="Arial" w:cs="Arial" w:eastAsia="Arial" w:hAnsi="Arial"/>
          <w:sz w:val="16"/>
          <w:szCs w:val="16"/>
          <w:color w:val="auto"/>
        </w:rPr>
        <w:t>divestiture.</w:t>
      </w:r>
    </w:p>
    <w:p>
      <w:pPr>
        <w:spacing w:after="0" w:line="15" w:lineRule="exact"/>
        <w:rPr>
          <w:rFonts w:ascii="Arial" w:cs="Arial" w:eastAsia="Arial" w:hAnsi="Arial"/>
          <w:sz w:val="16"/>
          <w:szCs w:val="16"/>
          <w:color w:val="auto"/>
        </w:rPr>
      </w:pPr>
    </w:p>
    <w:p>
      <w:pPr>
        <w:ind w:left="520" w:hanging="328"/>
        <w:spacing w:after="0"/>
        <w:tabs>
          <w:tab w:leader="none" w:pos="520" w:val="left"/>
        </w:tabs>
        <w:numPr>
          <w:ilvl w:val="0"/>
          <w:numId w:val="8"/>
        </w:numPr>
        <w:rPr>
          <w:rFonts w:ascii="Arial" w:cs="Arial" w:eastAsia="Arial" w:hAnsi="Arial"/>
          <w:sz w:val="16"/>
          <w:szCs w:val="16"/>
          <w:color w:val="auto"/>
        </w:rPr>
      </w:pPr>
      <w:r>
        <w:rPr>
          <w:rFonts w:ascii="Arial" w:cs="Arial" w:eastAsia="Arial" w:hAnsi="Arial"/>
          <w:sz w:val="16"/>
          <w:szCs w:val="16"/>
          <w:color w:val="auto"/>
        </w:rPr>
        <w:t>Mineral acres spaced or assigned to productive wells.</w:t>
      </w:r>
    </w:p>
    <w:p>
      <w:pPr>
        <w:spacing w:after="0" w:line="16" w:lineRule="exact"/>
        <w:rPr>
          <w:rFonts w:ascii="Arial" w:cs="Arial" w:eastAsia="Arial" w:hAnsi="Arial"/>
          <w:sz w:val="16"/>
          <w:szCs w:val="16"/>
          <w:color w:val="auto"/>
        </w:rPr>
      </w:pPr>
    </w:p>
    <w:p>
      <w:pPr>
        <w:ind w:left="520" w:hanging="328"/>
        <w:spacing w:after="0"/>
        <w:tabs>
          <w:tab w:leader="none" w:pos="5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Total number of mineral acres in which interests are owned.</w:t>
      </w:r>
    </w:p>
    <w:p>
      <w:pPr>
        <w:spacing w:after="0" w:line="16" w:lineRule="exact"/>
        <w:rPr>
          <w:rFonts w:ascii="Arial" w:cs="Arial" w:eastAsia="Arial" w:hAnsi="Arial"/>
          <w:sz w:val="16"/>
          <w:szCs w:val="16"/>
          <w:color w:val="auto"/>
        </w:rPr>
      </w:pPr>
    </w:p>
    <w:p>
      <w:pPr>
        <w:ind w:left="520" w:hanging="328"/>
        <w:spacing w:after="0"/>
        <w:tabs>
          <w:tab w:leader="none" w:pos="520" w:val="left"/>
        </w:tabs>
        <w:numPr>
          <w:ilvl w:val="0"/>
          <w:numId w:val="8"/>
        </w:numPr>
        <w:rPr>
          <w:rFonts w:ascii="Arial" w:cs="Arial" w:eastAsia="Arial" w:hAnsi="Arial"/>
          <w:sz w:val="16"/>
          <w:szCs w:val="16"/>
          <w:color w:val="auto"/>
        </w:rPr>
      </w:pPr>
      <w:r>
        <w:rPr>
          <w:rFonts w:ascii="Arial" w:cs="Arial" w:eastAsia="Arial" w:hAnsi="Arial"/>
          <w:sz w:val="16"/>
          <w:szCs w:val="16"/>
          <w:color w:val="auto"/>
        </w:rPr>
        <w:t>Net mineral acreage includes acreage reduced to our fractional ownership interest and interests under our PSCs.</w:t>
      </w:r>
    </w:p>
    <w:p>
      <w:pPr>
        <w:spacing w:after="0" w:line="21" w:lineRule="exact"/>
        <w:rPr>
          <w:rFonts w:ascii="Arial" w:cs="Arial" w:eastAsia="Arial" w:hAnsi="Arial"/>
          <w:sz w:val="16"/>
          <w:szCs w:val="16"/>
          <w:color w:val="auto"/>
        </w:rPr>
      </w:pPr>
    </w:p>
    <w:p>
      <w:pPr>
        <w:ind w:left="520" w:right="260" w:hanging="328"/>
        <w:spacing w:after="0" w:line="254" w:lineRule="auto"/>
        <w:tabs>
          <w:tab w:leader="none" w:pos="520" w:val="left"/>
        </w:tabs>
        <w:numPr>
          <w:ilvl w:val="0"/>
          <w:numId w:val="8"/>
        </w:numPr>
        <w:rPr>
          <w:rFonts w:ascii="Arial" w:cs="Arial" w:eastAsia="Arial" w:hAnsi="Arial"/>
          <w:sz w:val="16"/>
          <w:szCs w:val="16"/>
          <w:color w:val="auto"/>
        </w:rPr>
      </w:pPr>
      <w:r>
        <w:rPr>
          <w:rFonts w:ascii="Arial" w:cs="Arial" w:eastAsia="Arial" w:hAnsi="Arial"/>
          <w:sz w:val="16"/>
          <w:szCs w:val="16"/>
          <w:color w:val="auto"/>
        </w:rPr>
        <w:t>Mineral acres on which wells have not been drilled or completed to a point that would permit the production of commercial quantities of oil and natural gas, regardless of whether the mineral acreage contains proved reserves.</w:t>
      </w:r>
    </w:p>
    <w:p>
      <w:pPr>
        <w:spacing w:after="0" w:line="214" w:lineRule="exact"/>
        <w:rPr>
          <w:sz w:val="20"/>
          <w:szCs w:val="20"/>
          <w:color w:val="auto"/>
        </w:rPr>
      </w:pPr>
    </w:p>
    <w:p>
      <w:pPr>
        <w:ind w:right="280" w:firstLine="300"/>
        <w:spacing w:after="0" w:line="249" w:lineRule="auto"/>
        <w:rPr>
          <w:sz w:val="20"/>
          <w:szCs w:val="20"/>
          <w:color w:val="auto"/>
        </w:rPr>
      </w:pPr>
      <w:r>
        <w:rPr>
          <w:rFonts w:ascii="Arial" w:cs="Arial" w:eastAsia="Arial" w:hAnsi="Arial"/>
          <w:sz w:val="20"/>
          <w:szCs w:val="20"/>
          <w:color w:val="auto"/>
        </w:rPr>
        <w:t>At December 31, 2022, 71% of our total net mineral interest position was held in fee and the remainder was leased. Of our leased acreage, approximately 63% is held by production and the remainder is subject to lease expiration if initial wells are not drilled within a specified period of time. The primary terms of our leases range from one to twenty years. The terms of these leases are typically extended upon achieving commercial production for so long as such production is maintained. Work programs are designed to ensure that the economic potential of any leased property is evaluated before expiration. In some instances, we may relinquish leased acreage in advance of the contractual expiration date if the evaluation process is complete and there is no longer a commercial reason for leasing that acreage. In cases where we determine we want to take the additional time required to fully evaluate undeveloped acreage, we have generally been successful in obtaining extensions.</w:t>
      </w:r>
    </w:p>
    <w:p>
      <w:pPr>
        <w:spacing w:after="0" w:line="214" w:lineRule="exact"/>
        <w:rPr>
          <w:sz w:val="20"/>
          <w:szCs w:val="20"/>
          <w:color w:val="auto"/>
        </w:rPr>
      </w:pPr>
    </w:p>
    <w:p>
      <w:pPr>
        <w:ind w:right="260" w:firstLine="300"/>
        <w:spacing w:after="0" w:line="249" w:lineRule="auto"/>
        <w:rPr>
          <w:sz w:val="20"/>
          <w:szCs w:val="20"/>
          <w:color w:val="auto"/>
        </w:rPr>
      </w:pPr>
      <w:r>
        <w:rPr>
          <w:rFonts w:ascii="Arial" w:cs="Arial" w:eastAsia="Arial" w:hAnsi="Arial"/>
          <w:sz w:val="20"/>
          <w:szCs w:val="20"/>
          <w:color w:val="auto"/>
        </w:rPr>
        <w:t>If we are not able to establish production or otherwise extend lease terms, approximately 41,000 net mineral acres will expire in 2023, 35,000 net mineral acres will expire in 2024 and 14,000 net mineral acres will expire in 2025. These leases represent 8% of our total net undeveloped acreage and 5% of our total net acreage as of December 31, 2022 and these expirations, should they occur, would not have a material adverse impact on us. Historically, we have not dedicated any significant portion of our capital program to prevent lease expirations and do not expect to do so in the future.</w:t>
      </w:r>
    </w:p>
    <w:p>
      <w:pPr>
        <w:sectPr>
          <w:pgSz w:w="11880" w:h="15480" w:orient="portrait"/>
          <w:cols w:equalWidth="0" w:num="1">
            <w:col w:w="9360"/>
          </w:cols>
          <w:pgMar w:left="1380" w:top="1310" w:right="114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40"/>
        <w:spacing w:after="0"/>
        <w:rPr>
          <w:sz w:val="20"/>
          <w:szCs w:val="20"/>
          <w:color w:val="auto"/>
        </w:rPr>
      </w:pPr>
      <w:r>
        <w:rPr>
          <w:rFonts w:ascii="Arial" w:cs="Arial" w:eastAsia="Arial" w:hAnsi="Arial"/>
          <w:sz w:val="20"/>
          <w:szCs w:val="20"/>
          <w:color w:val="auto"/>
        </w:rPr>
        <w:t>10</w:t>
      </w:r>
    </w:p>
    <w:p>
      <w:pPr>
        <w:sectPr>
          <w:pgSz w:w="11880" w:h="15480" w:orient="portrait"/>
          <w:cols w:equalWidth="0" w:num="1">
            <w:col w:w="9360"/>
          </w:cols>
          <w:pgMar w:left="1380" w:top="1310" w:right="1140" w:bottom="655" w:gutter="0" w:footer="0" w:header="0"/>
          <w:type w:val="continuous"/>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Production, Price and Cost History</w:t>
      </w:r>
    </w:p>
    <w:p>
      <w:pPr>
        <w:spacing w:after="0" w:line="216" w:lineRule="exact"/>
        <w:rPr>
          <w:sz w:val="20"/>
          <w:szCs w:val="20"/>
          <w:color w:val="auto"/>
        </w:rPr>
      </w:pPr>
    </w:p>
    <w:p>
      <w:pPr>
        <w:ind w:right="160" w:firstLine="300"/>
        <w:spacing w:after="0" w:line="248" w:lineRule="auto"/>
        <w:rPr>
          <w:sz w:val="20"/>
          <w:szCs w:val="20"/>
          <w:color w:val="auto"/>
        </w:rPr>
      </w:pPr>
      <w:r>
        <w:rPr>
          <w:rFonts w:ascii="Arial" w:cs="Arial" w:eastAsia="Arial" w:hAnsi="Arial"/>
          <w:sz w:val="20"/>
          <w:szCs w:val="20"/>
          <w:color w:val="auto"/>
        </w:rPr>
        <w:t xml:space="preserve">The following table sets forth information regarding our production volumes, average realized and benchmark prices and operating costs per Boe for the periods presented. See </w:t>
      </w:r>
      <w:r>
        <w:rPr>
          <w:rFonts w:ascii="Arial" w:cs="Arial" w:eastAsia="Arial" w:hAnsi="Arial"/>
          <w:sz w:val="20"/>
          <w:szCs w:val="20"/>
          <w:i w:val="1"/>
          <w:iCs w:val="1"/>
          <w:color w:val="auto"/>
        </w:rPr>
        <w:t>Part II, Item 7 –</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Management’s Discussion and Analysis of Financial Condition and Results of Operations </w:t>
      </w:r>
      <w:r>
        <w:rPr>
          <w:rFonts w:ascii="Arial" w:cs="Arial" w:eastAsia="Arial" w:hAnsi="Arial"/>
          <w:sz w:val="20"/>
          <w:szCs w:val="20"/>
          <w:color w:val="auto"/>
        </w:rPr>
        <w:t>for more</w:t>
      </w:r>
      <w:r>
        <w:rPr>
          <w:rFonts w:ascii="Arial" w:cs="Arial" w:eastAsia="Arial" w:hAnsi="Arial"/>
          <w:sz w:val="20"/>
          <w:szCs w:val="20"/>
          <w:i w:val="1"/>
          <w:iCs w:val="1"/>
          <w:color w:val="auto"/>
        </w:rPr>
        <w:t xml:space="preserve"> </w:t>
      </w:r>
      <w:r>
        <w:rPr>
          <w:rFonts w:ascii="Arial" w:cs="Arial" w:eastAsia="Arial" w:hAnsi="Arial"/>
          <w:sz w:val="20"/>
          <w:szCs w:val="20"/>
          <w:color w:val="auto"/>
        </w:rPr>
        <w:t>information on our production activity as well as the impact of commodity price increases and inflation on our operating costs per Boe, among other factors.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8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20"/>
                <w:szCs w:val="20"/>
                <w:b w:val="1"/>
                <w:bCs w:val="1"/>
                <w:color w:val="auto"/>
              </w:rPr>
              <w:t>Successor</w:t>
            </w:r>
          </w:p>
        </w:tc>
        <w:tc>
          <w:tcPr>
            <w:tcW w:w="11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40" w:type="dxa"/>
            <w:vAlign w:val="bottom"/>
          </w:tcPr>
          <w:p>
            <w:pPr>
              <w:spacing w:after="0"/>
              <w:rPr>
                <w:sz w:val="22"/>
                <w:szCs w:val="22"/>
                <w:color w:val="auto"/>
              </w:rPr>
            </w:pPr>
          </w:p>
        </w:tc>
        <w:tc>
          <w:tcPr>
            <w:tcW w:w="16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b w:val="1"/>
                <w:bCs w:val="1"/>
                <w:color w:val="auto"/>
              </w:rPr>
              <w:t>Predecessor</w:t>
            </w:r>
          </w:p>
        </w:tc>
        <w:tc>
          <w:tcPr>
            <w:tcW w:w="0" w:type="dxa"/>
            <w:vAlign w:val="bottom"/>
          </w:tcPr>
          <w:p>
            <w:pPr>
              <w:spacing w:after="0"/>
              <w:rPr>
                <w:sz w:val="1"/>
                <w:szCs w:val="1"/>
                <w:color w:val="auto"/>
              </w:rPr>
            </w:pPr>
          </w:p>
        </w:tc>
      </w:tr>
      <w:tr>
        <w:trPr>
          <w:trHeight w:val="200"/>
        </w:trPr>
        <w:tc>
          <w:tcPr>
            <w:tcW w:w="2840" w:type="dxa"/>
            <w:vAlign w:val="bottom"/>
          </w:tcPr>
          <w:p>
            <w:pPr>
              <w:spacing w:after="0"/>
              <w:rPr>
                <w:sz w:val="17"/>
                <w:szCs w:val="17"/>
                <w:color w:val="auto"/>
              </w:rPr>
            </w:pPr>
          </w:p>
        </w:tc>
        <w:tc>
          <w:tcPr>
            <w:tcW w:w="1300" w:type="dxa"/>
            <w:vAlign w:val="bottom"/>
            <w:gridSpan w:val="2"/>
          </w:tcPr>
          <w:p>
            <w:pPr>
              <w:jc w:val="right"/>
              <w:spacing w:after="0" w:line="200" w:lineRule="exact"/>
              <w:rPr>
                <w:sz w:val="20"/>
                <w:szCs w:val="20"/>
                <w:color w:val="auto"/>
              </w:rPr>
            </w:pPr>
            <w:r>
              <w:rPr>
                <w:rFonts w:ascii="Arial" w:cs="Arial" w:eastAsia="Arial" w:hAnsi="Arial"/>
                <w:sz w:val="20"/>
                <w:szCs w:val="20"/>
                <w:b w:val="1"/>
                <w:bCs w:val="1"/>
                <w:color w:val="auto"/>
              </w:rPr>
              <w:t>Year Ended</w:t>
            </w:r>
          </w:p>
        </w:tc>
        <w:tc>
          <w:tcPr>
            <w:tcW w:w="60" w:type="dxa"/>
            <w:vAlign w:val="bottom"/>
          </w:tcPr>
          <w:p>
            <w:pPr>
              <w:spacing w:after="0"/>
              <w:rPr>
                <w:sz w:val="17"/>
                <w:szCs w:val="17"/>
                <w:color w:val="auto"/>
              </w:rPr>
            </w:pPr>
          </w:p>
        </w:tc>
        <w:tc>
          <w:tcPr>
            <w:tcW w:w="1300" w:type="dxa"/>
            <w:vAlign w:val="bottom"/>
            <w:gridSpan w:val="2"/>
          </w:tcPr>
          <w:p>
            <w:pPr>
              <w:jc w:val="right"/>
              <w:spacing w:after="0" w:line="200" w:lineRule="exact"/>
              <w:rPr>
                <w:sz w:val="20"/>
                <w:szCs w:val="20"/>
                <w:color w:val="auto"/>
              </w:rPr>
            </w:pPr>
            <w:r>
              <w:rPr>
                <w:rFonts w:ascii="Arial" w:cs="Arial" w:eastAsia="Arial" w:hAnsi="Arial"/>
                <w:sz w:val="20"/>
                <w:szCs w:val="20"/>
                <w:b w:val="1"/>
                <w:bCs w:val="1"/>
                <w:color w:val="auto"/>
              </w:rPr>
              <w:t>Year Ended</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840" w:type="dxa"/>
            <w:vAlign w:val="bottom"/>
          </w:tcPr>
          <w:p>
            <w:pPr>
              <w:spacing w:after="0"/>
              <w:rPr>
                <w:sz w:val="17"/>
                <w:szCs w:val="17"/>
                <w:color w:val="auto"/>
              </w:rPr>
            </w:pPr>
          </w:p>
        </w:tc>
        <w:tc>
          <w:tcPr>
            <w:tcW w:w="4600" w:type="dxa"/>
            <w:vAlign w:val="bottom"/>
            <w:gridSpan w:val="9"/>
          </w:tcPr>
          <w:p>
            <w:pPr>
              <w:spacing w:after="0" w:line="200" w:lineRule="exact"/>
              <w:rPr>
                <w:sz w:val="20"/>
                <w:szCs w:val="20"/>
                <w:color w:val="auto"/>
              </w:rPr>
            </w:pPr>
            <w:r>
              <w:rPr>
                <w:rFonts w:ascii="Arial" w:cs="Arial" w:eastAsia="Arial" w:hAnsi="Arial"/>
                <w:sz w:val="14"/>
                <w:szCs w:val="14"/>
                <w:b w:val="1"/>
                <w:bCs w:val="1"/>
                <w:color w:val="auto"/>
              </w:rPr>
              <w:t xml:space="preserve">December 31, December 31, </w:t>
            </w:r>
            <w:r>
              <w:rPr>
                <w:rFonts w:ascii="Arial" w:cs="Arial" w:eastAsia="Arial" w:hAnsi="Arial"/>
                <w:sz w:val="23"/>
                <w:szCs w:val="23"/>
                <w:b w:val="1"/>
                <w:bCs w:val="1"/>
                <w:color w:val="auto"/>
                <w:vertAlign w:val="superscript"/>
              </w:rPr>
              <w:t>November 1, 2020 -</w:t>
            </w:r>
          </w:p>
        </w:tc>
        <w:tc>
          <w:tcPr>
            <w:tcW w:w="20" w:type="dxa"/>
            <w:vAlign w:val="bottom"/>
            <w:shd w:val="clear" w:color="auto" w:fill="000000"/>
          </w:tcPr>
          <w:p>
            <w:pPr>
              <w:spacing w:after="0"/>
              <w:rPr>
                <w:sz w:val="17"/>
                <w:szCs w:val="17"/>
                <w:color w:val="auto"/>
              </w:rPr>
            </w:pPr>
          </w:p>
        </w:tc>
        <w:tc>
          <w:tcPr>
            <w:tcW w:w="40" w:type="dxa"/>
            <w:vAlign w:val="bottom"/>
          </w:tcPr>
          <w:p>
            <w:pPr>
              <w:spacing w:after="0"/>
              <w:rPr>
                <w:sz w:val="17"/>
                <w:szCs w:val="17"/>
                <w:color w:val="auto"/>
              </w:rPr>
            </w:pPr>
          </w:p>
        </w:tc>
        <w:tc>
          <w:tcPr>
            <w:tcW w:w="1620" w:type="dxa"/>
            <w:vAlign w:val="bottom"/>
            <w:gridSpan w:val="2"/>
          </w:tcPr>
          <w:p>
            <w:pPr>
              <w:jc w:val="right"/>
              <w:spacing w:after="0" w:line="200" w:lineRule="exact"/>
              <w:rPr>
                <w:sz w:val="20"/>
                <w:szCs w:val="20"/>
                <w:color w:val="auto"/>
              </w:rPr>
            </w:pPr>
            <w:r>
              <w:rPr>
                <w:rFonts w:ascii="Arial" w:cs="Arial" w:eastAsia="Arial" w:hAnsi="Arial"/>
                <w:sz w:val="20"/>
                <w:szCs w:val="20"/>
                <w:b w:val="1"/>
                <w:bCs w:val="1"/>
                <w:color w:val="auto"/>
                <w:w w:val="99"/>
              </w:rPr>
              <w:t>January 1, 2020 -</w:t>
            </w:r>
          </w:p>
        </w:tc>
        <w:tc>
          <w:tcPr>
            <w:tcW w:w="0" w:type="dxa"/>
            <w:vAlign w:val="bottom"/>
          </w:tcPr>
          <w:p>
            <w:pPr>
              <w:spacing w:after="0"/>
              <w:rPr>
                <w:sz w:val="1"/>
                <w:szCs w:val="1"/>
                <w:color w:val="auto"/>
              </w:rPr>
            </w:pPr>
          </w:p>
        </w:tc>
      </w:tr>
      <w:tr>
        <w:trPr>
          <w:trHeight w:val="60"/>
        </w:trPr>
        <w:tc>
          <w:tcPr>
            <w:tcW w:w="284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0" w:type="dxa"/>
            <w:vAlign w:val="bottom"/>
            <w:vMerge w:val="restart"/>
          </w:tcPr>
          <w:p>
            <w:pPr>
              <w:spacing w:after="0"/>
              <w:rPr>
                <w:sz w:val="5"/>
                <w:szCs w:val="5"/>
                <w:color w:val="auto"/>
              </w:rPr>
            </w:pPr>
          </w:p>
        </w:tc>
        <w:tc>
          <w:tcPr>
            <w:tcW w:w="1880" w:type="dxa"/>
            <w:vAlign w:val="bottom"/>
            <w:gridSpan w:val="3"/>
            <w:vMerge w:val="restart"/>
          </w:tcPr>
          <w:p>
            <w:pPr>
              <w:ind w:left="20"/>
              <w:spacing w:after="0" w:line="228" w:lineRule="exact"/>
              <w:rPr>
                <w:sz w:val="20"/>
                <w:szCs w:val="20"/>
                <w:color w:val="auto"/>
              </w:rPr>
            </w:pPr>
            <w:r>
              <w:rPr>
                <w:rFonts w:ascii="Arial" w:cs="Arial" w:eastAsia="Arial" w:hAnsi="Arial"/>
                <w:sz w:val="20"/>
                <w:szCs w:val="20"/>
                <w:b w:val="1"/>
                <w:bCs w:val="1"/>
                <w:color w:val="auto"/>
              </w:rPr>
              <w:t>December 31, 2020</w:t>
            </w:r>
          </w:p>
        </w:tc>
        <w:tc>
          <w:tcPr>
            <w:tcW w:w="20" w:type="dxa"/>
            <w:vAlign w:val="bottom"/>
            <w:tcBorders>
              <w:bottom w:val="single" w:sz="8" w:color="auto"/>
            </w:tcBorders>
            <w:shd w:val="clear" w:color="auto" w:fill="000000"/>
          </w:tcPr>
          <w:p>
            <w:pPr>
              <w:spacing w:after="0"/>
              <w:rPr>
                <w:sz w:val="5"/>
                <w:szCs w:val="5"/>
                <w:color w:val="auto"/>
              </w:rPr>
            </w:pPr>
          </w:p>
        </w:tc>
        <w:tc>
          <w:tcPr>
            <w:tcW w:w="40" w:type="dxa"/>
            <w:vAlign w:val="bottom"/>
          </w:tcPr>
          <w:p>
            <w:pPr>
              <w:spacing w:after="0"/>
              <w:rPr>
                <w:sz w:val="5"/>
                <w:szCs w:val="5"/>
                <w:color w:val="auto"/>
              </w:rPr>
            </w:pPr>
          </w:p>
        </w:tc>
        <w:tc>
          <w:tcPr>
            <w:tcW w:w="1620" w:type="dxa"/>
            <w:vAlign w:val="bottom"/>
            <w:gridSpan w:val="2"/>
            <w:vMerge w:val="restart"/>
          </w:tcPr>
          <w:p>
            <w:pPr>
              <w:jc w:val="right"/>
              <w:spacing w:after="0" w:line="228" w:lineRule="exact"/>
              <w:rPr>
                <w:sz w:val="20"/>
                <w:szCs w:val="20"/>
                <w:color w:val="auto"/>
              </w:rPr>
            </w:pPr>
            <w:r>
              <w:rPr>
                <w:rFonts w:ascii="Arial" w:cs="Arial" w:eastAsia="Arial" w:hAnsi="Arial"/>
                <w:sz w:val="20"/>
                <w:szCs w:val="20"/>
                <w:b w:val="1"/>
                <w:bCs w:val="1"/>
                <w:color w:val="auto"/>
                <w:w w:val="99"/>
              </w:rPr>
              <w:t>October 31, 2020</w:t>
            </w: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vMerge w:val="restart"/>
          </w:tcPr>
          <w:p>
            <w:pPr>
              <w:jc w:val="right"/>
              <w:ind w:right="320"/>
              <w:spacing w:after="0"/>
              <w:rPr>
                <w:sz w:val="20"/>
                <w:szCs w:val="20"/>
                <w:color w:val="auto"/>
              </w:rPr>
            </w:pPr>
            <w:r>
              <w:rPr>
                <w:rFonts w:ascii="Arial" w:cs="Arial" w:eastAsia="Arial" w:hAnsi="Arial"/>
                <w:sz w:val="20"/>
                <w:szCs w:val="20"/>
                <w:b w:val="1"/>
                <w:bCs w:val="1"/>
                <w:color w:val="auto"/>
              </w:rPr>
              <w:t>2022</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vMerge w:val="restart"/>
          </w:tcPr>
          <w:p>
            <w:pPr>
              <w:jc w:val="right"/>
              <w:ind w:right="320"/>
              <w:spacing w:after="0"/>
              <w:rPr>
                <w:sz w:val="20"/>
                <w:szCs w:val="20"/>
                <w:color w:val="auto"/>
              </w:rPr>
            </w:pPr>
            <w:r>
              <w:rPr>
                <w:rFonts w:ascii="Arial" w:cs="Arial" w:eastAsia="Arial" w:hAnsi="Arial"/>
                <w:sz w:val="20"/>
                <w:szCs w:val="20"/>
                <w:b w:val="1"/>
                <w:bCs w:val="1"/>
                <w:color w:val="auto"/>
              </w:rPr>
              <w:t>2021</w:t>
            </w:r>
          </w:p>
        </w:tc>
        <w:tc>
          <w:tcPr>
            <w:tcW w:w="60" w:type="dxa"/>
            <w:vAlign w:val="bottom"/>
            <w:vMerge w:val="continue"/>
          </w:tcPr>
          <w:p>
            <w:pPr>
              <w:spacing w:after="0"/>
              <w:rPr>
                <w:sz w:val="12"/>
                <w:szCs w:val="12"/>
                <w:color w:val="auto"/>
              </w:rPr>
            </w:pPr>
          </w:p>
        </w:tc>
        <w:tc>
          <w:tcPr>
            <w:tcW w:w="1880" w:type="dxa"/>
            <w:vAlign w:val="bottom"/>
            <w:gridSpan w:val="3"/>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2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Arial" w:cs="Arial" w:eastAsia="Arial" w:hAnsi="Arial"/>
                <w:sz w:val="20"/>
                <w:szCs w:val="20"/>
                <w:b w:val="1"/>
                <w:bCs w:val="1"/>
                <w:color w:val="auto"/>
              </w:rPr>
              <w:t>Average daily net</w:t>
            </w: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28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840" w:type="dxa"/>
            <w:vAlign w:val="bottom"/>
          </w:tcPr>
          <w:p>
            <w:pPr>
              <w:ind w:left="200"/>
              <w:spacing w:after="0"/>
              <w:rPr>
                <w:sz w:val="20"/>
                <w:szCs w:val="20"/>
                <w:color w:val="auto"/>
              </w:rPr>
            </w:pPr>
            <w:r>
              <w:rPr>
                <w:rFonts w:ascii="Arial" w:cs="Arial" w:eastAsia="Arial" w:hAnsi="Arial"/>
                <w:sz w:val="20"/>
                <w:szCs w:val="20"/>
                <w:b w:val="1"/>
                <w:bCs w:val="1"/>
                <w:color w:val="auto"/>
              </w:rPr>
              <w:t>production</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840" w:type="dxa"/>
            <w:vAlign w:val="bottom"/>
          </w:tcPr>
          <w:p>
            <w:pPr>
              <w:spacing w:after="0"/>
              <w:rPr>
                <w:sz w:val="20"/>
                <w:szCs w:val="20"/>
                <w:color w:val="auto"/>
              </w:rPr>
            </w:pPr>
            <w:r>
              <w:rPr>
                <w:rFonts w:ascii="Arial" w:cs="Arial" w:eastAsia="Arial" w:hAnsi="Arial"/>
                <w:sz w:val="20"/>
                <w:szCs w:val="20"/>
                <w:color w:val="auto"/>
              </w:rPr>
              <w:t>Oil (MBbl/d)  . . . . . . . . . . . . . .</w:t>
            </w:r>
          </w:p>
        </w:tc>
        <w:tc>
          <w:tcPr>
            <w:tcW w:w="34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20"/>
                <w:szCs w:val="20"/>
                <w:color w:val="auto"/>
              </w:rPr>
              <w:t>55</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20"/>
                <w:szCs w:val="20"/>
                <w:color w:val="auto"/>
              </w:rPr>
              <w:t>60</w:t>
            </w: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jc w:val="right"/>
              <w:ind w:right="300"/>
              <w:spacing w:after="0"/>
              <w:rPr>
                <w:sz w:val="20"/>
                <w:szCs w:val="20"/>
                <w:color w:val="auto"/>
              </w:rPr>
            </w:pPr>
            <w:r>
              <w:rPr>
                <w:rFonts w:ascii="Arial" w:cs="Arial" w:eastAsia="Arial" w:hAnsi="Arial"/>
                <w:sz w:val="20"/>
                <w:szCs w:val="20"/>
                <w:color w:val="auto"/>
              </w:rPr>
              <w:t>63</w:t>
            </w:r>
          </w:p>
        </w:tc>
        <w:tc>
          <w:tcPr>
            <w:tcW w:w="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ind w:right="200"/>
              <w:spacing w:after="0"/>
              <w:rPr>
                <w:sz w:val="20"/>
                <w:szCs w:val="20"/>
                <w:color w:val="auto"/>
              </w:rPr>
            </w:pPr>
            <w:r>
              <w:rPr>
                <w:rFonts w:ascii="Arial" w:cs="Arial" w:eastAsia="Arial" w:hAnsi="Arial"/>
                <w:sz w:val="20"/>
                <w:szCs w:val="20"/>
                <w:color w:val="auto"/>
              </w:rPr>
              <w:t>70</w:t>
            </w:r>
          </w:p>
        </w:tc>
        <w:tc>
          <w:tcPr>
            <w:tcW w:w="0" w:type="dxa"/>
            <w:vAlign w:val="bottom"/>
          </w:tcPr>
          <w:p>
            <w:pPr>
              <w:spacing w:after="0"/>
              <w:rPr>
                <w:sz w:val="1"/>
                <w:szCs w:val="1"/>
                <w:color w:val="auto"/>
              </w:rPr>
            </w:pPr>
          </w:p>
        </w:tc>
      </w:tr>
      <w:tr>
        <w:trPr>
          <w:trHeight w:val="240"/>
        </w:trPr>
        <w:tc>
          <w:tcPr>
            <w:tcW w:w="2840" w:type="dxa"/>
            <w:vAlign w:val="bottom"/>
          </w:tcPr>
          <w:p>
            <w:pPr>
              <w:spacing w:after="0"/>
              <w:rPr>
                <w:sz w:val="20"/>
                <w:szCs w:val="20"/>
                <w:color w:val="auto"/>
              </w:rPr>
            </w:pPr>
            <w:r>
              <w:rPr>
                <w:rFonts w:ascii="Arial" w:cs="Arial" w:eastAsia="Arial" w:hAnsi="Arial"/>
                <w:sz w:val="20"/>
                <w:szCs w:val="20"/>
                <w:color w:val="auto"/>
              </w:rPr>
              <w:t>NGLs (MBbl/d) . . . . . . . . . . . .</w:t>
            </w:r>
          </w:p>
        </w:tc>
        <w:tc>
          <w:tcPr>
            <w:tcW w:w="34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20"/>
                <w:szCs w:val="20"/>
                <w:color w:val="auto"/>
              </w:rPr>
              <w:t>11</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20"/>
                <w:szCs w:val="20"/>
                <w:color w:val="auto"/>
              </w:rPr>
              <w:t>13</w:t>
            </w: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jc w:val="right"/>
              <w:ind w:right="300"/>
              <w:spacing w:after="0"/>
              <w:rPr>
                <w:sz w:val="20"/>
                <w:szCs w:val="20"/>
                <w:color w:val="auto"/>
              </w:rPr>
            </w:pPr>
            <w:r>
              <w:rPr>
                <w:rFonts w:ascii="Arial" w:cs="Arial" w:eastAsia="Arial" w:hAnsi="Arial"/>
                <w:sz w:val="20"/>
                <w:szCs w:val="20"/>
                <w:color w:val="auto"/>
              </w:rPr>
              <w:t>12</w:t>
            </w:r>
          </w:p>
        </w:tc>
        <w:tc>
          <w:tcPr>
            <w:tcW w:w="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ind w:right="200"/>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42"/>
        </w:trPr>
        <w:tc>
          <w:tcPr>
            <w:tcW w:w="2840" w:type="dxa"/>
            <w:vAlign w:val="bottom"/>
          </w:tcPr>
          <w:p>
            <w:pPr>
              <w:spacing w:after="0"/>
              <w:rPr>
                <w:sz w:val="20"/>
                <w:szCs w:val="20"/>
                <w:color w:val="auto"/>
              </w:rPr>
            </w:pPr>
            <w:r>
              <w:rPr>
                <w:rFonts w:ascii="Arial" w:cs="Arial" w:eastAsia="Arial" w:hAnsi="Arial"/>
                <w:sz w:val="20"/>
                <w:szCs w:val="20"/>
                <w:color w:val="auto"/>
              </w:rPr>
              <w:t>Natural gas (MMcf/d) . . . . . . .</w:t>
            </w:r>
          </w:p>
        </w:tc>
        <w:tc>
          <w:tcPr>
            <w:tcW w:w="3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20"/>
                <w:szCs w:val="20"/>
                <w:color w:val="auto"/>
              </w:rPr>
              <w:t>147</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20"/>
                <w:szCs w:val="20"/>
                <w:color w:val="auto"/>
              </w:rPr>
              <w:t>159</w:t>
            </w: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jc w:val="right"/>
              <w:ind w:right="300"/>
              <w:spacing w:after="0"/>
              <w:rPr>
                <w:sz w:val="20"/>
                <w:szCs w:val="20"/>
                <w:color w:val="auto"/>
              </w:rPr>
            </w:pPr>
            <w:r>
              <w:rPr>
                <w:rFonts w:ascii="Arial" w:cs="Arial" w:eastAsia="Arial" w:hAnsi="Arial"/>
                <w:sz w:val="20"/>
                <w:szCs w:val="20"/>
                <w:color w:val="auto"/>
              </w:rPr>
              <w:t>165</w:t>
            </w:r>
          </w:p>
        </w:tc>
        <w:tc>
          <w:tcPr>
            <w:tcW w:w="6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0" w:type="dxa"/>
            <w:vAlign w:val="bottom"/>
          </w:tcPr>
          <w:p>
            <w:pPr>
              <w:jc w:val="right"/>
              <w:ind w:right="200"/>
              <w:spacing w:after="0"/>
              <w:rPr>
                <w:sz w:val="20"/>
                <w:szCs w:val="20"/>
                <w:color w:val="auto"/>
              </w:rPr>
            </w:pPr>
            <w:r>
              <w:rPr>
                <w:rFonts w:ascii="Arial" w:cs="Arial" w:eastAsia="Arial" w:hAnsi="Arial"/>
                <w:sz w:val="20"/>
                <w:szCs w:val="20"/>
                <w:color w:val="auto"/>
              </w:rPr>
              <w:t>174</w:t>
            </w:r>
          </w:p>
        </w:tc>
        <w:tc>
          <w:tcPr>
            <w:tcW w:w="0" w:type="dxa"/>
            <w:vAlign w:val="bottom"/>
          </w:tcPr>
          <w:p>
            <w:pPr>
              <w:spacing w:after="0"/>
              <w:rPr>
                <w:sz w:val="1"/>
                <w:szCs w:val="1"/>
                <w:color w:val="auto"/>
              </w:rPr>
            </w:pPr>
          </w:p>
        </w:tc>
      </w:tr>
      <w:tr>
        <w:trPr>
          <w:trHeight w:val="240"/>
        </w:trPr>
        <w:tc>
          <w:tcPr>
            <w:tcW w:w="2840" w:type="dxa"/>
            <w:vAlign w:val="bottom"/>
          </w:tcPr>
          <w:p>
            <w:pPr>
              <w:spacing w:after="0"/>
              <w:rPr>
                <w:sz w:val="20"/>
                <w:szCs w:val="20"/>
                <w:color w:val="auto"/>
              </w:rPr>
            </w:pPr>
            <w:r>
              <w:rPr>
                <w:rFonts w:ascii="Arial" w:cs="Arial" w:eastAsia="Arial" w:hAnsi="Arial"/>
                <w:sz w:val="20"/>
                <w:szCs w:val="20"/>
                <w:color w:val="auto"/>
              </w:rPr>
              <w:t>Total daily net production</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840" w:type="dxa"/>
            <w:vAlign w:val="bottom"/>
          </w:tcPr>
          <w:p>
            <w:pPr>
              <w:spacing w:after="0"/>
              <w:rPr>
                <w:sz w:val="20"/>
                <w:szCs w:val="20"/>
                <w:color w:val="auto"/>
              </w:rPr>
            </w:pPr>
            <w:r>
              <w:rPr>
                <w:rFonts w:ascii="Arial" w:cs="Arial" w:eastAsia="Arial" w:hAnsi="Arial"/>
                <w:sz w:val="20"/>
                <w:szCs w:val="20"/>
                <w:color w:val="auto"/>
              </w:rPr>
              <w:t>(MBoe/d) . . . . . . . . . . . . . . . . .</w:t>
            </w:r>
          </w:p>
        </w:tc>
        <w:tc>
          <w:tcPr>
            <w:tcW w:w="34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20"/>
                <w:szCs w:val="20"/>
                <w:color w:val="auto"/>
              </w:rPr>
              <w:t>91</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20"/>
                <w:szCs w:val="20"/>
                <w:color w:val="auto"/>
              </w:rPr>
              <w:t>100</w:t>
            </w: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jc w:val="right"/>
              <w:ind w:right="300"/>
              <w:spacing w:after="0"/>
              <w:rPr>
                <w:sz w:val="20"/>
                <w:szCs w:val="20"/>
                <w:color w:val="auto"/>
              </w:rPr>
            </w:pPr>
            <w:r>
              <w:rPr>
                <w:rFonts w:ascii="Arial" w:cs="Arial" w:eastAsia="Arial" w:hAnsi="Arial"/>
                <w:sz w:val="20"/>
                <w:szCs w:val="20"/>
                <w:color w:val="auto"/>
              </w:rPr>
              <w:t>103</w:t>
            </w:r>
          </w:p>
        </w:tc>
        <w:tc>
          <w:tcPr>
            <w:tcW w:w="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ind w:right="200"/>
              <w:spacing w:after="0"/>
              <w:rPr>
                <w:sz w:val="20"/>
                <w:szCs w:val="20"/>
                <w:color w:val="auto"/>
              </w:rPr>
            </w:pPr>
            <w:r>
              <w:rPr>
                <w:rFonts w:ascii="Arial" w:cs="Arial" w:eastAsia="Arial" w:hAnsi="Arial"/>
                <w:sz w:val="20"/>
                <w:szCs w:val="20"/>
                <w:color w:val="auto"/>
              </w:rPr>
              <w:t>112</w:t>
            </w:r>
          </w:p>
        </w:tc>
        <w:tc>
          <w:tcPr>
            <w:tcW w:w="0" w:type="dxa"/>
            <w:vAlign w:val="bottom"/>
          </w:tcPr>
          <w:p>
            <w:pPr>
              <w:spacing w:after="0"/>
              <w:rPr>
                <w:sz w:val="1"/>
                <w:szCs w:val="1"/>
                <w:color w:val="auto"/>
              </w:rPr>
            </w:pPr>
          </w:p>
        </w:tc>
      </w:tr>
      <w:tr>
        <w:trPr>
          <w:trHeight w:val="480"/>
        </w:trPr>
        <w:tc>
          <w:tcPr>
            <w:tcW w:w="2840" w:type="dxa"/>
            <w:vAlign w:val="bottom"/>
          </w:tcPr>
          <w:p>
            <w:pPr>
              <w:spacing w:after="0"/>
              <w:rPr>
                <w:sz w:val="20"/>
                <w:szCs w:val="20"/>
                <w:color w:val="auto"/>
              </w:rPr>
            </w:pPr>
            <w:r>
              <w:rPr>
                <w:rFonts w:ascii="Arial" w:cs="Arial" w:eastAsia="Arial" w:hAnsi="Arial"/>
                <w:sz w:val="20"/>
                <w:szCs w:val="20"/>
                <w:b w:val="1"/>
                <w:bCs w:val="1"/>
                <w:color w:val="auto"/>
              </w:rPr>
              <w:t>Total production</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840" w:type="dxa"/>
            <w:vAlign w:val="bottom"/>
          </w:tcPr>
          <w:p>
            <w:pPr>
              <w:spacing w:after="0"/>
              <w:rPr>
                <w:sz w:val="20"/>
                <w:szCs w:val="20"/>
                <w:color w:val="auto"/>
              </w:rPr>
            </w:pPr>
            <w:r>
              <w:rPr>
                <w:rFonts w:ascii="Arial" w:cs="Arial" w:eastAsia="Arial" w:hAnsi="Arial"/>
                <w:sz w:val="20"/>
                <w:szCs w:val="20"/>
                <w:b w:val="1"/>
                <w:bCs w:val="1"/>
                <w:color w:val="auto"/>
              </w:rPr>
              <w:t xml:space="preserve">(MMBoe)  </w:t>
            </w:r>
            <w:r>
              <w:rPr>
                <w:rFonts w:ascii="Arial" w:cs="Arial" w:eastAsia="Arial" w:hAnsi="Arial"/>
                <w:sz w:val="20"/>
                <w:szCs w:val="20"/>
                <w:color w:val="auto"/>
              </w:rPr>
              <w:t>. . . . . . . . . . . . . . . .</w:t>
            </w:r>
          </w:p>
        </w:tc>
        <w:tc>
          <w:tcPr>
            <w:tcW w:w="34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20"/>
                <w:szCs w:val="20"/>
                <w:color w:val="auto"/>
              </w:rPr>
              <w:t>33</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20"/>
                <w:szCs w:val="20"/>
                <w:color w:val="auto"/>
              </w:rPr>
              <w:t>36</w:t>
            </w: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jc w:val="right"/>
              <w:ind w:right="300"/>
              <w:spacing w:after="0"/>
              <w:rPr>
                <w:sz w:val="20"/>
                <w:szCs w:val="20"/>
                <w:color w:val="auto"/>
              </w:rPr>
            </w:pPr>
            <w:r>
              <w:rPr>
                <w:rFonts w:ascii="Arial" w:cs="Arial" w:eastAsia="Arial" w:hAnsi="Arial"/>
                <w:sz w:val="20"/>
                <w:szCs w:val="20"/>
                <w:color w:val="auto"/>
              </w:rPr>
              <w:t>6</w:t>
            </w:r>
          </w:p>
        </w:tc>
        <w:tc>
          <w:tcPr>
            <w:tcW w:w="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ind w:right="200"/>
              <w:spacing w:after="0"/>
              <w:rPr>
                <w:sz w:val="20"/>
                <w:szCs w:val="20"/>
                <w:color w:val="auto"/>
              </w:rPr>
            </w:pPr>
            <w:r>
              <w:rPr>
                <w:rFonts w:ascii="Arial" w:cs="Arial" w:eastAsia="Arial" w:hAnsi="Arial"/>
                <w:sz w:val="20"/>
                <w:szCs w:val="20"/>
                <w:color w:val="auto"/>
              </w:rPr>
              <w:t>34</w:t>
            </w:r>
          </w:p>
        </w:tc>
        <w:tc>
          <w:tcPr>
            <w:tcW w:w="0" w:type="dxa"/>
            <w:vAlign w:val="bottom"/>
          </w:tcPr>
          <w:p>
            <w:pPr>
              <w:spacing w:after="0"/>
              <w:rPr>
                <w:sz w:val="1"/>
                <w:szCs w:val="1"/>
                <w:color w:val="auto"/>
              </w:rPr>
            </w:pPr>
          </w:p>
        </w:tc>
      </w:tr>
      <w:tr>
        <w:trPr>
          <w:trHeight w:val="480"/>
        </w:trPr>
        <w:tc>
          <w:tcPr>
            <w:tcW w:w="2840" w:type="dxa"/>
            <w:vAlign w:val="bottom"/>
          </w:tcPr>
          <w:p>
            <w:pPr>
              <w:spacing w:after="0"/>
              <w:rPr>
                <w:sz w:val="20"/>
                <w:szCs w:val="20"/>
                <w:color w:val="auto"/>
              </w:rPr>
            </w:pPr>
            <w:r>
              <w:rPr>
                <w:rFonts w:ascii="Arial" w:cs="Arial" w:eastAsia="Arial" w:hAnsi="Arial"/>
                <w:sz w:val="20"/>
                <w:szCs w:val="20"/>
                <w:b w:val="1"/>
                <w:bCs w:val="1"/>
                <w:color w:val="auto"/>
              </w:rPr>
              <w:t>Average realized prices</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840" w:type="dxa"/>
            <w:vAlign w:val="bottom"/>
          </w:tcPr>
          <w:p>
            <w:pPr>
              <w:spacing w:after="0"/>
              <w:rPr>
                <w:sz w:val="20"/>
                <w:szCs w:val="20"/>
                <w:color w:val="auto"/>
              </w:rPr>
            </w:pPr>
            <w:r>
              <w:rPr>
                <w:rFonts w:ascii="Arial" w:cs="Arial" w:eastAsia="Arial" w:hAnsi="Arial"/>
                <w:sz w:val="20"/>
                <w:szCs w:val="20"/>
                <w:color w:val="auto"/>
              </w:rPr>
              <w:t>Oil with hedge ($/Bbl)  . . . . . .</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40"/>
              <w:spacing w:after="0"/>
              <w:rPr>
                <w:sz w:val="20"/>
                <w:szCs w:val="20"/>
                <w:color w:val="auto"/>
              </w:rPr>
            </w:pPr>
            <w:r>
              <w:rPr>
                <w:rFonts w:ascii="Arial" w:cs="Arial" w:eastAsia="Arial" w:hAnsi="Arial"/>
                <w:sz w:val="20"/>
                <w:szCs w:val="20"/>
                <w:color w:val="auto"/>
              </w:rPr>
              <w:t>61.80</w:t>
            </w:r>
          </w:p>
        </w:tc>
        <w:tc>
          <w:tcPr>
            <w:tcW w:w="4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40"/>
              <w:spacing w:after="0"/>
              <w:rPr>
                <w:sz w:val="20"/>
                <w:szCs w:val="20"/>
                <w:color w:val="auto"/>
              </w:rPr>
            </w:pPr>
            <w:r>
              <w:rPr>
                <w:rFonts w:ascii="Arial" w:cs="Arial" w:eastAsia="Arial" w:hAnsi="Arial"/>
                <w:sz w:val="20"/>
                <w:szCs w:val="20"/>
                <w:color w:val="auto"/>
              </w:rPr>
              <w:t>56.05</w:t>
            </w:r>
          </w:p>
        </w:tc>
        <w:tc>
          <w:tcPr>
            <w:tcW w:w="78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300"/>
              <w:spacing w:after="0"/>
              <w:rPr>
                <w:sz w:val="20"/>
                <w:szCs w:val="20"/>
                <w:color w:val="auto"/>
              </w:rPr>
            </w:pPr>
            <w:r>
              <w:rPr>
                <w:rFonts w:ascii="Arial" w:cs="Arial" w:eastAsia="Arial" w:hAnsi="Arial"/>
                <w:sz w:val="20"/>
                <w:szCs w:val="20"/>
                <w:color w:val="auto"/>
              </w:rPr>
              <w:t>45.37</w:t>
            </w:r>
          </w:p>
        </w:tc>
        <w:tc>
          <w:tcPr>
            <w:tcW w:w="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200"/>
              <w:spacing w:after="0"/>
              <w:rPr>
                <w:sz w:val="20"/>
                <w:szCs w:val="20"/>
                <w:color w:val="auto"/>
              </w:rPr>
            </w:pPr>
            <w:r>
              <w:rPr>
                <w:rFonts w:ascii="Arial" w:cs="Arial" w:eastAsia="Arial" w:hAnsi="Arial"/>
                <w:sz w:val="20"/>
                <w:szCs w:val="20"/>
                <w:color w:val="auto"/>
              </w:rPr>
              <w:t>43.19</w:t>
            </w:r>
          </w:p>
        </w:tc>
        <w:tc>
          <w:tcPr>
            <w:tcW w:w="0" w:type="dxa"/>
            <w:vAlign w:val="bottom"/>
          </w:tcPr>
          <w:p>
            <w:pPr>
              <w:spacing w:after="0"/>
              <w:rPr>
                <w:sz w:val="1"/>
                <w:szCs w:val="1"/>
                <w:color w:val="auto"/>
              </w:rPr>
            </w:pPr>
          </w:p>
        </w:tc>
      </w:tr>
      <w:tr>
        <w:trPr>
          <w:trHeight w:val="240"/>
        </w:trPr>
        <w:tc>
          <w:tcPr>
            <w:tcW w:w="2840" w:type="dxa"/>
            <w:vAlign w:val="bottom"/>
          </w:tcPr>
          <w:p>
            <w:pPr>
              <w:spacing w:after="0"/>
              <w:rPr>
                <w:sz w:val="20"/>
                <w:szCs w:val="20"/>
                <w:color w:val="auto"/>
              </w:rPr>
            </w:pPr>
            <w:r>
              <w:rPr>
                <w:rFonts w:ascii="Arial" w:cs="Arial" w:eastAsia="Arial" w:hAnsi="Arial"/>
                <w:sz w:val="20"/>
                <w:szCs w:val="20"/>
                <w:color w:val="auto"/>
              </w:rPr>
              <w:t>Oil without hedge ($/Bbl) . . . .</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40"/>
              <w:spacing w:after="0"/>
              <w:rPr>
                <w:sz w:val="20"/>
                <w:szCs w:val="20"/>
                <w:color w:val="auto"/>
              </w:rPr>
            </w:pPr>
            <w:r>
              <w:rPr>
                <w:rFonts w:ascii="Arial" w:cs="Arial" w:eastAsia="Arial" w:hAnsi="Arial"/>
                <w:sz w:val="20"/>
                <w:szCs w:val="20"/>
                <w:color w:val="auto"/>
              </w:rPr>
              <w:t>98.26</w:t>
            </w:r>
          </w:p>
        </w:tc>
        <w:tc>
          <w:tcPr>
            <w:tcW w:w="4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40"/>
              <w:spacing w:after="0"/>
              <w:rPr>
                <w:sz w:val="20"/>
                <w:szCs w:val="20"/>
                <w:color w:val="auto"/>
              </w:rPr>
            </w:pPr>
            <w:r>
              <w:rPr>
                <w:rFonts w:ascii="Arial" w:cs="Arial" w:eastAsia="Arial" w:hAnsi="Arial"/>
                <w:sz w:val="20"/>
                <w:szCs w:val="20"/>
                <w:color w:val="auto"/>
              </w:rPr>
              <w:t>70.43</w:t>
            </w:r>
          </w:p>
        </w:tc>
        <w:tc>
          <w:tcPr>
            <w:tcW w:w="78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300"/>
              <w:spacing w:after="0"/>
              <w:rPr>
                <w:sz w:val="20"/>
                <w:szCs w:val="20"/>
                <w:color w:val="auto"/>
              </w:rPr>
            </w:pPr>
            <w:r>
              <w:rPr>
                <w:rFonts w:ascii="Arial" w:cs="Arial" w:eastAsia="Arial" w:hAnsi="Arial"/>
                <w:sz w:val="20"/>
                <w:szCs w:val="20"/>
                <w:color w:val="auto"/>
              </w:rPr>
              <w:t>45.65</w:t>
            </w:r>
          </w:p>
        </w:tc>
        <w:tc>
          <w:tcPr>
            <w:tcW w:w="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200"/>
              <w:spacing w:after="0"/>
              <w:rPr>
                <w:sz w:val="20"/>
                <w:szCs w:val="20"/>
                <w:color w:val="auto"/>
              </w:rPr>
            </w:pPr>
            <w:r>
              <w:rPr>
                <w:rFonts w:ascii="Arial" w:cs="Arial" w:eastAsia="Arial" w:hAnsi="Arial"/>
                <w:sz w:val="20"/>
                <w:szCs w:val="20"/>
                <w:color w:val="auto"/>
              </w:rPr>
              <w:t>41.21</w:t>
            </w:r>
          </w:p>
        </w:tc>
        <w:tc>
          <w:tcPr>
            <w:tcW w:w="0" w:type="dxa"/>
            <w:vAlign w:val="bottom"/>
          </w:tcPr>
          <w:p>
            <w:pPr>
              <w:spacing w:after="0"/>
              <w:rPr>
                <w:sz w:val="1"/>
                <w:szCs w:val="1"/>
                <w:color w:val="auto"/>
              </w:rPr>
            </w:pPr>
          </w:p>
        </w:tc>
      </w:tr>
      <w:tr>
        <w:trPr>
          <w:trHeight w:val="240"/>
        </w:trPr>
        <w:tc>
          <w:tcPr>
            <w:tcW w:w="2840" w:type="dxa"/>
            <w:vAlign w:val="bottom"/>
          </w:tcPr>
          <w:p>
            <w:pPr>
              <w:spacing w:after="0"/>
              <w:rPr>
                <w:sz w:val="20"/>
                <w:szCs w:val="20"/>
                <w:color w:val="auto"/>
              </w:rPr>
            </w:pPr>
            <w:r>
              <w:rPr>
                <w:rFonts w:ascii="Arial" w:cs="Arial" w:eastAsia="Arial" w:hAnsi="Arial"/>
                <w:sz w:val="20"/>
                <w:szCs w:val="20"/>
                <w:color w:val="auto"/>
              </w:rPr>
              <w:t>NGLs ($/Bbl) . . . . . . . . . . . . . .</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40"/>
              <w:spacing w:after="0"/>
              <w:rPr>
                <w:sz w:val="20"/>
                <w:szCs w:val="20"/>
                <w:color w:val="auto"/>
              </w:rPr>
            </w:pPr>
            <w:r>
              <w:rPr>
                <w:rFonts w:ascii="Arial" w:cs="Arial" w:eastAsia="Arial" w:hAnsi="Arial"/>
                <w:sz w:val="20"/>
                <w:szCs w:val="20"/>
                <w:color w:val="auto"/>
              </w:rPr>
              <w:t>64.33</w:t>
            </w:r>
          </w:p>
        </w:tc>
        <w:tc>
          <w:tcPr>
            <w:tcW w:w="4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40"/>
              <w:spacing w:after="0"/>
              <w:rPr>
                <w:sz w:val="20"/>
                <w:szCs w:val="20"/>
                <w:color w:val="auto"/>
              </w:rPr>
            </w:pPr>
            <w:r>
              <w:rPr>
                <w:rFonts w:ascii="Arial" w:cs="Arial" w:eastAsia="Arial" w:hAnsi="Arial"/>
                <w:sz w:val="20"/>
                <w:szCs w:val="20"/>
                <w:color w:val="auto"/>
              </w:rPr>
              <w:t>53.62</w:t>
            </w:r>
          </w:p>
        </w:tc>
        <w:tc>
          <w:tcPr>
            <w:tcW w:w="78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300"/>
              <w:spacing w:after="0"/>
              <w:rPr>
                <w:sz w:val="20"/>
                <w:szCs w:val="20"/>
                <w:color w:val="auto"/>
              </w:rPr>
            </w:pPr>
            <w:r>
              <w:rPr>
                <w:rFonts w:ascii="Arial" w:cs="Arial" w:eastAsia="Arial" w:hAnsi="Arial"/>
                <w:sz w:val="20"/>
                <w:szCs w:val="20"/>
                <w:color w:val="auto"/>
              </w:rPr>
              <w:t>38.00</w:t>
            </w:r>
          </w:p>
        </w:tc>
        <w:tc>
          <w:tcPr>
            <w:tcW w:w="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200"/>
              <w:spacing w:after="0"/>
              <w:rPr>
                <w:sz w:val="20"/>
                <w:szCs w:val="20"/>
                <w:color w:val="auto"/>
              </w:rPr>
            </w:pPr>
            <w:r>
              <w:rPr>
                <w:rFonts w:ascii="Arial" w:cs="Arial" w:eastAsia="Arial" w:hAnsi="Arial"/>
                <w:sz w:val="20"/>
                <w:szCs w:val="20"/>
                <w:color w:val="auto"/>
              </w:rPr>
              <w:t>25.70</w:t>
            </w:r>
          </w:p>
        </w:tc>
        <w:tc>
          <w:tcPr>
            <w:tcW w:w="0" w:type="dxa"/>
            <w:vAlign w:val="bottom"/>
          </w:tcPr>
          <w:p>
            <w:pPr>
              <w:spacing w:after="0"/>
              <w:rPr>
                <w:sz w:val="1"/>
                <w:szCs w:val="1"/>
                <w:color w:val="auto"/>
              </w:rPr>
            </w:pPr>
          </w:p>
        </w:tc>
      </w:tr>
      <w:tr>
        <w:trPr>
          <w:trHeight w:val="240"/>
        </w:trPr>
        <w:tc>
          <w:tcPr>
            <w:tcW w:w="2840" w:type="dxa"/>
            <w:vAlign w:val="bottom"/>
          </w:tcPr>
          <w:p>
            <w:pPr>
              <w:spacing w:after="0"/>
              <w:rPr>
                <w:sz w:val="20"/>
                <w:szCs w:val="20"/>
                <w:color w:val="auto"/>
              </w:rPr>
            </w:pPr>
            <w:r>
              <w:rPr>
                <w:rFonts w:ascii="Arial" w:cs="Arial" w:eastAsia="Arial" w:hAnsi="Arial"/>
                <w:sz w:val="20"/>
                <w:szCs w:val="20"/>
                <w:color w:val="auto"/>
              </w:rPr>
              <w:t>Natural gas without hedge</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840" w:type="dxa"/>
            <w:vAlign w:val="bottom"/>
          </w:tcPr>
          <w:p>
            <w:pPr>
              <w:spacing w:after="0"/>
              <w:rPr>
                <w:sz w:val="20"/>
                <w:szCs w:val="20"/>
                <w:color w:val="auto"/>
              </w:rPr>
            </w:pPr>
            <w:r>
              <w:rPr>
                <w:rFonts w:ascii="Arial" w:cs="Arial" w:eastAsia="Arial" w:hAnsi="Arial"/>
                <w:sz w:val="20"/>
                <w:szCs w:val="20"/>
                <w:color w:val="auto"/>
              </w:rPr>
              <w:t>($/Mcf) . . . . . . . . . . . . . . . . . . .</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40"/>
              <w:spacing w:after="0"/>
              <w:rPr>
                <w:sz w:val="20"/>
                <w:szCs w:val="20"/>
                <w:color w:val="auto"/>
              </w:rPr>
            </w:pPr>
            <w:r>
              <w:rPr>
                <w:rFonts w:ascii="Arial" w:cs="Arial" w:eastAsia="Arial" w:hAnsi="Arial"/>
                <w:sz w:val="20"/>
                <w:szCs w:val="20"/>
                <w:color w:val="auto"/>
              </w:rPr>
              <w:t>7.68</w:t>
            </w:r>
          </w:p>
        </w:tc>
        <w:tc>
          <w:tcPr>
            <w:tcW w:w="4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40"/>
              <w:spacing w:after="0"/>
              <w:rPr>
                <w:sz w:val="20"/>
                <w:szCs w:val="20"/>
                <w:color w:val="auto"/>
              </w:rPr>
            </w:pPr>
            <w:r>
              <w:rPr>
                <w:rFonts w:ascii="Arial" w:cs="Arial" w:eastAsia="Arial" w:hAnsi="Arial"/>
                <w:sz w:val="20"/>
                <w:szCs w:val="20"/>
                <w:color w:val="auto"/>
              </w:rPr>
              <w:t>4.22</w:t>
            </w:r>
          </w:p>
        </w:tc>
        <w:tc>
          <w:tcPr>
            <w:tcW w:w="78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300"/>
              <w:spacing w:after="0"/>
              <w:rPr>
                <w:sz w:val="20"/>
                <w:szCs w:val="20"/>
                <w:color w:val="auto"/>
              </w:rPr>
            </w:pPr>
            <w:r>
              <w:rPr>
                <w:rFonts w:ascii="Arial" w:cs="Arial" w:eastAsia="Arial" w:hAnsi="Arial"/>
                <w:sz w:val="20"/>
                <w:szCs w:val="20"/>
                <w:color w:val="auto"/>
              </w:rPr>
              <w:t>3.21</w:t>
            </w:r>
          </w:p>
        </w:tc>
        <w:tc>
          <w:tcPr>
            <w:tcW w:w="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200"/>
              <w:spacing w:after="0"/>
              <w:rPr>
                <w:sz w:val="20"/>
                <w:szCs w:val="20"/>
                <w:color w:val="auto"/>
              </w:rPr>
            </w:pPr>
            <w:r>
              <w:rPr>
                <w:rFonts w:ascii="Arial" w:cs="Arial" w:eastAsia="Arial" w:hAnsi="Arial"/>
                <w:sz w:val="20"/>
                <w:szCs w:val="20"/>
                <w:color w:val="auto"/>
              </w:rPr>
              <w:t>2.11</w:t>
            </w:r>
          </w:p>
        </w:tc>
        <w:tc>
          <w:tcPr>
            <w:tcW w:w="0" w:type="dxa"/>
            <w:vAlign w:val="bottom"/>
          </w:tcPr>
          <w:p>
            <w:pPr>
              <w:spacing w:after="0"/>
              <w:rPr>
                <w:sz w:val="1"/>
                <w:szCs w:val="1"/>
                <w:color w:val="auto"/>
              </w:rPr>
            </w:pPr>
          </w:p>
        </w:tc>
      </w:tr>
      <w:tr>
        <w:trPr>
          <w:trHeight w:val="480"/>
        </w:trPr>
        <w:tc>
          <w:tcPr>
            <w:tcW w:w="2840" w:type="dxa"/>
            <w:vAlign w:val="bottom"/>
          </w:tcPr>
          <w:p>
            <w:pPr>
              <w:spacing w:after="0"/>
              <w:rPr>
                <w:sz w:val="20"/>
                <w:szCs w:val="20"/>
                <w:color w:val="auto"/>
              </w:rPr>
            </w:pPr>
            <w:r>
              <w:rPr>
                <w:rFonts w:ascii="Arial" w:cs="Arial" w:eastAsia="Arial" w:hAnsi="Arial"/>
                <w:sz w:val="20"/>
                <w:szCs w:val="20"/>
                <w:b w:val="1"/>
                <w:bCs w:val="1"/>
                <w:color w:val="auto"/>
              </w:rPr>
              <w:t>Average benchmark prices</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840" w:type="dxa"/>
            <w:vAlign w:val="bottom"/>
          </w:tcPr>
          <w:p>
            <w:pPr>
              <w:spacing w:after="0"/>
              <w:rPr>
                <w:sz w:val="20"/>
                <w:szCs w:val="20"/>
                <w:color w:val="auto"/>
              </w:rPr>
            </w:pPr>
            <w:r>
              <w:rPr>
                <w:rFonts w:ascii="Arial" w:cs="Arial" w:eastAsia="Arial" w:hAnsi="Arial"/>
                <w:sz w:val="20"/>
                <w:szCs w:val="20"/>
                <w:color w:val="auto"/>
              </w:rPr>
              <w:t>Brent oil ($/Bbl)  . . . . . . . . . . .</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40"/>
              <w:spacing w:after="0"/>
              <w:rPr>
                <w:sz w:val="20"/>
                <w:szCs w:val="20"/>
                <w:color w:val="auto"/>
              </w:rPr>
            </w:pPr>
            <w:r>
              <w:rPr>
                <w:rFonts w:ascii="Arial" w:cs="Arial" w:eastAsia="Arial" w:hAnsi="Arial"/>
                <w:sz w:val="20"/>
                <w:szCs w:val="20"/>
                <w:color w:val="auto"/>
              </w:rPr>
              <w:t>98.89</w:t>
            </w:r>
          </w:p>
        </w:tc>
        <w:tc>
          <w:tcPr>
            <w:tcW w:w="4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40"/>
              <w:spacing w:after="0"/>
              <w:rPr>
                <w:sz w:val="20"/>
                <w:szCs w:val="20"/>
                <w:color w:val="auto"/>
              </w:rPr>
            </w:pPr>
            <w:r>
              <w:rPr>
                <w:rFonts w:ascii="Arial" w:cs="Arial" w:eastAsia="Arial" w:hAnsi="Arial"/>
                <w:sz w:val="20"/>
                <w:szCs w:val="20"/>
                <w:color w:val="auto"/>
              </w:rPr>
              <w:t>70.79</w:t>
            </w:r>
          </w:p>
        </w:tc>
        <w:tc>
          <w:tcPr>
            <w:tcW w:w="78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300"/>
              <w:spacing w:after="0"/>
              <w:rPr>
                <w:sz w:val="20"/>
                <w:szCs w:val="20"/>
                <w:color w:val="auto"/>
              </w:rPr>
            </w:pPr>
            <w:r>
              <w:rPr>
                <w:rFonts w:ascii="Arial" w:cs="Arial" w:eastAsia="Arial" w:hAnsi="Arial"/>
                <w:sz w:val="20"/>
                <w:szCs w:val="20"/>
                <w:color w:val="auto"/>
              </w:rPr>
              <w:t>47.10</w:t>
            </w:r>
          </w:p>
        </w:tc>
        <w:tc>
          <w:tcPr>
            <w:tcW w:w="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200"/>
              <w:spacing w:after="0"/>
              <w:rPr>
                <w:sz w:val="20"/>
                <w:szCs w:val="20"/>
                <w:color w:val="auto"/>
              </w:rPr>
            </w:pPr>
            <w:r>
              <w:rPr>
                <w:rFonts w:ascii="Arial" w:cs="Arial" w:eastAsia="Arial" w:hAnsi="Arial"/>
                <w:sz w:val="20"/>
                <w:szCs w:val="20"/>
                <w:color w:val="auto"/>
              </w:rPr>
              <w:t>42.43</w:t>
            </w:r>
          </w:p>
        </w:tc>
        <w:tc>
          <w:tcPr>
            <w:tcW w:w="0" w:type="dxa"/>
            <w:vAlign w:val="bottom"/>
          </w:tcPr>
          <w:p>
            <w:pPr>
              <w:spacing w:after="0"/>
              <w:rPr>
                <w:sz w:val="1"/>
                <w:szCs w:val="1"/>
                <w:color w:val="auto"/>
              </w:rPr>
            </w:pPr>
          </w:p>
        </w:tc>
      </w:tr>
      <w:tr>
        <w:trPr>
          <w:trHeight w:val="240"/>
        </w:trPr>
        <w:tc>
          <w:tcPr>
            <w:tcW w:w="2840" w:type="dxa"/>
            <w:vAlign w:val="bottom"/>
          </w:tcPr>
          <w:p>
            <w:pPr>
              <w:spacing w:after="0"/>
              <w:rPr>
                <w:sz w:val="20"/>
                <w:szCs w:val="20"/>
                <w:color w:val="auto"/>
              </w:rPr>
            </w:pPr>
            <w:r>
              <w:rPr>
                <w:rFonts w:ascii="Arial" w:cs="Arial" w:eastAsia="Arial" w:hAnsi="Arial"/>
                <w:sz w:val="20"/>
                <w:szCs w:val="20"/>
                <w:color w:val="auto"/>
              </w:rPr>
              <w:t>WTI oil ($/Bbl) . . . . . . . . . . . . .</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40"/>
              <w:spacing w:after="0"/>
              <w:rPr>
                <w:sz w:val="20"/>
                <w:szCs w:val="20"/>
                <w:color w:val="auto"/>
              </w:rPr>
            </w:pPr>
            <w:r>
              <w:rPr>
                <w:rFonts w:ascii="Arial" w:cs="Arial" w:eastAsia="Arial" w:hAnsi="Arial"/>
                <w:sz w:val="20"/>
                <w:szCs w:val="20"/>
                <w:color w:val="auto"/>
              </w:rPr>
              <w:t>94.23</w:t>
            </w:r>
          </w:p>
        </w:tc>
        <w:tc>
          <w:tcPr>
            <w:tcW w:w="4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40"/>
              <w:spacing w:after="0"/>
              <w:rPr>
                <w:sz w:val="20"/>
                <w:szCs w:val="20"/>
                <w:color w:val="auto"/>
              </w:rPr>
            </w:pPr>
            <w:r>
              <w:rPr>
                <w:rFonts w:ascii="Arial" w:cs="Arial" w:eastAsia="Arial" w:hAnsi="Arial"/>
                <w:sz w:val="20"/>
                <w:szCs w:val="20"/>
                <w:color w:val="auto"/>
              </w:rPr>
              <w:t>67.91</w:t>
            </w:r>
          </w:p>
        </w:tc>
        <w:tc>
          <w:tcPr>
            <w:tcW w:w="78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300"/>
              <w:spacing w:after="0"/>
              <w:rPr>
                <w:sz w:val="20"/>
                <w:szCs w:val="20"/>
                <w:color w:val="auto"/>
              </w:rPr>
            </w:pPr>
            <w:r>
              <w:rPr>
                <w:rFonts w:ascii="Arial" w:cs="Arial" w:eastAsia="Arial" w:hAnsi="Arial"/>
                <w:sz w:val="20"/>
                <w:szCs w:val="20"/>
                <w:color w:val="auto"/>
              </w:rPr>
              <w:t>44.21</w:t>
            </w:r>
          </w:p>
        </w:tc>
        <w:tc>
          <w:tcPr>
            <w:tcW w:w="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200"/>
              <w:spacing w:after="0"/>
              <w:rPr>
                <w:sz w:val="20"/>
                <w:szCs w:val="20"/>
                <w:color w:val="auto"/>
              </w:rPr>
            </w:pPr>
            <w:r>
              <w:rPr>
                <w:rFonts w:ascii="Arial" w:cs="Arial" w:eastAsia="Arial" w:hAnsi="Arial"/>
                <w:sz w:val="20"/>
                <w:szCs w:val="20"/>
                <w:color w:val="auto"/>
              </w:rPr>
              <w:t>38.44</w:t>
            </w:r>
          </w:p>
        </w:tc>
        <w:tc>
          <w:tcPr>
            <w:tcW w:w="0" w:type="dxa"/>
            <w:vAlign w:val="bottom"/>
          </w:tcPr>
          <w:p>
            <w:pPr>
              <w:spacing w:after="0"/>
              <w:rPr>
                <w:sz w:val="1"/>
                <w:szCs w:val="1"/>
                <w:color w:val="auto"/>
              </w:rPr>
            </w:pPr>
          </w:p>
        </w:tc>
      </w:tr>
      <w:tr>
        <w:trPr>
          <w:trHeight w:val="240"/>
        </w:trPr>
        <w:tc>
          <w:tcPr>
            <w:tcW w:w="2840" w:type="dxa"/>
            <w:vAlign w:val="bottom"/>
          </w:tcPr>
          <w:p>
            <w:pPr>
              <w:spacing w:after="0"/>
              <w:rPr>
                <w:sz w:val="20"/>
                <w:szCs w:val="20"/>
                <w:color w:val="auto"/>
              </w:rPr>
            </w:pPr>
            <w:r>
              <w:rPr>
                <w:rFonts w:ascii="Arial" w:cs="Arial" w:eastAsia="Arial" w:hAnsi="Arial"/>
                <w:sz w:val="20"/>
                <w:szCs w:val="20"/>
                <w:color w:val="auto"/>
              </w:rPr>
              <w:t>NYMEX gas ($/MMBtu) -</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840" w:type="dxa"/>
            <w:vAlign w:val="bottom"/>
          </w:tcPr>
          <w:p>
            <w:pPr>
              <w:ind w:left="200"/>
              <w:spacing w:after="0"/>
              <w:rPr>
                <w:sz w:val="20"/>
                <w:szCs w:val="20"/>
                <w:color w:val="auto"/>
              </w:rPr>
            </w:pPr>
            <w:r>
              <w:rPr>
                <w:rFonts w:ascii="Arial" w:cs="Arial" w:eastAsia="Arial" w:hAnsi="Arial"/>
                <w:sz w:val="20"/>
                <w:szCs w:val="20"/>
                <w:color w:val="auto"/>
              </w:rPr>
              <w:t>Contract Month Average  . .</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40"/>
              <w:spacing w:after="0"/>
              <w:rPr>
                <w:sz w:val="20"/>
                <w:szCs w:val="20"/>
                <w:color w:val="auto"/>
              </w:rPr>
            </w:pPr>
            <w:r>
              <w:rPr>
                <w:rFonts w:ascii="Arial" w:cs="Arial" w:eastAsia="Arial" w:hAnsi="Arial"/>
                <w:sz w:val="20"/>
                <w:szCs w:val="20"/>
                <w:color w:val="auto"/>
              </w:rPr>
              <w:t>6.36</w:t>
            </w:r>
          </w:p>
        </w:tc>
        <w:tc>
          <w:tcPr>
            <w:tcW w:w="4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40"/>
              <w:spacing w:after="0"/>
              <w:rPr>
                <w:sz w:val="20"/>
                <w:szCs w:val="20"/>
                <w:color w:val="auto"/>
              </w:rPr>
            </w:pPr>
            <w:r>
              <w:rPr>
                <w:rFonts w:ascii="Arial" w:cs="Arial" w:eastAsia="Arial" w:hAnsi="Arial"/>
                <w:sz w:val="20"/>
                <w:szCs w:val="20"/>
                <w:color w:val="auto"/>
              </w:rPr>
              <w:t>3.61</w:t>
            </w:r>
          </w:p>
        </w:tc>
        <w:tc>
          <w:tcPr>
            <w:tcW w:w="78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300"/>
              <w:spacing w:after="0"/>
              <w:rPr>
                <w:sz w:val="20"/>
                <w:szCs w:val="20"/>
                <w:color w:val="auto"/>
              </w:rPr>
            </w:pPr>
            <w:r>
              <w:rPr>
                <w:rFonts w:ascii="Arial" w:cs="Arial" w:eastAsia="Arial" w:hAnsi="Arial"/>
                <w:sz w:val="20"/>
                <w:szCs w:val="20"/>
                <w:color w:val="auto"/>
              </w:rPr>
              <w:t>2.86</w:t>
            </w:r>
          </w:p>
        </w:tc>
        <w:tc>
          <w:tcPr>
            <w:tcW w:w="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200"/>
              <w:spacing w:after="0"/>
              <w:rPr>
                <w:sz w:val="20"/>
                <w:szCs w:val="20"/>
                <w:color w:val="auto"/>
              </w:rPr>
            </w:pPr>
            <w:r>
              <w:rPr>
                <w:rFonts w:ascii="Arial" w:cs="Arial" w:eastAsia="Arial" w:hAnsi="Arial"/>
                <w:sz w:val="20"/>
                <w:szCs w:val="20"/>
                <w:color w:val="auto"/>
              </w:rPr>
              <w:t>1.95</w:t>
            </w:r>
          </w:p>
        </w:tc>
        <w:tc>
          <w:tcPr>
            <w:tcW w:w="0" w:type="dxa"/>
            <w:vAlign w:val="bottom"/>
          </w:tcPr>
          <w:p>
            <w:pPr>
              <w:spacing w:after="0"/>
              <w:rPr>
                <w:sz w:val="1"/>
                <w:szCs w:val="1"/>
                <w:color w:val="auto"/>
              </w:rPr>
            </w:pPr>
          </w:p>
        </w:tc>
      </w:tr>
      <w:tr>
        <w:trPr>
          <w:trHeight w:val="240"/>
        </w:trPr>
        <w:tc>
          <w:tcPr>
            <w:tcW w:w="2840" w:type="dxa"/>
            <w:vAlign w:val="bottom"/>
          </w:tcPr>
          <w:p>
            <w:pPr>
              <w:spacing w:after="0"/>
              <w:rPr>
                <w:sz w:val="20"/>
                <w:szCs w:val="20"/>
                <w:color w:val="auto"/>
              </w:rPr>
            </w:pPr>
            <w:r>
              <w:rPr>
                <w:rFonts w:ascii="Arial" w:cs="Arial" w:eastAsia="Arial" w:hAnsi="Arial"/>
                <w:sz w:val="20"/>
                <w:szCs w:val="20"/>
                <w:color w:val="auto"/>
              </w:rPr>
              <w:t>NYMEX gas ($/MMBtu) -</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840" w:type="dxa"/>
            <w:vAlign w:val="bottom"/>
          </w:tcPr>
          <w:p>
            <w:pPr>
              <w:ind w:left="200"/>
              <w:spacing w:after="0"/>
              <w:rPr>
                <w:sz w:val="20"/>
                <w:szCs w:val="20"/>
                <w:color w:val="auto"/>
              </w:rPr>
            </w:pPr>
            <w:r>
              <w:rPr>
                <w:rFonts w:ascii="Arial" w:cs="Arial" w:eastAsia="Arial" w:hAnsi="Arial"/>
                <w:sz w:val="20"/>
                <w:szCs w:val="20"/>
                <w:color w:val="auto"/>
              </w:rPr>
              <w:t>Average Monthly Settled</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840" w:type="dxa"/>
            <w:vAlign w:val="bottom"/>
          </w:tcPr>
          <w:p>
            <w:pPr>
              <w:ind w:left="200"/>
              <w:spacing w:after="0"/>
              <w:rPr>
                <w:sz w:val="20"/>
                <w:szCs w:val="20"/>
                <w:color w:val="auto"/>
              </w:rPr>
            </w:pPr>
            <w:r>
              <w:rPr>
                <w:rFonts w:ascii="Arial" w:cs="Arial" w:eastAsia="Arial" w:hAnsi="Arial"/>
                <w:sz w:val="20"/>
                <w:szCs w:val="20"/>
                <w:color w:val="auto"/>
              </w:rPr>
              <w:t>Price  . . . . . . . . . . . . . . . . . .</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40"/>
              <w:spacing w:after="0"/>
              <w:rPr>
                <w:sz w:val="20"/>
                <w:szCs w:val="20"/>
                <w:color w:val="auto"/>
              </w:rPr>
            </w:pPr>
            <w:r>
              <w:rPr>
                <w:rFonts w:ascii="Arial" w:cs="Arial" w:eastAsia="Arial" w:hAnsi="Arial"/>
                <w:sz w:val="20"/>
                <w:szCs w:val="20"/>
                <w:color w:val="auto"/>
              </w:rPr>
              <w:t>6.64</w:t>
            </w:r>
          </w:p>
        </w:tc>
        <w:tc>
          <w:tcPr>
            <w:tcW w:w="4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40"/>
              <w:spacing w:after="0"/>
              <w:rPr>
                <w:sz w:val="20"/>
                <w:szCs w:val="20"/>
                <w:color w:val="auto"/>
              </w:rPr>
            </w:pPr>
            <w:r>
              <w:rPr>
                <w:rFonts w:ascii="Arial" w:cs="Arial" w:eastAsia="Arial" w:hAnsi="Arial"/>
                <w:sz w:val="20"/>
                <w:szCs w:val="20"/>
                <w:color w:val="auto"/>
              </w:rPr>
              <w:t>3.84</w:t>
            </w:r>
          </w:p>
        </w:tc>
        <w:tc>
          <w:tcPr>
            <w:tcW w:w="78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300"/>
              <w:spacing w:after="0"/>
              <w:rPr>
                <w:sz w:val="20"/>
                <w:szCs w:val="20"/>
                <w:color w:val="auto"/>
              </w:rPr>
            </w:pPr>
            <w:r>
              <w:rPr>
                <w:rFonts w:ascii="Arial" w:cs="Arial" w:eastAsia="Arial" w:hAnsi="Arial"/>
                <w:sz w:val="20"/>
                <w:szCs w:val="20"/>
                <w:color w:val="auto"/>
              </w:rPr>
              <w:t>2.95</w:t>
            </w:r>
          </w:p>
        </w:tc>
        <w:tc>
          <w:tcPr>
            <w:tcW w:w="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200"/>
              <w:spacing w:after="0"/>
              <w:rPr>
                <w:sz w:val="20"/>
                <w:szCs w:val="20"/>
                <w:color w:val="auto"/>
              </w:rPr>
            </w:pPr>
            <w:r>
              <w:rPr>
                <w:rFonts w:ascii="Arial" w:cs="Arial" w:eastAsia="Arial" w:hAnsi="Arial"/>
                <w:sz w:val="20"/>
                <w:szCs w:val="20"/>
                <w:color w:val="auto"/>
              </w:rPr>
              <w:t>1.90</w:t>
            </w:r>
          </w:p>
        </w:tc>
        <w:tc>
          <w:tcPr>
            <w:tcW w:w="0" w:type="dxa"/>
            <w:vAlign w:val="bottom"/>
          </w:tcPr>
          <w:p>
            <w:pPr>
              <w:spacing w:after="0"/>
              <w:rPr>
                <w:sz w:val="1"/>
                <w:szCs w:val="1"/>
                <w:color w:val="auto"/>
              </w:rPr>
            </w:pPr>
          </w:p>
        </w:tc>
      </w:tr>
      <w:tr>
        <w:trPr>
          <w:trHeight w:val="480"/>
        </w:trPr>
        <w:tc>
          <w:tcPr>
            <w:tcW w:w="2840" w:type="dxa"/>
            <w:vAlign w:val="bottom"/>
          </w:tcPr>
          <w:p>
            <w:pPr>
              <w:spacing w:after="0"/>
              <w:rPr>
                <w:sz w:val="20"/>
                <w:szCs w:val="20"/>
                <w:color w:val="auto"/>
              </w:rPr>
            </w:pPr>
            <w:r>
              <w:rPr>
                <w:rFonts w:ascii="Arial" w:cs="Arial" w:eastAsia="Arial" w:hAnsi="Arial"/>
                <w:sz w:val="20"/>
                <w:szCs w:val="20"/>
                <w:b w:val="1"/>
                <w:bCs w:val="1"/>
                <w:color w:val="auto"/>
              </w:rPr>
              <w:t>Operating costs per Boe</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840" w:type="dxa"/>
            <w:vAlign w:val="bottom"/>
            <w:vMerge w:val="restart"/>
          </w:tcPr>
          <w:p>
            <w:pPr>
              <w:spacing w:after="0"/>
              <w:rPr>
                <w:sz w:val="20"/>
                <w:szCs w:val="20"/>
                <w:color w:val="auto"/>
              </w:rPr>
            </w:pPr>
            <w:r>
              <w:rPr>
                <w:rFonts w:ascii="Arial" w:cs="Arial" w:eastAsia="Arial" w:hAnsi="Arial"/>
                <w:sz w:val="20"/>
                <w:szCs w:val="20"/>
                <w:color w:val="auto"/>
              </w:rPr>
              <w:t>Operating costs  . . . . . . . . . . .</w:t>
            </w:r>
          </w:p>
        </w:tc>
        <w:tc>
          <w:tcPr>
            <w:tcW w:w="3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960" w:type="dxa"/>
            <w:vAlign w:val="bottom"/>
            <w:vMerge w:val="restart"/>
          </w:tcPr>
          <w:p>
            <w:pPr>
              <w:jc w:val="right"/>
              <w:ind w:right="40"/>
              <w:spacing w:after="0"/>
              <w:rPr>
                <w:sz w:val="20"/>
                <w:szCs w:val="20"/>
                <w:color w:val="auto"/>
              </w:rPr>
            </w:pPr>
            <w:r>
              <w:rPr>
                <w:rFonts w:ascii="Arial" w:cs="Arial" w:eastAsia="Arial" w:hAnsi="Arial"/>
                <w:sz w:val="20"/>
                <w:szCs w:val="20"/>
                <w:color w:val="auto"/>
              </w:rPr>
              <w:t>23.75</w:t>
            </w:r>
          </w:p>
        </w:tc>
        <w:tc>
          <w:tcPr>
            <w:tcW w:w="40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960" w:type="dxa"/>
            <w:vAlign w:val="bottom"/>
            <w:vMerge w:val="restart"/>
          </w:tcPr>
          <w:p>
            <w:pPr>
              <w:jc w:val="right"/>
              <w:ind w:right="40"/>
              <w:spacing w:after="0"/>
              <w:rPr>
                <w:sz w:val="20"/>
                <w:szCs w:val="20"/>
                <w:color w:val="auto"/>
              </w:rPr>
            </w:pPr>
            <w:r>
              <w:rPr>
                <w:rFonts w:ascii="Arial" w:cs="Arial" w:eastAsia="Arial" w:hAnsi="Arial"/>
                <w:sz w:val="20"/>
                <w:szCs w:val="20"/>
                <w:color w:val="auto"/>
              </w:rPr>
              <w:t>19.39</w:t>
            </w: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20"/>
                <w:szCs w:val="20"/>
                <w:color w:val="auto"/>
              </w:rPr>
              <w:t>$</w:t>
            </w:r>
          </w:p>
        </w:tc>
        <w:tc>
          <w:tcPr>
            <w:tcW w:w="1100" w:type="dxa"/>
            <w:vAlign w:val="bottom"/>
            <w:vMerge w:val="restart"/>
          </w:tcPr>
          <w:p>
            <w:pPr>
              <w:jc w:val="right"/>
              <w:ind w:right="300"/>
              <w:spacing w:after="0"/>
              <w:rPr>
                <w:sz w:val="20"/>
                <w:szCs w:val="20"/>
                <w:color w:val="auto"/>
              </w:rPr>
            </w:pPr>
            <w:r>
              <w:rPr>
                <w:rFonts w:ascii="Arial" w:cs="Arial" w:eastAsia="Arial" w:hAnsi="Arial"/>
                <w:sz w:val="20"/>
                <w:szCs w:val="20"/>
                <w:color w:val="auto"/>
              </w:rPr>
              <w:t>18.19</w:t>
            </w:r>
          </w:p>
        </w:tc>
        <w:tc>
          <w:tcPr>
            <w:tcW w:w="60" w:type="dxa"/>
            <w:vAlign w:val="bottom"/>
            <w:vMerge w:val="restart"/>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20"/>
                <w:szCs w:val="20"/>
                <w:color w:val="auto"/>
              </w:rPr>
              <w:t>$</w:t>
            </w:r>
          </w:p>
        </w:tc>
        <w:tc>
          <w:tcPr>
            <w:tcW w:w="1000" w:type="dxa"/>
            <w:vAlign w:val="bottom"/>
            <w:vMerge w:val="restart"/>
          </w:tcPr>
          <w:p>
            <w:pPr>
              <w:jc w:val="right"/>
              <w:ind w:right="200"/>
              <w:spacing w:after="0"/>
              <w:rPr>
                <w:sz w:val="20"/>
                <w:szCs w:val="20"/>
                <w:color w:val="auto"/>
              </w:rPr>
            </w:pPr>
            <w:r>
              <w:rPr>
                <w:rFonts w:ascii="Arial" w:cs="Arial" w:eastAsia="Arial" w:hAnsi="Arial"/>
                <w:sz w:val="20"/>
                <w:szCs w:val="20"/>
                <w:color w:val="auto"/>
              </w:rPr>
              <w:t>14.95</w:t>
            </w:r>
          </w:p>
        </w:tc>
        <w:tc>
          <w:tcPr>
            <w:tcW w:w="0" w:type="dxa"/>
            <w:vAlign w:val="bottom"/>
          </w:tcPr>
          <w:p>
            <w:pPr>
              <w:spacing w:after="0"/>
              <w:rPr>
                <w:sz w:val="1"/>
                <w:szCs w:val="1"/>
                <w:color w:val="auto"/>
              </w:rPr>
            </w:pPr>
          </w:p>
        </w:tc>
      </w:tr>
      <w:tr>
        <w:trPr>
          <w:trHeight w:val="47"/>
        </w:trPr>
        <w:tc>
          <w:tcPr>
            <w:tcW w:w="2840" w:type="dxa"/>
            <w:vAlign w:val="bottom"/>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Oil, natural gas and NGL production for our two largest fields are presented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Elk Hills</w:t>
            </w: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gridSpan w:val="5"/>
          </w:tcPr>
          <w:p>
            <w:pPr>
              <w:ind w:left="40"/>
              <w:spacing w:after="0"/>
              <w:rPr>
                <w:sz w:val="20"/>
                <w:szCs w:val="20"/>
                <w:color w:val="auto"/>
              </w:rPr>
            </w:pPr>
            <w:r>
              <w:rPr>
                <w:rFonts w:ascii="Arial" w:cs="Arial" w:eastAsia="Arial" w:hAnsi="Arial"/>
                <w:sz w:val="18"/>
                <w:szCs w:val="18"/>
                <w:b w:val="1"/>
                <w:bCs w:val="1"/>
                <w:color w:val="auto"/>
              </w:rPr>
              <w:t>Wilmington</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2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8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2020</w:t>
            </w:r>
          </w:p>
        </w:tc>
        <w:tc>
          <w:tcPr>
            <w:tcW w:w="7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9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4"/>
        </w:trPr>
        <w:tc>
          <w:tcPr>
            <w:tcW w:w="4260" w:type="dxa"/>
            <w:vAlign w:val="bottom"/>
            <w:vMerge w:val="restart"/>
          </w:tcPr>
          <w:p>
            <w:pPr>
              <w:spacing w:after="0"/>
              <w:rPr>
                <w:sz w:val="20"/>
                <w:szCs w:val="20"/>
                <w:color w:val="auto"/>
              </w:rPr>
            </w:pPr>
            <w:r>
              <w:rPr>
                <w:rFonts w:ascii="Arial" w:cs="Arial" w:eastAsia="Arial" w:hAnsi="Arial"/>
                <w:sz w:val="18"/>
                <w:szCs w:val="18"/>
                <w:b w:val="1"/>
                <w:bCs w:val="1"/>
                <w:color w:val="auto"/>
              </w:rPr>
              <w:t>Average daily net production</w:t>
            </w: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4260" w:type="dxa"/>
            <w:vAlign w:val="bottom"/>
            <w:vMerge w:val="continue"/>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4260" w:type="dxa"/>
            <w:vAlign w:val="bottom"/>
          </w:tcPr>
          <w:p>
            <w:pPr>
              <w:ind w:left="180"/>
              <w:spacing w:after="0"/>
              <w:rPr>
                <w:sz w:val="20"/>
                <w:szCs w:val="20"/>
                <w:color w:val="auto"/>
              </w:rPr>
            </w:pPr>
            <w:r>
              <w:rPr>
                <w:rFonts w:ascii="Arial" w:cs="Arial" w:eastAsia="Arial" w:hAnsi="Arial"/>
                <w:sz w:val="18"/>
                <w:szCs w:val="18"/>
                <w:color w:val="auto"/>
              </w:rPr>
              <w:t>Oil (MBbl/d)  . . . . . . . . . . . . . . . . . . . . . . . . . . . . . .</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17</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900" w:type="dxa"/>
            <w:vAlign w:val="bottom"/>
            <w:gridSpan w:val="3"/>
          </w:tcPr>
          <w:p>
            <w:pPr>
              <w:jc w:val="right"/>
              <w:ind w:right="1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0"/>
        </w:trPr>
        <w:tc>
          <w:tcPr>
            <w:tcW w:w="4260" w:type="dxa"/>
            <w:vAlign w:val="bottom"/>
          </w:tcPr>
          <w:p>
            <w:pPr>
              <w:ind w:left="180"/>
              <w:spacing w:after="0"/>
              <w:rPr>
                <w:sz w:val="20"/>
                <w:szCs w:val="20"/>
                <w:color w:val="auto"/>
              </w:rPr>
            </w:pPr>
            <w:r>
              <w:rPr>
                <w:rFonts w:ascii="Arial" w:cs="Arial" w:eastAsia="Arial" w:hAnsi="Arial"/>
                <w:sz w:val="18"/>
                <w:szCs w:val="18"/>
                <w:color w:val="auto"/>
              </w:rPr>
              <w:t>NGLs (MBbl/d) . . . . . . . . . . . . . . . . . . . . . . . . . . . .</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10</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4260" w:type="dxa"/>
            <w:vAlign w:val="bottom"/>
          </w:tcPr>
          <w:p>
            <w:pPr>
              <w:ind w:left="180"/>
              <w:spacing w:after="0"/>
              <w:rPr>
                <w:sz w:val="20"/>
                <w:szCs w:val="20"/>
                <w:color w:val="auto"/>
              </w:rPr>
            </w:pPr>
            <w:r>
              <w:rPr>
                <w:rFonts w:ascii="Arial" w:cs="Arial" w:eastAsia="Arial" w:hAnsi="Arial"/>
                <w:sz w:val="18"/>
                <w:szCs w:val="18"/>
                <w:color w:val="auto"/>
              </w:rPr>
              <w:t>Natural gas (MMcf/d) . . . . . . . . . . . . . . . . . . . . . . .</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81</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4"/>
        </w:trPr>
        <w:tc>
          <w:tcPr>
            <w:tcW w:w="42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4260" w:type="dxa"/>
            <w:vAlign w:val="bottom"/>
          </w:tcPr>
          <w:p>
            <w:pPr>
              <w:ind w:left="180"/>
              <w:spacing w:after="0"/>
              <w:rPr>
                <w:sz w:val="20"/>
                <w:szCs w:val="20"/>
                <w:color w:val="auto"/>
              </w:rPr>
            </w:pPr>
            <w:r>
              <w:rPr>
                <w:rFonts w:ascii="Arial" w:cs="Arial" w:eastAsia="Arial" w:hAnsi="Arial"/>
                <w:sz w:val="18"/>
                <w:szCs w:val="18"/>
                <w:color w:val="auto"/>
              </w:rPr>
              <w:t>Total daily net production (MBoe/d) . . . . . . . . . . .</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40</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900" w:type="dxa"/>
            <w:vAlign w:val="bottom"/>
            <w:gridSpan w:val="3"/>
          </w:tcPr>
          <w:p>
            <w:pPr>
              <w:jc w:val="right"/>
              <w:ind w:right="1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4"/>
        </w:trPr>
        <w:tc>
          <w:tcPr>
            <w:tcW w:w="42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310" w:right="1380" w:bottom="653"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880" w:h="15480" w:orient="portrait"/>
          <w:cols w:equalWidth="0" w:num="1">
            <w:col w:w="9120"/>
          </w:cols>
          <w:pgMar w:left="1380" w:top="1310" w:right="1380" w:bottom="653" w:gutter="0" w:footer="0" w:header="0"/>
          <w:type w:val="continuous"/>
        </w:sectPr>
      </w:pPr>
    </w:p>
    <w:bookmarkStart w:id="15" w:name="page16"/>
    <w:bookmarkEnd w:id="15"/>
    <w:p>
      <w:pPr>
        <w:ind w:firstLine="300"/>
        <w:spacing w:after="0" w:line="264" w:lineRule="auto"/>
        <w:rPr>
          <w:sz w:val="20"/>
          <w:szCs w:val="20"/>
          <w:color w:val="auto"/>
        </w:rPr>
      </w:pPr>
      <w:r>
        <w:rPr>
          <w:rFonts w:ascii="Arial" w:cs="Arial" w:eastAsia="Arial" w:hAnsi="Arial"/>
          <w:sz w:val="19"/>
          <w:szCs w:val="19"/>
          <w:color w:val="auto"/>
        </w:rPr>
        <w:t>Our operating costs include (1) variable costs that fluctuate with production levels and (2) fixed costs that typically do not vary with changes in production levels or well counts, especially in the short term. The substantial majority of our near-term fixed costs become variable over the longer term because we manage them based on the field’s stage of life and operating characteristics. For example, portions of labor and material costs, energy, workovers and maintenance expenditures correlate to well count, production and activity levels. Portions of these same costs can be relatively fixed over the near term; however, they are managed down as fields mature in a manner that correlates to production and commodity price levels. A certain amount of costs for facilities, surface support, surveillance and related maintenance can be regarded as fixed in the early phases of a program. However, as the production from a certain area matures, well count increases and daily per well production drops, such support costs can be reduced and consolidated over a larger number of wells, reducing costs per operating well. Further, many of our other costs, such as property taxes and oilfield services, are variable and will respond to activity levels and tend to correlate with commodity prices. We can quickly scale our operating costs in response to prevailing market conditions. We believe that a significant portion of our operating costs are variable over the lifecycle of our fields.</w:t>
      </w:r>
    </w:p>
    <w:p>
      <w:pPr>
        <w:spacing w:after="0" w:line="195" w:lineRule="exact"/>
        <w:rPr>
          <w:sz w:val="20"/>
          <w:szCs w:val="20"/>
          <w:color w:val="auto"/>
        </w:rPr>
      </w:pPr>
    </w:p>
    <w:p>
      <w:pPr>
        <w:ind w:right="20" w:firstLine="300"/>
        <w:spacing w:after="0" w:line="263" w:lineRule="auto"/>
        <w:rPr>
          <w:sz w:val="20"/>
          <w:szCs w:val="20"/>
          <w:color w:val="auto"/>
        </w:rPr>
      </w:pPr>
      <w:r>
        <w:rPr>
          <w:rFonts w:ascii="Arial" w:cs="Arial" w:eastAsia="Arial" w:hAnsi="Arial"/>
          <w:sz w:val="19"/>
          <w:szCs w:val="19"/>
          <w:color w:val="auto"/>
        </w:rPr>
        <w:t>Our share of production and reserves from operations in the Wilmington field in the Los Angeles basin is subject to contractual arrangements similar to PSCs that are in effect through the economic life of the assets. Under such contracts we are obligated to fund all capital and operating costs. We record a share of production and reserves to recover a portion of such capital and operating costs and an additional share for profit. Our portion of the production represents volumes: (i) to recover our partners’ share of capital and operating costs that we incur on their behalf, (ii) for our share of contractually defined base production, and</w:t>
      </w:r>
    </w:p>
    <w:p>
      <w:pPr>
        <w:spacing w:after="0" w:line="3" w:lineRule="exact"/>
        <w:rPr>
          <w:sz w:val="20"/>
          <w:szCs w:val="20"/>
          <w:color w:val="auto"/>
        </w:rPr>
      </w:pPr>
    </w:p>
    <w:p>
      <w:pPr>
        <w:ind w:right="40"/>
        <w:spacing w:after="0" w:line="249" w:lineRule="auto"/>
        <w:tabs>
          <w:tab w:leader="none" w:pos="299" w:val="left"/>
        </w:tabs>
        <w:numPr>
          <w:ilvl w:val="0"/>
          <w:numId w:val="9"/>
        </w:numPr>
        <w:rPr>
          <w:rFonts w:ascii="Arial" w:cs="Arial" w:eastAsia="Arial" w:hAnsi="Arial"/>
          <w:sz w:val="20"/>
          <w:szCs w:val="20"/>
          <w:color w:val="auto"/>
        </w:rPr>
      </w:pPr>
      <w:r>
        <w:rPr>
          <w:rFonts w:ascii="Arial" w:cs="Arial" w:eastAsia="Arial" w:hAnsi="Arial"/>
          <w:sz w:val="20"/>
          <w:szCs w:val="20"/>
          <w:color w:val="auto"/>
        </w:rPr>
        <w:t>for our share of remaining production thereafter. We generate returns through our defined share of production from (ii) and (iii) above. These contracts do not transfer any right of ownership to us and reserves reported from these arrangements are based on our economic interest as defined in the contracts. Our share of production and reserves from these contracts decreases when product prices rise and increases when prices decline, assuming comparable capital investment and operating costs. However, our net economic benefit is greater when product prices are higher. These PSCs represented 16% of our total production for the year ended December 31, 2022.</w:t>
      </w:r>
    </w:p>
    <w:p>
      <w:pPr>
        <w:spacing w:after="0" w:line="210" w:lineRule="exact"/>
        <w:rPr>
          <w:sz w:val="20"/>
          <w:szCs w:val="20"/>
          <w:color w:val="auto"/>
        </w:rPr>
      </w:pPr>
    </w:p>
    <w:p>
      <w:pPr>
        <w:ind w:right="20" w:firstLine="300"/>
        <w:spacing w:after="0" w:line="264" w:lineRule="auto"/>
        <w:rPr>
          <w:sz w:val="20"/>
          <w:szCs w:val="20"/>
          <w:color w:val="auto"/>
        </w:rPr>
      </w:pPr>
      <w:r>
        <w:rPr>
          <w:rFonts w:ascii="Arial" w:cs="Arial" w:eastAsia="Arial" w:hAnsi="Arial"/>
          <w:sz w:val="19"/>
          <w:szCs w:val="19"/>
          <w:color w:val="auto"/>
        </w:rPr>
        <w:t>In line with industry practice for reporting PSCs, we report 100% of operating costs under such contracts in operating costs on our consolidated statements of operations as opposed to reporting only our share of those costs. We report the proceeds from production designed to recover our partners’ share of such costs (cost recovery) in our revenues. Our reported production volumes reflect only our share of the total volumes produced, including cost recovery, which is less than the total volumes produced under the PSCs. This difference in reporting full operating costs but only our net share of production equally inflates our revenue and operating costs per barrel and has no effect on our net results.</w:t>
      </w:r>
    </w:p>
    <w:p>
      <w:pPr>
        <w:sectPr>
          <w:pgSz w:w="11880" w:h="15480" w:orient="portrait"/>
          <w:cols w:equalWidth="0" w:num="1">
            <w:col w:w="9120"/>
          </w:cols>
          <w:pgMar w:left="1380" w:top="1316"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880" w:h="15480" w:orient="portrait"/>
          <w:cols w:equalWidth="0" w:num="1">
            <w:col w:w="9120"/>
          </w:cols>
          <w:pgMar w:left="1380" w:top="1316" w:right="1380" w:bottom="655" w:gutter="0" w:footer="0" w:header="0"/>
          <w:type w:val="continuous"/>
        </w:sectPr>
      </w:pPr>
    </w:p>
    <w:bookmarkStart w:id="16" w:name="page17"/>
    <w:bookmarkEnd w:id="16"/>
    <w:p>
      <w:pPr>
        <w:ind w:right="160" w:firstLine="300"/>
        <w:spacing w:after="0" w:line="243" w:lineRule="auto"/>
        <w:rPr>
          <w:sz w:val="20"/>
          <w:szCs w:val="20"/>
          <w:color w:val="auto"/>
        </w:rPr>
      </w:pPr>
      <w:r>
        <w:rPr>
          <w:rFonts w:ascii="Arial" w:cs="Arial" w:eastAsia="Arial" w:hAnsi="Arial"/>
          <w:sz w:val="20"/>
          <w:szCs w:val="20"/>
          <w:color w:val="auto"/>
        </w:rPr>
        <w:t>The following table presents our operating costs after adjustment for excess costs attributable to PSCs for the periods presented: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8"/>
                <w:szCs w:val="18"/>
                <w:b w:val="1"/>
                <w:bCs w:val="1"/>
                <w:color w:val="auto"/>
                <w:w w:val="98"/>
              </w:rPr>
              <w:t>Successor</w:t>
            </w:r>
          </w:p>
        </w:tc>
        <w:tc>
          <w:tcPr>
            <w:tcW w:w="2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193"/>
        </w:trPr>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5"/>
          </w:tcPr>
          <w:p>
            <w:pPr>
              <w:ind w:left="220"/>
              <w:spacing w:after="0" w:line="193" w:lineRule="exact"/>
              <w:rPr>
                <w:sz w:val="20"/>
                <w:szCs w:val="20"/>
                <w:color w:val="auto"/>
              </w:rPr>
            </w:pPr>
            <w:r>
              <w:rPr>
                <w:rFonts w:ascii="Arial" w:cs="Arial" w:eastAsia="Arial" w:hAnsi="Arial"/>
                <w:sz w:val="18"/>
                <w:szCs w:val="18"/>
                <w:b w:val="1"/>
                <w:bCs w:val="1"/>
                <w:color w:val="auto"/>
              </w:rPr>
              <w:t>Year ended</w:t>
            </w:r>
          </w:p>
        </w:tc>
        <w:tc>
          <w:tcPr>
            <w:tcW w:w="240" w:type="dxa"/>
            <w:vAlign w:val="bottom"/>
          </w:tcPr>
          <w:p>
            <w:pPr>
              <w:spacing w:after="0"/>
              <w:rPr>
                <w:sz w:val="16"/>
                <w:szCs w:val="16"/>
                <w:color w:val="auto"/>
              </w:rPr>
            </w:pPr>
          </w:p>
        </w:tc>
        <w:tc>
          <w:tcPr>
            <w:tcW w:w="1720" w:type="dxa"/>
            <w:vAlign w:val="bottom"/>
            <w:gridSpan w:val="5"/>
          </w:tcPr>
          <w:p>
            <w:pPr>
              <w:jc w:val="center"/>
              <w:ind w:right="340"/>
              <w:spacing w:after="0" w:line="193" w:lineRule="exact"/>
              <w:rPr>
                <w:sz w:val="20"/>
                <w:szCs w:val="20"/>
                <w:color w:val="auto"/>
              </w:rPr>
            </w:pPr>
            <w:r>
              <w:rPr>
                <w:rFonts w:ascii="Arial" w:cs="Arial" w:eastAsia="Arial" w:hAnsi="Arial"/>
                <w:sz w:val="18"/>
                <w:szCs w:val="18"/>
                <w:b w:val="1"/>
                <w:bCs w:val="1"/>
                <w:color w:val="auto"/>
              </w:rPr>
              <w:t>Year ended</w:t>
            </w:r>
          </w:p>
        </w:tc>
        <w:tc>
          <w:tcPr>
            <w:tcW w:w="1980" w:type="dxa"/>
            <w:vAlign w:val="bottom"/>
            <w:tcBorders>
              <w:right w:val="single" w:sz="8" w:color="auto"/>
            </w:tcBorders>
            <w:gridSpan w:val="6"/>
            <w:vMerge w:val="restart"/>
          </w:tcPr>
          <w:p>
            <w:pPr>
              <w:ind w:left="120"/>
              <w:spacing w:after="0"/>
              <w:rPr>
                <w:sz w:val="20"/>
                <w:szCs w:val="20"/>
                <w:color w:val="auto"/>
              </w:rPr>
            </w:pPr>
            <w:r>
              <w:rPr>
                <w:rFonts w:ascii="Arial" w:cs="Arial" w:eastAsia="Arial" w:hAnsi="Arial"/>
                <w:sz w:val="18"/>
                <w:szCs w:val="18"/>
                <w:b w:val="1"/>
                <w:bCs w:val="1"/>
                <w:color w:val="auto"/>
              </w:rPr>
              <w:t>November 1, 2020 -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January 1, 2020 -</w:t>
            </w:r>
          </w:p>
        </w:tc>
        <w:tc>
          <w:tcPr>
            <w:tcW w:w="0" w:type="dxa"/>
            <w:vAlign w:val="bottom"/>
          </w:tcPr>
          <w:p>
            <w:pPr>
              <w:spacing w:after="0"/>
              <w:rPr>
                <w:sz w:val="1"/>
                <w:szCs w:val="1"/>
                <w:color w:val="auto"/>
              </w:rPr>
            </w:pPr>
          </w:p>
        </w:tc>
      </w:tr>
      <w:tr>
        <w:trPr>
          <w:trHeight w:val="167"/>
        </w:trPr>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5"/>
          </w:tcPr>
          <w:p>
            <w:pPr>
              <w:jc w:val="center"/>
              <w:ind w:right="340"/>
              <w:spacing w:after="0" w:line="168" w:lineRule="exact"/>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14"/>
                <w:szCs w:val="14"/>
                <w:color w:val="auto"/>
              </w:rPr>
            </w:pPr>
          </w:p>
        </w:tc>
        <w:tc>
          <w:tcPr>
            <w:tcW w:w="1720" w:type="dxa"/>
            <w:vAlign w:val="bottom"/>
            <w:gridSpan w:val="5"/>
          </w:tcPr>
          <w:p>
            <w:pPr>
              <w:jc w:val="center"/>
              <w:ind w:right="340"/>
              <w:spacing w:after="0" w:line="168" w:lineRule="exact"/>
              <w:rPr>
                <w:sz w:val="20"/>
                <w:szCs w:val="20"/>
                <w:color w:val="auto"/>
              </w:rPr>
            </w:pPr>
            <w:r>
              <w:rPr>
                <w:rFonts w:ascii="Arial" w:cs="Arial" w:eastAsia="Arial" w:hAnsi="Arial"/>
                <w:sz w:val="18"/>
                <w:szCs w:val="18"/>
                <w:b w:val="1"/>
                <w:bCs w:val="1"/>
                <w:color w:val="auto"/>
              </w:rPr>
              <w:t>December 31,</w:t>
            </w:r>
          </w:p>
        </w:tc>
        <w:tc>
          <w:tcPr>
            <w:tcW w:w="1980" w:type="dxa"/>
            <w:vAlign w:val="bottom"/>
            <w:tcBorders>
              <w:right w:val="single" w:sz="8" w:color="auto"/>
            </w:tcBorders>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124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980" w:type="dxa"/>
            <w:vAlign w:val="bottom"/>
            <w:tcBorders>
              <w:right w:val="single" w:sz="8" w:color="auto"/>
            </w:tcBorders>
            <w:gridSpan w:val="6"/>
            <w:vMerge w:val="restart"/>
          </w:tcPr>
          <w:p>
            <w:pPr>
              <w:ind w:left="140"/>
              <w:spacing w:after="0" w:line="203" w:lineRule="exact"/>
              <w:rPr>
                <w:sz w:val="20"/>
                <w:szCs w:val="20"/>
                <w:color w:val="auto"/>
              </w:rPr>
            </w:pPr>
            <w:r>
              <w:rPr>
                <w:rFonts w:ascii="Arial" w:cs="Arial" w:eastAsia="Arial" w:hAnsi="Arial"/>
                <w:sz w:val="18"/>
                <w:szCs w:val="18"/>
                <w:b w:val="1"/>
                <w:bCs w:val="1"/>
                <w:color w:val="auto"/>
              </w:rPr>
              <w:t>December 31, 2020</w:t>
            </w: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700" w:type="dxa"/>
            <w:vAlign w:val="bottom"/>
            <w:gridSpan w:val="4"/>
            <w:vMerge w:val="restart"/>
          </w:tcPr>
          <w:p>
            <w:pPr>
              <w:ind w:left="40"/>
              <w:spacing w:after="0" w:line="203" w:lineRule="exact"/>
              <w:rPr>
                <w:sz w:val="20"/>
                <w:szCs w:val="20"/>
                <w:color w:val="auto"/>
              </w:rPr>
            </w:pPr>
            <w:r>
              <w:rPr>
                <w:rFonts w:ascii="Arial" w:cs="Arial" w:eastAsia="Arial" w:hAnsi="Arial"/>
                <w:sz w:val="18"/>
                <w:szCs w:val="18"/>
                <w:b w:val="1"/>
                <w:bCs w:val="1"/>
                <w:color w:val="auto"/>
              </w:rPr>
              <w:t>October 31, 2020</w:t>
            </w:r>
          </w:p>
        </w:tc>
        <w:tc>
          <w:tcPr>
            <w:tcW w:w="0" w:type="dxa"/>
            <w:vAlign w:val="bottom"/>
          </w:tcPr>
          <w:p>
            <w:pPr>
              <w:spacing w:after="0"/>
              <w:rPr>
                <w:sz w:val="1"/>
                <w:szCs w:val="1"/>
                <w:color w:val="auto"/>
              </w:rPr>
            </w:pPr>
          </w:p>
        </w:tc>
      </w:tr>
      <w:tr>
        <w:trPr>
          <w:trHeight w:val="123"/>
        </w:trPr>
        <w:tc>
          <w:tcPr>
            <w:tcW w:w="1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3"/>
            <w:vMerge w:val="restart"/>
          </w:tcPr>
          <w:p>
            <w:pPr>
              <w:jc w:val="right"/>
              <w:ind w:right="40"/>
              <w:spacing w:after="0"/>
              <w:rPr>
                <w:sz w:val="20"/>
                <w:szCs w:val="20"/>
                <w:color w:val="auto"/>
              </w:rPr>
            </w:pPr>
            <w:r>
              <w:rPr>
                <w:rFonts w:ascii="Arial" w:cs="Arial" w:eastAsia="Arial" w:hAnsi="Arial"/>
                <w:sz w:val="18"/>
                <w:szCs w:val="18"/>
                <w:b w:val="1"/>
                <w:bCs w:val="1"/>
                <w:color w:val="auto"/>
              </w:rPr>
              <w:t>2022</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3"/>
            <w:vMerge w:val="restart"/>
          </w:tcPr>
          <w:p>
            <w:pPr>
              <w:jc w:val="center"/>
              <w:ind w:left="270"/>
              <w:spacing w:after="0"/>
              <w:rPr>
                <w:sz w:val="20"/>
                <w:szCs w:val="20"/>
                <w:color w:val="auto"/>
              </w:rPr>
            </w:pPr>
            <w:r>
              <w:rPr>
                <w:rFonts w:ascii="Arial" w:cs="Arial" w:eastAsia="Arial" w:hAnsi="Arial"/>
                <w:sz w:val="18"/>
                <w:szCs w:val="18"/>
                <w:b w:val="1"/>
                <w:bCs w:val="1"/>
                <w:color w:val="auto"/>
                <w:w w:val="99"/>
              </w:rPr>
              <w:t>2021</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80" w:type="dxa"/>
            <w:vAlign w:val="bottom"/>
            <w:tcBorders>
              <w:right w:val="single" w:sz="8" w:color="auto"/>
            </w:tcBorders>
            <w:gridSpan w:val="6"/>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gridSpan w:val="3"/>
            <w:vMerge w:val="continue"/>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1240" w:type="dxa"/>
            <w:vAlign w:val="bottom"/>
          </w:tcPr>
          <w:p>
            <w:pPr>
              <w:spacing w:after="0"/>
              <w:rPr>
                <w:sz w:val="21"/>
                <w:szCs w:val="21"/>
                <w:color w:val="auto"/>
              </w:rPr>
            </w:pPr>
          </w:p>
        </w:tc>
        <w:tc>
          <w:tcPr>
            <w:tcW w:w="800" w:type="dxa"/>
            <w:vAlign w:val="bottom"/>
            <w:gridSpan w:val="2"/>
          </w:tcPr>
          <w:p>
            <w:pPr>
              <w:spacing w:after="0"/>
              <w:rPr>
                <w:sz w:val="20"/>
                <w:szCs w:val="20"/>
                <w:color w:val="auto"/>
              </w:rPr>
            </w:pPr>
            <w:r>
              <w:rPr>
                <w:rFonts w:ascii="Arial" w:cs="Arial" w:eastAsia="Arial" w:hAnsi="Arial"/>
                <w:sz w:val="16"/>
                <w:szCs w:val="16"/>
                <w:color w:val="auto"/>
                <w:w w:val="96"/>
              </w:rPr>
              <w:t>(in millions)</w:t>
            </w:r>
          </w:p>
        </w:tc>
        <w:tc>
          <w:tcPr>
            <w:tcW w:w="200" w:type="dxa"/>
            <w:vAlign w:val="bottom"/>
          </w:tcPr>
          <w:p>
            <w:pPr>
              <w:spacing w:after="0"/>
              <w:rPr>
                <w:sz w:val="21"/>
                <w:szCs w:val="21"/>
                <w:color w:val="auto"/>
              </w:rPr>
            </w:pPr>
          </w:p>
        </w:tc>
        <w:tc>
          <w:tcPr>
            <w:tcW w:w="980" w:type="dxa"/>
            <w:vAlign w:val="bottom"/>
            <w:gridSpan w:val="3"/>
          </w:tcPr>
          <w:p>
            <w:pPr>
              <w:ind w:left="40"/>
              <w:spacing w:after="0"/>
              <w:rPr>
                <w:sz w:val="20"/>
                <w:szCs w:val="20"/>
                <w:color w:val="auto"/>
              </w:rPr>
            </w:pPr>
            <w:r>
              <w:rPr>
                <w:rFonts w:ascii="Arial" w:cs="Arial" w:eastAsia="Arial" w:hAnsi="Arial"/>
                <w:sz w:val="16"/>
                <w:szCs w:val="16"/>
                <w:color w:val="auto"/>
              </w:rPr>
              <w:t>($ per Boe)</w:t>
            </w:r>
          </w:p>
        </w:tc>
        <w:tc>
          <w:tcPr>
            <w:tcW w:w="800" w:type="dxa"/>
            <w:vAlign w:val="bottom"/>
            <w:gridSpan w:val="2"/>
          </w:tcPr>
          <w:p>
            <w:pPr>
              <w:spacing w:after="0"/>
              <w:rPr>
                <w:sz w:val="20"/>
                <w:szCs w:val="20"/>
                <w:color w:val="auto"/>
              </w:rPr>
            </w:pPr>
            <w:r>
              <w:rPr>
                <w:rFonts w:ascii="Arial" w:cs="Arial" w:eastAsia="Arial" w:hAnsi="Arial"/>
                <w:sz w:val="16"/>
                <w:szCs w:val="16"/>
                <w:color w:val="auto"/>
                <w:w w:val="96"/>
              </w:rPr>
              <w:t>(in millions)</w:t>
            </w:r>
          </w:p>
        </w:tc>
        <w:tc>
          <w:tcPr>
            <w:tcW w:w="200" w:type="dxa"/>
            <w:vAlign w:val="bottom"/>
          </w:tcPr>
          <w:p>
            <w:pPr>
              <w:spacing w:after="0"/>
              <w:rPr>
                <w:sz w:val="21"/>
                <w:szCs w:val="21"/>
                <w:color w:val="auto"/>
              </w:rPr>
            </w:pPr>
          </w:p>
        </w:tc>
        <w:tc>
          <w:tcPr>
            <w:tcW w:w="960" w:type="dxa"/>
            <w:vAlign w:val="bottom"/>
            <w:gridSpan w:val="3"/>
          </w:tcPr>
          <w:p>
            <w:pPr>
              <w:ind w:left="40"/>
              <w:spacing w:after="0"/>
              <w:rPr>
                <w:sz w:val="20"/>
                <w:szCs w:val="20"/>
                <w:color w:val="auto"/>
              </w:rPr>
            </w:pPr>
            <w:r>
              <w:rPr>
                <w:rFonts w:ascii="Arial" w:cs="Arial" w:eastAsia="Arial" w:hAnsi="Arial"/>
                <w:sz w:val="16"/>
                <w:szCs w:val="16"/>
                <w:color w:val="auto"/>
              </w:rPr>
              <w:t>($ per Boe)</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w w:val="98"/>
              </w:rPr>
              <w:t>(in millions)</w:t>
            </w:r>
          </w:p>
        </w:tc>
        <w:tc>
          <w:tcPr>
            <w:tcW w:w="200" w:type="dxa"/>
            <w:vAlign w:val="bottom"/>
          </w:tcPr>
          <w:p>
            <w:pPr>
              <w:spacing w:after="0"/>
              <w:rPr>
                <w:sz w:val="21"/>
                <w:szCs w:val="21"/>
                <w:color w:val="auto"/>
              </w:rPr>
            </w:pPr>
          </w:p>
        </w:tc>
        <w:tc>
          <w:tcPr>
            <w:tcW w:w="960" w:type="dxa"/>
            <w:vAlign w:val="bottom"/>
            <w:tcBorders>
              <w:right w:val="single" w:sz="8" w:color="auto"/>
            </w:tcBorders>
            <w:gridSpan w:val="3"/>
          </w:tcPr>
          <w:p>
            <w:pPr>
              <w:ind w:left="20"/>
              <w:spacing w:after="0"/>
              <w:rPr>
                <w:sz w:val="20"/>
                <w:szCs w:val="20"/>
                <w:color w:val="auto"/>
              </w:rPr>
            </w:pPr>
            <w:r>
              <w:rPr>
                <w:rFonts w:ascii="Arial" w:cs="Arial" w:eastAsia="Arial" w:hAnsi="Arial"/>
                <w:sz w:val="16"/>
                <w:szCs w:val="16"/>
                <w:color w:val="auto"/>
              </w:rPr>
              <w:t>($ per Boe)</w:t>
            </w:r>
          </w:p>
        </w:tc>
        <w:tc>
          <w:tcPr>
            <w:tcW w:w="80" w:type="dxa"/>
            <w:vAlign w:val="bottom"/>
          </w:tcPr>
          <w:p>
            <w:pPr>
              <w:spacing w:after="0"/>
              <w:rPr>
                <w:sz w:val="21"/>
                <w:szCs w:val="21"/>
                <w:color w:val="auto"/>
              </w:rPr>
            </w:pPr>
          </w:p>
        </w:tc>
        <w:tc>
          <w:tcPr>
            <w:tcW w:w="820" w:type="dxa"/>
            <w:vAlign w:val="bottom"/>
            <w:gridSpan w:val="2"/>
          </w:tcPr>
          <w:p>
            <w:pPr>
              <w:spacing w:after="0"/>
              <w:rPr>
                <w:sz w:val="20"/>
                <w:szCs w:val="20"/>
                <w:color w:val="auto"/>
              </w:rPr>
            </w:pPr>
            <w:r>
              <w:rPr>
                <w:rFonts w:ascii="Arial" w:cs="Arial" w:eastAsia="Arial" w:hAnsi="Arial"/>
                <w:sz w:val="16"/>
                <w:szCs w:val="16"/>
                <w:color w:val="auto"/>
                <w:w w:val="98"/>
              </w:rPr>
              <w:t>(in millions)</w:t>
            </w:r>
          </w:p>
        </w:tc>
        <w:tc>
          <w:tcPr>
            <w:tcW w:w="200" w:type="dxa"/>
            <w:vAlign w:val="bottom"/>
          </w:tcPr>
          <w:p>
            <w:pPr>
              <w:spacing w:after="0"/>
              <w:rPr>
                <w:sz w:val="21"/>
                <w:szCs w:val="21"/>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color w:val="auto"/>
              </w:rPr>
              <w:t>($ per Boe)</w:t>
            </w:r>
          </w:p>
        </w:tc>
        <w:tc>
          <w:tcPr>
            <w:tcW w:w="0" w:type="dxa"/>
            <w:vAlign w:val="bottom"/>
          </w:tcPr>
          <w:p>
            <w:pPr>
              <w:spacing w:after="0"/>
              <w:rPr>
                <w:sz w:val="1"/>
                <w:szCs w:val="1"/>
                <w:color w:val="auto"/>
              </w:rPr>
            </w:pPr>
          </w:p>
        </w:tc>
      </w:tr>
      <w:tr>
        <w:trPr>
          <w:trHeight w:val="283"/>
        </w:trPr>
        <w:tc>
          <w:tcPr>
            <w:tcW w:w="1240" w:type="dxa"/>
            <w:vAlign w:val="bottom"/>
          </w:tcPr>
          <w:p>
            <w:pPr>
              <w:spacing w:after="0"/>
              <w:rPr>
                <w:sz w:val="20"/>
                <w:szCs w:val="20"/>
                <w:color w:val="auto"/>
              </w:rPr>
            </w:pPr>
            <w:r>
              <w:rPr>
                <w:rFonts w:ascii="Arial" w:cs="Arial" w:eastAsia="Arial" w:hAnsi="Arial"/>
                <w:sz w:val="18"/>
                <w:szCs w:val="18"/>
                <w:color w:val="auto"/>
              </w:rPr>
              <w:t>Operating</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240" w:type="dxa"/>
            <w:vAlign w:val="bottom"/>
          </w:tcPr>
          <w:p>
            <w:pPr>
              <w:spacing w:after="0" w:line="200" w:lineRule="exact"/>
              <w:rPr>
                <w:sz w:val="20"/>
                <w:szCs w:val="20"/>
                <w:color w:val="auto"/>
              </w:rPr>
            </w:pPr>
            <w:r>
              <w:rPr>
                <w:rFonts w:ascii="Arial" w:cs="Arial" w:eastAsia="Arial" w:hAnsi="Arial"/>
                <w:sz w:val="18"/>
                <w:szCs w:val="18"/>
                <w:color w:val="auto"/>
              </w:rPr>
              <w:t>costs . . . . . .</w:t>
            </w:r>
          </w:p>
        </w:tc>
        <w:tc>
          <w:tcPr>
            <w:tcW w:w="220" w:type="dxa"/>
            <w:vAlign w:val="bottom"/>
          </w:tcPr>
          <w:p>
            <w:pPr>
              <w:ind w:left="20"/>
              <w:spacing w:after="0" w:line="200" w:lineRule="exact"/>
              <w:rPr>
                <w:sz w:val="20"/>
                <w:szCs w:val="20"/>
                <w:color w:val="auto"/>
              </w:rPr>
            </w:pPr>
            <w:r>
              <w:rPr>
                <w:rFonts w:ascii="Arial" w:cs="Arial" w:eastAsia="Arial" w:hAnsi="Arial"/>
                <w:sz w:val="18"/>
                <w:szCs w:val="18"/>
                <w:color w:val="auto"/>
              </w:rPr>
              <w:t>$</w:t>
            </w:r>
          </w:p>
        </w:tc>
        <w:tc>
          <w:tcPr>
            <w:tcW w:w="580" w:type="dxa"/>
            <w:vAlign w:val="bottom"/>
          </w:tcPr>
          <w:p>
            <w:pPr>
              <w:ind w:left="220"/>
              <w:spacing w:after="0" w:line="200" w:lineRule="exact"/>
              <w:rPr>
                <w:sz w:val="20"/>
                <w:szCs w:val="20"/>
                <w:color w:val="auto"/>
              </w:rPr>
            </w:pPr>
            <w:r>
              <w:rPr>
                <w:rFonts w:ascii="Arial" w:cs="Arial" w:eastAsia="Arial" w:hAnsi="Arial"/>
                <w:sz w:val="18"/>
                <w:szCs w:val="18"/>
                <w:color w:val="auto"/>
              </w:rPr>
              <w:t>785</w:t>
            </w:r>
          </w:p>
        </w:tc>
        <w:tc>
          <w:tcPr>
            <w:tcW w:w="460" w:type="dxa"/>
            <w:vAlign w:val="bottom"/>
            <w:gridSpan w:val="2"/>
          </w:tcPr>
          <w:p>
            <w:pPr>
              <w:jc w:val="right"/>
              <w:ind w:right="80"/>
              <w:spacing w:after="0" w:line="200" w:lineRule="exact"/>
              <w:rPr>
                <w:sz w:val="20"/>
                <w:szCs w:val="20"/>
                <w:color w:val="auto"/>
              </w:rPr>
            </w:pPr>
            <w:r>
              <w:rPr>
                <w:rFonts w:ascii="Arial" w:cs="Arial" w:eastAsia="Arial" w:hAnsi="Arial"/>
                <w:sz w:val="18"/>
                <w:szCs w:val="18"/>
                <w:color w:val="auto"/>
              </w:rPr>
              <w:t>$</w:t>
            </w:r>
          </w:p>
        </w:tc>
        <w:tc>
          <w:tcPr>
            <w:tcW w:w="620" w:type="dxa"/>
            <w:vAlign w:val="bottom"/>
          </w:tcPr>
          <w:p>
            <w:pPr>
              <w:ind w:left="120"/>
              <w:spacing w:after="0" w:line="200" w:lineRule="exact"/>
              <w:rPr>
                <w:sz w:val="20"/>
                <w:szCs w:val="20"/>
                <w:color w:val="auto"/>
              </w:rPr>
            </w:pPr>
            <w:r>
              <w:rPr>
                <w:rFonts w:ascii="Arial" w:cs="Arial" w:eastAsia="Arial" w:hAnsi="Arial"/>
                <w:sz w:val="18"/>
                <w:szCs w:val="18"/>
                <w:color w:val="auto"/>
              </w:rPr>
              <w:t>23.75</w:t>
            </w:r>
          </w:p>
        </w:tc>
        <w:tc>
          <w:tcPr>
            <w:tcW w:w="100" w:type="dxa"/>
            <w:vAlign w:val="bottom"/>
          </w:tcPr>
          <w:p>
            <w:pPr>
              <w:spacing w:after="0"/>
              <w:rPr>
                <w:sz w:val="17"/>
                <w:szCs w:val="17"/>
                <w:color w:val="auto"/>
              </w:rPr>
            </w:pPr>
          </w:p>
        </w:tc>
        <w:tc>
          <w:tcPr>
            <w:tcW w:w="240" w:type="dxa"/>
            <w:vAlign w:val="bottom"/>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560" w:type="dxa"/>
            <w:vAlign w:val="bottom"/>
          </w:tcPr>
          <w:p>
            <w:pPr>
              <w:ind w:left="160"/>
              <w:spacing w:after="0" w:line="200" w:lineRule="exact"/>
              <w:rPr>
                <w:sz w:val="20"/>
                <w:szCs w:val="20"/>
                <w:color w:val="auto"/>
              </w:rPr>
            </w:pPr>
            <w:r>
              <w:rPr>
                <w:rFonts w:ascii="Arial" w:cs="Arial" w:eastAsia="Arial" w:hAnsi="Arial"/>
                <w:sz w:val="18"/>
                <w:szCs w:val="18"/>
                <w:color w:val="auto"/>
              </w:rPr>
              <w:t>705</w:t>
            </w:r>
          </w:p>
        </w:tc>
        <w:tc>
          <w:tcPr>
            <w:tcW w:w="44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w:t>
            </w:r>
          </w:p>
        </w:tc>
        <w:tc>
          <w:tcPr>
            <w:tcW w:w="620" w:type="dxa"/>
            <w:vAlign w:val="bottom"/>
          </w:tcPr>
          <w:p>
            <w:pPr>
              <w:ind w:left="140"/>
              <w:spacing w:after="0" w:line="200" w:lineRule="exact"/>
              <w:rPr>
                <w:sz w:val="20"/>
                <w:szCs w:val="20"/>
                <w:color w:val="auto"/>
              </w:rPr>
            </w:pPr>
            <w:r>
              <w:rPr>
                <w:rFonts w:ascii="Arial" w:cs="Arial" w:eastAsia="Arial" w:hAnsi="Arial"/>
                <w:sz w:val="18"/>
                <w:szCs w:val="18"/>
                <w:color w:val="auto"/>
              </w:rPr>
              <w:t>19.39</w:t>
            </w:r>
          </w:p>
        </w:tc>
        <w:tc>
          <w:tcPr>
            <w:tcW w:w="100" w:type="dxa"/>
            <w:vAlign w:val="bottom"/>
          </w:tcPr>
          <w:p>
            <w:pPr>
              <w:spacing w:after="0"/>
              <w:rPr>
                <w:sz w:val="17"/>
                <w:szCs w:val="17"/>
                <w:color w:val="auto"/>
              </w:rPr>
            </w:pPr>
          </w:p>
        </w:tc>
        <w:tc>
          <w:tcPr>
            <w:tcW w:w="28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10"/>
              <w:spacing w:after="0" w:line="200" w:lineRule="exact"/>
              <w:rPr>
                <w:sz w:val="20"/>
                <w:szCs w:val="20"/>
                <w:color w:val="auto"/>
              </w:rPr>
            </w:pPr>
            <w:r>
              <w:rPr>
                <w:rFonts w:ascii="Arial" w:cs="Arial" w:eastAsia="Arial" w:hAnsi="Arial"/>
                <w:sz w:val="18"/>
                <w:szCs w:val="18"/>
                <w:color w:val="auto"/>
              </w:rPr>
              <w:t>114</w:t>
            </w:r>
          </w:p>
        </w:tc>
        <w:tc>
          <w:tcPr>
            <w:tcW w:w="44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w:t>
            </w:r>
          </w:p>
        </w:tc>
        <w:tc>
          <w:tcPr>
            <w:tcW w:w="620" w:type="dxa"/>
            <w:vAlign w:val="bottom"/>
          </w:tcPr>
          <w:p>
            <w:pPr>
              <w:ind w:left="120"/>
              <w:spacing w:after="0" w:line="200" w:lineRule="exact"/>
              <w:rPr>
                <w:sz w:val="20"/>
                <w:szCs w:val="20"/>
                <w:color w:val="auto"/>
              </w:rPr>
            </w:pPr>
            <w:r>
              <w:rPr>
                <w:rFonts w:ascii="Arial" w:cs="Arial" w:eastAsia="Arial" w:hAnsi="Arial"/>
                <w:sz w:val="18"/>
                <w:szCs w:val="18"/>
                <w:color w:val="auto"/>
              </w:rPr>
              <w:t>18.19</w:t>
            </w:r>
          </w:p>
        </w:tc>
        <w:tc>
          <w:tcPr>
            <w:tcW w:w="100" w:type="dxa"/>
            <w:vAlign w:val="bottom"/>
            <w:tcBorders>
              <w:right w:val="single" w:sz="8" w:color="auto"/>
            </w:tcBorders>
          </w:tcPr>
          <w:p>
            <w:pPr>
              <w:spacing w:after="0"/>
              <w:rPr>
                <w:sz w:val="17"/>
                <w:szCs w:val="17"/>
                <w:color w:val="auto"/>
              </w:rPr>
            </w:pPr>
          </w:p>
        </w:tc>
        <w:tc>
          <w:tcPr>
            <w:tcW w:w="26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w:t>
            </w:r>
          </w:p>
        </w:tc>
        <w:tc>
          <w:tcPr>
            <w:tcW w:w="640" w:type="dxa"/>
            <w:vAlign w:val="bottom"/>
          </w:tcPr>
          <w:p>
            <w:pPr>
              <w:ind w:left="240"/>
              <w:spacing w:after="0" w:line="200" w:lineRule="exact"/>
              <w:rPr>
                <w:sz w:val="20"/>
                <w:szCs w:val="20"/>
                <w:color w:val="auto"/>
              </w:rPr>
            </w:pPr>
            <w:r>
              <w:rPr>
                <w:rFonts w:ascii="Arial" w:cs="Arial" w:eastAsia="Arial" w:hAnsi="Arial"/>
                <w:sz w:val="18"/>
                <w:szCs w:val="18"/>
                <w:color w:val="auto"/>
              </w:rPr>
              <w:t>511</w:t>
            </w:r>
          </w:p>
        </w:tc>
        <w:tc>
          <w:tcPr>
            <w:tcW w:w="44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w:t>
            </w:r>
          </w:p>
        </w:tc>
        <w:tc>
          <w:tcPr>
            <w:tcW w:w="620" w:type="dxa"/>
            <w:vAlign w:val="bottom"/>
          </w:tcPr>
          <w:p>
            <w:pPr>
              <w:ind w:left="120"/>
              <w:spacing w:after="0" w:line="200" w:lineRule="exact"/>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00"/>
        </w:trPr>
        <w:tc>
          <w:tcPr>
            <w:tcW w:w="1240" w:type="dxa"/>
            <w:vAlign w:val="bottom"/>
          </w:tcPr>
          <w:p>
            <w:pPr>
              <w:spacing w:after="0" w:line="200" w:lineRule="exact"/>
              <w:rPr>
                <w:sz w:val="20"/>
                <w:szCs w:val="20"/>
                <w:color w:val="auto"/>
              </w:rPr>
            </w:pPr>
            <w:r>
              <w:rPr>
                <w:rFonts w:ascii="Arial" w:cs="Arial" w:eastAsia="Arial" w:hAnsi="Arial"/>
                <w:sz w:val="18"/>
                <w:szCs w:val="18"/>
                <w:color w:val="auto"/>
              </w:rPr>
              <w:t>Excess</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240" w:type="dxa"/>
            <w:vAlign w:val="bottom"/>
          </w:tcPr>
          <w:p>
            <w:pPr>
              <w:spacing w:after="0" w:line="200" w:lineRule="exact"/>
              <w:rPr>
                <w:sz w:val="20"/>
                <w:szCs w:val="20"/>
                <w:color w:val="auto"/>
              </w:rPr>
            </w:pPr>
            <w:r>
              <w:rPr>
                <w:rFonts w:ascii="Arial" w:cs="Arial" w:eastAsia="Arial" w:hAnsi="Arial"/>
                <w:sz w:val="18"/>
                <w:szCs w:val="18"/>
                <w:color w:val="auto"/>
              </w:rPr>
              <w:t>costs</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240" w:type="dxa"/>
            <w:vAlign w:val="bottom"/>
          </w:tcPr>
          <w:p>
            <w:pPr>
              <w:spacing w:after="0" w:line="200" w:lineRule="exact"/>
              <w:rPr>
                <w:sz w:val="20"/>
                <w:szCs w:val="20"/>
                <w:color w:val="auto"/>
              </w:rPr>
            </w:pPr>
            <w:r>
              <w:rPr>
                <w:rFonts w:ascii="Arial" w:cs="Arial" w:eastAsia="Arial" w:hAnsi="Arial"/>
                <w:sz w:val="18"/>
                <w:szCs w:val="18"/>
                <w:color w:val="auto"/>
              </w:rPr>
              <w:t>attributable</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40" w:type="dxa"/>
            <w:vAlign w:val="bottom"/>
          </w:tcPr>
          <w:p>
            <w:pPr>
              <w:spacing w:after="0" w:line="201" w:lineRule="exact"/>
              <w:rPr>
                <w:sz w:val="20"/>
                <w:szCs w:val="20"/>
                <w:color w:val="auto"/>
              </w:rPr>
            </w:pPr>
            <w:r>
              <w:rPr>
                <w:rFonts w:ascii="Arial" w:cs="Arial" w:eastAsia="Arial" w:hAnsi="Arial"/>
                <w:sz w:val="18"/>
                <w:szCs w:val="18"/>
                <w:color w:val="auto"/>
              </w:rPr>
              <w:t>to PSCs  . . .</w:t>
            </w:r>
          </w:p>
        </w:tc>
        <w:tc>
          <w:tcPr>
            <w:tcW w:w="220" w:type="dxa"/>
            <w:vAlign w:val="bottom"/>
          </w:tcPr>
          <w:p>
            <w:pPr>
              <w:spacing w:after="0"/>
              <w:rPr>
                <w:sz w:val="17"/>
                <w:szCs w:val="17"/>
                <w:color w:val="auto"/>
              </w:rPr>
            </w:pPr>
          </w:p>
        </w:tc>
        <w:tc>
          <w:tcPr>
            <w:tcW w:w="580" w:type="dxa"/>
            <w:vAlign w:val="bottom"/>
          </w:tcPr>
          <w:p>
            <w:pPr>
              <w:ind w:left="260"/>
              <w:spacing w:after="0" w:line="201" w:lineRule="exact"/>
              <w:rPr>
                <w:sz w:val="20"/>
                <w:szCs w:val="20"/>
                <w:color w:val="auto"/>
              </w:rPr>
            </w:pPr>
            <w:r>
              <w:rPr>
                <w:rFonts w:ascii="Arial" w:cs="Arial" w:eastAsia="Arial" w:hAnsi="Arial"/>
                <w:sz w:val="18"/>
                <w:szCs w:val="18"/>
                <w:color w:val="auto"/>
                <w:w w:val="93"/>
              </w:rPr>
              <w:t>(74)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gridSpan w:val="2"/>
          </w:tcPr>
          <w:p>
            <w:pPr>
              <w:ind w:left="140"/>
              <w:spacing w:after="0" w:line="201" w:lineRule="exact"/>
              <w:rPr>
                <w:sz w:val="20"/>
                <w:szCs w:val="20"/>
                <w:color w:val="auto"/>
              </w:rPr>
            </w:pPr>
            <w:r>
              <w:rPr>
                <w:rFonts w:ascii="Arial" w:cs="Arial" w:eastAsia="Arial" w:hAnsi="Arial"/>
                <w:sz w:val="18"/>
                <w:szCs w:val="18"/>
                <w:color w:val="auto"/>
              </w:rPr>
              <w:t>(2.23)</w:t>
            </w:r>
          </w:p>
        </w:tc>
        <w:tc>
          <w:tcPr>
            <w:tcW w:w="240" w:type="dxa"/>
            <w:vAlign w:val="bottom"/>
          </w:tcPr>
          <w:p>
            <w:pPr>
              <w:spacing w:after="0"/>
              <w:rPr>
                <w:sz w:val="17"/>
                <w:szCs w:val="17"/>
                <w:color w:val="auto"/>
              </w:rPr>
            </w:pPr>
          </w:p>
        </w:tc>
        <w:tc>
          <w:tcPr>
            <w:tcW w:w="560" w:type="dxa"/>
            <w:vAlign w:val="bottom"/>
          </w:tcPr>
          <w:p>
            <w:pPr>
              <w:ind w:left="200"/>
              <w:spacing w:after="0" w:line="201" w:lineRule="exact"/>
              <w:rPr>
                <w:sz w:val="20"/>
                <w:szCs w:val="20"/>
                <w:color w:val="auto"/>
              </w:rPr>
            </w:pPr>
            <w:r>
              <w:rPr>
                <w:rFonts w:ascii="Arial" w:cs="Arial" w:eastAsia="Arial" w:hAnsi="Arial"/>
                <w:sz w:val="18"/>
                <w:szCs w:val="18"/>
                <w:color w:val="auto"/>
              </w:rPr>
              <w:t>(66)</w:t>
            </w:r>
          </w:p>
        </w:tc>
        <w:tc>
          <w:tcPr>
            <w:tcW w:w="4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w:t>
            </w:r>
          </w:p>
        </w:tc>
        <w:tc>
          <w:tcPr>
            <w:tcW w:w="72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(1.83)</w:t>
            </w:r>
          </w:p>
        </w:tc>
        <w:tc>
          <w:tcPr>
            <w:tcW w:w="280" w:type="dxa"/>
            <w:vAlign w:val="bottom"/>
          </w:tcPr>
          <w:p>
            <w:pPr>
              <w:spacing w:after="0"/>
              <w:rPr>
                <w:sz w:val="17"/>
                <w:szCs w:val="17"/>
                <w:color w:val="auto"/>
              </w:rPr>
            </w:pP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(8)</w:t>
            </w:r>
          </w:p>
        </w:tc>
        <w:tc>
          <w:tcPr>
            <w:tcW w:w="4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gridSpan w:val="2"/>
          </w:tcPr>
          <w:p>
            <w:pPr>
              <w:ind w:left="160"/>
              <w:spacing w:after="0" w:line="201" w:lineRule="exact"/>
              <w:rPr>
                <w:sz w:val="20"/>
                <w:szCs w:val="20"/>
                <w:color w:val="auto"/>
              </w:rPr>
            </w:pPr>
            <w:r>
              <w:rPr>
                <w:rFonts w:ascii="Arial" w:cs="Arial" w:eastAsia="Arial" w:hAnsi="Arial"/>
                <w:sz w:val="18"/>
                <w:szCs w:val="18"/>
                <w:color w:val="auto"/>
              </w:rPr>
              <w:t>(1.33)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ind w:left="260"/>
              <w:spacing w:after="0" w:line="201" w:lineRule="exact"/>
              <w:rPr>
                <w:sz w:val="20"/>
                <w:szCs w:val="20"/>
                <w:color w:val="auto"/>
              </w:rPr>
            </w:pPr>
            <w:r>
              <w:rPr>
                <w:rFonts w:ascii="Arial" w:cs="Arial" w:eastAsia="Arial" w:hAnsi="Arial"/>
                <w:sz w:val="18"/>
                <w:szCs w:val="18"/>
                <w:color w:val="auto"/>
              </w:rPr>
              <w:t>(28)</w:t>
            </w:r>
          </w:p>
        </w:tc>
        <w:tc>
          <w:tcPr>
            <w:tcW w:w="4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w:t>
            </w:r>
          </w:p>
        </w:tc>
        <w:tc>
          <w:tcPr>
            <w:tcW w:w="620" w:type="dxa"/>
            <w:vAlign w:val="bottom"/>
          </w:tcPr>
          <w:p>
            <w:pPr>
              <w:ind w:left="160"/>
              <w:spacing w:after="0" w:line="201" w:lineRule="exact"/>
              <w:rPr>
                <w:sz w:val="20"/>
                <w:szCs w:val="20"/>
                <w:color w:val="auto"/>
              </w:rPr>
            </w:pPr>
            <w:r>
              <w:rPr>
                <w:rFonts w:ascii="Arial" w:cs="Arial" w:eastAsia="Arial" w:hAnsi="Arial"/>
                <w:sz w:val="18"/>
                <w:szCs w:val="18"/>
                <w:color w:val="auto"/>
                <w:w w:val="93"/>
              </w:rPr>
              <w:t>(0.81)</w:t>
            </w:r>
          </w:p>
        </w:tc>
        <w:tc>
          <w:tcPr>
            <w:tcW w:w="0" w:type="dxa"/>
            <w:vAlign w:val="bottom"/>
          </w:tcPr>
          <w:p>
            <w:pPr>
              <w:spacing w:after="0"/>
              <w:rPr>
                <w:sz w:val="1"/>
                <w:szCs w:val="1"/>
                <w:color w:val="auto"/>
              </w:rPr>
            </w:pPr>
          </w:p>
        </w:tc>
      </w:tr>
      <w:tr>
        <w:trPr>
          <w:trHeight w:val="34"/>
        </w:trPr>
        <w:tc>
          <w:tcPr>
            <w:tcW w:w="1240" w:type="dxa"/>
            <w:vAlign w:val="bottom"/>
            <w:vMerge w:val="restart"/>
          </w:tcPr>
          <w:p>
            <w:pPr>
              <w:spacing w:after="0"/>
              <w:rPr>
                <w:sz w:val="20"/>
                <w:szCs w:val="20"/>
                <w:color w:val="auto"/>
              </w:rPr>
            </w:pPr>
            <w:r>
              <w:rPr>
                <w:rFonts w:ascii="Arial" w:cs="Arial" w:eastAsia="Arial" w:hAnsi="Arial"/>
                <w:sz w:val="18"/>
                <w:szCs w:val="18"/>
                <w:color w:val="auto"/>
              </w:rPr>
              <w:t>Operating</w:t>
            </w: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12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240" w:type="dxa"/>
            <w:vAlign w:val="bottom"/>
          </w:tcPr>
          <w:p>
            <w:pPr>
              <w:spacing w:after="0" w:line="200" w:lineRule="exact"/>
              <w:rPr>
                <w:sz w:val="20"/>
                <w:szCs w:val="20"/>
                <w:color w:val="auto"/>
              </w:rPr>
            </w:pPr>
            <w:r>
              <w:rPr>
                <w:rFonts w:ascii="Arial" w:cs="Arial" w:eastAsia="Arial" w:hAnsi="Arial"/>
                <w:sz w:val="18"/>
                <w:szCs w:val="18"/>
                <w:color w:val="auto"/>
              </w:rPr>
              <w:t>costs,</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240" w:type="dxa"/>
            <w:vAlign w:val="bottom"/>
          </w:tcPr>
          <w:p>
            <w:pPr>
              <w:spacing w:after="0" w:line="200" w:lineRule="exact"/>
              <w:rPr>
                <w:sz w:val="20"/>
                <w:szCs w:val="20"/>
                <w:color w:val="auto"/>
              </w:rPr>
            </w:pPr>
            <w:r>
              <w:rPr>
                <w:rFonts w:ascii="Arial" w:cs="Arial" w:eastAsia="Arial" w:hAnsi="Arial"/>
                <w:sz w:val="18"/>
                <w:szCs w:val="18"/>
                <w:color w:val="auto"/>
              </w:rPr>
              <w:t>excluding</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240" w:type="dxa"/>
            <w:vAlign w:val="bottom"/>
          </w:tcPr>
          <w:p>
            <w:pPr>
              <w:spacing w:after="0" w:line="200" w:lineRule="exact"/>
              <w:rPr>
                <w:sz w:val="20"/>
                <w:szCs w:val="20"/>
                <w:color w:val="auto"/>
              </w:rPr>
            </w:pPr>
            <w:r>
              <w:rPr>
                <w:rFonts w:ascii="Arial" w:cs="Arial" w:eastAsia="Arial" w:hAnsi="Arial"/>
                <w:sz w:val="18"/>
                <w:szCs w:val="18"/>
                <w:color w:val="auto"/>
              </w:rPr>
              <w:t>effects of</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240" w:type="dxa"/>
            <w:vAlign w:val="bottom"/>
          </w:tcPr>
          <w:p>
            <w:pPr>
              <w:spacing w:after="0" w:line="235" w:lineRule="exact"/>
              <w:rPr>
                <w:sz w:val="20"/>
                <w:szCs w:val="20"/>
                <w:color w:val="auto"/>
              </w:rPr>
            </w:pPr>
            <w:r>
              <w:rPr>
                <w:rFonts w:ascii="Arial" w:cs="Arial" w:eastAsia="Arial" w:hAnsi="Arial"/>
                <w:sz w:val="18"/>
                <w:szCs w:val="18"/>
                <w:color w:val="auto"/>
              </w:rPr>
              <w:t>PSCs</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 . . .</w:t>
            </w:r>
          </w:p>
        </w:tc>
        <w:tc>
          <w:tcPr>
            <w:tcW w:w="220" w:type="dxa"/>
            <w:vAlign w:val="bottom"/>
          </w:tcPr>
          <w:p>
            <w:pPr>
              <w:ind w:left="20"/>
              <w:spacing w:after="0" w:line="201" w:lineRule="exact"/>
              <w:rPr>
                <w:sz w:val="20"/>
                <w:szCs w:val="20"/>
                <w:color w:val="auto"/>
              </w:rPr>
            </w:pPr>
            <w:r>
              <w:rPr>
                <w:rFonts w:ascii="Arial" w:cs="Arial" w:eastAsia="Arial" w:hAnsi="Arial"/>
                <w:sz w:val="18"/>
                <w:szCs w:val="18"/>
                <w:color w:val="auto"/>
              </w:rPr>
              <w:t>$</w:t>
            </w:r>
          </w:p>
        </w:tc>
        <w:tc>
          <w:tcPr>
            <w:tcW w:w="580" w:type="dxa"/>
            <w:vAlign w:val="bottom"/>
          </w:tcPr>
          <w:p>
            <w:pPr>
              <w:ind w:left="220"/>
              <w:spacing w:after="0" w:line="201" w:lineRule="exact"/>
              <w:rPr>
                <w:sz w:val="20"/>
                <w:szCs w:val="20"/>
                <w:color w:val="auto"/>
              </w:rPr>
            </w:pPr>
            <w:r>
              <w:rPr>
                <w:rFonts w:ascii="Arial" w:cs="Arial" w:eastAsia="Arial" w:hAnsi="Arial"/>
                <w:sz w:val="18"/>
                <w:szCs w:val="18"/>
                <w:color w:val="auto"/>
              </w:rPr>
              <w:t>711</w:t>
            </w:r>
          </w:p>
        </w:tc>
        <w:tc>
          <w:tcPr>
            <w:tcW w:w="46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w:t>
            </w:r>
          </w:p>
        </w:tc>
        <w:tc>
          <w:tcPr>
            <w:tcW w:w="620" w:type="dxa"/>
            <w:vAlign w:val="bottom"/>
          </w:tcPr>
          <w:p>
            <w:pPr>
              <w:ind w:left="120"/>
              <w:spacing w:after="0" w:line="201" w:lineRule="exact"/>
              <w:rPr>
                <w:sz w:val="20"/>
                <w:szCs w:val="20"/>
                <w:color w:val="auto"/>
              </w:rPr>
            </w:pPr>
            <w:r>
              <w:rPr>
                <w:rFonts w:ascii="Arial" w:cs="Arial" w:eastAsia="Arial" w:hAnsi="Arial"/>
                <w:sz w:val="18"/>
                <w:szCs w:val="18"/>
                <w:color w:val="auto"/>
              </w:rPr>
              <w:t>21.52</w:t>
            </w:r>
          </w:p>
        </w:tc>
        <w:tc>
          <w:tcPr>
            <w:tcW w:w="100" w:type="dxa"/>
            <w:vAlign w:val="bottom"/>
          </w:tcPr>
          <w:p>
            <w:pPr>
              <w:spacing w:after="0"/>
              <w:rPr>
                <w:sz w:val="20"/>
                <w:szCs w:val="20"/>
                <w:color w:val="auto"/>
              </w:rPr>
            </w:pPr>
          </w:p>
        </w:tc>
        <w:tc>
          <w:tcPr>
            <w:tcW w:w="240" w:type="dxa"/>
            <w:vAlign w:val="bottom"/>
          </w:tcPr>
          <w:p>
            <w:pPr>
              <w:jc w:val="right"/>
              <w:ind w:right="13"/>
              <w:spacing w:after="0" w:line="201" w:lineRule="exact"/>
              <w:rPr>
                <w:sz w:val="20"/>
                <w:szCs w:val="20"/>
                <w:color w:val="auto"/>
              </w:rPr>
            </w:pPr>
            <w:r>
              <w:rPr>
                <w:rFonts w:ascii="Arial" w:cs="Arial" w:eastAsia="Arial" w:hAnsi="Arial"/>
                <w:sz w:val="18"/>
                <w:szCs w:val="18"/>
                <w:color w:val="auto"/>
              </w:rPr>
              <w:t>$</w:t>
            </w:r>
          </w:p>
        </w:tc>
        <w:tc>
          <w:tcPr>
            <w:tcW w:w="560" w:type="dxa"/>
            <w:vAlign w:val="bottom"/>
          </w:tcPr>
          <w:p>
            <w:pPr>
              <w:ind w:left="160"/>
              <w:spacing w:after="0" w:line="201" w:lineRule="exact"/>
              <w:rPr>
                <w:sz w:val="20"/>
                <w:szCs w:val="20"/>
                <w:color w:val="auto"/>
              </w:rPr>
            </w:pPr>
            <w:r>
              <w:rPr>
                <w:rFonts w:ascii="Arial" w:cs="Arial" w:eastAsia="Arial" w:hAnsi="Arial"/>
                <w:sz w:val="18"/>
                <w:szCs w:val="18"/>
                <w:color w:val="auto"/>
              </w:rPr>
              <w:t>639</w:t>
            </w:r>
          </w:p>
        </w:tc>
        <w:tc>
          <w:tcPr>
            <w:tcW w:w="4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w:t>
            </w:r>
          </w:p>
        </w:tc>
        <w:tc>
          <w:tcPr>
            <w:tcW w:w="620" w:type="dxa"/>
            <w:vAlign w:val="bottom"/>
          </w:tcPr>
          <w:p>
            <w:pPr>
              <w:ind w:left="140"/>
              <w:spacing w:after="0" w:line="201" w:lineRule="exact"/>
              <w:rPr>
                <w:sz w:val="20"/>
                <w:szCs w:val="20"/>
                <w:color w:val="auto"/>
              </w:rPr>
            </w:pPr>
            <w:r>
              <w:rPr>
                <w:rFonts w:ascii="Arial" w:cs="Arial" w:eastAsia="Arial" w:hAnsi="Arial"/>
                <w:sz w:val="18"/>
                <w:szCs w:val="18"/>
                <w:color w:val="auto"/>
              </w:rPr>
              <w:t>17.56</w:t>
            </w:r>
          </w:p>
        </w:tc>
        <w:tc>
          <w:tcPr>
            <w:tcW w:w="100" w:type="dxa"/>
            <w:vAlign w:val="bottom"/>
          </w:tcPr>
          <w:p>
            <w:pPr>
              <w:spacing w:after="0"/>
              <w:rPr>
                <w:sz w:val="20"/>
                <w:szCs w:val="20"/>
                <w:color w:val="auto"/>
              </w:rPr>
            </w:pPr>
          </w:p>
        </w:tc>
        <w:tc>
          <w:tcPr>
            <w:tcW w:w="280" w:type="dxa"/>
            <w:vAlign w:val="bottom"/>
          </w:tcPr>
          <w:p>
            <w:pPr>
              <w:jc w:val="right"/>
              <w:ind w:right="32"/>
              <w:spacing w:after="0" w:line="201"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106</w:t>
            </w:r>
          </w:p>
        </w:tc>
        <w:tc>
          <w:tcPr>
            <w:tcW w:w="4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w:t>
            </w:r>
          </w:p>
        </w:tc>
        <w:tc>
          <w:tcPr>
            <w:tcW w:w="620" w:type="dxa"/>
            <w:vAlign w:val="bottom"/>
          </w:tcPr>
          <w:p>
            <w:pPr>
              <w:ind w:left="120"/>
              <w:spacing w:after="0" w:line="201" w:lineRule="exact"/>
              <w:rPr>
                <w:sz w:val="20"/>
                <w:szCs w:val="20"/>
                <w:color w:val="auto"/>
              </w:rPr>
            </w:pPr>
            <w:r>
              <w:rPr>
                <w:rFonts w:ascii="Arial" w:cs="Arial" w:eastAsia="Arial" w:hAnsi="Arial"/>
                <w:sz w:val="18"/>
                <w:szCs w:val="18"/>
                <w:color w:val="auto"/>
              </w:rPr>
              <w:t>16.86</w:t>
            </w:r>
          </w:p>
        </w:tc>
        <w:tc>
          <w:tcPr>
            <w:tcW w:w="100" w:type="dxa"/>
            <w:vAlign w:val="bottom"/>
            <w:tcBorders>
              <w:right w:val="single" w:sz="8" w:color="auto"/>
            </w:tcBorders>
          </w:tcPr>
          <w:p>
            <w:pPr>
              <w:spacing w:after="0"/>
              <w:rPr>
                <w:sz w:val="20"/>
                <w:szCs w:val="20"/>
                <w:color w:val="auto"/>
              </w:rPr>
            </w:pPr>
          </w:p>
        </w:tc>
        <w:tc>
          <w:tcPr>
            <w:tcW w:w="2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640" w:type="dxa"/>
            <w:vAlign w:val="bottom"/>
          </w:tcPr>
          <w:p>
            <w:pPr>
              <w:ind w:left="240"/>
              <w:spacing w:after="0" w:line="201" w:lineRule="exact"/>
              <w:rPr>
                <w:sz w:val="20"/>
                <w:szCs w:val="20"/>
                <w:color w:val="auto"/>
              </w:rPr>
            </w:pPr>
            <w:r>
              <w:rPr>
                <w:rFonts w:ascii="Arial" w:cs="Arial" w:eastAsia="Arial" w:hAnsi="Arial"/>
                <w:sz w:val="18"/>
                <w:szCs w:val="18"/>
                <w:color w:val="auto"/>
              </w:rPr>
              <w:t>483</w:t>
            </w:r>
          </w:p>
        </w:tc>
        <w:tc>
          <w:tcPr>
            <w:tcW w:w="4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w:t>
            </w:r>
          </w:p>
        </w:tc>
        <w:tc>
          <w:tcPr>
            <w:tcW w:w="620" w:type="dxa"/>
            <w:vAlign w:val="bottom"/>
          </w:tcPr>
          <w:p>
            <w:pPr>
              <w:ind w:left="120"/>
              <w:spacing w:after="0" w:line="201" w:lineRule="exact"/>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320" w:right="60" w:hanging="320"/>
        <w:spacing w:after="0" w:line="258" w:lineRule="auto"/>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Operating costs, excluding effects of PSCs is a non-GAAP measure. As described above, the reporting of our PSCs creates a difference between reported operating costs, which are for the full field, and reported volumes, which are only our net share, inflating the per barrel operating costs. These amounts represent our operating costs after adjusting for this difference.</w:t>
      </w:r>
    </w:p>
    <w:p>
      <w:pPr>
        <w:spacing w:after="0" w:line="212" w:lineRule="exact"/>
        <w:rPr>
          <w:sz w:val="20"/>
          <w:szCs w:val="20"/>
          <w:color w:val="auto"/>
        </w:rPr>
      </w:pPr>
    </w:p>
    <w:p>
      <w:pPr>
        <w:ind w:right="240" w:firstLine="300"/>
        <w:spacing w:after="0" w:line="248" w:lineRule="auto"/>
        <w:rPr>
          <w:sz w:val="20"/>
          <w:szCs w:val="20"/>
          <w:color w:val="auto"/>
        </w:rPr>
      </w:pPr>
      <w:r>
        <w:rPr>
          <w:rFonts w:ascii="Arial" w:cs="Arial" w:eastAsia="Arial" w:hAnsi="Arial"/>
          <w:sz w:val="20"/>
          <w:szCs w:val="20"/>
          <w:color w:val="auto"/>
        </w:rPr>
        <w:t>The following table reconciles our average net production to our average gross production (which includes production from the fields we operate and our share of production for fields operated by others) for the periods presented: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0" w:type="dxa"/>
            <w:vAlign w:val="bottom"/>
            <w:tcBorders>
              <w:right w:val="single" w:sz="8" w:color="auto"/>
            </w:tcBorders>
            <w:gridSpan w:val="5"/>
          </w:tcPr>
          <w:p>
            <w:pPr>
              <w:jc w:val="right"/>
              <w:ind w:right="1700"/>
              <w:spacing w:after="0"/>
              <w:rPr>
                <w:sz w:val="20"/>
                <w:szCs w:val="20"/>
                <w:color w:val="auto"/>
              </w:rPr>
            </w:pPr>
            <w:r>
              <w:rPr>
                <w:rFonts w:ascii="Arial" w:cs="Arial" w:eastAsia="Arial" w:hAnsi="Arial"/>
                <w:sz w:val="18"/>
                <w:szCs w:val="18"/>
                <w:b w:val="1"/>
                <w:bCs w:val="1"/>
                <w:color w:val="auto"/>
              </w:rPr>
              <w:t>Successor</w:t>
            </w:r>
          </w:p>
        </w:tc>
        <w:tc>
          <w:tcPr>
            <w:tcW w:w="40" w:type="dxa"/>
            <w:vAlign w:val="bottom"/>
          </w:tcPr>
          <w:p>
            <w:pPr>
              <w:spacing w:after="0"/>
              <w:rPr>
                <w:sz w:val="20"/>
                <w:szCs w:val="20"/>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180"/>
        </w:trPr>
        <w:tc>
          <w:tcPr>
            <w:tcW w:w="33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jc w:val="right"/>
              <w:ind w:right="100"/>
              <w:spacing w:after="0" w:line="180" w:lineRule="exact"/>
              <w:rPr>
                <w:sz w:val="20"/>
                <w:szCs w:val="20"/>
                <w:color w:val="auto"/>
              </w:rPr>
            </w:pPr>
            <w:r>
              <w:rPr>
                <w:rFonts w:ascii="Arial" w:cs="Arial" w:eastAsia="Arial" w:hAnsi="Arial"/>
                <w:sz w:val="18"/>
                <w:szCs w:val="18"/>
                <w:b w:val="1"/>
                <w:bCs w:val="1"/>
                <w:color w:val="auto"/>
              </w:rPr>
              <w:t>Year ended</w:t>
            </w: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ind w:left="80"/>
              <w:spacing w:after="0" w:line="180" w:lineRule="exact"/>
              <w:rPr>
                <w:sz w:val="20"/>
                <w:szCs w:val="20"/>
                <w:color w:val="auto"/>
              </w:rPr>
            </w:pPr>
            <w:r>
              <w:rPr>
                <w:rFonts w:ascii="Arial" w:cs="Arial" w:eastAsia="Arial" w:hAnsi="Arial"/>
                <w:sz w:val="18"/>
                <w:szCs w:val="18"/>
                <w:b w:val="1"/>
                <w:bCs w:val="1"/>
                <w:color w:val="auto"/>
              </w:rPr>
              <w:t>Year ended</w:t>
            </w:r>
          </w:p>
        </w:tc>
        <w:tc>
          <w:tcPr>
            <w:tcW w:w="4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20" w:type="dxa"/>
            <w:vAlign w:val="bottom"/>
          </w:tcPr>
          <w:p>
            <w:pPr>
              <w:spacing w:after="0"/>
              <w:rPr>
                <w:sz w:val="15"/>
                <w:szCs w:val="15"/>
                <w:color w:val="auto"/>
              </w:rPr>
            </w:pPr>
          </w:p>
        </w:tc>
        <w:tc>
          <w:tcPr>
            <w:tcW w:w="4220" w:type="dxa"/>
            <w:vAlign w:val="bottom"/>
            <w:tcBorders>
              <w:right w:val="single" w:sz="8" w:color="auto"/>
            </w:tcBorders>
            <w:gridSpan w:val="10"/>
          </w:tcPr>
          <w:p>
            <w:pPr>
              <w:jc w:val="right"/>
              <w:ind w:right="120"/>
              <w:spacing w:after="0" w:line="180" w:lineRule="exact"/>
              <w:rPr>
                <w:sz w:val="20"/>
                <w:szCs w:val="20"/>
                <w:color w:val="auto"/>
              </w:rPr>
            </w:pPr>
            <w:r>
              <w:rPr>
                <w:rFonts w:ascii="Arial" w:cs="Arial" w:eastAsia="Arial" w:hAnsi="Arial"/>
                <w:sz w:val="13"/>
                <w:szCs w:val="13"/>
                <w:b w:val="1"/>
                <w:bCs w:val="1"/>
                <w:color w:val="auto"/>
              </w:rPr>
              <w:t xml:space="preserve">December 31, December 31, </w:t>
            </w:r>
            <w:r>
              <w:rPr>
                <w:rFonts w:ascii="Arial" w:cs="Arial" w:eastAsia="Arial" w:hAnsi="Arial"/>
                <w:sz w:val="20"/>
                <w:szCs w:val="20"/>
                <w:b w:val="1"/>
                <w:bCs w:val="1"/>
                <w:color w:val="auto"/>
                <w:vertAlign w:val="superscript"/>
              </w:rPr>
              <w:t>November 1, 2020 -</w:t>
            </w:r>
          </w:p>
        </w:tc>
        <w:tc>
          <w:tcPr>
            <w:tcW w:w="40" w:type="dxa"/>
            <w:vAlign w:val="bottom"/>
          </w:tcPr>
          <w:p>
            <w:pPr>
              <w:spacing w:after="0"/>
              <w:rPr>
                <w:sz w:val="15"/>
                <w:szCs w:val="15"/>
                <w:color w:val="auto"/>
              </w:rPr>
            </w:pPr>
          </w:p>
        </w:tc>
        <w:tc>
          <w:tcPr>
            <w:tcW w:w="1540" w:type="dxa"/>
            <w:vAlign w:val="bottom"/>
          </w:tcPr>
          <w:p>
            <w:pPr>
              <w:jc w:val="right"/>
              <w:spacing w:after="0" w:line="180" w:lineRule="exact"/>
              <w:rPr>
                <w:sz w:val="20"/>
                <w:szCs w:val="20"/>
                <w:color w:val="auto"/>
              </w:rPr>
            </w:pPr>
            <w:r>
              <w:rPr>
                <w:rFonts w:ascii="Arial" w:cs="Arial" w:eastAsia="Arial" w:hAnsi="Arial"/>
                <w:sz w:val="18"/>
                <w:szCs w:val="18"/>
                <w:b w:val="1"/>
                <w:bCs w:val="1"/>
                <w:color w:val="auto"/>
              </w:rPr>
              <w:t>January 1, 2020 -</w:t>
            </w:r>
          </w:p>
        </w:tc>
        <w:tc>
          <w:tcPr>
            <w:tcW w:w="0" w:type="dxa"/>
            <w:vAlign w:val="bottom"/>
          </w:tcPr>
          <w:p>
            <w:pPr>
              <w:spacing w:after="0"/>
              <w:rPr>
                <w:sz w:val="1"/>
                <w:szCs w:val="1"/>
                <w:color w:val="auto"/>
              </w:rPr>
            </w:pPr>
          </w:p>
        </w:tc>
      </w:tr>
      <w:tr>
        <w:trPr>
          <w:trHeight w:val="60"/>
        </w:trPr>
        <w:tc>
          <w:tcPr>
            <w:tcW w:w="332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vMerge w:val="restart"/>
          </w:tcPr>
          <w:p>
            <w:pPr>
              <w:spacing w:after="0"/>
              <w:rPr>
                <w:sz w:val="5"/>
                <w:szCs w:val="5"/>
                <w:color w:val="auto"/>
              </w:rPr>
            </w:pPr>
          </w:p>
        </w:tc>
        <w:tc>
          <w:tcPr>
            <w:tcW w:w="1800" w:type="dxa"/>
            <w:vAlign w:val="bottom"/>
            <w:tcBorders>
              <w:right w:val="single" w:sz="8" w:color="auto"/>
            </w:tcBorders>
            <w:gridSpan w:val="2"/>
            <w:vMerge w:val="restart"/>
          </w:tcPr>
          <w:p>
            <w:pPr>
              <w:jc w:val="right"/>
              <w:ind w:right="120"/>
              <w:spacing w:after="0" w:line="203" w:lineRule="exact"/>
              <w:rPr>
                <w:sz w:val="20"/>
                <w:szCs w:val="20"/>
                <w:color w:val="auto"/>
              </w:rPr>
            </w:pPr>
            <w:r>
              <w:rPr>
                <w:rFonts w:ascii="Arial" w:cs="Arial" w:eastAsia="Arial" w:hAnsi="Arial"/>
                <w:sz w:val="18"/>
                <w:szCs w:val="18"/>
                <w:b w:val="1"/>
                <w:bCs w:val="1"/>
                <w:color w:val="auto"/>
              </w:rPr>
              <w:t>December 31, 2020</w:t>
            </w:r>
          </w:p>
        </w:tc>
        <w:tc>
          <w:tcPr>
            <w:tcW w:w="40" w:type="dxa"/>
            <w:vAlign w:val="bottom"/>
          </w:tcPr>
          <w:p>
            <w:pPr>
              <w:spacing w:after="0"/>
              <w:rPr>
                <w:sz w:val="5"/>
                <w:szCs w:val="5"/>
                <w:color w:val="auto"/>
              </w:rPr>
            </w:pPr>
          </w:p>
        </w:tc>
        <w:tc>
          <w:tcPr>
            <w:tcW w:w="1540" w:type="dxa"/>
            <w:vAlign w:val="bottom"/>
            <w:vMerge w:val="restart"/>
          </w:tcPr>
          <w:p>
            <w:pPr>
              <w:jc w:val="right"/>
              <w:spacing w:after="0" w:line="203" w:lineRule="exact"/>
              <w:rPr>
                <w:sz w:val="20"/>
                <w:szCs w:val="20"/>
                <w:color w:val="auto"/>
              </w:rPr>
            </w:pPr>
            <w:r>
              <w:rPr>
                <w:rFonts w:ascii="Arial" w:cs="Arial" w:eastAsia="Arial" w:hAnsi="Arial"/>
                <w:sz w:val="18"/>
                <w:szCs w:val="18"/>
                <w:b w:val="1"/>
                <w:bCs w:val="1"/>
                <w:color w:val="auto"/>
              </w:rPr>
              <w:t>October 31, 2020</w:t>
            </w:r>
          </w:p>
        </w:tc>
        <w:tc>
          <w:tcPr>
            <w:tcW w:w="0" w:type="dxa"/>
            <w:vAlign w:val="bottom"/>
          </w:tcPr>
          <w:p>
            <w:pPr>
              <w:spacing w:after="0"/>
              <w:rPr>
                <w:sz w:val="1"/>
                <w:szCs w:val="1"/>
                <w:color w:val="auto"/>
              </w:rPr>
            </w:pPr>
          </w:p>
        </w:tc>
      </w:tr>
      <w:tr>
        <w:trPr>
          <w:trHeight w:val="123"/>
        </w:trPr>
        <w:tc>
          <w:tcPr>
            <w:tcW w:w="3320" w:type="dxa"/>
            <w:vAlign w:val="bottom"/>
          </w:tcPr>
          <w:p>
            <w:pPr>
              <w:spacing w:after="0"/>
              <w:rPr>
                <w:sz w:val="10"/>
                <w:szCs w:val="10"/>
                <w:color w:val="auto"/>
              </w:rPr>
            </w:pPr>
          </w:p>
        </w:tc>
        <w:tc>
          <w:tcPr>
            <w:tcW w:w="1140" w:type="dxa"/>
            <w:vAlign w:val="bottom"/>
            <w:gridSpan w:val="2"/>
            <w:vMerge w:val="restart"/>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0"/>
                <w:szCs w:val="10"/>
                <w:color w:val="auto"/>
              </w:rPr>
            </w:pPr>
          </w:p>
        </w:tc>
        <w:tc>
          <w:tcPr>
            <w:tcW w:w="1200" w:type="dxa"/>
            <w:vAlign w:val="bottom"/>
            <w:gridSpan w:val="3"/>
            <w:vMerge w:val="restart"/>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1800" w:type="dxa"/>
            <w:vAlign w:val="bottom"/>
            <w:tcBorders>
              <w:right w:val="single" w:sz="8" w:color="auto"/>
            </w:tcBorders>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332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3320" w:type="dxa"/>
            <w:vAlign w:val="bottom"/>
            <w:vMerge w:val="restart"/>
          </w:tcPr>
          <w:p>
            <w:pPr>
              <w:jc w:val="right"/>
              <w:ind w:right="2400"/>
              <w:spacing w:after="0"/>
              <w:rPr>
                <w:sz w:val="20"/>
                <w:szCs w:val="20"/>
                <w:color w:val="auto"/>
              </w:rPr>
            </w:pPr>
            <w:r>
              <w:rPr>
                <w:rFonts w:ascii="Arial" w:cs="Arial" w:eastAsia="Arial" w:hAnsi="Arial"/>
                <w:sz w:val="20"/>
                <w:szCs w:val="20"/>
                <w:color w:val="auto"/>
                <w:w w:val="97"/>
              </w:rPr>
              <w:t>(MBoe/d)</w:t>
            </w: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3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320" w:type="dxa"/>
            <w:vAlign w:val="bottom"/>
          </w:tcPr>
          <w:p>
            <w:pPr>
              <w:jc w:val="right"/>
              <w:spacing w:after="0"/>
              <w:rPr>
                <w:sz w:val="20"/>
                <w:szCs w:val="20"/>
                <w:color w:val="auto"/>
              </w:rPr>
            </w:pPr>
            <w:r>
              <w:rPr>
                <w:rFonts w:ascii="Arial" w:cs="Arial" w:eastAsia="Arial" w:hAnsi="Arial"/>
                <w:sz w:val="20"/>
                <w:szCs w:val="20"/>
                <w:b w:val="1"/>
                <w:bCs w:val="1"/>
                <w:color w:val="auto"/>
              </w:rPr>
              <w:t xml:space="preserve">Average Daily Net Production </w:t>
            </w:r>
            <w:r>
              <w:rPr>
                <w:rFonts w:ascii="Arial" w:cs="Arial" w:eastAsia="Arial" w:hAnsi="Arial"/>
                <w:sz w:val="20"/>
                <w:szCs w:val="20"/>
                <w:color w:val="auto"/>
              </w:rPr>
              <w:t>. . . .</w:t>
            </w:r>
          </w:p>
        </w:tc>
        <w:tc>
          <w:tcPr>
            <w:tcW w:w="1160" w:type="dxa"/>
            <w:vAlign w:val="bottom"/>
            <w:gridSpan w:val="3"/>
          </w:tcPr>
          <w:p>
            <w:pPr>
              <w:jc w:val="right"/>
              <w:ind w:right="20"/>
              <w:spacing w:after="0"/>
              <w:rPr>
                <w:sz w:val="20"/>
                <w:szCs w:val="20"/>
                <w:color w:val="auto"/>
              </w:rPr>
            </w:pPr>
            <w:r>
              <w:rPr>
                <w:rFonts w:ascii="Arial" w:cs="Arial" w:eastAsia="Arial" w:hAnsi="Arial"/>
                <w:sz w:val="20"/>
                <w:szCs w:val="20"/>
                <w:color w:val="auto"/>
              </w:rPr>
              <w:t>91</w:t>
            </w:r>
          </w:p>
        </w:tc>
        <w:tc>
          <w:tcPr>
            <w:tcW w:w="1220" w:type="dxa"/>
            <w:vAlign w:val="bottom"/>
            <w:gridSpan w:val="4"/>
          </w:tcPr>
          <w:p>
            <w:pPr>
              <w:jc w:val="right"/>
              <w:ind w:right="20"/>
              <w:spacing w:after="0"/>
              <w:rPr>
                <w:sz w:val="20"/>
                <w:szCs w:val="20"/>
                <w:color w:val="auto"/>
              </w:rPr>
            </w:pPr>
            <w:r>
              <w:rPr>
                <w:rFonts w:ascii="Arial" w:cs="Arial" w:eastAsia="Arial" w:hAnsi="Arial"/>
                <w:sz w:val="20"/>
                <w:szCs w:val="20"/>
                <w:color w:val="auto"/>
              </w:rPr>
              <w:t>100</w:t>
            </w:r>
          </w:p>
        </w:tc>
        <w:tc>
          <w:tcPr>
            <w:tcW w:w="184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20"/>
                <w:szCs w:val="20"/>
                <w:color w:val="auto"/>
              </w:rPr>
              <w:t>103</w:t>
            </w:r>
          </w:p>
        </w:tc>
        <w:tc>
          <w:tcPr>
            <w:tcW w:w="1580" w:type="dxa"/>
            <w:vAlign w:val="bottom"/>
            <w:gridSpan w:val="2"/>
          </w:tcPr>
          <w:p>
            <w:pPr>
              <w:jc w:val="right"/>
              <w:spacing w:after="0"/>
              <w:rPr>
                <w:sz w:val="20"/>
                <w:szCs w:val="20"/>
                <w:color w:val="auto"/>
              </w:rPr>
            </w:pPr>
            <w:r>
              <w:rPr>
                <w:rFonts w:ascii="Arial" w:cs="Arial" w:eastAsia="Arial" w:hAnsi="Arial"/>
                <w:sz w:val="20"/>
                <w:szCs w:val="20"/>
                <w:color w:val="auto"/>
              </w:rPr>
              <w:t>112</w:t>
            </w:r>
          </w:p>
        </w:tc>
        <w:tc>
          <w:tcPr>
            <w:tcW w:w="0" w:type="dxa"/>
            <w:vAlign w:val="bottom"/>
          </w:tcPr>
          <w:p>
            <w:pPr>
              <w:spacing w:after="0"/>
              <w:rPr>
                <w:sz w:val="1"/>
                <w:szCs w:val="1"/>
                <w:color w:val="auto"/>
              </w:rPr>
            </w:pPr>
          </w:p>
        </w:tc>
      </w:tr>
      <w:tr>
        <w:trPr>
          <w:trHeight w:val="240"/>
        </w:trPr>
        <w:tc>
          <w:tcPr>
            <w:tcW w:w="3320" w:type="dxa"/>
            <w:vAlign w:val="bottom"/>
          </w:tcPr>
          <w:p>
            <w:pPr>
              <w:ind w:left="200"/>
              <w:spacing w:after="0"/>
              <w:rPr>
                <w:sz w:val="20"/>
                <w:szCs w:val="20"/>
                <w:color w:val="auto"/>
              </w:rPr>
            </w:pPr>
            <w:r>
              <w:rPr>
                <w:rFonts w:ascii="Arial" w:cs="Arial" w:eastAsia="Arial" w:hAnsi="Arial"/>
                <w:sz w:val="20"/>
                <w:szCs w:val="20"/>
                <w:color w:val="auto"/>
              </w:rPr>
              <w:t>Partners’ share under PSC-type</w:t>
            </w: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320" w:type="dxa"/>
            <w:vAlign w:val="bottom"/>
          </w:tcPr>
          <w:p>
            <w:pPr>
              <w:jc w:val="right"/>
              <w:spacing w:after="0"/>
              <w:rPr>
                <w:sz w:val="20"/>
                <w:szCs w:val="20"/>
                <w:color w:val="auto"/>
              </w:rPr>
            </w:pPr>
            <w:r>
              <w:rPr>
                <w:rFonts w:ascii="Arial" w:cs="Arial" w:eastAsia="Arial" w:hAnsi="Arial"/>
                <w:sz w:val="20"/>
                <w:szCs w:val="20"/>
                <w:color w:val="auto"/>
              </w:rPr>
              <w:t>contracts . . . . . . . . . . . . . . . . . . .</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8</w:t>
            </w:r>
          </w:p>
        </w:tc>
        <w:tc>
          <w:tcPr>
            <w:tcW w:w="20" w:type="dxa"/>
            <w:vAlign w:val="bottom"/>
          </w:tcPr>
          <w:p>
            <w:pPr>
              <w:spacing w:after="0"/>
              <w:rPr>
                <w:sz w:val="20"/>
                <w:szCs w:val="20"/>
                <w:color w:val="auto"/>
              </w:rPr>
            </w:pPr>
          </w:p>
        </w:tc>
        <w:tc>
          <w:tcPr>
            <w:tcW w:w="1220" w:type="dxa"/>
            <w:vAlign w:val="bottom"/>
            <w:gridSpan w:val="4"/>
          </w:tcPr>
          <w:p>
            <w:pPr>
              <w:jc w:val="right"/>
              <w:ind w:right="20"/>
              <w:spacing w:after="0"/>
              <w:rPr>
                <w:sz w:val="20"/>
                <w:szCs w:val="20"/>
                <w:color w:val="auto"/>
              </w:rPr>
            </w:pPr>
            <w:r>
              <w:rPr>
                <w:rFonts w:ascii="Arial" w:cs="Arial" w:eastAsia="Arial" w:hAnsi="Arial"/>
                <w:sz w:val="20"/>
                <w:szCs w:val="20"/>
                <w:color w:val="auto"/>
              </w:rPr>
              <w:t>8</w:t>
            </w:r>
          </w:p>
        </w:tc>
        <w:tc>
          <w:tcPr>
            <w:tcW w:w="184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20"/>
                <w:szCs w:val="20"/>
                <w:color w:val="auto"/>
              </w:rPr>
              <w:t>6</w:t>
            </w:r>
          </w:p>
        </w:tc>
        <w:tc>
          <w:tcPr>
            <w:tcW w:w="1580" w:type="dxa"/>
            <w:vAlign w:val="bottom"/>
            <w:gridSpan w:val="2"/>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40"/>
        </w:trPr>
        <w:tc>
          <w:tcPr>
            <w:tcW w:w="3320" w:type="dxa"/>
            <w:vAlign w:val="bottom"/>
          </w:tcPr>
          <w:p>
            <w:pPr>
              <w:ind w:left="200"/>
              <w:spacing w:after="0"/>
              <w:rPr>
                <w:sz w:val="20"/>
                <w:szCs w:val="20"/>
                <w:color w:val="auto"/>
              </w:rPr>
            </w:pPr>
            <w:r>
              <w:rPr>
                <w:rFonts w:ascii="Arial" w:cs="Arial" w:eastAsia="Arial" w:hAnsi="Arial"/>
                <w:sz w:val="20"/>
                <w:szCs w:val="20"/>
                <w:color w:val="auto"/>
              </w:rPr>
              <w:t>Working interest and royalty</w:t>
            </w: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320" w:type="dxa"/>
            <w:vAlign w:val="bottom"/>
          </w:tcPr>
          <w:p>
            <w:pPr>
              <w:jc w:val="right"/>
              <w:spacing w:after="0"/>
              <w:rPr>
                <w:sz w:val="20"/>
                <w:szCs w:val="20"/>
                <w:color w:val="auto"/>
              </w:rPr>
            </w:pPr>
            <w:r>
              <w:rPr>
                <w:rFonts w:ascii="Arial" w:cs="Arial" w:eastAsia="Arial" w:hAnsi="Arial"/>
                <w:sz w:val="20"/>
                <w:szCs w:val="20"/>
                <w:color w:val="auto"/>
              </w:rPr>
              <w:t>holders’ share . . . . . . . . . . . . . . .</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6</w:t>
            </w:r>
          </w:p>
        </w:tc>
        <w:tc>
          <w:tcPr>
            <w:tcW w:w="20" w:type="dxa"/>
            <w:vAlign w:val="bottom"/>
          </w:tcPr>
          <w:p>
            <w:pPr>
              <w:spacing w:after="0"/>
              <w:rPr>
                <w:sz w:val="20"/>
                <w:szCs w:val="20"/>
                <w:color w:val="auto"/>
              </w:rPr>
            </w:pPr>
          </w:p>
        </w:tc>
        <w:tc>
          <w:tcPr>
            <w:tcW w:w="1220" w:type="dxa"/>
            <w:vAlign w:val="bottom"/>
            <w:gridSpan w:val="4"/>
          </w:tcPr>
          <w:p>
            <w:pPr>
              <w:jc w:val="right"/>
              <w:ind w:right="20"/>
              <w:spacing w:after="0"/>
              <w:rPr>
                <w:sz w:val="20"/>
                <w:szCs w:val="20"/>
                <w:color w:val="auto"/>
              </w:rPr>
            </w:pPr>
            <w:r>
              <w:rPr>
                <w:rFonts w:ascii="Arial" w:cs="Arial" w:eastAsia="Arial" w:hAnsi="Arial"/>
                <w:sz w:val="20"/>
                <w:szCs w:val="20"/>
                <w:color w:val="auto"/>
              </w:rPr>
              <w:t>8</w:t>
            </w:r>
          </w:p>
        </w:tc>
        <w:tc>
          <w:tcPr>
            <w:tcW w:w="184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20"/>
                <w:szCs w:val="20"/>
                <w:color w:val="auto"/>
              </w:rPr>
              <w:t>9</w:t>
            </w:r>
          </w:p>
        </w:tc>
        <w:tc>
          <w:tcPr>
            <w:tcW w:w="1580" w:type="dxa"/>
            <w:vAlign w:val="bottom"/>
            <w:gridSpan w:val="2"/>
          </w:tcPr>
          <w:p>
            <w:pPr>
              <w:jc w:val="right"/>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40"/>
        </w:trPr>
        <w:tc>
          <w:tcPr>
            <w:tcW w:w="3320" w:type="dxa"/>
            <w:vAlign w:val="bottom"/>
          </w:tcPr>
          <w:p>
            <w:pPr>
              <w:jc w:val="right"/>
              <w:spacing w:after="0"/>
              <w:rPr>
                <w:sz w:val="20"/>
                <w:szCs w:val="20"/>
                <w:color w:val="auto"/>
              </w:rPr>
            </w:pPr>
            <w:r>
              <w:rPr>
                <w:rFonts w:ascii="Arial" w:cs="Arial" w:eastAsia="Arial" w:hAnsi="Arial"/>
                <w:sz w:val="20"/>
                <w:szCs w:val="20"/>
                <w:color w:val="auto"/>
              </w:rPr>
              <w:t>Other . . . . . . . . . . . . . . . . . . . . . . . .</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0"/>
                <w:szCs w:val="20"/>
                <w:color w:val="auto"/>
              </w:rPr>
            </w:pPr>
          </w:p>
        </w:tc>
        <w:tc>
          <w:tcPr>
            <w:tcW w:w="1220" w:type="dxa"/>
            <w:vAlign w:val="bottom"/>
            <w:gridSpan w:val="4"/>
          </w:tcPr>
          <w:p>
            <w:pPr>
              <w:jc w:val="right"/>
              <w:ind w:right="20"/>
              <w:spacing w:after="0"/>
              <w:rPr>
                <w:sz w:val="20"/>
                <w:szCs w:val="20"/>
                <w:color w:val="auto"/>
              </w:rPr>
            </w:pPr>
            <w:r>
              <w:rPr>
                <w:rFonts w:ascii="Arial" w:cs="Arial" w:eastAsia="Arial" w:hAnsi="Arial"/>
                <w:sz w:val="20"/>
                <w:szCs w:val="20"/>
                <w:color w:val="auto"/>
              </w:rPr>
              <w:t>1</w:t>
            </w:r>
          </w:p>
        </w:tc>
        <w:tc>
          <w:tcPr>
            <w:tcW w:w="184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20"/>
                <w:szCs w:val="20"/>
                <w:color w:val="auto"/>
              </w:rPr>
              <w:t>1</w:t>
            </w:r>
          </w:p>
        </w:tc>
        <w:tc>
          <w:tcPr>
            <w:tcW w:w="1580" w:type="dxa"/>
            <w:vAlign w:val="bottom"/>
            <w:gridSpan w:val="2"/>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8"/>
        </w:trPr>
        <w:tc>
          <w:tcPr>
            <w:tcW w:w="3320" w:type="dxa"/>
            <w:vAlign w:val="bottom"/>
            <w:vMerge w:val="restart"/>
          </w:tcPr>
          <w:p>
            <w:pPr>
              <w:jc w:val="right"/>
              <w:spacing w:after="0"/>
              <w:rPr>
                <w:sz w:val="20"/>
                <w:szCs w:val="20"/>
                <w:color w:val="auto"/>
              </w:rPr>
            </w:pPr>
            <w:r>
              <w:rPr>
                <w:rFonts w:ascii="Arial" w:cs="Arial" w:eastAsia="Arial" w:hAnsi="Arial"/>
                <w:sz w:val="20"/>
                <w:szCs w:val="20"/>
                <w:b w:val="1"/>
                <w:bCs w:val="1"/>
                <w:color w:val="auto"/>
                <w:w w:val="99"/>
              </w:rPr>
              <w:t xml:space="preserve">Average Daily Gross Production </w:t>
            </w:r>
            <w:r>
              <w:rPr>
                <w:rFonts w:ascii="Arial" w:cs="Arial" w:eastAsia="Arial" w:hAnsi="Arial"/>
                <w:sz w:val="20"/>
                <w:szCs w:val="20"/>
                <w:color w:val="auto"/>
                <w:w w:val="99"/>
              </w:rPr>
              <w:t>. .</w:t>
            </w:r>
          </w:p>
        </w:tc>
        <w:tc>
          <w:tcPr>
            <w:tcW w:w="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320" w:type="dxa"/>
            <w:vAlign w:val="bottom"/>
            <w:vMerge w:val="continue"/>
          </w:tcPr>
          <w:p>
            <w:pPr>
              <w:spacing w:after="0"/>
              <w:rPr>
                <w:sz w:val="23"/>
                <w:szCs w:val="23"/>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20"/>
                <w:szCs w:val="20"/>
                <w:color w:val="auto"/>
              </w:rPr>
              <w:t>106</w:t>
            </w:r>
          </w:p>
        </w:tc>
        <w:tc>
          <w:tcPr>
            <w:tcW w:w="1220" w:type="dxa"/>
            <w:vAlign w:val="bottom"/>
            <w:gridSpan w:val="4"/>
          </w:tcPr>
          <w:p>
            <w:pPr>
              <w:jc w:val="right"/>
              <w:ind w:right="20"/>
              <w:spacing w:after="0"/>
              <w:rPr>
                <w:sz w:val="20"/>
                <w:szCs w:val="20"/>
                <w:color w:val="auto"/>
              </w:rPr>
            </w:pPr>
            <w:r>
              <w:rPr>
                <w:rFonts w:ascii="Arial" w:cs="Arial" w:eastAsia="Arial" w:hAnsi="Arial"/>
                <w:sz w:val="20"/>
                <w:szCs w:val="20"/>
                <w:color w:val="auto"/>
              </w:rPr>
              <w:t>117</w:t>
            </w:r>
          </w:p>
        </w:tc>
        <w:tc>
          <w:tcPr>
            <w:tcW w:w="184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20"/>
                <w:szCs w:val="20"/>
                <w:color w:val="auto"/>
              </w:rPr>
              <w:t>119</w:t>
            </w:r>
          </w:p>
        </w:tc>
        <w:tc>
          <w:tcPr>
            <w:tcW w:w="1580" w:type="dxa"/>
            <w:vAlign w:val="bottom"/>
            <w:gridSpan w:val="2"/>
          </w:tcPr>
          <w:p>
            <w:pPr>
              <w:jc w:val="right"/>
              <w:spacing w:after="0"/>
              <w:rPr>
                <w:sz w:val="20"/>
                <w:szCs w:val="20"/>
                <w:color w:val="auto"/>
              </w:rPr>
            </w:pPr>
            <w:r>
              <w:rPr>
                <w:rFonts w:ascii="Arial" w:cs="Arial" w:eastAsia="Arial" w:hAnsi="Arial"/>
                <w:sz w:val="20"/>
                <w:szCs w:val="20"/>
                <w:color w:val="auto"/>
              </w:rPr>
              <w:t>129</w:t>
            </w:r>
          </w:p>
        </w:tc>
        <w:tc>
          <w:tcPr>
            <w:tcW w:w="0" w:type="dxa"/>
            <w:vAlign w:val="bottom"/>
          </w:tcPr>
          <w:p>
            <w:pPr>
              <w:spacing w:after="0"/>
              <w:rPr>
                <w:sz w:val="1"/>
                <w:szCs w:val="1"/>
                <w:color w:val="auto"/>
              </w:rPr>
            </w:pPr>
          </w:p>
        </w:tc>
      </w:tr>
      <w:tr>
        <w:trPr>
          <w:trHeight w:val="28"/>
        </w:trPr>
        <w:tc>
          <w:tcPr>
            <w:tcW w:w="3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316" w:right="138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880" w:h="15480" w:orient="portrait"/>
          <w:cols w:equalWidth="0" w:num="1">
            <w:col w:w="9120"/>
          </w:cols>
          <w:pgMar w:left="1380" w:top="1316" w:right="1380" w:bottom="653" w:gutter="0" w:footer="0" w:header="0"/>
          <w:type w:val="continuous"/>
        </w:sectPr>
      </w:pPr>
    </w:p>
    <w:bookmarkStart w:id="17" w:name="page18"/>
    <w:bookmarkEnd w:id="17"/>
    <w:p>
      <w:pPr>
        <w:spacing w:after="0"/>
        <w:rPr>
          <w:sz w:val="20"/>
          <w:szCs w:val="20"/>
          <w:color w:val="auto"/>
        </w:rPr>
      </w:pPr>
      <w:r>
        <w:rPr>
          <w:rFonts w:ascii="Arial" w:cs="Arial" w:eastAsia="Arial" w:hAnsi="Arial"/>
          <w:sz w:val="20"/>
          <w:szCs w:val="20"/>
          <w:b w:val="1"/>
          <w:bCs w:val="1"/>
          <w:color w:val="auto"/>
        </w:rPr>
        <w:t>Estimated Proved Reserves and Future Net Cash Flows</w:t>
      </w:r>
    </w:p>
    <w:p>
      <w:pPr>
        <w:spacing w:after="0" w:line="216" w:lineRule="exact"/>
        <w:rPr>
          <w:sz w:val="20"/>
          <w:szCs w:val="20"/>
          <w:color w:val="auto"/>
        </w:rPr>
      </w:pPr>
    </w:p>
    <w:p>
      <w:pPr>
        <w:ind w:right="200" w:firstLine="300"/>
        <w:spacing w:after="0" w:line="247" w:lineRule="auto"/>
        <w:rPr>
          <w:sz w:val="20"/>
          <w:szCs w:val="20"/>
          <w:color w:val="auto"/>
        </w:rPr>
      </w:pPr>
      <w:r>
        <w:rPr>
          <w:rFonts w:ascii="Arial" w:cs="Arial" w:eastAsia="Arial" w:hAnsi="Arial"/>
          <w:sz w:val="20"/>
          <w:szCs w:val="20"/>
          <w:color w:val="auto"/>
        </w:rPr>
        <w:t>The information with respect to our estimated reserves presented below has been prepared in accordance with the rules and regulations of the United States Securities and Exchange Commission (SEC).</w:t>
      </w:r>
    </w:p>
    <w:p>
      <w:pPr>
        <w:spacing w:after="0" w:line="210"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auto"/>
        </w:rPr>
        <w:t>The following tables summarize our estimated proved oil (including condensate), NGLs and natural gas reserves and PV-10 as of December 31, 2022. Our estimated volumes and cash flows were calculated using the unweighted arithmetic average of the first-day-of-the-month price for each month within the year (SEC Prices), unless prices were defined by contractual arrangements. For oil volumes, the average Brent spot price of $100.25 per barrel was adjusted for gravity, quality and transportation costs. For natural gas volumes, the average NYMEX gas price of $6.36 per MMBtu was adjusted for energy content, transportation fees and market differentials. All prices are held constant throughout the lives of the properties. The average realized prices for estimating our proved reserves as of December 31, 2022 were $97.50 per barrel for oil, $67.83 per barrel for NGLs and $7.84 per Mcf for natural gas.</w:t>
      </w:r>
    </w:p>
    <w:p>
      <w:pPr>
        <w:spacing w:after="0" w:line="200" w:lineRule="exact"/>
        <w:rPr>
          <w:sz w:val="20"/>
          <w:szCs w:val="20"/>
          <w:color w:val="auto"/>
        </w:rPr>
      </w:pPr>
    </w:p>
    <w:p>
      <w:pPr>
        <w:spacing w:after="0" w:line="253" w:lineRule="exact"/>
        <w:rPr>
          <w:sz w:val="20"/>
          <w:szCs w:val="20"/>
          <w:color w:val="auto"/>
        </w:rPr>
      </w:pPr>
    </w:p>
    <w:p>
      <w:pPr>
        <w:jc w:val="both"/>
        <w:ind w:firstLine="300"/>
        <w:spacing w:after="0" w:line="248" w:lineRule="auto"/>
        <w:rPr>
          <w:sz w:val="20"/>
          <w:szCs w:val="20"/>
          <w:color w:val="auto"/>
        </w:rPr>
      </w:pPr>
      <w:r>
        <w:rPr>
          <w:rFonts w:ascii="Arial" w:cs="Arial" w:eastAsia="Arial" w:hAnsi="Arial"/>
          <w:sz w:val="20"/>
          <w:szCs w:val="20"/>
          <w:color w:val="auto"/>
        </w:rPr>
        <w:t xml:space="preserve">Estimated reserves include our economic interests under PSCs in our Long Beach operations in the Wilmington field. Refer to </w:t>
      </w:r>
      <w:r>
        <w:rPr>
          <w:rFonts w:ascii="Arial" w:cs="Arial" w:eastAsia="Arial" w:hAnsi="Arial"/>
          <w:sz w:val="20"/>
          <w:szCs w:val="20"/>
          <w:i w:val="1"/>
          <w:iCs w:val="1"/>
          <w:color w:val="auto"/>
        </w:rPr>
        <w:t>Part II, Item 8 – Financial Statements, Supplemental Oil and Gas Information</w:t>
      </w:r>
      <w:r>
        <w:rPr>
          <w:rFonts w:ascii="Arial" w:cs="Arial" w:eastAsia="Arial" w:hAnsi="Arial"/>
          <w:sz w:val="20"/>
          <w:szCs w:val="20"/>
          <w:color w:val="auto"/>
        </w:rPr>
        <w:t xml:space="preserve"> for additional information on our proved reserves.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500" w:type="dxa"/>
            <w:vAlign w:val="bottom"/>
            <w:gridSpan w:val="5"/>
          </w:tcPr>
          <w:p>
            <w:pPr>
              <w:jc w:val="right"/>
              <w:ind w:right="732"/>
              <w:spacing w:after="0"/>
              <w:rPr>
                <w:sz w:val="20"/>
                <w:szCs w:val="20"/>
                <w:color w:val="auto"/>
              </w:rPr>
            </w:pPr>
            <w:r>
              <w:rPr>
                <w:rFonts w:ascii="Arial" w:cs="Arial" w:eastAsia="Arial" w:hAnsi="Arial"/>
                <w:sz w:val="18"/>
                <w:szCs w:val="18"/>
                <w:b w:val="1"/>
                <w:bCs w:val="1"/>
                <w:color w:val="auto"/>
              </w:rPr>
              <w:t>As of December 31, 2022</w:t>
            </w: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35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12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San Joaquin</w:t>
            </w:r>
          </w:p>
        </w:tc>
        <w:tc>
          <w:tcPr>
            <w:tcW w:w="40" w:type="dxa"/>
            <w:vAlign w:val="bottom"/>
          </w:tcPr>
          <w:p>
            <w:pPr>
              <w:spacing w:after="0"/>
              <w:rPr>
                <w:sz w:val="14"/>
                <w:szCs w:val="14"/>
                <w:color w:val="auto"/>
              </w:rPr>
            </w:pPr>
          </w:p>
        </w:tc>
        <w:tc>
          <w:tcPr>
            <w:tcW w:w="110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Los Angeles</w:t>
            </w:r>
          </w:p>
        </w:tc>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Sacramento</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560" w:type="dxa"/>
            <w:vAlign w:val="bottom"/>
          </w:tcPr>
          <w:p>
            <w:pPr>
              <w:spacing w:after="0"/>
              <w:rPr>
                <w:sz w:val="15"/>
                <w:szCs w:val="15"/>
                <w:color w:val="auto"/>
              </w:rPr>
            </w:pPr>
          </w:p>
        </w:tc>
        <w:tc>
          <w:tcPr>
            <w:tcW w:w="1120" w:type="dxa"/>
            <w:vAlign w:val="bottom"/>
          </w:tcPr>
          <w:p>
            <w:pPr>
              <w:jc w:val="right"/>
              <w:ind w:right="251"/>
              <w:spacing w:after="0" w:line="181" w:lineRule="exact"/>
              <w:rPr>
                <w:sz w:val="20"/>
                <w:szCs w:val="20"/>
                <w:color w:val="auto"/>
              </w:rPr>
            </w:pPr>
            <w:r>
              <w:rPr>
                <w:rFonts w:ascii="Arial" w:cs="Arial" w:eastAsia="Arial" w:hAnsi="Arial"/>
                <w:sz w:val="16"/>
                <w:szCs w:val="16"/>
                <w:b w:val="1"/>
                <w:bCs w:val="1"/>
                <w:color w:val="auto"/>
              </w:rPr>
              <w:t>Basin</w:t>
            </w:r>
          </w:p>
        </w:tc>
        <w:tc>
          <w:tcPr>
            <w:tcW w:w="40" w:type="dxa"/>
            <w:vAlign w:val="bottom"/>
          </w:tcPr>
          <w:p>
            <w:pPr>
              <w:spacing w:after="0"/>
              <w:rPr>
                <w:sz w:val="15"/>
                <w:szCs w:val="15"/>
                <w:color w:val="auto"/>
              </w:rPr>
            </w:pPr>
          </w:p>
        </w:tc>
        <w:tc>
          <w:tcPr>
            <w:tcW w:w="1100" w:type="dxa"/>
            <w:vAlign w:val="bottom"/>
          </w:tcPr>
          <w:p>
            <w:pPr>
              <w:jc w:val="right"/>
              <w:ind w:right="253"/>
              <w:spacing w:after="0" w:line="181" w:lineRule="exact"/>
              <w:rPr>
                <w:sz w:val="20"/>
                <w:szCs w:val="20"/>
                <w:color w:val="auto"/>
              </w:rPr>
            </w:pPr>
            <w:r>
              <w:rPr>
                <w:rFonts w:ascii="Arial" w:cs="Arial" w:eastAsia="Arial" w:hAnsi="Arial"/>
                <w:sz w:val="16"/>
                <w:szCs w:val="16"/>
                <w:b w:val="1"/>
                <w:bCs w:val="1"/>
                <w:color w:val="auto"/>
              </w:rPr>
              <w:t>Basin</w:t>
            </w:r>
          </w:p>
        </w:tc>
        <w:tc>
          <w:tcPr>
            <w:tcW w:w="40" w:type="dxa"/>
            <w:vAlign w:val="bottom"/>
          </w:tcPr>
          <w:p>
            <w:pPr>
              <w:spacing w:after="0"/>
              <w:rPr>
                <w:sz w:val="15"/>
                <w:szCs w:val="15"/>
                <w:color w:val="auto"/>
              </w:rPr>
            </w:pPr>
          </w:p>
        </w:tc>
        <w:tc>
          <w:tcPr>
            <w:tcW w:w="124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Ventura Basin</w:t>
            </w:r>
          </w:p>
        </w:tc>
        <w:tc>
          <w:tcPr>
            <w:tcW w:w="40" w:type="dxa"/>
            <w:vAlign w:val="bottom"/>
          </w:tcPr>
          <w:p>
            <w:pPr>
              <w:spacing w:after="0"/>
              <w:rPr>
                <w:sz w:val="15"/>
                <w:szCs w:val="15"/>
                <w:color w:val="auto"/>
              </w:rPr>
            </w:pPr>
          </w:p>
        </w:tc>
        <w:tc>
          <w:tcPr>
            <w:tcW w:w="1080" w:type="dxa"/>
            <w:vAlign w:val="bottom"/>
          </w:tcPr>
          <w:p>
            <w:pPr>
              <w:jc w:val="right"/>
              <w:ind w:right="232"/>
              <w:spacing w:after="0" w:line="181" w:lineRule="exact"/>
              <w:rPr>
                <w:sz w:val="20"/>
                <w:szCs w:val="20"/>
                <w:color w:val="auto"/>
              </w:rPr>
            </w:pPr>
            <w:r>
              <w:rPr>
                <w:rFonts w:ascii="Arial" w:cs="Arial" w:eastAsia="Arial" w:hAnsi="Arial"/>
                <w:sz w:val="16"/>
                <w:szCs w:val="16"/>
                <w:b w:val="1"/>
                <w:bCs w:val="1"/>
                <w:color w:val="auto"/>
              </w:rPr>
              <w:t>Basin</w:t>
            </w:r>
          </w:p>
        </w:tc>
        <w:tc>
          <w:tcPr>
            <w:tcW w:w="40" w:type="dxa"/>
            <w:vAlign w:val="bottom"/>
          </w:tcPr>
          <w:p>
            <w:pPr>
              <w:spacing w:after="0"/>
              <w:rPr>
                <w:sz w:val="15"/>
                <w:szCs w:val="15"/>
                <w:color w:val="auto"/>
              </w:rPr>
            </w:pPr>
          </w:p>
        </w:tc>
        <w:tc>
          <w:tcPr>
            <w:tcW w:w="860" w:type="dxa"/>
            <w:vAlign w:val="bottom"/>
          </w:tcPr>
          <w:p>
            <w:pPr>
              <w:jc w:val="right"/>
              <w:ind w:right="160"/>
              <w:spacing w:after="0" w:line="181"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8"/>
        </w:trPr>
        <w:tc>
          <w:tcPr>
            <w:tcW w:w="3560" w:type="dxa"/>
            <w:vAlign w:val="bottom"/>
            <w:vMerge w:val="restart"/>
          </w:tcPr>
          <w:p>
            <w:pPr>
              <w:spacing w:after="0"/>
              <w:rPr>
                <w:sz w:val="20"/>
                <w:szCs w:val="20"/>
                <w:color w:val="auto"/>
              </w:rPr>
            </w:pPr>
            <w:r>
              <w:rPr>
                <w:rFonts w:ascii="Arial" w:cs="Arial" w:eastAsia="Arial" w:hAnsi="Arial"/>
                <w:sz w:val="18"/>
                <w:szCs w:val="18"/>
                <w:b w:val="1"/>
                <w:bCs w:val="1"/>
                <w:color w:val="auto"/>
              </w:rPr>
              <w:t>Proved developed reserves</w:t>
            </w: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35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560" w:type="dxa"/>
            <w:vAlign w:val="bottom"/>
          </w:tcPr>
          <w:p>
            <w:pPr>
              <w:jc w:val="right"/>
              <w:ind w:right="110"/>
              <w:spacing w:after="0"/>
              <w:rPr>
                <w:sz w:val="20"/>
                <w:szCs w:val="20"/>
                <w:color w:val="auto"/>
              </w:rPr>
            </w:pPr>
            <w:r>
              <w:rPr>
                <w:rFonts w:ascii="Arial" w:cs="Arial" w:eastAsia="Arial" w:hAnsi="Arial"/>
                <w:sz w:val="18"/>
                <w:szCs w:val="18"/>
                <w:color w:val="auto"/>
              </w:rPr>
              <w:t>Oil (MMBbl) . . . . . . . . . . . . . . . . . . . . . . .</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155</w:t>
            </w:r>
          </w:p>
        </w:tc>
        <w:tc>
          <w:tcPr>
            <w:tcW w:w="1140" w:type="dxa"/>
            <w:vAlign w:val="bottom"/>
            <w:gridSpan w:val="2"/>
          </w:tcPr>
          <w:p>
            <w:pPr>
              <w:jc w:val="right"/>
              <w:ind w:right="173"/>
              <w:spacing w:after="0"/>
              <w:rPr>
                <w:sz w:val="20"/>
                <w:szCs w:val="20"/>
                <w:color w:val="auto"/>
              </w:rPr>
            </w:pPr>
            <w:r>
              <w:rPr>
                <w:rFonts w:ascii="Arial" w:cs="Arial" w:eastAsia="Arial" w:hAnsi="Arial"/>
                <w:sz w:val="18"/>
                <w:szCs w:val="18"/>
                <w:color w:val="auto"/>
              </w:rPr>
              <w:t>96</w:t>
            </w:r>
          </w:p>
        </w:tc>
        <w:tc>
          <w:tcPr>
            <w:tcW w:w="40" w:type="dxa"/>
            <w:vAlign w:val="bottom"/>
          </w:tcPr>
          <w:p>
            <w:pPr>
              <w:spacing w:after="0"/>
              <w:rPr>
                <w:sz w:val="19"/>
                <w:szCs w:val="19"/>
                <w:color w:val="auto"/>
              </w:rPr>
            </w:pPr>
          </w:p>
        </w:tc>
        <w:tc>
          <w:tcPr>
            <w:tcW w:w="124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0"/>
        </w:trPr>
        <w:tc>
          <w:tcPr>
            <w:tcW w:w="3560" w:type="dxa"/>
            <w:vAlign w:val="bottom"/>
          </w:tcPr>
          <w:p>
            <w:pPr>
              <w:jc w:val="right"/>
              <w:ind w:right="110"/>
              <w:spacing w:after="0"/>
              <w:rPr>
                <w:sz w:val="20"/>
                <w:szCs w:val="20"/>
                <w:color w:val="auto"/>
              </w:rPr>
            </w:pPr>
            <w:r>
              <w:rPr>
                <w:rFonts w:ascii="Arial" w:cs="Arial" w:eastAsia="Arial" w:hAnsi="Arial"/>
                <w:sz w:val="18"/>
                <w:szCs w:val="18"/>
                <w:color w:val="auto"/>
              </w:rPr>
              <w:t>NGLs (MMBbl)  . . . . . . . . . . . . . . . . . . . .</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9"/>
                <w:szCs w:val="19"/>
                <w:color w:val="auto"/>
              </w:rPr>
            </w:pPr>
          </w:p>
        </w:tc>
        <w:tc>
          <w:tcPr>
            <w:tcW w:w="110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4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0"/>
        </w:trPr>
        <w:tc>
          <w:tcPr>
            <w:tcW w:w="3560" w:type="dxa"/>
            <w:vAlign w:val="bottom"/>
          </w:tcPr>
          <w:p>
            <w:pPr>
              <w:jc w:val="right"/>
              <w:ind w:right="110"/>
              <w:spacing w:after="0"/>
              <w:rPr>
                <w:sz w:val="20"/>
                <w:szCs w:val="20"/>
                <w:color w:val="auto"/>
              </w:rPr>
            </w:pPr>
            <w:r>
              <w:rPr>
                <w:rFonts w:ascii="Arial" w:cs="Arial" w:eastAsia="Arial" w:hAnsi="Arial"/>
                <w:sz w:val="18"/>
                <w:szCs w:val="18"/>
                <w:color w:val="auto"/>
              </w:rPr>
              <w:t>Natural Gas (Bcf)  . . . . . . . . . . . . . . . . . .</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399</w:t>
            </w:r>
          </w:p>
        </w:tc>
        <w:tc>
          <w:tcPr>
            <w:tcW w:w="1140" w:type="dxa"/>
            <w:vAlign w:val="bottom"/>
            <w:gridSpan w:val="2"/>
          </w:tcPr>
          <w:p>
            <w:pPr>
              <w:jc w:val="right"/>
              <w:ind w:right="173"/>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c>
          <w:tcPr>
            <w:tcW w:w="124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72"/>
              <w:spacing w:after="0"/>
              <w:rPr>
                <w:sz w:val="20"/>
                <w:szCs w:val="20"/>
                <w:color w:val="auto"/>
              </w:rPr>
            </w:pPr>
            <w:r>
              <w:rPr>
                <w:rFonts w:ascii="Arial" w:cs="Arial" w:eastAsia="Arial" w:hAnsi="Arial"/>
                <w:sz w:val="18"/>
                <w:szCs w:val="18"/>
                <w:color w:val="auto"/>
              </w:rPr>
              <w:t>53</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34"/>
        </w:trPr>
        <w:tc>
          <w:tcPr>
            <w:tcW w:w="35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0"/>
        </w:trPr>
        <w:tc>
          <w:tcPr>
            <w:tcW w:w="3560" w:type="dxa"/>
            <w:vAlign w:val="bottom"/>
          </w:tcPr>
          <w:p>
            <w:pPr>
              <w:jc w:val="right"/>
              <w:ind w:right="110"/>
              <w:spacing w:after="0"/>
              <w:rPr>
                <w:sz w:val="20"/>
                <w:szCs w:val="20"/>
                <w:color w:val="auto"/>
              </w:rPr>
            </w:pPr>
            <w:r>
              <w:rPr>
                <w:rFonts w:ascii="Arial" w:cs="Arial" w:eastAsia="Arial" w:hAnsi="Arial"/>
                <w:sz w:val="18"/>
                <w:szCs w:val="18"/>
                <w:color w:val="auto"/>
              </w:rPr>
              <w:t>Total (MMBoe)</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 . . . . . . . . . . . . . . . .</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257</w:t>
            </w:r>
          </w:p>
        </w:tc>
        <w:tc>
          <w:tcPr>
            <w:tcW w:w="1140" w:type="dxa"/>
            <w:vAlign w:val="bottom"/>
            <w:gridSpan w:val="2"/>
          </w:tcPr>
          <w:p>
            <w:pPr>
              <w:jc w:val="right"/>
              <w:ind w:right="173"/>
              <w:spacing w:after="0"/>
              <w:rPr>
                <w:sz w:val="20"/>
                <w:szCs w:val="20"/>
                <w:color w:val="auto"/>
              </w:rPr>
            </w:pPr>
            <w:r>
              <w:rPr>
                <w:rFonts w:ascii="Arial" w:cs="Arial" w:eastAsia="Arial" w:hAnsi="Arial"/>
                <w:sz w:val="18"/>
                <w:szCs w:val="18"/>
                <w:color w:val="auto"/>
              </w:rPr>
              <w:t>97</w:t>
            </w:r>
          </w:p>
        </w:tc>
        <w:tc>
          <w:tcPr>
            <w:tcW w:w="40" w:type="dxa"/>
            <w:vAlign w:val="bottom"/>
          </w:tcPr>
          <w:p>
            <w:pPr>
              <w:spacing w:after="0"/>
              <w:rPr>
                <w:sz w:val="24"/>
                <w:szCs w:val="24"/>
                <w:color w:val="auto"/>
              </w:rPr>
            </w:pPr>
          </w:p>
        </w:tc>
        <w:tc>
          <w:tcPr>
            <w:tcW w:w="124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72"/>
              <w:spacing w:after="0"/>
              <w:rPr>
                <w:sz w:val="20"/>
                <w:szCs w:val="20"/>
                <w:color w:val="auto"/>
              </w:rPr>
            </w:pPr>
            <w:r>
              <w:rPr>
                <w:rFonts w:ascii="Arial" w:cs="Arial" w:eastAsia="Arial" w:hAnsi="Arial"/>
                <w:sz w:val="18"/>
                <w:szCs w:val="18"/>
                <w:color w:val="auto"/>
              </w:rPr>
              <w:t>9</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366"/>
        </w:trPr>
        <w:tc>
          <w:tcPr>
            <w:tcW w:w="3560" w:type="dxa"/>
            <w:vAlign w:val="bottom"/>
          </w:tcPr>
          <w:p>
            <w:pPr>
              <w:spacing w:after="0"/>
              <w:rPr>
                <w:sz w:val="20"/>
                <w:szCs w:val="20"/>
                <w:color w:val="auto"/>
              </w:rPr>
            </w:pPr>
            <w:r>
              <w:rPr>
                <w:rFonts w:ascii="Arial" w:cs="Arial" w:eastAsia="Arial" w:hAnsi="Arial"/>
                <w:sz w:val="18"/>
                <w:szCs w:val="18"/>
                <w:b w:val="1"/>
                <w:bCs w:val="1"/>
                <w:color w:val="auto"/>
              </w:rPr>
              <w:t>Proved undeveloped reserves</w:t>
            </w:r>
          </w:p>
        </w:tc>
        <w:tc>
          <w:tcPr>
            <w:tcW w:w="11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560" w:type="dxa"/>
            <w:vAlign w:val="bottom"/>
          </w:tcPr>
          <w:p>
            <w:pPr>
              <w:jc w:val="right"/>
              <w:ind w:right="110"/>
              <w:spacing w:after="0"/>
              <w:rPr>
                <w:sz w:val="20"/>
                <w:szCs w:val="20"/>
                <w:color w:val="auto"/>
              </w:rPr>
            </w:pPr>
            <w:r>
              <w:rPr>
                <w:rFonts w:ascii="Arial" w:cs="Arial" w:eastAsia="Arial" w:hAnsi="Arial"/>
                <w:sz w:val="18"/>
                <w:szCs w:val="18"/>
                <w:color w:val="auto"/>
              </w:rPr>
              <w:t>Oil (MMBbl) . . . . . . . . . . . . . . . . . . . . . . .</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27</w:t>
            </w:r>
          </w:p>
        </w:tc>
        <w:tc>
          <w:tcPr>
            <w:tcW w:w="1140" w:type="dxa"/>
            <w:vAlign w:val="bottom"/>
            <w:gridSpan w:val="2"/>
          </w:tcPr>
          <w:p>
            <w:pPr>
              <w:jc w:val="right"/>
              <w:ind w:right="173"/>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9"/>
                <w:szCs w:val="19"/>
                <w:color w:val="auto"/>
              </w:rPr>
            </w:pPr>
          </w:p>
        </w:tc>
        <w:tc>
          <w:tcPr>
            <w:tcW w:w="124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0"/>
        </w:trPr>
        <w:tc>
          <w:tcPr>
            <w:tcW w:w="3560" w:type="dxa"/>
            <w:vAlign w:val="bottom"/>
          </w:tcPr>
          <w:p>
            <w:pPr>
              <w:jc w:val="right"/>
              <w:ind w:right="110"/>
              <w:spacing w:after="0"/>
              <w:rPr>
                <w:sz w:val="20"/>
                <w:szCs w:val="20"/>
                <w:color w:val="auto"/>
              </w:rPr>
            </w:pPr>
            <w:r>
              <w:rPr>
                <w:rFonts w:ascii="Arial" w:cs="Arial" w:eastAsia="Arial" w:hAnsi="Arial"/>
                <w:sz w:val="18"/>
                <w:szCs w:val="18"/>
                <w:color w:val="auto"/>
              </w:rPr>
              <w:t>NGLs (MMBbl)  . . . . . . . . . . . . . . . . . . . .</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110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4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0"/>
        </w:trPr>
        <w:tc>
          <w:tcPr>
            <w:tcW w:w="3560" w:type="dxa"/>
            <w:vAlign w:val="bottom"/>
          </w:tcPr>
          <w:p>
            <w:pPr>
              <w:jc w:val="right"/>
              <w:ind w:right="110"/>
              <w:spacing w:after="0"/>
              <w:rPr>
                <w:sz w:val="20"/>
                <w:szCs w:val="20"/>
                <w:color w:val="auto"/>
              </w:rPr>
            </w:pPr>
            <w:r>
              <w:rPr>
                <w:rFonts w:ascii="Arial" w:cs="Arial" w:eastAsia="Arial" w:hAnsi="Arial"/>
                <w:sz w:val="18"/>
                <w:szCs w:val="18"/>
                <w:color w:val="auto"/>
              </w:rPr>
              <w:t>Natural Gas (Bcf)  . . . . . . . . . . . . . . . . . .</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52</w:t>
            </w:r>
          </w:p>
        </w:tc>
        <w:tc>
          <w:tcPr>
            <w:tcW w:w="1140" w:type="dxa"/>
            <w:vAlign w:val="bottom"/>
            <w:gridSpan w:val="2"/>
          </w:tcPr>
          <w:p>
            <w:pPr>
              <w:jc w:val="right"/>
              <w:ind w:right="173"/>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124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4"/>
        </w:trPr>
        <w:tc>
          <w:tcPr>
            <w:tcW w:w="35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3560" w:type="dxa"/>
            <w:vAlign w:val="bottom"/>
          </w:tcPr>
          <w:p>
            <w:pPr>
              <w:jc w:val="right"/>
              <w:ind w:right="110"/>
              <w:spacing w:after="0"/>
              <w:rPr>
                <w:sz w:val="20"/>
                <w:szCs w:val="20"/>
                <w:color w:val="auto"/>
              </w:rPr>
            </w:pPr>
            <w:r>
              <w:rPr>
                <w:rFonts w:ascii="Arial" w:cs="Arial" w:eastAsia="Arial" w:hAnsi="Arial"/>
                <w:sz w:val="18"/>
                <w:szCs w:val="18"/>
                <w:color w:val="auto"/>
              </w:rPr>
              <w:t>Total (MMBoe) . . . . . . . . . . . . . . . . . . .</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38</w:t>
            </w:r>
          </w:p>
        </w:tc>
        <w:tc>
          <w:tcPr>
            <w:tcW w:w="1140" w:type="dxa"/>
            <w:vAlign w:val="bottom"/>
            <w:gridSpan w:val="2"/>
          </w:tcPr>
          <w:p>
            <w:pPr>
              <w:jc w:val="right"/>
              <w:ind w:right="173"/>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1"/>
                <w:szCs w:val="21"/>
                <w:color w:val="auto"/>
              </w:rPr>
            </w:pPr>
          </w:p>
        </w:tc>
        <w:tc>
          <w:tcPr>
            <w:tcW w:w="124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4"/>
        </w:trPr>
        <w:tc>
          <w:tcPr>
            <w:tcW w:w="3560" w:type="dxa"/>
            <w:vAlign w:val="bottom"/>
            <w:vMerge w:val="restart"/>
          </w:tcPr>
          <w:p>
            <w:pPr>
              <w:spacing w:after="0"/>
              <w:rPr>
                <w:sz w:val="20"/>
                <w:szCs w:val="20"/>
                <w:color w:val="auto"/>
              </w:rPr>
            </w:pPr>
            <w:r>
              <w:rPr>
                <w:rFonts w:ascii="Arial" w:cs="Arial" w:eastAsia="Arial" w:hAnsi="Arial"/>
                <w:sz w:val="18"/>
                <w:szCs w:val="18"/>
                <w:b w:val="1"/>
                <w:bCs w:val="1"/>
                <w:color w:val="auto"/>
              </w:rPr>
              <w:t>Total proved reserves</w:t>
            </w: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6"/>
        </w:trPr>
        <w:tc>
          <w:tcPr>
            <w:tcW w:w="35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560" w:type="dxa"/>
            <w:vAlign w:val="bottom"/>
          </w:tcPr>
          <w:p>
            <w:pPr>
              <w:jc w:val="right"/>
              <w:ind w:right="110"/>
              <w:spacing w:after="0"/>
              <w:rPr>
                <w:sz w:val="20"/>
                <w:szCs w:val="20"/>
                <w:color w:val="auto"/>
              </w:rPr>
            </w:pPr>
            <w:r>
              <w:rPr>
                <w:rFonts w:ascii="Arial" w:cs="Arial" w:eastAsia="Arial" w:hAnsi="Arial"/>
                <w:sz w:val="18"/>
                <w:szCs w:val="18"/>
                <w:color w:val="auto"/>
              </w:rPr>
              <w:t>Oil (MMBbl) . . . . . . . . . . . . . . . . . . . . . . .</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182</w:t>
            </w:r>
          </w:p>
        </w:tc>
        <w:tc>
          <w:tcPr>
            <w:tcW w:w="1140" w:type="dxa"/>
            <w:vAlign w:val="bottom"/>
            <w:gridSpan w:val="2"/>
          </w:tcPr>
          <w:p>
            <w:pPr>
              <w:jc w:val="right"/>
              <w:ind w:right="173"/>
              <w:spacing w:after="0"/>
              <w:rPr>
                <w:sz w:val="20"/>
                <w:szCs w:val="20"/>
                <w:color w:val="auto"/>
              </w:rPr>
            </w:pPr>
            <w:r>
              <w:rPr>
                <w:rFonts w:ascii="Arial" w:cs="Arial" w:eastAsia="Arial" w:hAnsi="Arial"/>
                <w:sz w:val="18"/>
                <w:szCs w:val="18"/>
                <w:color w:val="auto"/>
              </w:rPr>
              <w:t>112</w:t>
            </w:r>
          </w:p>
        </w:tc>
        <w:tc>
          <w:tcPr>
            <w:tcW w:w="40" w:type="dxa"/>
            <w:vAlign w:val="bottom"/>
          </w:tcPr>
          <w:p>
            <w:pPr>
              <w:spacing w:after="0"/>
              <w:rPr>
                <w:sz w:val="19"/>
                <w:szCs w:val="19"/>
                <w:color w:val="auto"/>
              </w:rPr>
            </w:pPr>
          </w:p>
        </w:tc>
        <w:tc>
          <w:tcPr>
            <w:tcW w:w="124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20"/>
        </w:trPr>
        <w:tc>
          <w:tcPr>
            <w:tcW w:w="3560" w:type="dxa"/>
            <w:vAlign w:val="bottom"/>
          </w:tcPr>
          <w:p>
            <w:pPr>
              <w:jc w:val="right"/>
              <w:ind w:right="110"/>
              <w:spacing w:after="0"/>
              <w:rPr>
                <w:sz w:val="20"/>
                <w:szCs w:val="20"/>
                <w:color w:val="auto"/>
              </w:rPr>
            </w:pPr>
            <w:r>
              <w:rPr>
                <w:rFonts w:ascii="Arial" w:cs="Arial" w:eastAsia="Arial" w:hAnsi="Arial"/>
                <w:sz w:val="18"/>
                <w:szCs w:val="18"/>
                <w:color w:val="auto"/>
              </w:rPr>
              <w:t>NGLs (MMBbl)  . . . . . . . . . . . . . . . . . . . .</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9"/>
                <w:szCs w:val="19"/>
                <w:color w:val="auto"/>
              </w:rPr>
            </w:pPr>
          </w:p>
        </w:tc>
        <w:tc>
          <w:tcPr>
            <w:tcW w:w="110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4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0"/>
        </w:trPr>
        <w:tc>
          <w:tcPr>
            <w:tcW w:w="3560" w:type="dxa"/>
            <w:vAlign w:val="bottom"/>
          </w:tcPr>
          <w:p>
            <w:pPr>
              <w:jc w:val="right"/>
              <w:ind w:right="110"/>
              <w:spacing w:after="0"/>
              <w:rPr>
                <w:sz w:val="20"/>
                <w:szCs w:val="20"/>
                <w:color w:val="auto"/>
              </w:rPr>
            </w:pPr>
            <w:r>
              <w:rPr>
                <w:rFonts w:ascii="Arial" w:cs="Arial" w:eastAsia="Arial" w:hAnsi="Arial"/>
                <w:sz w:val="18"/>
                <w:szCs w:val="18"/>
                <w:color w:val="auto"/>
              </w:rPr>
              <w:t>Natural Gas (Bcf)  . . . . . . . . . . . . . . . . . .</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451</w:t>
            </w:r>
          </w:p>
        </w:tc>
        <w:tc>
          <w:tcPr>
            <w:tcW w:w="1140" w:type="dxa"/>
            <w:vAlign w:val="bottom"/>
            <w:gridSpan w:val="2"/>
          </w:tcPr>
          <w:p>
            <w:pPr>
              <w:jc w:val="right"/>
              <w:ind w:right="173"/>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124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72"/>
              <w:spacing w:after="0"/>
              <w:rPr>
                <w:sz w:val="20"/>
                <w:szCs w:val="20"/>
                <w:color w:val="auto"/>
              </w:rPr>
            </w:pPr>
            <w:r>
              <w:rPr>
                <w:rFonts w:ascii="Arial" w:cs="Arial" w:eastAsia="Arial" w:hAnsi="Arial"/>
                <w:sz w:val="18"/>
                <w:szCs w:val="18"/>
                <w:color w:val="auto"/>
              </w:rPr>
              <w:t>53</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34"/>
        </w:trPr>
        <w:tc>
          <w:tcPr>
            <w:tcW w:w="35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3560" w:type="dxa"/>
            <w:vAlign w:val="bottom"/>
          </w:tcPr>
          <w:p>
            <w:pPr>
              <w:jc w:val="right"/>
              <w:ind w:right="110"/>
              <w:spacing w:after="0"/>
              <w:rPr>
                <w:sz w:val="20"/>
                <w:szCs w:val="20"/>
                <w:color w:val="auto"/>
              </w:rPr>
            </w:pPr>
            <w:r>
              <w:rPr>
                <w:rFonts w:ascii="Arial" w:cs="Arial" w:eastAsia="Arial" w:hAnsi="Arial"/>
                <w:sz w:val="18"/>
                <w:szCs w:val="18"/>
                <w:color w:val="auto"/>
              </w:rPr>
              <w:t>Total (MMBoe) . . . . . . . . . . . . . . . . . . .</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295</w:t>
            </w:r>
          </w:p>
        </w:tc>
        <w:tc>
          <w:tcPr>
            <w:tcW w:w="1140" w:type="dxa"/>
            <w:vAlign w:val="bottom"/>
            <w:gridSpan w:val="2"/>
          </w:tcPr>
          <w:p>
            <w:pPr>
              <w:jc w:val="right"/>
              <w:ind w:right="173"/>
              <w:spacing w:after="0"/>
              <w:rPr>
                <w:sz w:val="20"/>
                <w:szCs w:val="20"/>
                <w:color w:val="auto"/>
              </w:rPr>
            </w:pPr>
            <w:r>
              <w:rPr>
                <w:rFonts w:ascii="Arial" w:cs="Arial" w:eastAsia="Arial" w:hAnsi="Arial"/>
                <w:sz w:val="18"/>
                <w:szCs w:val="18"/>
                <w:color w:val="auto"/>
              </w:rPr>
              <w:t>113</w:t>
            </w:r>
          </w:p>
        </w:tc>
        <w:tc>
          <w:tcPr>
            <w:tcW w:w="40" w:type="dxa"/>
            <w:vAlign w:val="bottom"/>
          </w:tcPr>
          <w:p>
            <w:pPr>
              <w:spacing w:after="0"/>
              <w:rPr>
                <w:sz w:val="21"/>
                <w:szCs w:val="21"/>
                <w:color w:val="auto"/>
              </w:rPr>
            </w:pPr>
          </w:p>
        </w:tc>
        <w:tc>
          <w:tcPr>
            <w:tcW w:w="124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72"/>
              <w:spacing w:after="0"/>
              <w:rPr>
                <w:sz w:val="20"/>
                <w:szCs w:val="20"/>
                <w:color w:val="auto"/>
              </w:rPr>
            </w:pPr>
            <w:r>
              <w:rPr>
                <w:rFonts w:ascii="Arial" w:cs="Arial" w:eastAsia="Arial" w:hAnsi="Arial"/>
                <w:sz w:val="18"/>
                <w:szCs w:val="18"/>
                <w:color w:val="auto"/>
              </w:rPr>
              <w:t>9</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34"/>
        </w:trPr>
        <w:tc>
          <w:tcPr>
            <w:tcW w:w="3560" w:type="dxa"/>
            <w:vAlign w:val="bottom"/>
            <w:vMerge w:val="restart"/>
          </w:tcPr>
          <w:p>
            <w:pPr>
              <w:spacing w:after="0"/>
              <w:rPr>
                <w:sz w:val="20"/>
                <w:szCs w:val="20"/>
                <w:color w:val="auto"/>
              </w:rPr>
            </w:pPr>
            <w:r>
              <w:rPr>
                <w:rFonts w:ascii="Arial" w:cs="Arial" w:eastAsia="Arial" w:hAnsi="Arial"/>
                <w:sz w:val="18"/>
                <w:szCs w:val="18"/>
                <w:b w:val="1"/>
                <w:bCs w:val="1"/>
                <w:color w:val="auto"/>
              </w:rPr>
              <w:t>Reserves to production ratio</w:t>
            </w: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60" w:type="dxa"/>
            <w:vAlign w:val="bottom"/>
            <w:vMerge w:val="continue"/>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35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356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(years)</w:t>
            </w:r>
            <w:r>
              <w:rPr>
                <w:rFonts w:ascii="Arial" w:cs="Arial" w:eastAsia="Arial" w:hAnsi="Arial"/>
                <w:sz w:val="23"/>
                <w:szCs w:val="23"/>
                <w:b w:val="1"/>
                <w:bCs w:val="1"/>
                <w:color w:val="auto"/>
                <w:w w:val="94"/>
                <w:vertAlign w:val="superscript"/>
              </w:rPr>
              <w:t>(b)</w:t>
            </w:r>
            <w:r>
              <w:rPr>
                <w:rFonts w:ascii="Arial" w:cs="Arial" w:eastAsia="Arial" w:hAnsi="Arial"/>
                <w:sz w:val="18"/>
                <w:szCs w:val="18"/>
                <w:b w:val="1"/>
                <w:bCs w:val="1"/>
                <w:color w:val="auto"/>
                <w:w w:val="94"/>
              </w:rPr>
              <w:t xml:space="preserve">  </w:t>
            </w:r>
            <w:r>
              <w:rPr>
                <w:rFonts w:ascii="Arial" w:cs="Arial" w:eastAsia="Arial" w:hAnsi="Arial"/>
                <w:sz w:val="18"/>
                <w:szCs w:val="18"/>
                <w:color w:val="auto"/>
                <w:w w:val="94"/>
              </w:rPr>
              <w:t>. . . . . . . . . . . . . . . . . . . . . . . . . . .</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12</w:t>
            </w:r>
          </w:p>
        </w:tc>
        <w:tc>
          <w:tcPr>
            <w:tcW w:w="1140" w:type="dxa"/>
            <w:vAlign w:val="bottom"/>
            <w:gridSpan w:val="2"/>
          </w:tcPr>
          <w:p>
            <w:pPr>
              <w:jc w:val="right"/>
              <w:ind w:right="173"/>
              <w:spacing w:after="0"/>
              <w:rPr>
                <w:sz w:val="20"/>
                <w:szCs w:val="20"/>
                <w:color w:val="auto"/>
              </w:rPr>
            </w:pPr>
            <w:r>
              <w:rPr>
                <w:rFonts w:ascii="Arial" w:cs="Arial" w:eastAsia="Arial" w:hAnsi="Arial"/>
                <w:sz w:val="18"/>
                <w:szCs w:val="18"/>
                <w:color w:val="auto"/>
              </w:rPr>
              <w:t>16</w:t>
            </w:r>
          </w:p>
        </w:tc>
        <w:tc>
          <w:tcPr>
            <w:tcW w:w="1280" w:type="dxa"/>
            <w:vAlign w:val="bottom"/>
            <w:gridSpan w:val="2"/>
          </w:tcPr>
          <w:p>
            <w:pPr>
              <w:jc w:val="right"/>
              <w:ind w:right="251"/>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172"/>
              <w:spacing w:after="0"/>
              <w:rPr>
                <w:sz w:val="20"/>
                <w:szCs w:val="20"/>
                <w:color w:val="auto"/>
              </w:rPr>
            </w:pPr>
            <w:r>
              <w:rPr>
                <w:rFonts w:ascii="Arial" w:cs="Arial" w:eastAsia="Arial" w:hAnsi="Arial"/>
                <w:sz w:val="18"/>
                <w:szCs w:val="18"/>
                <w:color w:val="auto"/>
              </w:rPr>
              <w:t>9</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ind w:left="400" w:right="100" w:hanging="320"/>
        <w:spacing w:after="0" w:line="253" w:lineRule="auto"/>
        <w:tabs>
          <w:tab w:leader="none" w:pos="4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As of December 31, 2022, approximately 19% of proved developed oil reserves, 7% of proved developed NGLs reserves, 10% of proved developed natural gas reserves and, overall, 16% of total proved developed reserves are non-producing. A majority of our non-producing reserves relate to steamfloods and waterfloods where full production response has not yet occurred due to the nature of such projects.</w:t>
      </w:r>
    </w:p>
    <w:p>
      <w:pPr>
        <w:spacing w:after="0" w:line="12" w:lineRule="exact"/>
        <w:rPr>
          <w:rFonts w:ascii="Arial" w:cs="Arial" w:eastAsia="Arial" w:hAnsi="Arial"/>
          <w:sz w:val="16"/>
          <w:szCs w:val="16"/>
          <w:color w:val="auto"/>
        </w:rPr>
      </w:pPr>
    </w:p>
    <w:p>
      <w:pPr>
        <w:ind w:left="400" w:right="80" w:hanging="320"/>
        <w:spacing w:after="0" w:line="254" w:lineRule="auto"/>
        <w:tabs>
          <w:tab w:leader="none" w:pos="4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Calculated as total proved reserves as of December 31, 2022 divided by total production for the year ended December 31, 2022.</w:t>
      </w:r>
    </w:p>
    <w:p>
      <w:pPr>
        <w:sectPr>
          <w:pgSz w:w="11880" w:h="15480" w:orient="portrait"/>
          <w:cols w:equalWidth="0" w:num="1">
            <w:col w:w="9120"/>
          </w:cols>
          <w:pgMar w:left="1380" w:top="1310" w:right="138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880" w:h="15480" w:orient="portrait"/>
          <w:cols w:equalWidth="0" w:num="1">
            <w:col w:w="9120"/>
          </w:cols>
          <w:pgMar w:left="1380" w:top="1310" w:right="1380" w:bottom="653" w:gutter="0" w:footer="0" w:header="0"/>
          <w:type w:val="continuous"/>
        </w:sectPr>
      </w:pPr>
    </w:p>
    <w:bookmarkStart w:id="18" w:name="page19"/>
    <w:bookmarkEnd w:id="18"/>
    <w:p>
      <w:pPr>
        <w:spacing w:after="0"/>
        <w:rPr>
          <w:sz w:val="20"/>
          <w:szCs w:val="20"/>
          <w:color w:val="auto"/>
        </w:rPr>
      </w:pPr>
      <w:r>
        <w:rPr>
          <w:rFonts w:ascii="Arial" w:cs="Arial" w:eastAsia="Arial" w:hAnsi="Arial"/>
          <w:sz w:val="20"/>
          <w:szCs w:val="20"/>
          <w:b w:val="1"/>
          <w:bCs w:val="1"/>
          <w:i w:val="1"/>
          <w:iCs w:val="1"/>
          <w:color w:val="auto"/>
        </w:rPr>
        <w:t>Changes to Proved Reserves</w:t>
      </w:r>
    </w:p>
    <w:p>
      <w:pPr>
        <w:spacing w:after="0" w:line="215" w:lineRule="exact"/>
        <w:rPr>
          <w:sz w:val="20"/>
          <w:szCs w:val="20"/>
          <w:color w:val="auto"/>
        </w:rPr>
      </w:pPr>
    </w:p>
    <w:p>
      <w:pPr>
        <w:ind w:right="100" w:firstLine="300"/>
        <w:spacing w:after="0" w:line="243" w:lineRule="auto"/>
        <w:rPr>
          <w:sz w:val="20"/>
          <w:szCs w:val="20"/>
          <w:color w:val="auto"/>
        </w:rPr>
      </w:pPr>
      <w:r>
        <w:rPr>
          <w:rFonts w:ascii="Arial" w:cs="Arial" w:eastAsia="Arial" w:hAnsi="Arial"/>
          <w:sz w:val="20"/>
          <w:szCs w:val="20"/>
          <w:color w:val="auto"/>
        </w:rPr>
        <w:t>The components of the changes to our proved reserves during the year ended December 31, 2022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San Joaquin</w:t>
            </w:r>
          </w:p>
        </w:tc>
        <w:tc>
          <w:tcPr>
            <w:tcW w:w="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Los Angeles</w:t>
            </w:r>
          </w:p>
        </w:tc>
        <w:tc>
          <w:tcPr>
            <w:tcW w:w="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Ventura</w:t>
            </w:r>
          </w:p>
        </w:tc>
        <w:tc>
          <w:tcPr>
            <w:tcW w:w="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Sacramento</w:t>
            </w: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00" w:type="dxa"/>
            <w:vAlign w:val="bottom"/>
          </w:tcPr>
          <w:p>
            <w:pPr>
              <w:spacing w:after="0"/>
              <w:rPr>
                <w:sz w:val="18"/>
                <w:szCs w:val="18"/>
                <w:color w:val="auto"/>
              </w:rPr>
            </w:pPr>
          </w:p>
        </w:tc>
        <w:tc>
          <w:tcPr>
            <w:tcW w:w="1120" w:type="dxa"/>
            <w:vAlign w:val="bottom"/>
            <w:tcBorders>
              <w:bottom w:val="single" w:sz="8" w:color="auto"/>
            </w:tcBorders>
          </w:tcPr>
          <w:p>
            <w:pPr>
              <w:jc w:val="right"/>
              <w:ind w:right="252"/>
              <w:spacing w:after="0" w:line="181" w:lineRule="exact"/>
              <w:rPr>
                <w:sz w:val="20"/>
                <w:szCs w:val="20"/>
                <w:color w:val="auto"/>
              </w:rPr>
            </w:pPr>
            <w:r>
              <w:rPr>
                <w:rFonts w:ascii="Arial" w:cs="Arial" w:eastAsia="Arial" w:hAnsi="Arial"/>
                <w:sz w:val="16"/>
                <w:szCs w:val="16"/>
                <w:b w:val="1"/>
                <w:bCs w:val="1"/>
                <w:color w:val="auto"/>
              </w:rPr>
              <w:t>Basin</w:t>
            </w:r>
          </w:p>
        </w:tc>
        <w:tc>
          <w:tcPr>
            <w:tcW w:w="40" w:type="dxa"/>
            <w:vAlign w:val="bottom"/>
          </w:tcPr>
          <w:p>
            <w:pPr>
              <w:spacing w:after="0"/>
              <w:rPr>
                <w:sz w:val="18"/>
                <w:szCs w:val="18"/>
                <w:color w:val="auto"/>
              </w:rPr>
            </w:pPr>
          </w:p>
        </w:tc>
        <w:tc>
          <w:tcPr>
            <w:tcW w:w="1100" w:type="dxa"/>
            <w:vAlign w:val="bottom"/>
            <w:tcBorders>
              <w:bottom w:val="single" w:sz="8" w:color="auto"/>
            </w:tcBorders>
          </w:tcPr>
          <w:p>
            <w:pPr>
              <w:jc w:val="right"/>
              <w:ind w:right="176"/>
              <w:spacing w:after="0" w:line="209" w:lineRule="exact"/>
              <w:rPr>
                <w:sz w:val="20"/>
                <w:szCs w:val="20"/>
                <w:color w:val="auto"/>
              </w:rPr>
            </w:pPr>
            <w:r>
              <w:rPr>
                <w:rFonts w:ascii="Arial" w:cs="Arial" w:eastAsia="Arial" w:hAnsi="Arial"/>
                <w:sz w:val="16"/>
                <w:szCs w:val="16"/>
                <w:b w:val="1"/>
                <w:bCs w:val="1"/>
                <w:color w:val="auto"/>
              </w:rPr>
              <w:t>Basin</w:t>
            </w:r>
            <w:r>
              <w:rPr>
                <w:rFonts w:ascii="Arial" w:cs="Arial" w:eastAsia="Arial" w:hAnsi="Arial"/>
                <w:sz w:val="20"/>
                <w:szCs w:val="20"/>
                <w:b w:val="1"/>
                <w:bCs w:val="1"/>
                <w:color w:val="auto"/>
                <w:vertAlign w:val="superscript"/>
              </w:rPr>
              <w:t>(a)</w:t>
            </w:r>
          </w:p>
        </w:tc>
        <w:tc>
          <w:tcPr>
            <w:tcW w:w="40" w:type="dxa"/>
            <w:vAlign w:val="bottom"/>
          </w:tcPr>
          <w:p>
            <w:pPr>
              <w:spacing w:after="0"/>
              <w:rPr>
                <w:sz w:val="18"/>
                <w:szCs w:val="18"/>
                <w:color w:val="auto"/>
              </w:rPr>
            </w:pPr>
          </w:p>
        </w:tc>
        <w:tc>
          <w:tcPr>
            <w:tcW w:w="760" w:type="dxa"/>
            <w:vAlign w:val="bottom"/>
            <w:tcBorders>
              <w:bottom w:val="single" w:sz="8" w:color="auto"/>
            </w:tcBorders>
          </w:tcPr>
          <w:p>
            <w:pPr>
              <w:jc w:val="right"/>
              <w:ind w:right="73"/>
              <w:spacing w:after="0" w:line="181" w:lineRule="exact"/>
              <w:rPr>
                <w:sz w:val="20"/>
                <w:szCs w:val="20"/>
                <w:color w:val="auto"/>
              </w:rPr>
            </w:pPr>
            <w:r>
              <w:rPr>
                <w:rFonts w:ascii="Arial" w:cs="Arial" w:eastAsia="Arial" w:hAnsi="Arial"/>
                <w:sz w:val="16"/>
                <w:szCs w:val="16"/>
                <w:b w:val="1"/>
                <w:bCs w:val="1"/>
                <w:color w:val="auto"/>
              </w:rPr>
              <w:t>Basin</w:t>
            </w:r>
          </w:p>
        </w:tc>
        <w:tc>
          <w:tcPr>
            <w:tcW w:w="40" w:type="dxa"/>
            <w:vAlign w:val="bottom"/>
          </w:tcPr>
          <w:p>
            <w:pPr>
              <w:spacing w:after="0"/>
              <w:rPr>
                <w:sz w:val="18"/>
                <w:szCs w:val="18"/>
                <w:color w:val="auto"/>
              </w:rPr>
            </w:pPr>
          </w:p>
        </w:tc>
        <w:tc>
          <w:tcPr>
            <w:tcW w:w="1080" w:type="dxa"/>
            <w:vAlign w:val="bottom"/>
            <w:tcBorders>
              <w:bottom w:val="single" w:sz="8" w:color="auto"/>
            </w:tcBorders>
          </w:tcPr>
          <w:p>
            <w:pPr>
              <w:jc w:val="right"/>
              <w:ind w:right="234"/>
              <w:spacing w:after="0" w:line="181" w:lineRule="exact"/>
              <w:rPr>
                <w:sz w:val="20"/>
                <w:szCs w:val="20"/>
                <w:color w:val="auto"/>
              </w:rPr>
            </w:pPr>
            <w:r>
              <w:rPr>
                <w:rFonts w:ascii="Arial" w:cs="Arial" w:eastAsia="Arial" w:hAnsi="Arial"/>
                <w:sz w:val="16"/>
                <w:szCs w:val="16"/>
                <w:b w:val="1"/>
                <w:bCs w:val="1"/>
                <w:color w:val="auto"/>
              </w:rPr>
              <w:t>Basin</w:t>
            </w:r>
          </w:p>
        </w:tc>
        <w:tc>
          <w:tcPr>
            <w:tcW w:w="40" w:type="dxa"/>
            <w:vAlign w:val="bottom"/>
          </w:tcPr>
          <w:p>
            <w:pPr>
              <w:spacing w:after="0"/>
              <w:rPr>
                <w:sz w:val="18"/>
                <w:szCs w:val="18"/>
                <w:color w:val="auto"/>
              </w:rPr>
            </w:pPr>
          </w:p>
        </w:tc>
        <w:tc>
          <w:tcPr>
            <w:tcW w:w="700" w:type="dxa"/>
            <w:vAlign w:val="bottom"/>
            <w:tcBorders>
              <w:bottom w:val="single" w:sz="8" w:color="auto"/>
            </w:tcBorders>
          </w:tcPr>
          <w:p>
            <w:pPr>
              <w:jc w:val="right"/>
              <w:ind w:right="80"/>
              <w:spacing w:after="0" w:line="181"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2"/>
        </w:trPr>
        <w:tc>
          <w:tcPr>
            <w:tcW w:w="4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00" w:type="dxa"/>
            <w:vAlign w:val="bottom"/>
            <w:gridSpan w:val="3"/>
          </w:tcPr>
          <w:p>
            <w:pPr>
              <w:jc w:val="right"/>
              <w:ind w:right="93"/>
              <w:spacing w:after="0"/>
              <w:rPr>
                <w:sz w:val="20"/>
                <w:szCs w:val="20"/>
                <w:color w:val="auto"/>
              </w:rPr>
            </w:pPr>
            <w:r>
              <w:rPr>
                <w:rFonts w:ascii="Arial" w:cs="Arial" w:eastAsia="Arial" w:hAnsi="Arial"/>
                <w:sz w:val="16"/>
                <w:szCs w:val="16"/>
                <w:color w:val="auto"/>
              </w:rPr>
              <w:t>(in MMBoe)</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0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 xml:space="preserve">Balance at December 31, 2021 </w:t>
            </w:r>
            <w:r>
              <w:rPr>
                <w:rFonts w:ascii="Arial" w:cs="Arial" w:eastAsia="Arial" w:hAnsi="Arial"/>
                <w:sz w:val="18"/>
                <w:szCs w:val="18"/>
                <w:color w:val="auto"/>
                <w:w w:val="97"/>
              </w:rPr>
              <w:t>. . . . . . . . . . . . . . .</w:t>
            </w:r>
          </w:p>
        </w:tc>
        <w:tc>
          <w:tcPr>
            <w:tcW w:w="1120" w:type="dxa"/>
            <w:vAlign w:val="bottom"/>
          </w:tcPr>
          <w:p>
            <w:pPr>
              <w:jc w:val="right"/>
              <w:ind w:right="332"/>
              <w:spacing w:after="0"/>
              <w:rPr>
                <w:sz w:val="20"/>
                <w:szCs w:val="20"/>
                <w:color w:val="auto"/>
              </w:rPr>
            </w:pPr>
            <w:r>
              <w:rPr>
                <w:rFonts w:ascii="Arial" w:cs="Arial" w:eastAsia="Arial" w:hAnsi="Arial"/>
                <w:sz w:val="18"/>
                <w:szCs w:val="18"/>
                <w:color w:val="auto"/>
              </w:rPr>
              <w:t>324</w:t>
            </w:r>
          </w:p>
        </w:tc>
        <w:tc>
          <w:tcPr>
            <w:tcW w:w="1140" w:type="dxa"/>
            <w:vAlign w:val="bottom"/>
            <w:gridSpan w:val="2"/>
          </w:tcPr>
          <w:p>
            <w:pPr>
              <w:jc w:val="right"/>
              <w:ind w:right="316"/>
              <w:spacing w:after="0"/>
              <w:rPr>
                <w:sz w:val="20"/>
                <w:szCs w:val="20"/>
                <w:color w:val="auto"/>
              </w:rPr>
            </w:pPr>
            <w:r>
              <w:rPr>
                <w:rFonts w:ascii="Arial" w:cs="Arial" w:eastAsia="Arial" w:hAnsi="Arial"/>
                <w:sz w:val="18"/>
                <w:szCs w:val="18"/>
                <w:color w:val="auto"/>
              </w:rPr>
              <w:t>140</w:t>
            </w:r>
          </w:p>
        </w:tc>
        <w:tc>
          <w:tcPr>
            <w:tcW w:w="800" w:type="dxa"/>
            <w:vAlign w:val="bottom"/>
            <w:gridSpan w:val="2"/>
          </w:tcPr>
          <w:p>
            <w:pPr>
              <w:jc w:val="right"/>
              <w:ind w:right="193"/>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right"/>
              <w:ind w:right="354"/>
              <w:spacing w:after="0"/>
              <w:rPr>
                <w:sz w:val="20"/>
                <w:szCs w:val="20"/>
                <w:color w:val="auto"/>
              </w:rPr>
            </w:pPr>
            <w:r>
              <w:rPr>
                <w:rFonts w:ascii="Arial" w:cs="Arial" w:eastAsia="Arial" w:hAnsi="Arial"/>
                <w:sz w:val="18"/>
                <w:szCs w:val="18"/>
                <w:color w:val="auto"/>
              </w:rPr>
              <w:t>14</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20"/>
        </w:trPr>
        <w:tc>
          <w:tcPr>
            <w:tcW w:w="4200" w:type="dxa"/>
            <w:vAlign w:val="bottom"/>
          </w:tcPr>
          <w:p>
            <w:pPr>
              <w:jc w:val="right"/>
              <w:ind w:right="110"/>
              <w:spacing w:after="0"/>
              <w:rPr>
                <w:sz w:val="20"/>
                <w:szCs w:val="20"/>
                <w:color w:val="auto"/>
              </w:rPr>
            </w:pPr>
            <w:r>
              <w:rPr>
                <w:rFonts w:ascii="Arial" w:cs="Arial" w:eastAsia="Arial" w:hAnsi="Arial"/>
                <w:sz w:val="18"/>
                <w:szCs w:val="18"/>
                <w:color w:val="auto"/>
              </w:rPr>
              <w:t>Revisions related to price  . . . . . . . . . . . . . . . . . .</w:t>
            </w:r>
          </w:p>
        </w:tc>
        <w:tc>
          <w:tcPr>
            <w:tcW w:w="1120" w:type="dxa"/>
            <w:vAlign w:val="bottom"/>
          </w:tcPr>
          <w:p>
            <w:pPr>
              <w:jc w:val="right"/>
              <w:ind w:right="332"/>
              <w:spacing w:after="0"/>
              <w:rPr>
                <w:sz w:val="20"/>
                <w:szCs w:val="20"/>
                <w:color w:val="auto"/>
              </w:rPr>
            </w:pPr>
            <w:r>
              <w:rPr>
                <w:rFonts w:ascii="Arial" w:cs="Arial" w:eastAsia="Arial" w:hAnsi="Arial"/>
                <w:sz w:val="18"/>
                <w:szCs w:val="18"/>
                <w:color w:val="auto"/>
              </w:rPr>
              <w:t>3</w:t>
            </w:r>
          </w:p>
        </w:tc>
        <w:tc>
          <w:tcPr>
            <w:tcW w:w="1140" w:type="dxa"/>
            <w:vAlign w:val="bottom"/>
            <w:gridSpan w:val="2"/>
          </w:tcPr>
          <w:p>
            <w:pPr>
              <w:jc w:val="right"/>
              <w:ind w:right="316"/>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7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54"/>
              <w:spacing w:after="0"/>
              <w:rPr>
                <w:sz w:val="20"/>
                <w:szCs w:val="20"/>
                <w:color w:val="auto"/>
              </w:rPr>
            </w:pPr>
            <w:r>
              <w:rPr>
                <w:rFonts w:ascii="Arial" w:cs="Arial" w:eastAsia="Arial" w:hAnsi="Arial"/>
                <w:sz w:val="18"/>
                <w:szCs w:val="18"/>
                <w:color w:val="auto"/>
              </w:rPr>
              <w:t>1</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0"/>
        </w:trPr>
        <w:tc>
          <w:tcPr>
            <w:tcW w:w="4200" w:type="dxa"/>
            <w:vAlign w:val="bottom"/>
          </w:tcPr>
          <w:p>
            <w:pPr>
              <w:jc w:val="right"/>
              <w:ind w:right="110"/>
              <w:spacing w:after="0"/>
              <w:rPr>
                <w:sz w:val="20"/>
                <w:szCs w:val="20"/>
                <w:color w:val="auto"/>
              </w:rPr>
            </w:pPr>
            <w:r>
              <w:rPr>
                <w:rFonts w:ascii="Arial" w:cs="Arial" w:eastAsia="Arial" w:hAnsi="Arial"/>
                <w:sz w:val="18"/>
                <w:szCs w:val="18"/>
                <w:color w:val="auto"/>
              </w:rPr>
              <w:t>Revisions related to performance . . . . . . . . . . . .</w:t>
            </w:r>
          </w:p>
        </w:tc>
        <w:tc>
          <w:tcPr>
            <w:tcW w:w="1120" w:type="dxa"/>
            <w:vAlign w:val="bottom"/>
          </w:tcPr>
          <w:p>
            <w:pPr>
              <w:jc w:val="right"/>
              <w:ind w:right="272"/>
              <w:spacing w:after="0"/>
              <w:rPr>
                <w:sz w:val="20"/>
                <w:szCs w:val="20"/>
                <w:color w:val="auto"/>
              </w:rPr>
            </w:pPr>
            <w:r>
              <w:rPr>
                <w:rFonts w:ascii="Arial" w:cs="Arial" w:eastAsia="Arial" w:hAnsi="Arial"/>
                <w:sz w:val="18"/>
                <w:szCs w:val="18"/>
                <w:color w:val="auto"/>
              </w:rPr>
              <w:t>(5)</w:t>
            </w:r>
          </w:p>
        </w:tc>
        <w:tc>
          <w:tcPr>
            <w:tcW w:w="1140" w:type="dxa"/>
            <w:vAlign w:val="bottom"/>
            <w:gridSpan w:val="2"/>
          </w:tcPr>
          <w:p>
            <w:pPr>
              <w:jc w:val="right"/>
              <w:ind w:right="256"/>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7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94"/>
              <w:spacing w:after="0"/>
              <w:rPr>
                <w:sz w:val="20"/>
                <w:szCs w:val="20"/>
                <w:color w:val="auto"/>
              </w:rPr>
            </w:pPr>
            <w:r>
              <w:rPr>
                <w:rFonts w:ascii="Arial" w:cs="Arial" w:eastAsia="Arial" w:hAnsi="Arial"/>
                <w:sz w:val="18"/>
                <w:szCs w:val="18"/>
                <w:color w:val="auto"/>
              </w:rPr>
              <w:t>(4)</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0"/>
        </w:trPr>
        <w:tc>
          <w:tcPr>
            <w:tcW w:w="4200" w:type="dxa"/>
            <w:vAlign w:val="bottom"/>
          </w:tcPr>
          <w:p>
            <w:pPr>
              <w:jc w:val="right"/>
              <w:ind w:right="210"/>
              <w:spacing w:after="0"/>
              <w:rPr>
                <w:sz w:val="20"/>
                <w:szCs w:val="20"/>
                <w:color w:val="auto"/>
              </w:rPr>
            </w:pPr>
            <w:r>
              <w:rPr>
                <w:rFonts w:ascii="Arial" w:cs="Arial" w:eastAsia="Arial" w:hAnsi="Arial"/>
                <w:sz w:val="18"/>
                <w:szCs w:val="18"/>
                <w:color w:val="auto"/>
              </w:rPr>
              <w:t>Revisions due to California regulatory changes</w:t>
            </w: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00" w:type="dxa"/>
            <w:vAlign w:val="bottom"/>
          </w:tcPr>
          <w:p>
            <w:pPr>
              <w:jc w:val="right"/>
              <w:ind w:right="110"/>
              <w:spacing w:after="0"/>
              <w:rPr>
                <w:sz w:val="20"/>
                <w:szCs w:val="20"/>
                <w:color w:val="auto"/>
              </w:rPr>
            </w:pPr>
            <w:r>
              <w:rPr>
                <w:rFonts w:ascii="Arial" w:cs="Arial" w:eastAsia="Arial" w:hAnsi="Arial"/>
                <w:sz w:val="18"/>
                <w:szCs w:val="18"/>
                <w:color w:val="auto"/>
              </w:rPr>
              <w:t>and court challenges  . . . . . . . . . . . . . . . . . . . . . .</w:t>
            </w:r>
          </w:p>
        </w:tc>
        <w:tc>
          <w:tcPr>
            <w:tcW w:w="1120" w:type="dxa"/>
            <w:vAlign w:val="bottom"/>
          </w:tcPr>
          <w:p>
            <w:pPr>
              <w:jc w:val="right"/>
              <w:ind w:right="272"/>
              <w:spacing w:after="0"/>
              <w:rPr>
                <w:sz w:val="20"/>
                <w:szCs w:val="20"/>
                <w:color w:val="auto"/>
              </w:rPr>
            </w:pPr>
            <w:r>
              <w:rPr>
                <w:rFonts w:ascii="Arial" w:cs="Arial" w:eastAsia="Arial" w:hAnsi="Arial"/>
                <w:sz w:val="18"/>
                <w:szCs w:val="18"/>
                <w:color w:val="auto"/>
              </w:rPr>
              <w:t>(16)</w:t>
            </w:r>
          </w:p>
        </w:tc>
        <w:tc>
          <w:tcPr>
            <w:tcW w:w="1140" w:type="dxa"/>
            <w:vAlign w:val="bottom"/>
            <w:gridSpan w:val="2"/>
          </w:tcPr>
          <w:p>
            <w:pPr>
              <w:jc w:val="right"/>
              <w:ind w:right="256"/>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20" w:type="dxa"/>
            <w:vAlign w:val="bottom"/>
            <w:gridSpan w:val="2"/>
          </w:tcPr>
          <w:p>
            <w:pPr>
              <w:jc w:val="right"/>
              <w:ind w:right="294"/>
              <w:spacing w:after="0"/>
              <w:rPr>
                <w:sz w:val="20"/>
                <w:szCs w:val="20"/>
                <w:color w:val="auto"/>
              </w:rPr>
            </w:pPr>
            <w:r>
              <w:rPr>
                <w:rFonts w:ascii="Arial" w:cs="Arial" w:eastAsia="Arial" w:hAnsi="Arial"/>
                <w:sz w:val="18"/>
                <w:szCs w:val="18"/>
                <w:color w:val="auto"/>
              </w:rPr>
              <w:t>(1)</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0"/>
        </w:trPr>
        <w:tc>
          <w:tcPr>
            <w:tcW w:w="4200" w:type="dxa"/>
            <w:vAlign w:val="bottom"/>
          </w:tcPr>
          <w:p>
            <w:pPr>
              <w:jc w:val="right"/>
              <w:ind w:right="110"/>
              <w:spacing w:after="0"/>
              <w:rPr>
                <w:sz w:val="20"/>
                <w:szCs w:val="20"/>
                <w:color w:val="auto"/>
              </w:rPr>
            </w:pPr>
            <w:r>
              <w:rPr>
                <w:rFonts w:ascii="Arial" w:cs="Arial" w:eastAsia="Arial" w:hAnsi="Arial"/>
                <w:sz w:val="18"/>
                <w:szCs w:val="18"/>
                <w:color w:val="auto"/>
              </w:rPr>
              <w:t>Extensions and discoveries . . . . . . . . . . . . . . . . .</w:t>
            </w:r>
          </w:p>
        </w:tc>
        <w:tc>
          <w:tcPr>
            <w:tcW w:w="1120" w:type="dxa"/>
            <w:vAlign w:val="bottom"/>
          </w:tcPr>
          <w:p>
            <w:pPr>
              <w:jc w:val="right"/>
              <w:ind w:right="332"/>
              <w:spacing w:after="0"/>
              <w:rPr>
                <w:sz w:val="20"/>
                <w:szCs w:val="20"/>
                <w:color w:val="auto"/>
              </w:rPr>
            </w:pPr>
            <w:r>
              <w:rPr>
                <w:rFonts w:ascii="Arial" w:cs="Arial" w:eastAsia="Arial" w:hAnsi="Arial"/>
                <w:sz w:val="18"/>
                <w:szCs w:val="18"/>
                <w:color w:val="auto"/>
              </w:rPr>
              <w:t>14</w:t>
            </w:r>
          </w:p>
        </w:tc>
        <w:tc>
          <w:tcPr>
            <w:tcW w:w="1140" w:type="dxa"/>
            <w:vAlign w:val="bottom"/>
            <w:gridSpan w:val="2"/>
          </w:tcPr>
          <w:p>
            <w:pPr>
              <w:jc w:val="right"/>
              <w:ind w:right="316"/>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7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80" w:type="dxa"/>
            <w:vAlign w:val="bottom"/>
          </w:tcPr>
          <w:p>
            <w:pPr>
              <w:jc w:val="right"/>
              <w:ind w:right="354"/>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0"/>
        </w:trPr>
        <w:tc>
          <w:tcPr>
            <w:tcW w:w="4200" w:type="dxa"/>
            <w:vAlign w:val="bottom"/>
          </w:tcPr>
          <w:p>
            <w:pPr>
              <w:jc w:val="right"/>
              <w:ind w:right="110"/>
              <w:spacing w:after="0"/>
              <w:rPr>
                <w:sz w:val="20"/>
                <w:szCs w:val="20"/>
                <w:color w:val="auto"/>
              </w:rPr>
            </w:pPr>
            <w:r>
              <w:rPr>
                <w:rFonts w:ascii="Arial" w:cs="Arial" w:eastAsia="Arial" w:hAnsi="Arial"/>
                <w:sz w:val="18"/>
                <w:szCs w:val="18"/>
                <w:color w:val="auto"/>
              </w:rPr>
              <w:t>Improved recovery . . . . . . . . . . . . . . . . . . . . . . . .</w:t>
            </w:r>
          </w:p>
        </w:tc>
        <w:tc>
          <w:tcPr>
            <w:tcW w:w="1120" w:type="dxa"/>
            <w:vAlign w:val="bottom"/>
          </w:tcPr>
          <w:p>
            <w:pPr>
              <w:jc w:val="right"/>
              <w:ind w:right="332"/>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c>
          <w:tcPr>
            <w:tcW w:w="110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7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80" w:type="dxa"/>
            <w:vAlign w:val="bottom"/>
          </w:tcPr>
          <w:p>
            <w:pPr>
              <w:jc w:val="right"/>
              <w:ind w:right="354"/>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0"/>
        </w:trPr>
        <w:tc>
          <w:tcPr>
            <w:tcW w:w="4200" w:type="dxa"/>
            <w:vAlign w:val="bottom"/>
          </w:tcPr>
          <w:p>
            <w:pPr>
              <w:jc w:val="right"/>
              <w:ind w:right="110"/>
              <w:spacing w:after="0"/>
              <w:rPr>
                <w:sz w:val="20"/>
                <w:szCs w:val="20"/>
                <w:color w:val="auto"/>
              </w:rPr>
            </w:pPr>
            <w:r>
              <w:rPr>
                <w:rFonts w:ascii="Arial" w:cs="Arial" w:eastAsia="Arial" w:hAnsi="Arial"/>
                <w:sz w:val="18"/>
                <w:szCs w:val="18"/>
                <w:color w:val="auto"/>
              </w:rPr>
              <w:t>Acquisitions and divestitures . . . . . . . . . . . . . . . .</w:t>
            </w:r>
          </w:p>
        </w:tc>
        <w:tc>
          <w:tcPr>
            <w:tcW w:w="1120" w:type="dxa"/>
            <w:vAlign w:val="bottom"/>
          </w:tcPr>
          <w:p>
            <w:pPr>
              <w:jc w:val="right"/>
              <w:ind w:right="272"/>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c>
          <w:tcPr>
            <w:tcW w:w="110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33"/>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1080" w:type="dxa"/>
            <w:vAlign w:val="bottom"/>
          </w:tcPr>
          <w:p>
            <w:pPr>
              <w:jc w:val="right"/>
              <w:ind w:right="354"/>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0"/>
        </w:trPr>
        <w:tc>
          <w:tcPr>
            <w:tcW w:w="4200" w:type="dxa"/>
            <w:vAlign w:val="bottom"/>
          </w:tcPr>
          <w:p>
            <w:pPr>
              <w:jc w:val="right"/>
              <w:ind w:right="110"/>
              <w:spacing w:after="0"/>
              <w:rPr>
                <w:sz w:val="20"/>
                <w:szCs w:val="20"/>
                <w:color w:val="auto"/>
              </w:rPr>
            </w:pPr>
            <w:r>
              <w:rPr>
                <w:rFonts w:ascii="Arial" w:cs="Arial" w:eastAsia="Arial" w:hAnsi="Arial"/>
                <w:sz w:val="18"/>
                <w:szCs w:val="18"/>
                <w:color w:val="auto"/>
              </w:rPr>
              <w:t>Production . . . . . . . . . . . . . . . . . . . . . . . . . . . . . . .</w:t>
            </w:r>
          </w:p>
        </w:tc>
        <w:tc>
          <w:tcPr>
            <w:tcW w:w="1120" w:type="dxa"/>
            <w:vAlign w:val="bottom"/>
          </w:tcPr>
          <w:p>
            <w:pPr>
              <w:jc w:val="right"/>
              <w:ind w:right="272"/>
              <w:spacing w:after="0"/>
              <w:rPr>
                <w:sz w:val="20"/>
                <w:szCs w:val="20"/>
                <w:color w:val="auto"/>
              </w:rPr>
            </w:pPr>
            <w:r>
              <w:rPr>
                <w:rFonts w:ascii="Arial" w:cs="Arial" w:eastAsia="Arial" w:hAnsi="Arial"/>
                <w:sz w:val="18"/>
                <w:szCs w:val="18"/>
                <w:color w:val="auto"/>
              </w:rPr>
              <w:t>(25)</w:t>
            </w:r>
          </w:p>
        </w:tc>
        <w:tc>
          <w:tcPr>
            <w:tcW w:w="1140" w:type="dxa"/>
            <w:vAlign w:val="bottom"/>
            <w:gridSpan w:val="2"/>
          </w:tcPr>
          <w:p>
            <w:pPr>
              <w:jc w:val="right"/>
              <w:ind w:right="256"/>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7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94"/>
              <w:spacing w:after="0"/>
              <w:rPr>
                <w:sz w:val="20"/>
                <w:szCs w:val="20"/>
                <w:color w:val="auto"/>
              </w:rPr>
            </w:pPr>
            <w:r>
              <w:rPr>
                <w:rFonts w:ascii="Arial" w:cs="Arial" w:eastAsia="Arial" w:hAnsi="Arial"/>
                <w:sz w:val="18"/>
                <w:szCs w:val="18"/>
                <w:color w:val="auto"/>
              </w:rPr>
              <w:t>(1)</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4"/>
        </w:trPr>
        <w:tc>
          <w:tcPr>
            <w:tcW w:w="42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7"/>
              </w:rPr>
              <w:t xml:space="preserve">Balance at December 31, 2022 </w:t>
            </w:r>
            <w:r>
              <w:rPr>
                <w:rFonts w:ascii="Arial" w:cs="Arial" w:eastAsia="Arial" w:hAnsi="Arial"/>
                <w:sz w:val="18"/>
                <w:szCs w:val="18"/>
                <w:color w:val="auto"/>
                <w:w w:val="97"/>
              </w:rPr>
              <w:t>. . . . . . . . . . . . . . .</w:t>
            </w: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4200" w:type="dxa"/>
            <w:vAlign w:val="bottom"/>
            <w:vMerge w:val="continue"/>
          </w:tcPr>
          <w:p>
            <w:pPr>
              <w:spacing w:after="0"/>
              <w:rPr>
                <w:sz w:val="21"/>
                <w:szCs w:val="21"/>
                <w:color w:val="auto"/>
              </w:rPr>
            </w:pPr>
          </w:p>
        </w:tc>
        <w:tc>
          <w:tcPr>
            <w:tcW w:w="1120" w:type="dxa"/>
            <w:vAlign w:val="bottom"/>
          </w:tcPr>
          <w:p>
            <w:pPr>
              <w:jc w:val="right"/>
              <w:ind w:right="332"/>
              <w:spacing w:after="0"/>
              <w:rPr>
                <w:sz w:val="20"/>
                <w:szCs w:val="20"/>
                <w:color w:val="auto"/>
              </w:rPr>
            </w:pPr>
            <w:r>
              <w:rPr>
                <w:rFonts w:ascii="Arial" w:cs="Arial" w:eastAsia="Arial" w:hAnsi="Arial"/>
                <w:sz w:val="18"/>
                <w:szCs w:val="18"/>
                <w:color w:val="auto"/>
              </w:rPr>
              <w:t>295</w:t>
            </w:r>
          </w:p>
        </w:tc>
        <w:tc>
          <w:tcPr>
            <w:tcW w:w="1140" w:type="dxa"/>
            <w:vAlign w:val="bottom"/>
            <w:gridSpan w:val="2"/>
          </w:tcPr>
          <w:p>
            <w:pPr>
              <w:jc w:val="right"/>
              <w:ind w:right="316"/>
              <w:spacing w:after="0"/>
              <w:rPr>
                <w:sz w:val="20"/>
                <w:szCs w:val="20"/>
                <w:color w:val="auto"/>
              </w:rPr>
            </w:pPr>
            <w:r>
              <w:rPr>
                <w:rFonts w:ascii="Arial" w:cs="Arial" w:eastAsia="Arial" w:hAnsi="Arial"/>
                <w:sz w:val="18"/>
                <w:szCs w:val="18"/>
                <w:color w:val="auto"/>
              </w:rPr>
              <w:t>113</w:t>
            </w:r>
          </w:p>
        </w:tc>
        <w:tc>
          <w:tcPr>
            <w:tcW w:w="40" w:type="dxa"/>
            <w:vAlign w:val="bottom"/>
          </w:tcPr>
          <w:p>
            <w:pPr>
              <w:spacing w:after="0"/>
              <w:rPr>
                <w:sz w:val="21"/>
                <w:szCs w:val="21"/>
                <w:color w:val="auto"/>
              </w:rPr>
            </w:pPr>
          </w:p>
        </w:tc>
        <w:tc>
          <w:tcPr>
            <w:tcW w:w="7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54"/>
              <w:spacing w:after="0"/>
              <w:rPr>
                <w:sz w:val="20"/>
                <w:szCs w:val="20"/>
                <w:color w:val="auto"/>
              </w:rPr>
            </w:pPr>
            <w:r>
              <w:rPr>
                <w:rFonts w:ascii="Arial" w:cs="Arial" w:eastAsia="Arial" w:hAnsi="Arial"/>
                <w:sz w:val="18"/>
                <w:szCs w:val="18"/>
                <w:color w:val="auto"/>
              </w:rPr>
              <w:t>9</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34"/>
        </w:trPr>
        <w:tc>
          <w:tcPr>
            <w:tcW w:w="42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ind w:left="80"/>
        <w:spacing w:after="0"/>
        <w:tabs>
          <w:tab w:leader="none" w:pos="38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5"/>
          <w:szCs w:val="15"/>
          <w:color w:val="auto"/>
        </w:rPr>
        <w:t>Includes proved reserves related to PSCs of 92 MMBoe and 111 MMBoe at December 31, 2022 and 2021, respectively.</w:t>
      </w:r>
    </w:p>
    <w:p>
      <w:pPr>
        <w:spacing w:after="0" w:line="222" w:lineRule="exact"/>
        <w:rPr>
          <w:sz w:val="20"/>
          <w:szCs w:val="20"/>
          <w:color w:val="auto"/>
        </w:rPr>
      </w:pPr>
    </w:p>
    <w:p>
      <w:pPr>
        <w:ind w:right="180" w:firstLine="300"/>
        <w:spacing w:after="0" w:line="249" w:lineRule="auto"/>
        <w:rPr>
          <w:sz w:val="20"/>
          <w:szCs w:val="20"/>
          <w:color w:val="auto"/>
        </w:rPr>
      </w:pPr>
      <w:r>
        <w:rPr>
          <w:rFonts w:ascii="Arial" w:cs="Arial" w:eastAsia="Arial" w:hAnsi="Arial"/>
          <w:sz w:val="20"/>
          <w:szCs w:val="20"/>
          <w:i w:val="1"/>
          <w:iCs w:val="1"/>
          <w:color w:val="auto"/>
        </w:rPr>
        <w:t xml:space="preserve">Revisions related to price </w:t>
      </w:r>
      <w:r>
        <w:rPr>
          <w:rFonts w:ascii="Arial" w:cs="Arial" w:eastAsia="Arial" w:hAnsi="Arial"/>
          <w:sz w:val="20"/>
          <w:szCs w:val="20"/>
          <w:color w:val="auto"/>
        </w:rPr>
        <w:t>– We had net positive price-related revisions of 6 MMBoe primarily</w:t>
      </w:r>
      <w:r>
        <w:rPr>
          <w:rFonts w:ascii="Arial" w:cs="Arial" w:eastAsia="Arial" w:hAnsi="Arial"/>
          <w:sz w:val="20"/>
          <w:szCs w:val="20"/>
          <w:i w:val="1"/>
          <w:iCs w:val="1"/>
          <w:color w:val="auto"/>
        </w:rPr>
        <w:t xml:space="preserve"> </w:t>
      </w:r>
      <w:r>
        <w:rPr>
          <w:rFonts w:ascii="Arial" w:cs="Arial" w:eastAsia="Arial" w:hAnsi="Arial"/>
          <w:sz w:val="20"/>
          <w:szCs w:val="20"/>
          <w:color w:val="auto"/>
        </w:rPr>
        <w:t>resulting from a higher commodity price environment in 2022 compared to 2021. The price revision reflects the extended economic lives of our fields, estimated using 2022 SEC pricing. Additionally, we have experienced higher vendor-related pricing and compensation-related cost increases due to inflation.</w:t>
      </w:r>
    </w:p>
    <w:p>
      <w:pPr>
        <w:spacing w:after="0" w:line="207" w:lineRule="exact"/>
        <w:rPr>
          <w:sz w:val="20"/>
          <w:szCs w:val="20"/>
          <w:color w:val="auto"/>
        </w:rPr>
      </w:pPr>
    </w:p>
    <w:p>
      <w:pPr>
        <w:ind w:right="120" w:firstLine="300"/>
        <w:spacing w:after="0" w:line="250" w:lineRule="auto"/>
        <w:rPr>
          <w:sz w:val="20"/>
          <w:szCs w:val="20"/>
          <w:color w:val="auto"/>
        </w:rPr>
      </w:pPr>
      <w:r>
        <w:rPr>
          <w:rFonts w:ascii="Arial" w:cs="Arial" w:eastAsia="Arial" w:hAnsi="Arial"/>
          <w:sz w:val="20"/>
          <w:szCs w:val="20"/>
          <w:i w:val="1"/>
          <w:iCs w:val="1"/>
          <w:color w:val="auto"/>
        </w:rPr>
        <w:t xml:space="preserve">Revisions related to performance </w:t>
      </w:r>
      <w:r>
        <w:rPr>
          <w:rFonts w:ascii="Arial" w:cs="Arial" w:eastAsia="Arial" w:hAnsi="Arial"/>
          <w:sz w:val="20"/>
          <w:szCs w:val="20"/>
          <w:color w:val="auto"/>
        </w:rPr>
        <w:t>– We had 16 MMBoe of net negative performance-related</w:t>
      </w:r>
      <w:r>
        <w:rPr>
          <w:rFonts w:ascii="Arial" w:cs="Arial" w:eastAsia="Arial" w:hAnsi="Arial"/>
          <w:sz w:val="20"/>
          <w:szCs w:val="20"/>
          <w:i w:val="1"/>
          <w:iCs w:val="1"/>
          <w:color w:val="auto"/>
        </w:rPr>
        <w:t xml:space="preserve"> </w:t>
      </w:r>
      <w:r>
        <w:rPr>
          <w:rFonts w:ascii="Arial" w:cs="Arial" w:eastAsia="Arial" w:hAnsi="Arial"/>
          <w:sz w:val="20"/>
          <w:szCs w:val="20"/>
          <w:color w:val="auto"/>
        </w:rPr>
        <w:t>revisions which included negative performance-related revisions of 31 MMBoe and positive performance-related revisions of 15 MMBoe. Our negative performance-related revisions primarily were due to wells and incremental waterflood response that underperformed forecasts and removal of proved undeveloped locations due to unsuccessful drilling results in certain areas. Our positive performance-related revisions primarily related to better-than-expected well performance and addition of proved undeveloped locations due to positive drilling results in certain areas. The majority of these revisions were located in the San Joaquin and Los Angeles basins.</w:t>
      </w:r>
    </w:p>
    <w:p>
      <w:pPr>
        <w:spacing w:after="0" w:line="204" w:lineRule="exact"/>
        <w:rPr>
          <w:sz w:val="20"/>
          <w:szCs w:val="20"/>
          <w:color w:val="auto"/>
        </w:rPr>
      </w:pPr>
    </w:p>
    <w:p>
      <w:pPr>
        <w:ind w:right="20" w:firstLine="300"/>
        <w:spacing w:after="0" w:line="250" w:lineRule="auto"/>
        <w:rPr>
          <w:sz w:val="20"/>
          <w:szCs w:val="20"/>
          <w:color w:val="auto"/>
        </w:rPr>
      </w:pPr>
      <w:r>
        <w:rPr>
          <w:rFonts w:ascii="Arial" w:cs="Arial" w:eastAsia="Arial" w:hAnsi="Arial"/>
          <w:sz w:val="20"/>
          <w:szCs w:val="20"/>
          <w:i w:val="1"/>
          <w:iCs w:val="1"/>
          <w:color w:val="auto"/>
        </w:rPr>
        <w:t xml:space="preserve">Revisions due to California regulatory changes and court challenges </w:t>
      </w:r>
      <w:r>
        <w:rPr>
          <w:rFonts w:ascii="Arial" w:cs="Arial" w:eastAsia="Arial" w:hAnsi="Arial"/>
          <w:sz w:val="20"/>
          <w:szCs w:val="20"/>
          <w:color w:val="auto"/>
        </w:rPr>
        <w:t>– We had 34 MMBoe of</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negative revisions to our proved reserves due to the impact of California regulatory changes and court challenges on our development plans. Of this amount, negative revisions of 20 MMBoe of proved reserves were due to the uncertainty of the outcome of the referendum and potential impact of Senate Bill No. 1137. The majority of these volumes are in the LA Basin. Negative revisions of 14 MMBoe to our proved reserves were due to challenges to Kern County’s ability to issue well permits in reliance on an existing EIR for CEQA purposes. The volumes affected by these court challenges are in Kern County. See </w:t>
      </w:r>
      <w:r>
        <w:rPr>
          <w:rFonts w:ascii="Arial" w:cs="Arial" w:eastAsia="Arial" w:hAnsi="Arial"/>
          <w:sz w:val="20"/>
          <w:szCs w:val="20"/>
          <w:i w:val="1"/>
          <w:iCs w:val="1"/>
          <w:color w:val="auto"/>
        </w:rPr>
        <w:t>Regulation of the Industries in Which We Operate, Regulation of Exploration and</w:t>
      </w:r>
      <w:r>
        <w:rPr>
          <w:rFonts w:ascii="Arial" w:cs="Arial" w:eastAsia="Arial" w:hAnsi="Arial"/>
          <w:sz w:val="20"/>
          <w:szCs w:val="20"/>
          <w:color w:val="auto"/>
        </w:rPr>
        <w:t xml:space="preserve"> </w:t>
      </w:r>
      <w:r>
        <w:rPr>
          <w:rFonts w:ascii="Arial" w:cs="Arial" w:eastAsia="Arial" w:hAnsi="Arial"/>
          <w:sz w:val="20"/>
          <w:szCs w:val="20"/>
          <w:i w:val="1"/>
          <w:iCs w:val="1"/>
          <w:color w:val="auto"/>
        </w:rPr>
        <w:t>Production Activities</w:t>
      </w:r>
      <w:r>
        <w:rPr>
          <w:rFonts w:ascii="Arial" w:cs="Arial" w:eastAsia="Arial" w:hAnsi="Arial"/>
          <w:sz w:val="20"/>
          <w:szCs w:val="20"/>
          <w:color w:val="auto"/>
        </w:rPr>
        <w:t>.</w:t>
      </w:r>
    </w:p>
    <w:p>
      <w:pPr>
        <w:spacing w:after="0" w:line="204" w:lineRule="exact"/>
        <w:rPr>
          <w:sz w:val="20"/>
          <w:szCs w:val="20"/>
          <w:color w:val="auto"/>
        </w:rPr>
      </w:pPr>
    </w:p>
    <w:p>
      <w:pPr>
        <w:ind w:right="60" w:firstLine="300"/>
        <w:spacing w:after="0" w:line="247" w:lineRule="auto"/>
        <w:rPr>
          <w:sz w:val="20"/>
          <w:szCs w:val="20"/>
          <w:color w:val="auto"/>
        </w:rPr>
      </w:pPr>
      <w:r>
        <w:rPr>
          <w:rFonts w:ascii="Arial" w:cs="Arial" w:eastAsia="Arial" w:hAnsi="Arial"/>
          <w:sz w:val="20"/>
          <w:szCs w:val="20"/>
          <w:i w:val="1"/>
          <w:iCs w:val="1"/>
          <w:color w:val="auto"/>
        </w:rPr>
        <w:t xml:space="preserve">Extensions and discoveries </w:t>
      </w:r>
      <w:r>
        <w:rPr>
          <w:rFonts w:ascii="Arial" w:cs="Arial" w:eastAsia="Arial" w:hAnsi="Arial"/>
          <w:sz w:val="20"/>
          <w:szCs w:val="20"/>
          <w:color w:val="auto"/>
        </w:rPr>
        <w:t>– We added 16 MMBoe from extensions and discoveries resulting from</w:t>
      </w:r>
      <w:r>
        <w:rPr>
          <w:rFonts w:ascii="Arial" w:cs="Arial" w:eastAsia="Arial" w:hAnsi="Arial"/>
          <w:sz w:val="20"/>
          <w:szCs w:val="20"/>
          <w:i w:val="1"/>
          <w:iCs w:val="1"/>
          <w:color w:val="auto"/>
        </w:rPr>
        <w:t xml:space="preserve"> </w:t>
      </w:r>
      <w:r>
        <w:rPr>
          <w:rFonts w:ascii="Arial" w:cs="Arial" w:eastAsia="Arial" w:hAnsi="Arial"/>
          <w:sz w:val="20"/>
          <w:szCs w:val="20"/>
          <w:color w:val="auto"/>
        </w:rPr>
        <w:t>successful drilling and workovers in the San Joaquin and Los Angeles basins.</w:t>
      </w:r>
    </w:p>
    <w:p>
      <w:pPr>
        <w:spacing w:after="0" w:line="247" w:lineRule="exact"/>
        <w:rPr>
          <w:sz w:val="20"/>
          <w:szCs w:val="20"/>
          <w:color w:val="auto"/>
        </w:rPr>
      </w:pPr>
    </w:p>
    <w:p>
      <w:pPr>
        <w:ind w:right="120" w:firstLine="300"/>
        <w:spacing w:after="0" w:line="248" w:lineRule="auto"/>
        <w:rPr>
          <w:sz w:val="20"/>
          <w:szCs w:val="20"/>
          <w:color w:val="auto"/>
        </w:rPr>
      </w:pPr>
      <w:r>
        <w:rPr>
          <w:rFonts w:ascii="Arial" w:cs="Arial" w:eastAsia="Arial" w:hAnsi="Arial"/>
          <w:sz w:val="20"/>
          <w:szCs w:val="20"/>
          <w:i w:val="1"/>
          <w:iCs w:val="1"/>
          <w:color w:val="auto"/>
        </w:rPr>
        <w:t xml:space="preserve">Acquisitions and Divestitures </w:t>
      </w:r>
      <w:r>
        <w:rPr>
          <w:rFonts w:ascii="Arial" w:cs="Arial" w:eastAsia="Arial" w:hAnsi="Arial"/>
          <w:sz w:val="20"/>
          <w:szCs w:val="20"/>
          <w:color w:val="auto"/>
        </w:rPr>
        <w:t>– We had a reduction of 8 MMBoe which primarily related to our Lost</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Hills divestiture. See </w:t>
      </w:r>
      <w:r>
        <w:rPr>
          <w:rFonts w:ascii="Arial" w:cs="Arial" w:eastAsia="Arial" w:hAnsi="Arial"/>
          <w:sz w:val="20"/>
          <w:szCs w:val="20"/>
          <w:i w:val="1"/>
          <w:iCs w:val="1"/>
          <w:color w:val="auto"/>
        </w:rPr>
        <w:t>Part II, Item 8 – Financial Statements and Supplementary Data, Note 3</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Divestitures and Acquisitions </w:t>
      </w:r>
      <w:r>
        <w:rPr>
          <w:rFonts w:ascii="Arial" w:cs="Arial" w:eastAsia="Arial" w:hAnsi="Arial"/>
          <w:sz w:val="20"/>
          <w:szCs w:val="20"/>
          <w:color w:val="auto"/>
        </w:rPr>
        <w:t>for more information on these transactions.</w:t>
      </w:r>
    </w:p>
    <w:p>
      <w:pPr>
        <w:sectPr>
          <w:pgSz w:w="11880" w:h="15480" w:orient="portrait"/>
          <w:cols w:equalWidth="0" w:num="1">
            <w:col w:w="9120"/>
          </w:cols>
          <w:pgMar w:left="1380" w:top="1311"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880" w:h="15480" w:orient="portrait"/>
          <w:cols w:equalWidth="0" w:num="1">
            <w:col w:w="9120"/>
          </w:cols>
          <w:pgMar w:left="1380" w:top="1311" w:right="1380" w:bottom="655" w:gutter="0" w:footer="0" w:header="0"/>
          <w:type w:val="continuous"/>
        </w:sectPr>
      </w:pPr>
    </w:p>
    <w:bookmarkStart w:id="19" w:name="page20"/>
    <w:bookmarkEnd w:id="19"/>
    <w:p>
      <w:pPr>
        <w:spacing w:after="0"/>
        <w:rPr>
          <w:sz w:val="20"/>
          <w:szCs w:val="20"/>
          <w:color w:val="auto"/>
        </w:rPr>
      </w:pPr>
      <w:r>
        <w:rPr>
          <w:rFonts w:ascii="Arial" w:cs="Arial" w:eastAsia="Arial" w:hAnsi="Arial"/>
          <w:sz w:val="20"/>
          <w:szCs w:val="20"/>
          <w:b w:val="1"/>
          <w:bCs w:val="1"/>
          <w:i w:val="1"/>
          <w:iCs w:val="1"/>
          <w:color w:val="auto"/>
        </w:rPr>
        <w:t>Proved Undeveloped Reserves</w:t>
      </w:r>
    </w:p>
    <w:p>
      <w:pPr>
        <w:spacing w:after="0" w:line="215" w:lineRule="exact"/>
        <w:rPr>
          <w:sz w:val="20"/>
          <w:szCs w:val="20"/>
          <w:color w:val="auto"/>
        </w:rPr>
      </w:pPr>
    </w:p>
    <w:p>
      <w:pPr>
        <w:ind w:right="220" w:firstLine="300"/>
        <w:spacing w:after="0" w:line="243" w:lineRule="auto"/>
        <w:rPr>
          <w:sz w:val="20"/>
          <w:szCs w:val="20"/>
          <w:color w:val="auto"/>
        </w:rPr>
      </w:pPr>
      <w:r>
        <w:rPr>
          <w:rFonts w:ascii="Arial" w:cs="Arial" w:eastAsia="Arial" w:hAnsi="Arial"/>
          <w:sz w:val="20"/>
          <w:szCs w:val="20"/>
          <w:color w:val="auto"/>
        </w:rPr>
        <w:t>The total changes to our proved undeveloped reserves during the year ended December 31, 2022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San Joaquin</w:t>
            </w:r>
          </w:p>
        </w:tc>
        <w:tc>
          <w:tcPr>
            <w:tcW w:w="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Los Angeles</w:t>
            </w:r>
          </w:p>
        </w:tc>
        <w:tc>
          <w:tcPr>
            <w:tcW w:w="40" w:type="dxa"/>
            <w:vAlign w:val="bottom"/>
          </w:tcPr>
          <w:p>
            <w:pPr>
              <w:spacing w:after="0"/>
              <w:rPr>
                <w:sz w:val="16"/>
                <w:szCs w:val="16"/>
                <w:color w:val="auto"/>
              </w:rPr>
            </w:pPr>
          </w:p>
        </w:tc>
        <w:tc>
          <w:tcPr>
            <w:tcW w:w="760" w:type="dxa"/>
            <w:vAlign w:val="bottom"/>
          </w:tcPr>
          <w:p>
            <w:pPr>
              <w:ind w:left="80"/>
              <w:spacing w:after="0"/>
              <w:rPr>
                <w:sz w:val="20"/>
                <w:szCs w:val="20"/>
                <w:color w:val="auto"/>
              </w:rPr>
            </w:pPr>
            <w:r>
              <w:rPr>
                <w:rFonts w:ascii="Arial" w:cs="Arial" w:eastAsia="Arial" w:hAnsi="Arial"/>
                <w:sz w:val="16"/>
                <w:szCs w:val="16"/>
                <w:b w:val="1"/>
                <w:bCs w:val="1"/>
                <w:color w:val="auto"/>
              </w:rPr>
              <w:t>Ventura</w:t>
            </w:r>
          </w:p>
        </w:tc>
        <w:tc>
          <w:tcPr>
            <w:tcW w:w="40" w:type="dxa"/>
            <w:vAlign w:val="bottom"/>
          </w:tcPr>
          <w:p>
            <w:pPr>
              <w:spacing w:after="0"/>
              <w:rPr>
                <w:sz w:val="16"/>
                <w:szCs w:val="16"/>
                <w:color w:val="auto"/>
              </w:rPr>
            </w:pPr>
          </w:p>
        </w:tc>
        <w:tc>
          <w:tcPr>
            <w:tcW w:w="1000" w:type="dxa"/>
            <w:vAlign w:val="bottom"/>
          </w:tcPr>
          <w:p>
            <w:pPr>
              <w:ind w:left="40"/>
              <w:spacing w:after="0"/>
              <w:rPr>
                <w:sz w:val="20"/>
                <w:szCs w:val="20"/>
                <w:color w:val="auto"/>
              </w:rPr>
            </w:pPr>
            <w:r>
              <w:rPr>
                <w:rFonts w:ascii="Arial" w:cs="Arial" w:eastAsia="Arial" w:hAnsi="Arial"/>
                <w:sz w:val="16"/>
                <w:szCs w:val="16"/>
                <w:b w:val="1"/>
                <w:bCs w:val="1"/>
                <w:color w:val="auto"/>
              </w:rPr>
              <w:t>Sacramento</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240" w:type="dxa"/>
            <w:vAlign w:val="bottom"/>
          </w:tcPr>
          <w:p>
            <w:pPr>
              <w:spacing w:after="0"/>
              <w:rPr>
                <w:sz w:val="15"/>
                <w:szCs w:val="15"/>
                <w:color w:val="auto"/>
              </w:rPr>
            </w:pPr>
          </w:p>
        </w:tc>
        <w:tc>
          <w:tcPr>
            <w:tcW w:w="1120" w:type="dxa"/>
            <w:vAlign w:val="bottom"/>
          </w:tcPr>
          <w:p>
            <w:pPr>
              <w:jc w:val="right"/>
              <w:ind w:right="252"/>
              <w:spacing w:after="0" w:line="181" w:lineRule="exact"/>
              <w:rPr>
                <w:sz w:val="20"/>
                <w:szCs w:val="20"/>
                <w:color w:val="auto"/>
              </w:rPr>
            </w:pPr>
            <w:r>
              <w:rPr>
                <w:rFonts w:ascii="Arial" w:cs="Arial" w:eastAsia="Arial" w:hAnsi="Arial"/>
                <w:sz w:val="16"/>
                <w:szCs w:val="16"/>
                <w:b w:val="1"/>
                <w:bCs w:val="1"/>
                <w:color w:val="auto"/>
              </w:rPr>
              <w:t>Basin</w:t>
            </w:r>
          </w:p>
        </w:tc>
        <w:tc>
          <w:tcPr>
            <w:tcW w:w="40" w:type="dxa"/>
            <w:vAlign w:val="bottom"/>
          </w:tcPr>
          <w:p>
            <w:pPr>
              <w:spacing w:after="0"/>
              <w:rPr>
                <w:sz w:val="15"/>
                <w:szCs w:val="15"/>
                <w:color w:val="auto"/>
              </w:rPr>
            </w:pPr>
          </w:p>
        </w:tc>
        <w:tc>
          <w:tcPr>
            <w:tcW w:w="1100" w:type="dxa"/>
            <w:vAlign w:val="bottom"/>
          </w:tcPr>
          <w:p>
            <w:pPr>
              <w:jc w:val="right"/>
              <w:ind w:right="256"/>
              <w:spacing w:after="0" w:line="181" w:lineRule="exact"/>
              <w:rPr>
                <w:sz w:val="20"/>
                <w:szCs w:val="20"/>
                <w:color w:val="auto"/>
              </w:rPr>
            </w:pPr>
            <w:r>
              <w:rPr>
                <w:rFonts w:ascii="Arial" w:cs="Arial" w:eastAsia="Arial" w:hAnsi="Arial"/>
                <w:sz w:val="16"/>
                <w:szCs w:val="16"/>
                <w:b w:val="1"/>
                <w:bCs w:val="1"/>
                <w:color w:val="auto"/>
              </w:rPr>
              <w:t>Basin</w:t>
            </w:r>
          </w:p>
        </w:tc>
        <w:tc>
          <w:tcPr>
            <w:tcW w:w="40" w:type="dxa"/>
            <w:vAlign w:val="bottom"/>
          </w:tcPr>
          <w:p>
            <w:pPr>
              <w:spacing w:after="0"/>
              <w:rPr>
                <w:sz w:val="15"/>
                <w:szCs w:val="15"/>
                <w:color w:val="auto"/>
              </w:rPr>
            </w:pPr>
          </w:p>
        </w:tc>
        <w:tc>
          <w:tcPr>
            <w:tcW w:w="760" w:type="dxa"/>
            <w:vAlign w:val="bottom"/>
          </w:tcPr>
          <w:p>
            <w:pPr>
              <w:ind w:left="160"/>
              <w:spacing w:after="0" w:line="181" w:lineRule="exact"/>
              <w:rPr>
                <w:sz w:val="20"/>
                <w:szCs w:val="20"/>
                <w:color w:val="auto"/>
              </w:rPr>
            </w:pPr>
            <w:r>
              <w:rPr>
                <w:rFonts w:ascii="Arial" w:cs="Arial" w:eastAsia="Arial" w:hAnsi="Arial"/>
                <w:sz w:val="16"/>
                <w:szCs w:val="16"/>
                <w:b w:val="1"/>
                <w:bCs w:val="1"/>
                <w:color w:val="auto"/>
              </w:rPr>
              <w:t>Basin</w:t>
            </w:r>
          </w:p>
        </w:tc>
        <w:tc>
          <w:tcPr>
            <w:tcW w:w="40" w:type="dxa"/>
            <w:vAlign w:val="bottom"/>
          </w:tcPr>
          <w:p>
            <w:pPr>
              <w:spacing w:after="0"/>
              <w:rPr>
                <w:sz w:val="15"/>
                <w:szCs w:val="15"/>
                <w:color w:val="auto"/>
              </w:rPr>
            </w:pPr>
          </w:p>
        </w:tc>
        <w:tc>
          <w:tcPr>
            <w:tcW w:w="1000" w:type="dxa"/>
            <w:vAlign w:val="bottom"/>
          </w:tcPr>
          <w:p>
            <w:pPr>
              <w:ind w:left="280"/>
              <w:spacing w:after="0" w:line="181" w:lineRule="exact"/>
              <w:rPr>
                <w:sz w:val="20"/>
                <w:szCs w:val="20"/>
                <w:color w:val="auto"/>
              </w:rPr>
            </w:pPr>
            <w:r>
              <w:rPr>
                <w:rFonts w:ascii="Arial" w:cs="Arial" w:eastAsia="Arial" w:hAnsi="Arial"/>
                <w:sz w:val="16"/>
                <w:szCs w:val="16"/>
                <w:b w:val="1"/>
                <w:bCs w:val="1"/>
                <w:color w:val="auto"/>
              </w:rPr>
              <w:t>Basin</w:t>
            </w:r>
          </w:p>
        </w:tc>
        <w:tc>
          <w:tcPr>
            <w:tcW w:w="40" w:type="dxa"/>
            <w:vAlign w:val="bottom"/>
          </w:tcPr>
          <w:p>
            <w:pPr>
              <w:spacing w:after="0"/>
              <w:rPr>
                <w:sz w:val="15"/>
                <w:szCs w:val="15"/>
                <w:color w:val="auto"/>
              </w:rPr>
            </w:pPr>
          </w:p>
        </w:tc>
        <w:tc>
          <w:tcPr>
            <w:tcW w:w="800" w:type="dxa"/>
            <w:vAlign w:val="bottom"/>
            <w:gridSpan w:val="2"/>
          </w:tcPr>
          <w:p>
            <w:pPr>
              <w:jc w:val="right"/>
              <w:ind w:right="240"/>
              <w:spacing w:after="0" w:line="181"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8"/>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00" w:type="dxa"/>
            <w:vAlign w:val="bottom"/>
            <w:gridSpan w:val="3"/>
          </w:tcPr>
          <w:p>
            <w:pPr>
              <w:ind w:left="860"/>
              <w:spacing w:after="0"/>
              <w:rPr>
                <w:sz w:val="20"/>
                <w:szCs w:val="20"/>
                <w:color w:val="auto"/>
              </w:rPr>
            </w:pPr>
            <w:r>
              <w:rPr>
                <w:rFonts w:ascii="Arial" w:cs="Arial" w:eastAsia="Arial" w:hAnsi="Arial"/>
                <w:sz w:val="16"/>
                <w:szCs w:val="16"/>
                <w:color w:val="auto"/>
              </w:rPr>
              <w:t>(in MMBoe)</w:t>
            </w:r>
          </w:p>
        </w:tc>
        <w:tc>
          <w:tcPr>
            <w:tcW w:w="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4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 xml:space="preserve">Balance at December 31, 2021 </w:t>
            </w:r>
            <w:r>
              <w:rPr>
                <w:rFonts w:ascii="Arial" w:cs="Arial" w:eastAsia="Arial" w:hAnsi="Arial"/>
                <w:sz w:val="18"/>
                <w:szCs w:val="18"/>
                <w:color w:val="auto"/>
                <w:w w:val="98"/>
              </w:rPr>
              <w:t>. . . . . . . . . . . . . . .</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45</w:t>
            </w:r>
          </w:p>
        </w:tc>
        <w:tc>
          <w:tcPr>
            <w:tcW w:w="1140" w:type="dxa"/>
            <w:vAlign w:val="bottom"/>
            <w:gridSpan w:val="2"/>
          </w:tcPr>
          <w:p>
            <w:pPr>
              <w:jc w:val="right"/>
              <w:ind w:right="176"/>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9"/>
                <w:szCs w:val="19"/>
                <w:color w:val="auto"/>
              </w:rPr>
            </w:pP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000" w:type="dxa"/>
            <w:vAlign w:val="bottom"/>
          </w:tcPr>
          <w:p>
            <w:pPr>
              <w:ind w:left="6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0"/>
        </w:trPr>
        <w:tc>
          <w:tcPr>
            <w:tcW w:w="4240" w:type="dxa"/>
            <w:vAlign w:val="bottom"/>
          </w:tcPr>
          <w:p>
            <w:pPr>
              <w:jc w:val="right"/>
              <w:ind w:right="110"/>
              <w:spacing w:after="0"/>
              <w:rPr>
                <w:sz w:val="20"/>
                <w:szCs w:val="20"/>
                <w:color w:val="auto"/>
              </w:rPr>
            </w:pPr>
            <w:r>
              <w:rPr>
                <w:rFonts w:ascii="Arial" w:cs="Arial" w:eastAsia="Arial" w:hAnsi="Arial"/>
                <w:sz w:val="18"/>
                <w:szCs w:val="18"/>
                <w:color w:val="auto"/>
              </w:rPr>
              <w:t>Revisions related to price . . . . . . . . . . . . . . . . . . .</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w:t>
            </w:r>
          </w:p>
        </w:tc>
        <w:tc>
          <w:tcPr>
            <w:tcW w:w="1140" w:type="dxa"/>
            <w:vAlign w:val="bottom"/>
            <w:gridSpan w:val="2"/>
          </w:tcPr>
          <w:p>
            <w:pPr>
              <w:jc w:val="right"/>
              <w:ind w:right="116"/>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000" w:type="dxa"/>
            <w:vAlign w:val="bottom"/>
          </w:tcPr>
          <w:p>
            <w:pPr>
              <w:ind w:left="6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0"/>
        </w:trPr>
        <w:tc>
          <w:tcPr>
            <w:tcW w:w="4240" w:type="dxa"/>
            <w:vAlign w:val="bottom"/>
          </w:tcPr>
          <w:p>
            <w:pPr>
              <w:jc w:val="right"/>
              <w:ind w:right="110"/>
              <w:spacing w:after="0"/>
              <w:rPr>
                <w:sz w:val="20"/>
                <w:szCs w:val="20"/>
                <w:color w:val="auto"/>
              </w:rPr>
            </w:pPr>
            <w:r>
              <w:rPr>
                <w:rFonts w:ascii="Arial" w:cs="Arial" w:eastAsia="Arial" w:hAnsi="Arial"/>
                <w:sz w:val="18"/>
                <w:szCs w:val="18"/>
                <w:color w:val="auto"/>
              </w:rPr>
              <w:t>Revisions related to performance  . . . . . . . . . . . .</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140" w:type="dxa"/>
            <w:vAlign w:val="bottom"/>
            <w:gridSpan w:val="2"/>
          </w:tcPr>
          <w:p>
            <w:pPr>
              <w:jc w:val="right"/>
              <w:ind w:right="176"/>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000" w:type="dxa"/>
            <w:vAlign w:val="bottom"/>
          </w:tcPr>
          <w:p>
            <w:pPr>
              <w:ind w:left="6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0"/>
        </w:trPr>
        <w:tc>
          <w:tcPr>
            <w:tcW w:w="4240" w:type="dxa"/>
            <w:vAlign w:val="bottom"/>
          </w:tcPr>
          <w:p>
            <w:pPr>
              <w:jc w:val="right"/>
              <w:ind w:right="250"/>
              <w:spacing w:after="0"/>
              <w:rPr>
                <w:sz w:val="20"/>
                <w:szCs w:val="20"/>
                <w:color w:val="auto"/>
              </w:rPr>
            </w:pPr>
            <w:r>
              <w:rPr>
                <w:rFonts w:ascii="Arial" w:cs="Arial" w:eastAsia="Arial" w:hAnsi="Arial"/>
                <w:sz w:val="18"/>
                <w:szCs w:val="18"/>
                <w:color w:val="auto"/>
              </w:rPr>
              <w:t>Revisions due to California regulatory changes</w:t>
            </w: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40" w:type="dxa"/>
            <w:vAlign w:val="bottom"/>
          </w:tcPr>
          <w:p>
            <w:pPr>
              <w:jc w:val="right"/>
              <w:ind w:right="110"/>
              <w:spacing w:after="0"/>
              <w:rPr>
                <w:sz w:val="20"/>
                <w:szCs w:val="20"/>
                <w:color w:val="auto"/>
              </w:rPr>
            </w:pPr>
            <w:r>
              <w:rPr>
                <w:rFonts w:ascii="Arial" w:cs="Arial" w:eastAsia="Arial" w:hAnsi="Arial"/>
                <w:sz w:val="18"/>
                <w:szCs w:val="18"/>
                <w:color w:val="auto"/>
              </w:rPr>
              <w:t>and court challenges . . . . . . . . . . . . . . . . . . . . . . .</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140" w:type="dxa"/>
            <w:vAlign w:val="bottom"/>
            <w:gridSpan w:val="2"/>
          </w:tcPr>
          <w:p>
            <w:pPr>
              <w:jc w:val="right"/>
              <w:ind w:right="116"/>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9"/>
                <w:szCs w:val="19"/>
                <w:color w:val="auto"/>
              </w:rPr>
            </w:pP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000" w:type="dxa"/>
            <w:vAlign w:val="bottom"/>
          </w:tcPr>
          <w:p>
            <w:pPr>
              <w:ind w:left="6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0"/>
        </w:trPr>
        <w:tc>
          <w:tcPr>
            <w:tcW w:w="4240" w:type="dxa"/>
            <w:vAlign w:val="bottom"/>
          </w:tcPr>
          <w:p>
            <w:pPr>
              <w:jc w:val="right"/>
              <w:ind w:right="110"/>
              <w:spacing w:after="0"/>
              <w:rPr>
                <w:sz w:val="20"/>
                <w:szCs w:val="20"/>
                <w:color w:val="auto"/>
              </w:rPr>
            </w:pPr>
            <w:r>
              <w:rPr>
                <w:rFonts w:ascii="Arial" w:cs="Arial" w:eastAsia="Arial" w:hAnsi="Arial"/>
                <w:sz w:val="18"/>
                <w:szCs w:val="18"/>
                <w:color w:val="auto"/>
              </w:rPr>
              <w:t>Extensions and discoveries  . . . . . . . . . . . . . . . . .</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1140" w:type="dxa"/>
            <w:vAlign w:val="bottom"/>
            <w:gridSpan w:val="2"/>
          </w:tcPr>
          <w:p>
            <w:pPr>
              <w:jc w:val="right"/>
              <w:ind w:right="176"/>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000" w:type="dxa"/>
            <w:vAlign w:val="bottom"/>
          </w:tcPr>
          <w:p>
            <w:pPr>
              <w:ind w:left="6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0"/>
        </w:trPr>
        <w:tc>
          <w:tcPr>
            <w:tcW w:w="4240" w:type="dxa"/>
            <w:vAlign w:val="bottom"/>
          </w:tcPr>
          <w:p>
            <w:pPr>
              <w:jc w:val="right"/>
              <w:ind w:right="110"/>
              <w:spacing w:after="0"/>
              <w:rPr>
                <w:sz w:val="20"/>
                <w:szCs w:val="20"/>
                <w:color w:val="auto"/>
              </w:rPr>
            </w:pPr>
            <w:r>
              <w:rPr>
                <w:rFonts w:ascii="Arial" w:cs="Arial" w:eastAsia="Arial" w:hAnsi="Arial"/>
                <w:sz w:val="18"/>
                <w:szCs w:val="18"/>
                <w:color w:val="auto"/>
              </w:rPr>
              <w:t>Improved recovery  . . . . . . . . . . . . . . . . . . . . . . . .</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c>
          <w:tcPr>
            <w:tcW w:w="110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000" w:type="dxa"/>
            <w:vAlign w:val="bottom"/>
          </w:tcPr>
          <w:p>
            <w:pPr>
              <w:ind w:left="6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0"/>
        </w:trPr>
        <w:tc>
          <w:tcPr>
            <w:tcW w:w="4240" w:type="dxa"/>
            <w:vAlign w:val="bottom"/>
          </w:tcPr>
          <w:p>
            <w:pPr>
              <w:jc w:val="right"/>
              <w:ind w:right="110"/>
              <w:spacing w:after="0"/>
              <w:rPr>
                <w:sz w:val="20"/>
                <w:szCs w:val="20"/>
                <w:color w:val="auto"/>
              </w:rPr>
            </w:pPr>
            <w:r>
              <w:rPr>
                <w:rFonts w:ascii="Arial" w:cs="Arial" w:eastAsia="Arial" w:hAnsi="Arial"/>
                <w:sz w:val="18"/>
                <w:szCs w:val="18"/>
                <w:color w:val="auto"/>
              </w:rPr>
              <w:t>Divestitures  . . . . . . . . . . . . . . . . . . . . . . . . . . . . . .</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110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000" w:type="dxa"/>
            <w:vAlign w:val="bottom"/>
          </w:tcPr>
          <w:p>
            <w:pPr>
              <w:ind w:left="6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0"/>
        </w:trPr>
        <w:tc>
          <w:tcPr>
            <w:tcW w:w="4240" w:type="dxa"/>
            <w:vAlign w:val="bottom"/>
          </w:tcPr>
          <w:p>
            <w:pPr>
              <w:jc w:val="right"/>
              <w:ind w:right="110"/>
              <w:spacing w:after="0"/>
              <w:rPr>
                <w:sz w:val="20"/>
                <w:szCs w:val="20"/>
                <w:color w:val="auto"/>
              </w:rPr>
            </w:pPr>
            <w:r>
              <w:rPr>
                <w:rFonts w:ascii="Arial" w:cs="Arial" w:eastAsia="Arial" w:hAnsi="Arial"/>
                <w:sz w:val="18"/>
                <w:szCs w:val="18"/>
                <w:color w:val="auto"/>
              </w:rPr>
              <w:t>Transfers to proved developed reserves . . . . . . .</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140" w:type="dxa"/>
            <w:vAlign w:val="bottom"/>
            <w:gridSpan w:val="2"/>
          </w:tcPr>
          <w:p>
            <w:pPr>
              <w:jc w:val="right"/>
              <w:ind w:right="116"/>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000" w:type="dxa"/>
            <w:vAlign w:val="bottom"/>
          </w:tcPr>
          <w:p>
            <w:pPr>
              <w:ind w:left="6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4"/>
        </w:trPr>
        <w:tc>
          <w:tcPr>
            <w:tcW w:w="42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8"/>
              </w:rPr>
              <w:t xml:space="preserve">Balance at December 31, 2022 </w:t>
            </w:r>
            <w:r>
              <w:rPr>
                <w:rFonts w:ascii="Arial" w:cs="Arial" w:eastAsia="Arial" w:hAnsi="Arial"/>
                <w:sz w:val="18"/>
                <w:szCs w:val="18"/>
                <w:color w:val="auto"/>
                <w:w w:val="98"/>
              </w:rPr>
              <w:t>. . . . . . . . . . . . . . .</w:t>
            </w: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4240" w:type="dxa"/>
            <w:vAlign w:val="bottom"/>
            <w:vMerge w:val="continue"/>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38</w:t>
            </w:r>
          </w:p>
        </w:tc>
        <w:tc>
          <w:tcPr>
            <w:tcW w:w="1140" w:type="dxa"/>
            <w:vAlign w:val="bottom"/>
            <w:gridSpan w:val="2"/>
          </w:tcPr>
          <w:p>
            <w:pPr>
              <w:jc w:val="right"/>
              <w:ind w:right="176"/>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1"/>
                <w:szCs w:val="21"/>
                <w:color w:val="auto"/>
              </w:rPr>
            </w:pP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1"/>
                <w:szCs w:val="21"/>
                <w:color w:val="auto"/>
              </w:rPr>
            </w:pPr>
          </w:p>
        </w:tc>
        <w:tc>
          <w:tcPr>
            <w:tcW w:w="1000" w:type="dxa"/>
            <w:vAlign w:val="bottom"/>
          </w:tcPr>
          <w:p>
            <w:pPr>
              <w:ind w:left="6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4"/>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4" w:lineRule="exact"/>
        <w:rPr>
          <w:sz w:val="20"/>
          <w:szCs w:val="20"/>
          <w:color w:val="auto"/>
        </w:rPr>
      </w:pPr>
    </w:p>
    <w:p>
      <w:pPr>
        <w:ind w:right="60" w:firstLine="300"/>
        <w:spacing w:after="0" w:line="247" w:lineRule="auto"/>
        <w:rPr>
          <w:sz w:val="20"/>
          <w:szCs w:val="20"/>
          <w:color w:val="auto"/>
        </w:rPr>
      </w:pPr>
      <w:r>
        <w:rPr>
          <w:rFonts w:ascii="Arial" w:cs="Arial" w:eastAsia="Arial" w:hAnsi="Arial"/>
          <w:sz w:val="20"/>
          <w:szCs w:val="20"/>
          <w:i w:val="1"/>
          <w:iCs w:val="1"/>
          <w:color w:val="auto"/>
        </w:rPr>
        <w:t xml:space="preserve">Revisions related to price </w:t>
      </w:r>
      <w:r>
        <w:rPr>
          <w:rFonts w:ascii="Arial" w:cs="Arial" w:eastAsia="Arial" w:hAnsi="Arial"/>
          <w:sz w:val="20"/>
          <w:szCs w:val="20"/>
          <w:color w:val="auto"/>
        </w:rPr>
        <w:t>– We had 1 MMBoe of net negative price-related revisions. Positive price-related revisions of 2 MMBoe were offset by 3 MMBoe of negative cost recovery barrels in our PSCs.</w:t>
      </w:r>
    </w:p>
    <w:p>
      <w:pPr>
        <w:spacing w:after="0" w:line="207" w:lineRule="exact"/>
        <w:rPr>
          <w:sz w:val="20"/>
          <w:szCs w:val="20"/>
          <w:color w:val="auto"/>
        </w:rPr>
      </w:pPr>
    </w:p>
    <w:p>
      <w:pPr>
        <w:ind w:right="140" w:firstLine="300"/>
        <w:spacing w:after="0" w:line="250" w:lineRule="auto"/>
        <w:rPr>
          <w:sz w:val="20"/>
          <w:szCs w:val="20"/>
          <w:color w:val="auto"/>
        </w:rPr>
      </w:pPr>
      <w:r>
        <w:rPr>
          <w:rFonts w:ascii="Arial" w:cs="Arial" w:eastAsia="Arial" w:hAnsi="Arial"/>
          <w:sz w:val="20"/>
          <w:szCs w:val="20"/>
          <w:i w:val="1"/>
          <w:iCs w:val="1"/>
          <w:color w:val="auto"/>
        </w:rPr>
        <w:t xml:space="preserve">Revisions related to performance </w:t>
      </w:r>
      <w:r>
        <w:rPr>
          <w:rFonts w:ascii="Arial" w:cs="Arial" w:eastAsia="Arial" w:hAnsi="Arial"/>
          <w:sz w:val="20"/>
          <w:szCs w:val="20"/>
          <w:color w:val="auto"/>
        </w:rPr>
        <w:t>– We had 3 MMBoe of net negative performance-related revision</w:t>
      </w:r>
      <w:r>
        <w:rPr>
          <w:rFonts w:ascii="Arial" w:cs="Arial" w:eastAsia="Arial" w:hAnsi="Arial"/>
          <w:sz w:val="20"/>
          <w:szCs w:val="20"/>
          <w:i w:val="1"/>
          <w:iCs w:val="1"/>
          <w:color w:val="auto"/>
        </w:rPr>
        <w:t xml:space="preserve"> </w:t>
      </w:r>
      <w:r>
        <w:rPr>
          <w:rFonts w:ascii="Arial" w:cs="Arial" w:eastAsia="Arial" w:hAnsi="Arial"/>
          <w:sz w:val="20"/>
          <w:szCs w:val="20"/>
          <w:color w:val="auto"/>
        </w:rPr>
        <w:t>which included 4 MMBoe positive performance-related revisions and negative performance-related revisions of 7 MMBoe. Our positive performance-related revisions of 4 MMBoe primarily related to better-than-expected well performance and the addition of proved undeveloped locations due to positive drilling results in certain areas. The positive revision also included proved undeveloped reserves which were added to our five-year development plan in 2022. Our negative performance-related revisions primarily related to unsuccessful drilling results in certain areas. The majority of these revisions were located in the San Joaquin and Los Angeles basins.</w:t>
      </w:r>
    </w:p>
    <w:p>
      <w:pPr>
        <w:spacing w:after="0" w:line="204" w:lineRule="exact"/>
        <w:rPr>
          <w:sz w:val="20"/>
          <w:szCs w:val="20"/>
          <w:color w:val="auto"/>
        </w:rPr>
      </w:pPr>
    </w:p>
    <w:p>
      <w:pPr>
        <w:ind w:right="280" w:firstLine="300"/>
        <w:spacing w:after="0" w:line="250" w:lineRule="auto"/>
        <w:rPr>
          <w:sz w:val="20"/>
          <w:szCs w:val="20"/>
          <w:color w:val="auto"/>
        </w:rPr>
      </w:pPr>
      <w:r>
        <w:rPr>
          <w:rFonts w:ascii="Arial" w:cs="Arial" w:eastAsia="Arial" w:hAnsi="Arial"/>
          <w:sz w:val="20"/>
          <w:szCs w:val="20"/>
          <w:i w:val="1"/>
          <w:iCs w:val="1"/>
          <w:color w:val="auto"/>
        </w:rPr>
        <w:t xml:space="preserve">Revisions due to California regulatory changes and court challenges </w:t>
      </w:r>
      <w:r>
        <w:rPr>
          <w:rFonts w:ascii="Arial" w:cs="Arial" w:eastAsia="Arial" w:hAnsi="Arial"/>
          <w:sz w:val="20"/>
          <w:szCs w:val="20"/>
          <w:color w:val="auto"/>
        </w:rPr>
        <w:t>– We removed 23 MMBoe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from proved undeveloped reserves due to the impact of the regulatory changes and court challenges on our development plans as discussed above. 11 MMBoe of proved undeveloped reserves were affected by Senate Bill No. 1137. 12 MMBoe of proved undeveloped reserves were affected by the Kern County court challenges. These revisions are largely due to the uncertainty of near term permitting of drilling projects and the deferral of development of certain projects beyond 5 years. The volumes impacted are in Kern County. See </w:t>
      </w:r>
      <w:r>
        <w:rPr>
          <w:rFonts w:ascii="Arial" w:cs="Arial" w:eastAsia="Arial" w:hAnsi="Arial"/>
          <w:sz w:val="20"/>
          <w:szCs w:val="20"/>
          <w:i w:val="1"/>
          <w:iCs w:val="1"/>
          <w:color w:val="auto"/>
        </w:rPr>
        <w:t>Regulation of the Industries in Which We Operate,</w:t>
      </w:r>
      <w:r>
        <w:rPr>
          <w:rFonts w:ascii="Arial" w:cs="Arial" w:eastAsia="Arial" w:hAnsi="Arial"/>
          <w:sz w:val="20"/>
          <w:szCs w:val="20"/>
          <w:color w:val="auto"/>
        </w:rPr>
        <w:t xml:space="preserve"> </w:t>
      </w:r>
      <w:r>
        <w:rPr>
          <w:rFonts w:ascii="Arial" w:cs="Arial" w:eastAsia="Arial" w:hAnsi="Arial"/>
          <w:sz w:val="20"/>
          <w:szCs w:val="20"/>
          <w:i w:val="1"/>
          <w:iCs w:val="1"/>
          <w:color w:val="auto"/>
        </w:rPr>
        <w:t>Regulations of Exploration and Production Activities</w:t>
      </w:r>
      <w:r>
        <w:rPr>
          <w:rFonts w:ascii="Arial" w:cs="Arial" w:eastAsia="Arial" w:hAnsi="Arial"/>
          <w:sz w:val="20"/>
          <w:szCs w:val="20"/>
          <w:color w:val="auto"/>
        </w:rPr>
        <w:t>.</w:t>
      </w:r>
    </w:p>
    <w:p>
      <w:pPr>
        <w:spacing w:after="0" w:line="204" w:lineRule="exact"/>
        <w:rPr>
          <w:sz w:val="20"/>
          <w:szCs w:val="20"/>
          <w:color w:val="auto"/>
        </w:rPr>
      </w:pPr>
    </w:p>
    <w:p>
      <w:pPr>
        <w:ind w:right="660" w:firstLine="300"/>
        <w:spacing w:after="0" w:line="249" w:lineRule="auto"/>
        <w:rPr>
          <w:sz w:val="20"/>
          <w:szCs w:val="20"/>
          <w:color w:val="auto"/>
        </w:rPr>
      </w:pPr>
      <w:r>
        <w:rPr>
          <w:rFonts w:ascii="Arial" w:cs="Arial" w:eastAsia="Arial" w:hAnsi="Arial"/>
          <w:sz w:val="20"/>
          <w:szCs w:val="20"/>
          <w:i w:val="1"/>
          <w:iCs w:val="1"/>
          <w:color w:val="auto"/>
        </w:rPr>
        <w:t xml:space="preserve">Extensions and discoveries </w:t>
      </w:r>
      <w:r>
        <w:rPr>
          <w:rFonts w:ascii="Arial" w:cs="Arial" w:eastAsia="Arial" w:hAnsi="Arial"/>
          <w:sz w:val="20"/>
          <w:szCs w:val="20"/>
          <w:color w:val="auto"/>
        </w:rPr>
        <w:t>– We added 11 MMBoe of proved undeveloped reserves through</w:t>
      </w:r>
      <w:r>
        <w:rPr>
          <w:rFonts w:ascii="Arial" w:cs="Arial" w:eastAsia="Arial" w:hAnsi="Arial"/>
          <w:sz w:val="20"/>
          <w:szCs w:val="20"/>
          <w:i w:val="1"/>
          <w:iCs w:val="1"/>
          <w:color w:val="auto"/>
        </w:rPr>
        <w:t xml:space="preserve"> </w:t>
      </w:r>
      <w:r>
        <w:rPr>
          <w:rFonts w:ascii="Arial" w:cs="Arial" w:eastAsia="Arial" w:hAnsi="Arial"/>
          <w:sz w:val="20"/>
          <w:szCs w:val="20"/>
          <w:color w:val="auto"/>
        </w:rPr>
        <w:t>extensions and discoveries, as a result of successful drilling and workover programs in the San Joaquin and Los Angeles basins.</w:t>
      </w:r>
    </w:p>
    <w:p>
      <w:pPr>
        <w:spacing w:after="0" w:line="204"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i w:val="1"/>
          <w:iCs w:val="1"/>
          <w:color w:val="auto"/>
        </w:rPr>
        <w:t xml:space="preserve">Transfers to proved developed reserves </w:t>
      </w:r>
      <w:r>
        <w:rPr>
          <w:rFonts w:ascii="Arial" w:cs="Arial" w:eastAsia="Arial" w:hAnsi="Arial"/>
          <w:sz w:val="20"/>
          <w:szCs w:val="20"/>
          <w:color w:val="auto"/>
        </w:rPr>
        <w:t>– We converted 9 MMBoe of proved undeveloped reserves</w:t>
      </w:r>
      <w:r>
        <w:rPr>
          <w:rFonts w:ascii="Arial" w:cs="Arial" w:eastAsia="Arial" w:hAnsi="Arial"/>
          <w:sz w:val="20"/>
          <w:szCs w:val="20"/>
          <w:i w:val="1"/>
          <w:iCs w:val="1"/>
          <w:color w:val="auto"/>
        </w:rPr>
        <w:t xml:space="preserve"> </w:t>
      </w:r>
      <w:r>
        <w:rPr>
          <w:rFonts w:ascii="Arial" w:cs="Arial" w:eastAsia="Arial" w:hAnsi="Arial"/>
          <w:sz w:val="20"/>
          <w:szCs w:val="20"/>
          <w:color w:val="auto"/>
        </w:rPr>
        <w:t>to proved developed reserves in the San Joaquin and Los Angeles basins. This resulted in a conversion rate of approximately 12% of our beginning-of-year proved undeveloped reserves, with an investment of approximately $127 million of drilling and completion capital. We believe we will have sufficient capital to develop all year end 2022 proved undeveloped reserves within five years of their original booking date.</w:t>
      </w:r>
    </w:p>
    <w:p>
      <w:pPr>
        <w:sectPr>
          <w:pgSz w:w="11880" w:h="15480" w:orient="portrait"/>
          <w:cols w:equalWidth="0" w:num="1">
            <w:col w:w="9180"/>
          </w:cols>
          <w:pgMar w:left="1380" w:top="1311" w:right="132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16</w:t>
      </w:r>
    </w:p>
    <w:p>
      <w:pPr>
        <w:sectPr>
          <w:pgSz w:w="11880" w:h="15480" w:orient="portrait"/>
          <w:cols w:equalWidth="0" w:num="1">
            <w:col w:w="9180"/>
          </w:cols>
          <w:pgMar w:left="1380" w:top="1311" w:right="1320" w:bottom="655" w:gutter="0" w:footer="0" w:header="0"/>
          <w:type w:val="continuous"/>
        </w:sectPr>
      </w:pPr>
    </w:p>
    <w:bookmarkStart w:id="20" w:name="page21"/>
    <w:bookmarkEnd w:id="20"/>
    <w:p>
      <w:pPr>
        <w:spacing w:after="0"/>
        <w:rPr>
          <w:sz w:val="20"/>
          <w:szCs w:val="20"/>
          <w:color w:val="auto"/>
        </w:rPr>
      </w:pPr>
      <w:r>
        <w:rPr>
          <w:rFonts w:ascii="Arial" w:cs="Arial" w:eastAsia="Arial" w:hAnsi="Arial"/>
          <w:sz w:val="20"/>
          <w:szCs w:val="20"/>
          <w:b w:val="1"/>
          <w:bCs w:val="1"/>
          <w:i w:val="1"/>
          <w:iCs w:val="1"/>
          <w:color w:val="auto"/>
        </w:rPr>
        <w:t>PV-10 and Standardized Measure</w:t>
      </w:r>
    </w:p>
    <w:p>
      <w:pPr>
        <w:spacing w:after="0" w:line="175" w:lineRule="exact"/>
        <w:rPr>
          <w:sz w:val="20"/>
          <w:szCs w:val="20"/>
          <w:color w:val="auto"/>
        </w:rPr>
      </w:pPr>
    </w:p>
    <w:p>
      <w:pPr>
        <w:ind w:firstLine="300"/>
        <w:spacing w:after="0" w:line="264" w:lineRule="auto"/>
        <w:rPr>
          <w:sz w:val="20"/>
          <w:szCs w:val="20"/>
          <w:color w:val="auto"/>
        </w:rPr>
      </w:pPr>
      <w:r>
        <w:rPr>
          <w:rFonts w:ascii="Arial" w:cs="Arial" w:eastAsia="Arial" w:hAnsi="Arial"/>
          <w:sz w:val="19"/>
          <w:szCs w:val="19"/>
          <w:color w:val="auto"/>
        </w:rPr>
        <w:t>PV-10 of cash flows is a non-GAAP financial measure and represents the year-end present value of estimated future cash inflows from proved oil and natural gas reserves, less future development and operating costs, discounted at 10% per annum to reflect the timing of future cash flows and using SEC Prices. Calculation of PV-10 does not give effect to derivative transactions. Our PV-10 is computed on the same basis as our standardized measures of future net cash flows, the most comparable measure under GAAP, but does not include the effects of future income taxes on future net cash flows. Neither PV-10 nor Standardized Measure should be construed as the fair value of our oil and natural gas reserves. Standardized Measure is prescribed by the SEC as an industry standard asset value measure to compare reserves with consistent pricing, costs and discount assumptions. PV-10 facilitates the comparisons to other companies as it is not dependent on the tax-paying status of the entity.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19"/>
                <w:szCs w:val="19"/>
                <w:color w:val="auto"/>
              </w:rPr>
            </w:pPr>
          </w:p>
        </w:tc>
        <w:tc>
          <w:tcPr>
            <w:tcW w:w="2360" w:type="dxa"/>
            <w:vAlign w:val="bottom"/>
            <w:gridSpan w:val="2"/>
          </w:tcPr>
          <w:p>
            <w:pPr>
              <w:jc w:val="right"/>
              <w:spacing w:after="0"/>
              <w:rPr>
                <w:sz w:val="20"/>
                <w:szCs w:val="20"/>
                <w:color w:val="auto"/>
              </w:rPr>
            </w:pPr>
            <w:r>
              <w:rPr>
                <w:rFonts w:ascii="Arial" w:cs="Arial" w:eastAsia="Arial" w:hAnsi="Arial"/>
                <w:sz w:val="20"/>
                <w:szCs w:val="20"/>
                <w:b w:val="1"/>
                <w:bCs w:val="1"/>
                <w:color w:val="auto"/>
                <w:w w:val="99"/>
              </w:rPr>
              <w:t>As of December 31, 2022</w:t>
            </w:r>
          </w:p>
        </w:tc>
      </w:tr>
      <w:tr>
        <w:trPr>
          <w:trHeight w:val="20"/>
        </w:trPr>
        <w:tc>
          <w:tcPr>
            <w:tcW w:w="67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92"/>
        </w:trPr>
        <w:tc>
          <w:tcPr>
            <w:tcW w:w="6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20" w:type="dxa"/>
            <w:vAlign w:val="bottom"/>
          </w:tcPr>
          <w:p>
            <w:pPr>
              <w:jc w:val="right"/>
              <w:ind w:right="685"/>
              <w:spacing w:after="0"/>
              <w:rPr>
                <w:sz w:val="20"/>
                <w:szCs w:val="20"/>
                <w:color w:val="auto"/>
              </w:rPr>
            </w:pPr>
            <w:r>
              <w:rPr>
                <w:rFonts w:ascii="Arial" w:cs="Arial" w:eastAsia="Arial" w:hAnsi="Arial"/>
                <w:sz w:val="16"/>
                <w:szCs w:val="16"/>
                <w:color w:val="auto"/>
              </w:rPr>
              <w:t>(in millions)</w:t>
            </w:r>
          </w:p>
        </w:tc>
      </w:tr>
      <w:tr>
        <w:trPr>
          <w:trHeight w:val="248"/>
        </w:trPr>
        <w:tc>
          <w:tcPr>
            <w:tcW w:w="6760" w:type="dxa"/>
            <w:vAlign w:val="bottom"/>
          </w:tcPr>
          <w:p>
            <w:pPr>
              <w:spacing w:after="0"/>
              <w:rPr>
                <w:sz w:val="20"/>
                <w:szCs w:val="20"/>
                <w:color w:val="auto"/>
              </w:rPr>
            </w:pPr>
            <w:r>
              <w:rPr>
                <w:rFonts w:ascii="Arial" w:cs="Arial" w:eastAsia="Arial" w:hAnsi="Arial"/>
                <w:sz w:val="20"/>
                <w:szCs w:val="20"/>
                <w:color w:val="auto"/>
              </w:rPr>
              <w:t>Standardized measure of discounted future net cash flows . . . . . . . . . . . . .</w:t>
            </w:r>
          </w:p>
        </w:tc>
        <w:tc>
          <w:tcPr>
            <w:tcW w:w="540" w:type="dxa"/>
            <w:vAlign w:val="bottom"/>
          </w:tcPr>
          <w:p>
            <w:pPr>
              <w:jc w:val="right"/>
              <w:ind w:right="160"/>
              <w:spacing w:after="0"/>
              <w:rPr>
                <w:sz w:val="20"/>
                <w:szCs w:val="20"/>
                <w:color w:val="auto"/>
              </w:rPr>
            </w:pPr>
            <w:r>
              <w:rPr>
                <w:rFonts w:ascii="Arial" w:cs="Arial" w:eastAsia="Arial" w:hAnsi="Arial"/>
                <w:sz w:val="20"/>
                <w:szCs w:val="20"/>
                <w:color w:val="auto"/>
              </w:rPr>
              <w:t>$</w:t>
            </w:r>
          </w:p>
        </w:tc>
        <w:tc>
          <w:tcPr>
            <w:tcW w:w="1820" w:type="dxa"/>
            <w:vAlign w:val="bottom"/>
          </w:tcPr>
          <w:p>
            <w:pPr>
              <w:jc w:val="right"/>
              <w:ind w:right="85"/>
              <w:spacing w:after="0"/>
              <w:rPr>
                <w:sz w:val="20"/>
                <w:szCs w:val="20"/>
                <w:color w:val="auto"/>
              </w:rPr>
            </w:pPr>
            <w:r>
              <w:rPr>
                <w:rFonts w:ascii="Arial" w:cs="Arial" w:eastAsia="Arial" w:hAnsi="Arial"/>
                <w:sz w:val="20"/>
                <w:szCs w:val="20"/>
                <w:color w:val="auto"/>
              </w:rPr>
              <w:t>6,726</w:t>
            </w:r>
          </w:p>
        </w:tc>
      </w:tr>
      <w:tr>
        <w:trPr>
          <w:trHeight w:val="240"/>
        </w:trPr>
        <w:tc>
          <w:tcPr>
            <w:tcW w:w="6760" w:type="dxa"/>
            <w:vAlign w:val="bottom"/>
          </w:tcPr>
          <w:p>
            <w:pPr>
              <w:spacing w:after="0"/>
              <w:rPr>
                <w:sz w:val="20"/>
                <w:szCs w:val="20"/>
                <w:color w:val="auto"/>
              </w:rPr>
            </w:pPr>
            <w:r>
              <w:rPr>
                <w:rFonts w:ascii="Arial" w:cs="Arial" w:eastAsia="Arial" w:hAnsi="Arial"/>
                <w:sz w:val="20"/>
                <w:szCs w:val="20"/>
                <w:color w:val="auto"/>
              </w:rPr>
              <w:t>Present value of future income taxes discounted at 10% . . . . . . . . . . . . . . .</w:t>
            </w:r>
          </w:p>
        </w:tc>
        <w:tc>
          <w:tcPr>
            <w:tcW w:w="540" w:type="dxa"/>
            <w:vAlign w:val="bottom"/>
          </w:tcPr>
          <w:p>
            <w:pPr>
              <w:spacing w:after="0"/>
              <w:rPr>
                <w:sz w:val="20"/>
                <w:szCs w:val="20"/>
                <w:color w:val="auto"/>
              </w:rPr>
            </w:pPr>
          </w:p>
        </w:tc>
        <w:tc>
          <w:tcPr>
            <w:tcW w:w="1820" w:type="dxa"/>
            <w:vAlign w:val="bottom"/>
          </w:tcPr>
          <w:p>
            <w:pPr>
              <w:jc w:val="right"/>
              <w:ind w:right="85"/>
              <w:spacing w:after="0"/>
              <w:rPr>
                <w:sz w:val="20"/>
                <w:szCs w:val="20"/>
                <w:color w:val="auto"/>
              </w:rPr>
            </w:pPr>
            <w:r>
              <w:rPr>
                <w:rFonts w:ascii="Arial" w:cs="Arial" w:eastAsia="Arial" w:hAnsi="Arial"/>
                <w:sz w:val="20"/>
                <w:szCs w:val="20"/>
                <w:color w:val="auto"/>
              </w:rPr>
              <w:t>2,493</w:t>
            </w:r>
          </w:p>
        </w:tc>
      </w:tr>
      <w:tr>
        <w:trPr>
          <w:trHeight w:val="30"/>
        </w:trPr>
        <w:tc>
          <w:tcPr>
            <w:tcW w:w="67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300"/>
        </w:trPr>
        <w:tc>
          <w:tcPr>
            <w:tcW w:w="6760" w:type="dxa"/>
            <w:vAlign w:val="bottom"/>
          </w:tcPr>
          <w:p>
            <w:pPr>
              <w:spacing w:after="0"/>
              <w:rPr>
                <w:sz w:val="20"/>
                <w:szCs w:val="20"/>
                <w:color w:val="auto"/>
              </w:rPr>
            </w:pPr>
            <w:r>
              <w:rPr>
                <w:rFonts w:ascii="Arial" w:cs="Arial" w:eastAsia="Arial" w:hAnsi="Arial"/>
                <w:sz w:val="20"/>
                <w:szCs w:val="20"/>
                <w:color w:val="auto"/>
                <w:w w:val="98"/>
              </w:rPr>
              <w:t>PV-10 of cash flows</w:t>
            </w:r>
            <w:r>
              <w:rPr>
                <w:rFonts w:ascii="Arial" w:cs="Arial" w:eastAsia="Arial" w:hAnsi="Arial"/>
                <w:sz w:val="26"/>
                <w:szCs w:val="26"/>
                <w:color w:val="auto"/>
                <w:w w:val="98"/>
                <w:vertAlign w:val="superscript"/>
              </w:rPr>
              <w:t>(a)</w:t>
            </w:r>
            <w:r>
              <w:rPr>
                <w:rFonts w:ascii="Arial" w:cs="Arial" w:eastAsia="Arial" w:hAnsi="Arial"/>
                <w:sz w:val="20"/>
                <w:szCs w:val="20"/>
                <w:color w:val="auto"/>
                <w:w w:val="98"/>
              </w:rPr>
              <w:t xml:space="preserve">  . . . . . . . . . . . . . . . . . . . . . . . . . . . . . . . . . . . . . . . . . . .</w:t>
            </w:r>
          </w:p>
        </w:tc>
        <w:tc>
          <w:tcPr>
            <w:tcW w:w="540" w:type="dxa"/>
            <w:vAlign w:val="bottom"/>
            <w:tcBorders>
              <w:bottom w:val="single" w:sz="8" w:color="auto"/>
            </w:tcBorders>
          </w:tcPr>
          <w:p>
            <w:pPr>
              <w:jc w:val="right"/>
              <w:ind w:right="160"/>
              <w:spacing w:after="0"/>
              <w:rPr>
                <w:sz w:val="20"/>
                <w:szCs w:val="20"/>
                <w:color w:val="auto"/>
              </w:rPr>
            </w:pPr>
            <w:r>
              <w:rPr>
                <w:rFonts w:ascii="Arial" w:cs="Arial" w:eastAsia="Arial" w:hAnsi="Arial"/>
                <w:sz w:val="20"/>
                <w:szCs w:val="20"/>
                <w:color w:val="auto"/>
              </w:rPr>
              <w:t>$</w:t>
            </w:r>
          </w:p>
        </w:tc>
        <w:tc>
          <w:tcPr>
            <w:tcW w:w="1820" w:type="dxa"/>
            <w:vAlign w:val="bottom"/>
            <w:tcBorders>
              <w:bottom w:val="single" w:sz="8" w:color="auto"/>
            </w:tcBorders>
          </w:tcPr>
          <w:p>
            <w:pPr>
              <w:jc w:val="right"/>
              <w:ind w:right="85"/>
              <w:spacing w:after="0"/>
              <w:rPr>
                <w:sz w:val="20"/>
                <w:szCs w:val="20"/>
                <w:color w:val="auto"/>
              </w:rPr>
            </w:pPr>
            <w:r>
              <w:rPr>
                <w:rFonts w:ascii="Arial" w:cs="Arial" w:eastAsia="Arial" w:hAnsi="Arial"/>
                <w:sz w:val="20"/>
                <w:szCs w:val="20"/>
                <w:color w:val="auto"/>
              </w:rPr>
              <w:t>9,219</w:t>
            </w:r>
          </w:p>
        </w:tc>
      </w:tr>
      <w:tr>
        <w:trPr>
          <w:trHeight w:val="20"/>
        </w:trPr>
        <w:tc>
          <w:tcPr>
            <w:tcW w:w="67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ind w:left="400" w:right="480" w:hanging="320"/>
        <w:spacing w:after="0" w:line="254" w:lineRule="auto"/>
        <w:tabs>
          <w:tab w:leader="none" w:pos="4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average realized prices for estimating our PV-10 of cash flow as of December 31, 2022 were $97.50 per barrel for oil, $67.83 per barrel for NGLs and $7.84 per Mcf for natural gas.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Reserves Evaluation and Review Process</w:t>
      </w:r>
    </w:p>
    <w:p>
      <w:pPr>
        <w:spacing w:after="0" w:line="215" w:lineRule="exact"/>
        <w:rPr>
          <w:sz w:val="20"/>
          <w:szCs w:val="20"/>
          <w:color w:val="auto"/>
        </w:rPr>
      </w:pPr>
    </w:p>
    <w:p>
      <w:pPr>
        <w:ind w:right="20" w:firstLine="300"/>
        <w:spacing w:after="0" w:line="250" w:lineRule="auto"/>
        <w:rPr>
          <w:sz w:val="20"/>
          <w:szCs w:val="20"/>
          <w:color w:val="auto"/>
        </w:rPr>
      </w:pPr>
      <w:r>
        <w:rPr>
          <w:rFonts w:ascii="Arial" w:cs="Arial" w:eastAsia="Arial" w:hAnsi="Arial"/>
          <w:sz w:val="20"/>
          <w:szCs w:val="20"/>
          <w:color w:val="auto"/>
        </w:rPr>
        <w:t xml:space="preserve">Our estimates of proved reserves and related discounted future net cash flows as of December 31, 2022 were made by our technical personnel, comprised of reservoir engineers and geoscientists, with the assistance of operational and financial personnel and are the responsibility of management. The estimation of proved reserves is based on the requirement of reasonable certainty of economic producibility and management’s funding commitments to develop the reserves. Reserves volumes are estimated by forecasts of production rates, operating costs and capital investments. Price differentials between specified benchmark prices and realized prices and specifics of each operating agreement are then applied against the SEC Price to estimate the net reserves. Operating and capital costs are forecast using the current cost environment applied to expectations of future operating and development activities related to the proved reserves. See </w:t>
      </w:r>
      <w:r>
        <w:rPr>
          <w:rFonts w:ascii="Arial" w:cs="Arial" w:eastAsia="Arial" w:hAnsi="Arial"/>
          <w:sz w:val="20"/>
          <w:szCs w:val="20"/>
          <w:i w:val="1"/>
          <w:iCs w:val="1"/>
          <w:color w:val="auto"/>
        </w:rPr>
        <w:t>Part II, Item 7 – Management’s Discussion</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and Analysis of Financial Condition and Results of Operations, Critical Accounting Estimates </w:t>
      </w:r>
      <w:r>
        <w:rPr>
          <w:rFonts w:ascii="Arial" w:cs="Arial" w:eastAsia="Arial" w:hAnsi="Arial"/>
          <w:sz w:val="20"/>
          <w:szCs w:val="20"/>
          <w:color w:val="auto"/>
        </w:rPr>
        <w:t>for further</w:t>
      </w:r>
      <w:r>
        <w:rPr>
          <w:rFonts w:ascii="Arial" w:cs="Arial" w:eastAsia="Arial" w:hAnsi="Arial"/>
          <w:sz w:val="20"/>
          <w:szCs w:val="20"/>
          <w:i w:val="1"/>
          <w:iCs w:val="1"/>
          <w:color w:val="auto"/>
        </w:rPr>
        <w:t xml:space="preserve"> </w:t>
      </w:r>
      <w:r>
        <w:rPr>
          <w:rFonts w:ascii="Arial" w:cs="Arial" w:eastAsia="Arial" w:hAnsi="Arial"/>
          <w:sz w:val="20"/>
          <w:szCs w:val="20"/>
          <w:color w:val="auto"/>
        </w:rPr>
        <w:t>discussion of uncertainties inherent in the reserve estimates.</w:t>
      </w:r>
    </w:p>
    <w:p>
      <w:pPr>
        <w:spacing w:after="0" w:line="205"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auto"/>
        </w:rPr>
        <w:t>Proved developed reserves are those volumes that are expected to be recovered through existing wells with existing equipment and operating methods, for which the incremental cost of any additional required investment is relatively minor. Proved undeveloped reserves are those volumes that are expected to be recovered from new wells on undrilled acreage, or from existing wells where a relatively major expenditure is required.</w:t>
      </w:r>
    </w:p>
    <w:p>
      <w:pPr>
        <w:spacing w:after="0" w:line="207" w:lineRule="exact"/>
        <w:rPr>
          <w:sz w:val="20"/>
          <w:szCs w:val="20"/>
          <w:color w:val="auto"/>
        </w:rPr>
      </w:pPr>
    </w:p>
    <w:p>
      <w:pPr>
        <w:ind w:right="340" w:firstLine="300"/>
        <w:spacing w:after="0" w:line="249" w:lineRule="auto"/>
        <w:rPr>
          <w:sz w:val="20"/>
          <w:szCs w:val="20"/>
          <w:color w:val="auto"/>
        </w:rPr>
      </w:pPr>
      <w:r>
        <w:rPr>
          <w:rFonts w:ascii="Arial" w:cs="Arial" w:eastAsia="Arial" w:hAnsi="Arial"/>
          <w:sz w:val="20"/>
          <w:szCs w:val="20"/>
          <w:color w:val="auto"/>
        </w:rPr>
        <w:t>Our Vice President of Reserves has primary responsibility for overseeing the preparation of our reserves estimates. With over 25 years of technical and leadership experience in the oil and gas industry, she has been involved with all stages of petroleum exploration and development from appraisal of new discoveries to enhanced recovery methods in mature fields. She holds a Master of Business Administration from Pepperdine University, as well as bachelor’s and master’s degrees in Geology from the University of California, Santa Barbara.</w:t>
      </w:r>
    </w:p>
    <w:p>
      <w:pPr>
        <w:spacing w:after="0" w:line="208" w:lineRule="exact"/>
        <w:rPr>
          <w:sz w:val="20"/>
          <w:szCs w:val="20"/>
          <w:color w:val="auto"/>
        </w:rPr>
      </w:pPr>
    </w:p>
    <w:p>
      <w:pPr>
        <w:ind w:right="120" w:firstLine="300"/>
        <w:spacing w:after="0" w:line="247" w:lineRule="auto"/>
        <w:rPr>
          <w:sz w:val="20"/>
          <w:szCs w:val="20"/>
          <w:color w:val="auto"/>
        </w:rPr>
      </w:pPr>
      <w:r>
        <w:rPr>
          <w:rFonts w:ascii="Arial" w:cs="Arial" w:eastAsia="Arial" w:hAnsi="Arial"/>
          <w:sz w:val="20"/>
          <w:szCs w:val="20"/>
          <w:color w:val="auto"/>
        </w:rPr>
        <w:t>We have an Oil and Gas Reserves Review Committee (Reserves Committee), consisting of senior corporate officers, which reviewed and approved our oil and natural gas reserves for 2022. The Reserves Committee annually reports its findings to the Audit Committee.</w:t>
      </w:r>
    </w:p>
    <w:p>
      <w:pPr>
        <w:sectPr>
          <w:pgSz w:w="11880" w:h="15480" w:orient="portrait"/>
          <w:cols w:equalWidth="0" w:num="1">
            <w:col w:w="9120"/>
          </w:cols>
          <w:pgMar w:left="1380" w:top="1311" w:right="1380" w:bottom="655"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880" w:h="15480" w:orient="portrait"/>
          <w:cols w:equalWidth="0" w:num="1">
            <w:col w:w="9120"/>
          </w:cols>
          <w:pgMar w:left="1380" w:top="1311" w:right="1380" w:bottom="655" w:gutter="0" w:footer="0" w:header="0"/>
          <w:type w:val="continuous"/>
        </w:sectPr>
      </w:pPr>
    </w:p>
    <w:bookmarkStart w:id="21" w:name="page22"/>
    <w:bookmarkEnd w:id="21"/>
    <w:p>
      <w:pPr>
        <w:spacing w:after="0"/>
        <w:rPr>
          <w:sz w:val="20"/>
          <w:szCs w:val="20"/>
          <w:color w:val="auto"/>
        </w:rPr>
      </w:pPr>
      <w:r>
        <w:rPr>
          <w:rFonts w:ascii="Arial" w:cs="Arial" w:eastAsia="Arial" w:hAnsi="Arial"/>
          <w:sz w:val="20"/>
          <w:szCs w:val="20"/>
          <w:b w:val="1"/>
          <w:bCs w:val="1"/>
          <w:i w:val="1"/>
          <w:iCs w:val="1"/>
          <w:color w:val="auto"/>
        </w:rPr>
        <w:t>Audits of Reserves Estimates</w:t>
      </w:r>
    </w:p>
    <w:p>
      <w:pPr>
        <w:spacing w:after="0" w:line="215" w:lineRule="exact"/>
        <w:rPr>
          <w:sz w:val="20"/>
          <w:szCs w:val="20"/>
          <w:color w:val="auto"/>
        </w:rPr>
      </w:pPr>
    </w:p>
    <w:p>
      <w:pPr>
        <w:ind w:right="120" w:firstLine="300"/>
        <w:spacing w:after="0" w:line="248" w:lineRule="auto"/>
        <w:rPr>
          <w:sz w:val="20"/>
          <w:szCs w:val="20"/>
          <w:color w:val="auto"/>
        </w:rPr>
      </w:pPr>
      <w:r>
        <w:rPr>
          <w:rFonts w:ascii="Arial" w:cs="Arial" w:eastAsia="Arial" w:hAnsi="Arial"/>
          <w:sz w:val="20"/>
          <w:szCs w:val="20"/>
          <w:color w:val="auto"/>
        </w:rPr>
        <w:t>Ryder Scott and Netherland, Sewell &amp; Associates, Inc. (NSAI) were engaged to provide independent audits of our reserves estimates for our fields. For the year ended December 31, 2022, Ryder Scott audited 49% of our total proved reserves. NSAI audited 36% of our total proved reserves. Collectively, 85% of our proved reserves were audited in 2022.</w:t>
      </w:r>
    </w:p>
    <w:p>
      <w:pPr>
        <w:spacing w:after="0" w:line="209" w:lineRule="exact"/>
        <w:rPr>
          <w:sz w:val="20"/>
          <w:szCs w:val="20"/>
          <w:color w:val="auto"/>
        </w:rPr>
      </w:pPr>
    </w:p>
    <w:p>
      <w:pPr>
        <w:ind w:right="20" w:firstLine="300"/>
        <w:spacing w:after="0" w:line="250" w:lineRule="auto"/>
        <w:rPr>
          <w:sz w:val="20"/>
          <w:szCs w:val="20"/>
          <w:color w:val="auto"/>
        </w:rPr>
      </w:pPr>
      <w:r>
        <w:rPr>
          <w:rFonts w:ascii="Arial" w:cs="Arial" w:eastAsia="Arial" w:hAnsi="Arial"/>
          <w:sz w:val="20"/>
          <w:szCs w:val="20"/>
          <w:color w:val="auto"/>
        </w:rPr>
        <w:t>Our independent reserve engineers examined the assumptions underlying our reserves estimates, adequacy and quality of our work product and estimates of future production rates. They also examined the appropriateness of the methodologies employed to estimate our reserves as well as their categorization, using the definitions set forth by the SEC, and found them to be appropriate. As part of their process, they developed their own independent estimates of reserves for those fields that they audited. When compared on a field-by-field basis, some of our estimates were greater and some were less than the estimates of our independent reserve engineers. Given the inherent uncertainties and judgments in estimating proved reserves, differences between our estimates and those of our independent reserve engineers are to be expected. The aggregate difference between our estimates and those of the independent reserve engineers was less than 10%, which was within the Society of Petroleum Engineers (SPE) acceptable tolerance.</w:t>
      </w:r>
    </w:p>
    <w:p>
      <w:pPr>
        <w:spacing w:after="0" w:line="205"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color w:val="auto"/>
        </w:rPr>
        <w:t>In the conduct of the reserves audits, our independent reserve engineers did not independently verify the accuracy and completeness of information and data furnished by us with respect to ownership interests, crude oil and natural gas production, well test data, historical costs of operation and development, product prices, or any agreements relating to current and future operations of the fields and sales of production. However, if anything came to the attention of our independent auditors that brought into question the validity or sufficiency of any such information or data, they would not rely on such information or data until it had resolved its questions relating thereto or had independently verified such information or data. Our independent reserve engineers determined that our estimates of reserves have been prepared in accordance with the definitions and regulations of the SEC as well as the Standards Pertaining to the Estimating and Auditing of Oil and Gas Reserves Information promulgated by the SPE, including the criteria of “reasonable certainty,” as it pertains to expectations about the recoverability of reserves in future years, under existing economic and operating conditions. Both of our independent reserve engineers issued an unqualified audit opinion on the applicable portions of our proved reserves as of December 31, 2022, which are attached as Exhibit 99.1 and 99.2, respectively, to this Form 10-K and incorporated herein by reference.</w:t>
      </w:r>
    </w:p>
    <w:p>
      <w:pPr>
        <w:spacing w:after="0" w:line="205"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i w:val="1"/>
          <w:iCs w:val="1"/>
          <w:color w:val="auto"/>
        </w:rPr>
        <w:t xml:space="preserve">Ryder Scott qualifications </w:t>
      </w:r>
      <w:r>
        <w:rPr>
          <w:rFonts w:ascii="Arial" w:cs="Arial" w:eastAsia="Arial" w:hAnsi="Arial"/>
          <w:sz w:val="20"/>
          <w:szCs w:val="20"/>
          <w:color w:val="auto"/>
        </w:rPr>
        <w:t>– The primary technical engineer responsible for our audit has more than</w:t>
      </w:r>
      <w:r>
        <w:rPr>
          <w:rFonts w:ascii="Arial" w:cs="Arial" w:eastAsia="Arial" w:hAnsi="Arial"/>
          <w:sz w:val="20"/>
          <w:szCs w:val="20"/>
          <w:i w:val="1"/>
          <w:iCs w:val="1"/>
          <w:color w:val="auto"/>
        </w:rPr>
        <w:t xml:space="preserve"> </w:t>
      </w:r>
      <w:r>
        <w:rPr>
          <w:rFonts w:ascii="Arial" w:cs="Arial" w:eastAsia="Arial" w:hAnsi="Arial"/>
          <w:sz w:val="20"/>
          <w:szCs w:val="20"/>
          <w:color w:val="auto"/>
        </w:rPr>
        <w:t>45 years of petroleum engineering experience, the majority of which has been in the estimation and evaluation of reserves. He serves on the Ryder Scott Executive Committee and the Board of Directors and is a registered Professional Engineer in the state of Texas.</w:t>
      </w:r>
    </w:p>
    <w:p>
      <w:pPr>
        <w:spacing w:after="0" w:line="206"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i w:val="1"/>
          <w:iCs w:val="1"/>
          <w:color w:val="auto"/>
        </w:rPr>
        <w:t xml:space="preserve">NSAI qualifications </w:t>
      </w:r>
      <w:r>
        <w:rPr>
          <w:rFonts w:ascii="Arial" w:cs="Arial" w:eastAsia="Arial" w:hAnsi="Arial"/>
          <w:sz w:val="20"/>
          <w:szCs w:val="20"/>
          <w:color w:val="auto"/>
        </w:rPr>
        <w:t>– The primary technical engineer responsible for our audit has more than 21</w:t>
      </w:r>
      <w:r>
        <w:rPr>
          <w:rFonts w:ascii="Arial" w:cs="Arial" w:eastAsia="Arial" w:hAnsi="Arial"/>
          <w:sz w:val="20"/>
          <w:szCs w:val="20"/>
          <w:i w:val="1"/>
          <w:iCs w:val="1"/>
          <w:color w:val="auto"/>
        </w:rPr>
        <w:t xml:space="preserve"> </w:t>
      </w:r>
      <w:r>
        <w:rPr>
          <w:rFonts w:ascii="Arial" w:cs="Arial" w:eastAsia="Arial" w:hAnsi="Arial"/>
          <w:sz w:val="20"/>
          <w:szCs w:val="20"/>
          <w:color w:val="auto"/>
        </w:rPr>
        <w:t>years of petroleum engineering experience, with the majority spent evaluating California properties, and is a registered Professional Engineer in the state of Texas. The primary geoscientist for the audit has more than 25 years of experience practicing petroleum geoscience and is a Licensed Professional Geoscientist in the state of Texas.</w:t>
      </w:r>
    </w:p>
    <w:p>
      <w:pPr>
        <w:sectPr>
          <w:pgSz w:w="11880" w:h="15480" w:orient="portrait"/>
          <w:cols w:equalWidth="0" w:num="1">
            <w:col w:w="9120"/>
          </w:cols>
          <w:pgMar w:left="1380" w:top="1311"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880" w:h="15480" w:orient="portrait"/>
          <w:cols w:equalWidth="0" w:num="1">
            <w:col w:w="9120"/>
          </w:cols>
          <w:pgMar w:left="1380" w:top="1311" w:right="1380" w:bottom="655" w:gutter="0" w:footer="0" w:header="0"/>
          <w:type w:val="continuous"/>
        </w:sectPr>
      </w:pPr>
    </w:p>
    <w:bookmarkStart w:id="22" w:name="page23"/>
    <w:bookmarkEnd w:id="22"/>
    <w:p>
      <w:pPr>
        <w:spacing w:after="0"/>
        <w:rPr>
          <w:sz w:val="20"/>
          <w:szCs w:val="20"/>
          <w:color w:val="auto"/>
        </w:rPr>
      </w:pPr>
      <w:r>
        <w:rPr>
          <w:rFonts w:ascii="Arial" w:cs="Arial" w:eastAsia="Arial" w:hAnsi="Arial"/>
          <w:sz w:val="20"/>
          <w:szCs w:val="20"/>
          <w:b w:val="1"/>
          <w:bCs w:val="1"/>
          <w:color w:val="auto"/>
        </w:rPr>
        <w:t>Drilling Statistics</w:t>
      </w:r>
    </w:p>
    <w:p>
      <w:pPr>
        <w:spacing w:after="0" w:line="216" w:lineRule="exact"/>
        <w:rPr>
          <w:sz w:val="20"/>
          <w:szCs w:val="20"/>
          <w:color w:val="auto"/>
        </w:rPr>
      </w:pPr>
    </w:p>
    <w:p>
      <w:pPr>
        <w:ind w:right="160" w:firstLine="300"/>
        <w:spacing w:after="0" w:line="249" w:lineRule="auto"/>
        <w:rPr>
          <w:sz w:val="20"/>
          <w:szCs w:val="20"/>
          <w:color w:val="auto"/>
        </w:rPr>
      </w:pPr>
      <w:r>
        <w:rPr>
          <w:rFonts w:ascii="Arial" w:cs="Arial" w:eastAsia="Arial" w:hAnsi="Arial"/>
          <w:sz w:val="20"/>
          <w:szCs w:val="20"/>
          <w:color w:val="auto"/>
        </w:rPr>
        <w:t>The following table sets forth information on our net exploration and development wells drilled and completed during the periods indicated, regardless of when drilling was initiated. The information should not be considered indicative of future performance, nor should it be assumed that there is necessarily any correlation among the number of productive wells drilled, quantities of reserves found or economic value. We refer to gross wells as the total number of wells in which interests are owned, including outside operated wells. Net wells represent wells reduced to our fractional interest.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00" w:type="dxa"/>
            <w:vAlign w:val="bottom"/>
          </w:tcPr>
          <w:p>
            <w:pPr>
              <w:spacing w:after="0"/>
              <w:rPr>
                <w:sz w:val="16"/>
                <w:szCs w:val="16"/>
                <w:color w:val="auto"/>
              </w:rPr>
            </w:pPr>
          </w:p>
        </w:tc>
        <w:tc>
          <w:tcPr>
            <w:tcW w:w="2100" w:type="dxa"/>
            <w:vAlign w:val="bottom"/>
            <w:gridSpan w:val="3"/>
          </w:tcPr>
          <w:p>
            <w:pPr>
              <w:jc w:val="right"/>
              <w:spacing w:after="0"/>
              <w:rPr>
                <w:sz w:val="20"/>
                <w:szCs w:val="20"/>
                <w:color w:val="auto"/>
              </w:rPr>
            </w:pPr>
            <w:r>
              <w:rPr>
                <w:rFonts w:ascii="Arial" w:cs="Arial" w:eastAsia="Arial" w:hAnsi="Arial"/>
                <w:sz w:val="16"/>
                <w:szCs w:val="16"/>
                <w:b w:val="1"/>
                <w:bCs w:val="1"/>
                <w:color w:val="auto"/>
              </w:rPr>
              <w:t>San Joaquin  Los Angeles</w:t>
            </w:r>
          </w:p>
        </w:tc>
        <w:tc>
          <w:tcPr>
            <w:tcW w:w="4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rPr>
              <w:t>Ventura</w:t>
            </w:r>
          </w:p>
        </w:tc>
        <w:tc>
          <w:tcPr>
            <w:tcW w:w="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Sacramento</w:t>
            </w:r>
          </w:p>
        </w:tc>
        <w:tc>
          <w:tcPr>
            <w:tcW w:w="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Total Net</w:t>
            </w:r>
          </w:p>
        </w:tc>
        <w:tc>
          <w:tcPr>
            <w:tcW w:w="0" w:type="dxa"/>
            <w:vAlign w:val="bottom"/>
          </w:tcPr>
          <w:p>
            <w:pPr>
              <w:spacing w:after="0"/>
              <w:rPr>
                <w:sz w:val="1"/>
                <w:szCs w:val="1"/>
                <w:color w:val="auto"/>
              </w:rPr>
            </w:pPr>
          </w:p>
        </w:tc>
      </w:tr>
      <w:tr>
        <w:trPr>
          <w:trHeight w:val="181"/>
        </w:trPr>
        <w:tc>
          <w:tcPr>
            <w:tcW w:w="4300" w:type="dxa"/>
            <w:vAlign w:val="bottom"/>
          </w:tcPr>
          <w:p>
            <w:pPr>
              <w:spacing w:after="0"/>
              <w:rPr>
                <w:sz w:val="15"/>
                <w:szCs w:val="15"/>
                <w:color w:val="auto"/>
              </w:rPr>
            </w:pPr>
          </w:p>
        </w:tc>
        <w:tc>
          <w:tcPr>
            <w:tcW w:w="1040" w:type="dxa"/>
            <w:vAlign w:val="bottom"/>
          </w:tcPr>
          <w:p>
            <w:pPr>
              <w:jc w:val="right"/>
              <w:ind w:right="203"/>
              <w:spacing w:after="0" w:line="181" w:lineRule="exact"/>
              <w:rPr>
                <w:sz w:val="20"/>
                <w:szCs w:val="20"/>
                <w:color w:val="auto"/>
              </w:rPr>
            </w:pPr>
            <w:r>
              <w:rPr>
                <w:rFonts w:ascii="Arial" w:cs="Arial" w:eastAsia="Arial" w:hAnsi="Arial"/>
                <w:sz w:val="16"/>
                <w:szCs w:val="16"/>
                <w:b w:val="1"/>
                <w:bCs w:val="1"/>
                <w:color w:val="auto"/>
              </w:rPr>
              <w:t>Basin</w:t>
            </w:r>
          </w:p>
        </w:tc>
        <w:tc>
          <w:tcPr>
            <w:tcW w:w="40" w:type="dxa"/>
            <w:vAlign w:val="bottom"/>
          </w:tcPr>
          <w:p>
            <w:pPr>
              <w:spacing w:after="0"/>
              <w:rPr>
                <w:sz w:val="15"/>
                <w:szCs w:val="15"/>
                <w:color w:val="auto"/>
              </w:rPr>
            </w:pPr>
          </w:p>
        </w:tc>
        <w:tc>
          <w:tcPr>
            <w:tcW w:w="1020" w:type="dxa"/>
            <w:vAlign w:val="bottom"/>
          </w:tcPr>
          <w:p>
            <w:pPr>
              <w:jc w:val="right"/>
              <w:ind w:right="202"/>
              <w:spacing w:after="0" w:line="181" w:lineRule="exact"/>
              <w:rPr>
                <w:sz w:val="20"/>
                <w:szCs w:val="20"/>
                <w:color w:val="auto"/>
              </w:rPr>
            </w:pPr>
            <w:r>
              <w:rPr>
                <w:rFonts w:ascii="Arial" w:cs="Arial" w:eastAsia="Arial" w:hAnsi="Arial"/>
                <w:sz w:val="16"/>
                <w:szCs w:val="16"/>
                <w:b w:val="1"/>
                <w:bCs w:val="1"/>
                <w:color w:val="auto"/>
              </w:rPr>
              <w:t>Basin</w:t>
            </w:r>
          </w:p>
        </w:tc>
        <w:tc>
          <w:tcPr>
            <w:tcW w:w="40" w:type="dxa"/>
            <w:vAlign w:val="bottom"/>
          </w:tcPr>
          <w:p>
            <w:pPr>
              <w:spacing w:after="0"/>
              <w:rPr>
                <w:sz w:val="15"/>
                <w:szCs w:val="15"/>
                <w:color w:val="auto"/>
              </w:rPr>
            </w:pPr>
          </w:p>
        </w:tc>
        <w:tc>
          <w:tcPr>
            <w:tcW w:w="76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Basin</w:t>
            </w:r>
          </w:p>
        </w:tc>
        <w:tc>
          <w:tcPr>
            <w:tcW w:w="40" w:type="dxa"/>
            <w:vAlign w:val="bottom"/>
          </w:tcPr>
          <w:p>
            <w:pPr>
              <w:spacing w:after="0"/>
              <w:rPr>
                <w:sz w:val="15"/>
                <w:szCs w:val="15"/>
                <w:color w:val="auto"/>
              </w:rPr>
            </w:pPr>
          </w:p>
        </w:tc>
        <w:tc>
          <w:tcPr>
            <w:tcW w:w="1000" w:type="dxa"/>
            <w:vAlign w:val="bottom"/>
          </w:tcPr>
          <w:p>
            <w:pPr>
              <w:jc w:val="right"/>
              <w:ind w:right="183"/>
              <w:spacing w:after="0" w:line="181" w:lineRule="exact"/>
              <w:rPr>
                <w:sz w:val="20"/>
                <w:szCs w:val="20"/>
                <w:color w:val="auto"/>
              </w:rPr>
            </w:pPr>
            <w:r>
              <w:rPr>
                <w:rFonts w:ascii="Arial" w:cs="Arial" w:eastAsia="Arial" w:hAnsi="Arial"/>
                <w:sz w:val="16"/>
                <w:szCs w:val="16"/>
                <w:b w:val="1"/>
                <w:bCs w:val="1"/>
                <w:color w:val="auto"/>
              </w:rPr>
              <w:t>Basin</w:t>
            </w:r>
          </w:p>
        </w:tc>
        <w:tc>
          <w:tcPr>
            <w:tcW w:w="40" w:type="dxa"/>
            <w:vAlign w:val="bottom"/>
          </w:tcPr>
          <w:p>
            <w:pPr>
              <w:spacing w:after="0"/>
              <w:rPr>
                <w:sz w:val="15"/>
                <w:szCs w:val="15"/>
                <w:color w:val="auto"/>
              </w:rPr>
            </w:pPr>
          </w:p>
        </w:tc>
        <w:tc>
          <w:tcPr>
            <w:tcW w:w="840" w:type="dxa"/>
            <w:vAlign w:val="bottom"/>
          </w:tcPr>
          <w:p>
            <w:pPr>
              <w:jc w:val="right"/>
              <w:ind w:right="124"/>
              <w:spacing w:after="0" w:line="181" w:lineRule="exact"/>
              <w:rPr>
                <w:sz w:val="20"/>
                <w:szCs w:val="20"/>
                <w:color w:val="auto"/>
              </w:rPr>
            </w:pPr>
            <w:r>
              <w:rPr>
                <w:rFonts w:ascii="Arial" w:cs="Arial" w:eastAsia="Arial" w:hAnsi="Arial"/>
                <w:sz w:val="16"/>
                <w:szCs w:val="16"/>
                <w:b w:val="1"/>
                <w:bCs w:val="1"/>
                <w:color w:val="auto"/>
              </w:rPr>
              <w:t>Wells</w:t>
            </w:r>
          </w:p>
        </w:tc>
        <w:tc>
          <w:tcPr>
            <w:tcW w:w="0" w:type="dxa"/>
            <w:vAlign w:val="bottom"/>
          </w:tcPr>
          <w:p>
            <w:pPr>
              <w:spacing w:after="0"/>
              <w:rPr>
                <w:sz w:val="1"/>
                <w:szCs w:val="1"/>
                <w:color w:val="auto"/>
              </w:rPr>
            </w:pPr>
          </w:p>
        </w:tc>
      </w:tr>
      <w:tr>
        <w:trPr>
          <w:trHeight w:val="28"/>
        </w:trPr>
        <w:tc>
          <w:tcPr>
            <w:tcW w:w="4300" w:type="dxa"/>
            <w:vAlign w:val="bottom"/>
            <w:vMerge w:val="restart"/>
          </w:tcPr>
          <w:p>
            <w:pPr>
              <w:spacing w:after="0"/>
              <w:rPr>
                <w:sz w:val="20"/>
                <w:szCs w:val="20"/>
                <w:color w:val="auto"/>
              </w:rPr>
            </w:pPr>
            <w:r>
              <w:rPr>
                <w:rFonts w:ascii="Arial" w:cs="Arial" w:eastAsia="Arial" w:hAnsi="Arial"/>
                <w:sz w:val="20"/>
                <w:szCs w:val="20"/>
                <w:b w:val="1"/>
                <w:bCs w:val="1"/>
                <w:color w:val="auto"/>
              </w:rPr>
              <w:t>2022</w:t>
            </w: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0"/>
        </w:trPr>
        <w:tc>
          <w:tcPr>
            <w:tcW w:w="43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300" w:type="dxa"/>
            <w:vAlign w:val="bottom"/>
          </w:tcPr>
          <w:p>
            <w:pPr>
              <w:spacing w:after="0"/>
              <w:rPr>
                <w:sz w:val="20"/>
                <w:szCs w:val="20"/>
                <w:color w:val="auto"/>
              </w:rPr>
            </w:pPr>
            <w:r>
              <w:rPr>
                <w:rFonts w:ascii="Arial" w:cs="Arial" w:eastAsia="Arial" w:hAnsi="Arial"/>
                <w:sz w:val="20"/>
                <w:szCs w:val="20"/>
                <w:color w:val="auto"/>
              </w:rPr>
              <w:t>Productive</w:t>
            </w: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300" w:type="dxa"/>
            <w:vAlign w:val="bottom"/>
          </w:tcPr>
          <w:p>
            <w:pPr>
              <w:ind w:left="200"/>
              <w:spacing w:after="0"/>
              <w:rPr>
                <w:sz w:val="20"/>
                <w:szCs w:val="20"/>
                <w:color w:val="auto"/>
              </w:rPr>
            </w:pPr>
            <w:r>
              <w:rPr>
                <w:rFonts w:ascii="Arial" w:cs="Arial" w:eastAsia="Arial" w:hAnsi="Arial"/>
                <w:sz w:val="20"/>
                <w:szCs w:val="20"/>
                <w:color w:val="auto"/>
              </w:rPr>
              <w:t>Exploratory . . . . . . . . . . . . . . . . . . . . . . . . . . .</w:t>
            </w:r>
          </w:p>
        </w:tc>
        <w:tc>
          <w:tcPr>
            <w:tcW w:w="1040" w:type="dxa"/>
            <w:vAlign w:val="bottom"/>
          </w:tcPr>
          <w:p>
            <w:pPr>
              <w:jc w:val="right"/>
              <w:ind w:right="183"/>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1020" w:type="dxa"/>
            <w:vAlign w:val="bottom"/>
          </w:tcPr>
          <w:p>
            <w:pPr>
              <w:jc w:val="right"/>
              <w:ind w:right="222"/>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40" w:type="dxa"/>
            <w:vAlign w:val="bottom"/>
          </w:tcPr>
          <w:p>
            <w:pPr>
              <w:spacing w:after="0"/>
              <w:rPr>
                <w:sz w:val="20"/>
                <w:szCs w:val="20"/>
                <w:color w:val="auto"/>
              </w:rPr>
            </w:pPr>
          </w:p>
        </w:tc>
        <w:tc>
          <w:tcPr>
            <w:tcW w:w="1000" w:type="dxa"/>
            <w:vAlign w:val="bottom"/>
          </w:tcPr>
          <w:p>
            <w:pPr>
              <w:jc w:val="right"/>
              <w:ind w:right="263"/>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840" w:type="dxa"/>
            <w:vAlign w:val="bottom"/>
          </w:tcPr>
          <w:p>
            <w:pPr>
              <w:jc w:val="right"/>
              <w:ind w:right="8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4300" w:type="dxa"/>
            <w:vAlign w:val="bottom"/>
          </w:tcPr>
          <w:p>
            <w:pPr>
              <w:ind w:left="200"/>
              <w:spacing w:after="0"/>
              <w:rPr>
                <w:sz w:val="20"/>
                <w:szCs w:val="20"/>
                <w:color w:val="auto"/>
              </w:rPr>
            </w:pPr>
            <w:r>
              <w:rPr>
                <w:rFonts w:ascii="Arial" w:cs="Arial" w:eastAsia="Arial" w:hAnsi="Arial"/>
                <w:sz w:val="20"/>
                <w:szCs w:val="20"/>
                <w:color w:val="auto"/>
              </w:rPr>
              <w:t>Development  . . . . . . . . . . . . . . . . . . . . . . . . .</w:t>
            </w:r>
          </w:p>
        </w:tc>
        <w:tc>
          <w:tcPr>
            <w:tcW w:w="1040" w:type="dxa"/>
            <w:vAlign w:val="bottom"/>
          </w:tcPr>
          <w:p>
            <w:pPr>
              <w:jc w:val="right"/>
              <w:ind w:right="183"/>
              <w:spacing w:after="0"/>
              <w:rPr>
                <w:sz w:val="20"/>
                <w:szCs w:val="20"/>
                <w:color w:val="auto"/>
              </w:rPr>
            </w:pPr>
            <w:r>
              <w:rPr>
                <w:rFonts w:ascii="Arial" w:cs="Arial" w:eastAsia="Arial" w:hAnsi="Arial"/>
                <w:sz w:val="20"/>
                <w:szCs w:val="20"/>
                <w:color w:val="auto"/>
              </w:rPr>
              <w:t>114.3</w:t>
            </w:r>
          </w:p>
        </w:tc>
        <w:tc>
          <w:tcPr>
            <w:tcW w:w="1060" w:type="dxa"/>
            <w:vAlign w:val="bottom"/>
            <w:gridSpan w:val="2"/>
          </w:tcPr>
          <w:p>
            <w:pPr>
              <w:jc w:val="right"/>
              <w:ind w:right="222"/>
              <w:spacing w:after="0"/>
              <w:rPr>
                <w:sz w:val="20"/>
                <w:szCs w:val="20"/>
                <w:color w:val="auto"/>
              </w:rPr>
            </w:pPr>
            <w:r>
              <w:rPr>
                <w:rFonts w:ascii="Arial" w:cs="Arial" w:eastAsia="Arial" w:hAnsi="Arial"/>
                <w:sz w:val="20"/>
                <w:szCs w:val="20"/>
                <w:color w:val="auto"/>
              </w:rPr>
              <w:t>35.0</w:t>
            </w:r>
          </w:p>
        </w:tc>
        <w:tc>
          <w:tcPr>
            <w:tcW w:w="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40" w:type="dxa"/>
            <w:vAlign w:val="bottom"/>
          </w:tcPr>
          <w:p>
            <w:pPr>
              <w:spacing w:after="0"/>
              <w:rPr>
                <w:sz w:val="20"/>
                <w:szCs w:val="20"/>
                <w:color w:val="auto"/>
              </w:rPr>
            </w:pPr>
          </w:p>
        </w:tc>
        <w:tc>
          <w:tcPr>
            <w:tcW w:w="1000" w:type="dxa"/>
            <w:vAlign w:val="bottom"/>
          </w:tcPr>
          <w:p>
            <w:pPr>
              <w:jc w:val="right"/>
              <w:ind w:right="263"/>
              <w:spacing w:after="0"/>
              <w:rPr>
                <w:sz w:val="20"/>
                <w:szCs w:val="20"/>
                <w:color w:val="auto"/>
              </w:rPr>
            </w:pPr>
            <w:r>
              <w:rPr>
                <w:rFonts w:ascii="Arial" w:cs="Arial" w:eastAsia="Arial" w:hAnsi="Arial"/>
                <w:sz w:val="20"/>
                <w:szCs w:val="20"/>
                <w:color w:val="auto"/>
              </w:rPr>
              <w:t>—</w:t>
            </w:r>
          </w:p>
        </w:tc>
        <w:tc>
          <w:tcPr>
            <w:tcW w:w="880" w:type="dxa"/>
            <w:vAlign w:val="bottom"/>
            <w:gridSpan w:val="2"/>
          </w:tcPr>
          <w:p>
            <w:pPr>
              <w:jc w:val="right"/>
              <w:ind w:right="84"/>
              <w:spacing w:after="0"/>
              <w:rPr>
                <w:sz w:val="20"/>
                <w:szCs w:val="20"/>
                <w:color w:val="auto"/>
              </w:rPr>
            </w:pPr>
            <w:r>
              <w:rPr>
                <w:rFonts w:ascii="Arial" w:cs="Arial" w:eastAsia="Arial" w:hAnsi="Arial"/>
                <w:sz w:val="20"/>
                <w:szCs w:val="20"/>
                <w:color w:val="auto"/>
              </w:rPr>
              <w:t>149.3</w:t>
            </w:r>
          </w:p>
        </w:tc>
        <w:tc>
          <w:tcPr>
            <w:tcW w:w="0" w:type="dxa"/>
            <w:vAlign w:val="bottom"/>
          </w:tcPr>
          <w:p>
            <w:pPr>
              <w:spacing w:after="0"/>
              <w:rPr>
                <w:sz w:val="1"/>
                <w:szCs w:val="1"/>
                <w:color w:val="auto"/>
              </w:rPr>
            </w:pPr>
          </w:p>
        </w:tc>
      </w:tr>
      <w:tr>
        <w:trPr>
          <w:trHeight w:val="240"/>
        </w:trPr>
        <w:tc>
          <w:tcPr>
            <w:tcW w:w="4300" w:type="dxa"/>
            <w:vAlign w:val="bottom"/>
          </w:tcPr>
          <w:p>
            <w:pPr>
              <w:spacing w:after="0"/>
              <w:rPr>
                <w:sz w:val="20"/>
                <w:szCs w:val="20"/>
                <w:color w:val="auto"/>
              </w:rPr>
            </w:pPr>
            <w:r>
              <w:rPr>
                <w:rFonts w:ascii="Arial" w:cs="Arial" w:eastAsia="Arial" w:hAnsi="Arial"/>
                <w:sz w:val="20"/>
                <w:szCs w:val="20"/>
                <w:color w:val="auto"/>
              </w:rPr>
              <w:t>Dry</w:t>
            </w: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300" w:type="dxa"/>
            <w:vAlign w:val="bottom"/>
          </w:tcPr>
          <w:p>
            <w:pPr>
              <w:ind w:left="200"/>
              <w:spacing w:after="0"/>
              <w:rPr>
                <w:sz w:val="20"/>
                <w:szCs w:val="20"/>
                <w:color w:val="auto"/>
              </w:rPr>
            </w:pPr>
            <w:r>
              <w:rPr>
                <w:rFonts w:ascii="Arial" w:cs="Arial" w:eastAsia="Arial" w:hAnsi="Arial"/>
                <w:sz w:val="20"/>
                <w:szCs w:val="20"/>
                <w:color w:val="auto"/>
              </w:rPr>
              <w:t>Exploratory . . . . . . . . . . . . . . . . . . . . . . . . . . .</w:t>
            </w:r>
          </w:p>
        </w:tc>
        <w:tc>
          <w:tcPr>
            <w:tcW w:w="1040" w:type="dxa"/>
            <w:vAlign w:val="bottom"/>
          </w:tcPr>
          <w:p>
            <w:pPr>
              <w:jc w:val="right"/>
              <w:ind w:right="183"/>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1020" w:type="dxa"/>
            <w:vAlign w:val="bottom"/>
          </w:tcPr>
          <w:p>
            <w:pPr>
              <w:jc w:val="right"/>
              <w:ind w:right="222"/>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40" w:type="dxa"/>
            <w:vAlign w:val="bottom"/>
          </w:tcPr>
          <w:p>
            <w:pPr>
              <w:spacing w:after="0"/>
              <w:rPr>
                <w:sz w:val="20"/>
                <w:szCs w:val="20"/>
                <w:color w:val="auto"/>
              </w:rPr>
            </w:pPr>
          </w:p>
        </w:tc>
        <w:tc>
          <w:tcPr>
            <w:tcW w:w="1000" w:type="dxa"/>
            <w:vAlign w:val="bottom"/>
          </w:tcPr>
          <w:p>
            <w:pPr>
              <w:jc w:val="right"/>
              <w:ind w:right="263"/>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840" w:type="dxa"/>
            <w:vAlign w:val="bottom"/>
          </w:tcPr>
          <w:p>
            <w:pPr>
              <w:jc w:val="right"/>
              <w:ind w:right="8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2"/>
        </w:trPr>
        <w:tc>
          <w:tcPr>
            <w:tcW w:w="4300" w:type="dxa"/>
            <w:vAlign w:val="bottom"/>
          </w:tcPr>
          <w:p>
            <w:pPr>
              <w:ind w:left="200"/>
              <w:spacing w:after="0"/>
              <w:rPr>
                <w:sz w:val="20"/>
                <w:szCs w:val="20"/>
                <w:color w:val="auto"/>
              </w:rPr>
            </w:pPr>
            <w:r>
              <w:rPr>
                <w:rFonts w:ascii="Arial" w:cs="Arial" w:eastAsia="Arial" w:hAnsi="Arial"/>
                <w:sz w:val="20"/>
                <w:szCs w:val="20"/>
                <w:color w:val="auto"/>
              </w:rPr>
              <w:t>Development  . . . . . . . . . . . . . . . . . . . . . . . . .</w:t>
            </w:r>
          </w:p>
        </w:tc>
        <w:tc>
          <w:tcPr>
            <w:tcW w:w="1040" w:type="dxa"/>
            <w:vAlign w:val="bottom"/>
          </w:tcPr>
          <w:p>
            <w:pPr>
              <w:jc w:val="right"/>
              <w:ind w:right="183"/>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1"/>
                <w:szCs w:val="21"/>
                <w:color w:val="auto"/>
              </w:rPr>
            </w:pPr>
          </w:p>
        </w:tc>
        <w:tc>
          <w:tcPr>
            <w:tcW w:w="1020" w:type="dxa"/>
            <w:vAlign w:val="bottom"/>
          </w:tcPr>
          <w:p>
            <w:pPr>
              <w:jc w:val="right"/>
              <w:ind w:right="222"/>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40" w:type="dxa"/>
            <w:vAlign w:val="bottom"/>
          </w:tcPr>
          <w:p>
            <w:pPr>
              <w:spacing w:after="0"/>
              <w:rPr>
                <w:sz w:val="21"/>
                <w:szCs w:val="21"/>
                <w:color w:val="auto"/>
              </w:rPr>
            </w:pPr>
          </w:p>
        </w:tc>
        <w:tc>
          <w:tcPr>
            <w:tcW w:w="1000" w:type="dxa"/>
            <w:vAlign w:val="bottom"/>
          </w:tcPr>
          <w:p>
            <w:pPr>
              <w:jc w:val="right"/>
              <w:ind w:right="263"/>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1"/>
                <w:szCs w:val="21"/>
                <w:color w:val="auto"/>
              </w:rPr>
            </w:pPr>
          </w:p>
        </w:tc>
        <w:tc>
          <w:tcPr>
            <w:tcW w:w="840" w:type="dxa"/>
            <w:vAlign w:val="bottom"/>
          </w:tcPr>
          <w:p>
            <w:pPr>
              <w:jc w:val="right"/>
              <w:ind w:right="8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480"/>
        </w:trPr>
        <w:tc>
          <w:tcPr>
            <w:tcW w:w="4300" w:type="dxa"/>
            <w:vAlign w:val="bottom"/>
          </w:tcPr>
          <w:p>
            <w:pPr>
              <w:spacing w:after="0"/>
              <w:rPr>
                <w:sz w:val="20"/>
                <w:szCs w:val="20"/>
                <w:color w:val="auto"/>
              </w:rPr>
            </w:pPr>
            <w:r>
              <w:rPr>
                <w:rFonts w:ascii="Arial" w:cs="Arial" w:eastAsia="Arial" w:hAnsi="Arial"/>
                <w:sz w:val="20"/>
                <w:szCs w:val="20"/>
                <w:b w:val="1"/>
                <w:bCs w:val="1"/>
                <w:color w:val="auto"/>
              </w:rPr>
              <w:t>2021</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300" w:type="dxa"/>
            <w:vAlign w:val="bottom"/>
          </w:tcPr>
          <w:p>
            <w:pPr>
              <w:spacing w:after="0"/>
              <w:rPr>
                <w:sz w:val="20"/>
                <w:szCs w:val="20"/>
                <w:color w:val="auto"/>
              </w:rPr>
            </w:pPr>
            <w:r>
              <w:rPr>
                <w:rFonts w:ascii="Arial" w:cs="Arial" w:eastAsia="Arial" w:hAnsi="Arial"/>
                <w:sz w:val="20"/>
                <w:szCs w:val="20"/>
                <w:color w:val="auto"/>
              </w:rPr>
              <w:t>Productive</w:t>
            </w: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300" w:type="dxa"/>
            <w:vAlign w:val="bottom"/>
          </w:tcPr>
          <w:p>
            <w:pPr>
              <w:ind w:left="200"/>
              <w:spacing w:after="0"/>
              <w:rPr>
                <w:sz w:val="20"/>
                <w:szCs w:val="20"/>
                <w:color w:val="auto"/>
              </w:rPr>
            </w:pPr>
            <w:r>
              <w:rPr>
                <w:rFonts w:ascii="Arial" w:cs="Arial" w:eastAsia="Arial" w:hAnsi="Arial"/>
                <w:sz w:val="20"/>
                <w:szCs w:val="20"/>
                <w:color w:val="auto"/>
              </w:rPr>
              <w:t>Exploratory . . . . . . . . . . . . . . . . . . . . . . . . . . .</w:t>
            </w:r>
          </w:p>
        </w:tc>
        <w:tc>
          <w:tcPr>
            <w:tcW w:w="1040" w:type="dxa"/>
            <w:vAlign w:val="bottom"/>
          </w:tcPr>
          <w:p>
            <w:pPr>
              <w:jc w:val="right"/>
              <w:ind w:right="183"/>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1020" w:type="dxa"/>
            <w:vAlign w:val="bottom"/>
          </w:tcPr>
          <w:p>
            <w:pPr>
              <w:jc w:val="right"/>
              <w:ind w:right="222"/>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40" w:type="dxa"/>
            <w:vAlign w:val="bottom"/>
          </w:tcPr>
          <w:p>
            <w:pPr>
              <w:spacing w:after="0"/>
              <w:rPr>
                <w:sz w:val="20"/>
                <w:szCs w:val="20"/>
                <w:color w:val="auto"/>
              </w:rPr>
            </w:pPr>
          </w:p>
        </w:tc>
        <w:tc>
          <w:tcPr>
            <w:tcW w:w="1000" w:type="dxa"/>
            <w:vAlign w:val="bottom"/>
          </w:tcPr>
          <w:p>
            <w:pPr>
              <w:jc w:val="right"/>
              <w:ind w:right="263"/>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840" w:type="dxa"/>
            <w:vAlign w:val="bottom"/>
          </w:tcPr>
          <w:p>
            <w:pPr>
              <w:jc w:val="right"/>
              <w:ind w:right="8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4300" w:type="dxa"/>
            <w:vAlign w:val="bottom"/>
          </w:tcPr>
          <w:p>
            <w:pPr>
              <w:ind w:left="200"/>
              <w:spacing w:after="0"/>
              <w:rPr>
                <w:sz w:val="20"/>
                <w:szCs w:val="20"/>
                <w:color w:val="auto"/>
              </w:rPr>
            </w:pPr>
            <w:r>
              <w:rPr>
                <w:rFonts w:ascii="Arial" w:cs="Arial" w:eastAsia="Arial" w:hAnsi="Arial"/>
                <w:sz w:val="20"/>
                <w:szCs w:val="20"/>
                <w:color w:val="auto"/>
              </w:rPr>
              <w:t>Development  . . . . . . . . . . . . . . . . . . . . . . . . .</w:t>
            </w:r>
          </w:p>
        </w:tc>
        <w:tc>
          <w:tcPr>
            <w:tcW w:w="1040" w:type="dxa"/>
            <w:vAlign w:val="bottom"/>
          </w:tcPr>
          <w:p>
            <w:pPr>
              <w:jc w:val="right"/>
              <w:ind w:right="183"/>
              <w:spacing w:after="0"/>
              <w:rPr>
                <w:sz w:val="20"/>
                <w:szCs w:val="20"/>
                <w:color w:val="auto"/>
              </w:rPr>
            </w:pPr>
            <w:r>
              <w:rPr>
                <w:rFonts w:ascii="Arial" w:cs="Arial" w:eastAsia="Arial" w:hAnsi="Arial"/>
                <w:sz w:val="20"/>
                <w:szCs w:val="20"/>
                <w:color w:val="auto"/>
              </w:rPr>
              <w:t>109.4</w:t>
            </w:r>
          </w:p>
        </w:tc>
        <w:tc>
          <w:tcPr>
            <w:tcW w:w="1060" w:type="dxa"/>
            <w:vAlign w:val="bottom"/>
            <w:gridSpan w:val="2"/>
          </w:tcPr>
          <w:p>
            <w:pPr>
              <w:jc w:val="right"/>
              <w:ind w:right="222"/>
              <w:spacing w:after="0"/>
              <w:rPr>
                <w:sz w:val="20"/>
                <w:szCs w:val="20"/>
                <w:color w:val="auto"/>
              </w:rPr>
            </w:pPr>
            <w:r>
              <w:rPr>
                <w:rFonts w:ascii="Arial" w:cs="Arial" w:eastAsia="Arial" w:hAnsi="Arial"/>
                <w:sz w:val="20"/>
                <w:szCs w:val="20"/>
                <w:color w:val="auto"/>
              </w:rPr>
              <w:t>6.5</w:t>
            </w:r>
          </w:p>
        </w:tc>
        <w:tc>
          <w:tcPr>
            <w:tcW w:w="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40" w:type="dxa"/>
            <w:vAlign w:val="bottom"/>
          </w:tcPr>
          <w:p>
            <w:pPr>
              <w:spacing w:after="0"/>
              <w:rPr>
                <w:sz w:val="20"/>
                <w:szCs w:val="20"/>
                <w:color w:val="auto"/>
              </w:rPr>
            </w:pPr>
          </w:p>
        </w:tc>
        <w:tc>
          <w:tcPr>
            <w:tcW w:w="1000" w:type="dxa"/>
            <w:vAlign w:val="bottom"/>
          </w:tcPr>
          <w:p>
            <w:pPr>
              <w:jc w:val="right"/>
              <w:ind w:right="263"/>
              <w:spacing w:after="0"/>
              <w:rPr>
                <w:sz w:val="20"/>
                <w:szCs w:val="20"/>
                <w:color w:val="auto"/>
              </w:rPr>
            </w:pPr>
            <w:r>
              <w:rPr>
                <w:rFonts w:ascii="Arial" w:cs="Arial" w:eastAsia="Arial" w:hAnsi="Arial"/>
                <w:sz w:val="20"/>
                <w:szCs w:val="20"/>
                <w:color w:val="auto"/>
              </w:rPr>
              <w:t>—</w:t>
            </w:r>
          </w:p>
        </w:tc>
        <w:tc>
          <w:tcPr>
            <w:tcW w:w="880" w:type="dxa"/>
            <w:vAlign w:val="bottom"/>
            <w:gridSpan w:val="2"/>
          </w:tcPr>
          <w:p>
            <w:pPr>
              <w:jc w:val="right"/>
              <w:ind w:right="84"/>
              <w:spacing w:after="0"/>
              <w:rPr>
                <w:sz w:val="20"/>
                <w:szCs w:val="20"/>
                <w:color w:val="auto"/>
              </w:rPr>
            </w:pPr>
            <w:r>
              <w:rPr>
                <w:rFonts w:ascii="Arial" w:cs="Arial" w:eastAsia="Arial" w:hAnsi="Arial"/>
                <w:sz w:val="20"/>
                <w:szCs w:val="20"/>
                <w:color w:val="auto"/>
              </w:rPr>
              <w:t>115.9</w:t>
            </w:r>
          </w:p>
        </w:tc>
        <w:tc>
          <w:tcPr>
            <w:tcW w:w="0" w:type="dxa"/>
            <w:vAlign w:val="bottom"/>
          </w:tcPr>
          <w:p>
            <w:pPr>
              <w:spacing w:after="0"/>
              <w:rPr>
                <w:sz w:val="1"/>
                <w:szCs w:val="1"/>
                <w:color w:val="auto"/>
              </w:rPr>
            </w:pPr>
          </w:p>
        </w:tc>
      </w:tr>
      <w:tr>
        <w:trPr>
          <w:trHeight w:val="240"/>
        </w:trPr>
        <w:tc>
          <w:tcPr>
            <w:tcW w:w="4300" w:type="dxa"/>
            <w:vAlign w:val="bottom"/>
          </w:tcPr>
          <w:p>
            <w:pPr>
              <w:spacing w:after="0"/>
              <w:rPr>
                <w:sz w:val="20"/>
                <w:szCs w:val="20"/>
                <w:color w:val="auto"/>
              </w:rPr>
            </w:pPr>
            <w:r>
              <w:rPr>
                <w:rFonts w:ascii="Arial" w:cs="Arial" w:eastAsia="Arial" w:hAnsi="Arial"/>
                <w:sz w:val="20"/>
                <w:szCs w:val="20"/>
                <w:color w:val="auto"/>
              </w:rPr>
              <w:t>Dry</w:t>
            </w: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300" w:type="dxa"/>
            <w:vAlign w:val="bottom"/>
          </w:tcPr>
          <w:p>
            <w:pPr>
              <w:ind w:left="200"/>
              <w:spacing w:after="0"/>
              <w:rPr>
                <w:sz w:val="20"/>
                <w:szCs w:val="20"/>
                <w:color w:val="auto"/>
              </w:rPr>
            </w:pPr>
            <w:r>
              <w:rPr>
                <w:rFonts w:ascii="Arial" w:cs="Arial" w:eastAsia="Arial" w:hAnsi="Arial"/>
                <w:sz w:val="20"/>
                <w:szCs w:val="20"/>
                <w:color w:val="auto"/>
              </w:rPr>
              <w:t>Exploratory . . . . . . . . . . . . . . . . . . . . . . . . . . .</w:t>
            </w:r>
          </w:p>
        </w:tc>
        <w:tc>
          <w:tcPr>
            <w:tcW w:w="1040" w:type="dxa"/>
            <w:vAlign w:val="bottom"/>
          </w:tcPr>
          <w:p>
            <w:pPr>
              <w:jc w:val="right"/>
              <w:ind w:right="183"/>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1020" w:type="dxa"/>
            <w:vAlign w:val="bottom"/>
          </w:tcPr>
          <w:p>
            <w:pPr>
              <w:jc w:val="right"/>
              <w:ind w:right="222"/>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40" w:type="dxa"/>
            <w:vAlign w:val="bottom"/>
          </w:tcPr>
          <w:p>
            <w:pPr>
              <w:spacing w:after="0"/>
              <w:rPr>
                <w:sz w:val="20"/>
                <w:szCs w:val="20"/>
                <w:color w:val="auto"/>
              </w:rPr>
            </w:pPr>
          </w:p>
        </w:tc>
        <w:tc>
          <w:tcPr>
            <w:tcW w:w="1000" w:type="dxa"/>
            <w:vAlign w:val="bottom"/>
          </w:tcPr>
          <w:p>
            <w:pPr>
              <w:jc w:val="right"/>
              <w:ind w:right="263"/>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840" w:type="dxa"/>
            <w:vAlign w:val="bottom"/>
          </w:tcPr>
          <w:p>
            <w:pPr>
              <w:jc w:val="right"/>
              <w:ind w:right="8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4300" w:type="dxa"/>
            <w:vAlign w:val="bottom"/>
          </w:tcPr>
          <w:p>
            <w:pPr>
              <w:ind w:left="200"/>
              <w:spacing w:after="0"/>
              <w:rPr>
                <w:sz w:val="20"/>
                <w:szCs w:val="20"/>
                <w:color w:val="auto"/>
              </w:rPr>
            </w:pPr>
            <w:r>
              <w:rPr>
                <w:rFonts w:ascii="Arial" w:cs="Arial" w:eastAsia="Arial" w:hAnsi="Arial"/>
                <w:sz w:val="20"/>
                <w:szCs w:val="20"/>
                <w:color w:val="auto"/>
              </w:rPr>
              <w:t>Development  . . . . . . . . . . . . . . . . . . . . . . . . .</w:t>
            </w:r>
          </w:p>
        </w:tc>
        <w:tc>
          <w:tcPr>
            <w:tcW w:w="1040" w:type="dxa"/>
            <w:vAlign w:val="bottom"/>
          </w:tcPr>
          <w:p>
            <w:pPr>
              <w:jc w:val="right"/>
              <w:ind w:right="183"/>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1020" w:type="dxa"/>
            <w:vAlign w:val="bottom"/>
          </w:tcPr>
          <w:p>
            <w:pPr>
              <w:jc w:val="right"/>
              <w:ind w:right="222"/>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40" w:type="dxa"/>
            <w:vAlign w:val="bottom"/>
          </w:tcPr>
          <w:p>
            <w:pPr>
              <w:spacing w:after="0"/>
              <w:rPr>
                <w:sz w:val="20"/>
                <w:szCs w:val="20"/>
                <w:color w:val="auto"/>
              </w:rPr>
            </w:pPr>
          </w:p>
        </w:tc>
        <w:tc>
          <w:tcPr>
            <w:tcW w:w="1000" w:type="dxa"/>
            <w:vAlign w:val="bottom"/>
          </w:tcPr>
          <w:p>
            <w:pPr>
              <w:jc w:val="right"/>
              <w:ind w:right="263"/>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840" w:type="dxa"/>
            <w:vAlign w:val="bottom"/>
          </w:tcPr>
          <w:p>
            <w:pPr>
              <w:jc w:val="right"/>
              <w:ind w:right="8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480"/>
        </w:trPr>
        <w:tc>
          <w:tcPr>
            <w:tcW w:w="4300" w:type="dxa"/>
            <w:vAlign w:val="bottom"/>
          </w:tcPr>
          <w:p>
            <w:pPr>
              <w:spacing w:after="0"/>
              <w:rPr>
                <w:sz w:val="20"/>
                <w:szCs w:val="20"/>
                <w:color w:val="auto"/>
              </w:rPr>
            </w:pPr>
            <w:r>
              <w:rPr>
                <w:rFonts w:ascii="Arial" w:cs="Arial" w:eastAsia="Arial" w:hAnsi="Arial"/>
                <w:sz w:val="20"/>
                <w:szCs w:val="20"/>
                <w:b w:val="1"/>
                <w:bCs w:val="1"/>
                <w:color w:val="auto"/>
              </w:rPr>
              <w:t>2020</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300" w:type="dxa"/>
            <w:vAlign w:val="bottom"/>
          </w:tcPr>
          <w:p>
            <w:pPr>
              <w:spacing w:after="0"/>
              <w:rPr>
                <w:sz w:val="20"/>
                <w:szCs w:val="20"/>
                <w:color w:val="auto"/>
              </w:rPr>
            </w:pPr>
            <w:r>
              <w:rPr>
                <w:rFonts w:ascii="Arial" w:cs="Arial" w:eastAsia="Arial" w:hAnsi="Arial"/>
                <w:sz w:val="20"/>
                <w:szCs w:val="20"/>
                <w:color w:val="auto"/>
              </w:rPr>
              <w:t>Productive</w:t>
            </w: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300" w:type="dxa"/>
            <w:vAlign w:val="bottom"/>
          </w:tcPr>
          <w:p>
            <w:pPr>
              <w:ind w:left="200"/>
              <w:spacing w:after="0"/>
              <w:rPr>
                <w:sz w:val="20"/>
                <w:szCs w:val="20"/>
                <w:color w:val="auto"/>
              </w:rPr>
            </w:pPr>
            <w:r>
              <w:rPr>
                <w:rFonts w:ascii="Arial" w:cs="Arial" w:eastAsia="Arial" w:hAnsi="Arial"/>
                <w:sz w:val="20"/>
                <w:szCs w:val="20"/>
                <w:color w:val="auto"/>
              </w:rPr>
              <w:t>Exploratory . . . . . . . . . . . . . . . . . . . . . . . . . . .</w:t>
            </w:r>
          </w:p>
        </w:tc>
        <w:tc>
          <w:tcPr>
            <w:tcW w:w="1040" w:type="dxa"/>
            <w:vAlign w:val="bottom"/>
          </w:tcPr>
          <w:p>
            <w:pPr>
              <w:jc w:val="right"/>
              <w:ind w:right="183"/>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1020" w:type="dxa"/>
            <w:vAlign w:val="bottom"/>
          </w:tcPr>
          <w:p>
            <w:pPr>
              <w:jc w:val="right"/>
              <w:ind w:right="222"/>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40" w:type="dxa"/>
            <w:vAlign w:val="bottom"/>
          </w:tcPr>
          <w:p>
            <w:pPr>
              <w:spacing w:after="0"/>
              <w:rPr>
                <w:sz w:val="20"/>
                <w:szCs w:val="20"/>
                <w:color w:val="auto"/>
              </w:rPr>
            </w:pPr>
          </w:p>
        </w:tc>
        <w:tc>
          <w:tcPr>
            <w:tcW w:w="1000" w:type="dxa"/>
            <w:vAlign w:val="bottom"/>
          </w:tcPr>
          <w:p>
            <w:pPr>
              <w:jc w:val="right"/>
              <w:ind w:right="263"/>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840" w:type="dxa"/>
            <w:vAlign w:val="bottom"/>
          </w:tcPr>
          <w:p>
            <w:pPr>
              <w:jc w:val="right"/>
              <w:ind w:right="8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4300" w:type="dxa"/>
            <w:vAlign w:val="bottom"/>
          </w:tcPr>
          <w:p>
            <w:pPr>
              <w:ind w:left="200"/>
              <w:spacing w:after="0"/>
              <w:rPr>
                <w:sz w:val="20"/>
                <w:szCs w:val="20"/>
                <w:color w:val="auto"/>
              </w:rPr>
            </w:pPr>
            <w:r>
              <w:rPr>
                <w:rFonts w:ascii="Arial" w:cs="Arial" w:eastAsia="Arial" w:hAnsi="Arial"/>
                <w:sz w:val="20"/>
                <w:szCs w:val="20"/>
                <w:color w:val="auto"/>
              </w:rPr>
              <w:t>Development  . . . . . . . . . . . . . . . . . . . . . . . . .</w:t>
            </w:r>
          </w:p>
        </w:tc>
        <w:tc>
          <w:tcPr>
            <w:tcW w:w="1040" w:type="dxa"/>
            <w:vAlign w:val="bottom"/>
          </w:tcPr>
          <w:p>
            <w:pPr>
              <w:jc w:val="right"/>
              <w:ind w:right="183"/>
              <w:spacing w:after="0"/>
              <w:rPr>
                <w:sz w:val="20"/>
                <w:szCs w:val="20"/>
                <w:color w:val="auto"/>
              </w:rPr>
            </w:pPr>
            <w:r>
              <w:rPr>
                <w:rFonts w:ascii="Arial" w:cs="Arial" w:eastAsia="Arial" w:hAnsi="Arial"/>
                <w:sz w:val="20"/>
                <w:szCs w:val="20"/>
                <w:color w:val="auto"/>
              </w:rPr>
              <w:t>4.0</w:t>
            </w:r>
          </w:p>
        </w:tc>
        <w:tc>
          <w:tcPr>
            <w:tcW w:w="1060" w:type="dxa"/>
            <w:vAlign w:val="bottom"/>
            <w:gridSpan w:val="2"/>
          </w:tcPr>
          <w:p>
            <w:pPr>
              <w:jc w:val="right"/>
              <w:ind w:right="222"/>
              <w:spacing w:after="0"/>
              <w:rPr>
                <w:sz w:val="20"/>
                <w:szCs w:val="20"/>
                <w:color w:val="auto"/>
              </w:rPr>
            </w:pPr>
            <w:r>
              <w:rPr>
                <w:rFonts w:ascii="Arial" w:cs="Arial" w:eastAsia="Arial" w:hAnsi="Arial"/>
                <w:sz w:val="20"/>
                <w:szCs w:val="20"/>
                <w:color w:val="auto"/>
              </w:rPr>
              <w:t>4.5</w:t>
            </w:r>
          </w:p>
        </w:tc>
        <w:tc>
          <w:tcPr>
            <w:tcW w:w="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1040" w:type="dxa"/>
            <w:vAlign w:val="bottom"/>
            <w:gridSpan w:val="2"/>
          </w:tcPr>
          <w:p>
            <w:pPr>
              <w:jc w:val="right"/>
              <w:ind w:right="263"/>
              <w:spacing w:after="0"/>
              <w:rPr>
                <w:sz w:val="20"/>
                <w:szCs w:val="20"/>
                <w:color w:val="auto"/>
              </w:rPr>
            </w:pPr>
            <w:r>
              <w:rPr>
                <w:rFonts w:ascii="Arial" w:cs="Arial" w:eastAsia="Arial" w:hAnsi="Arial"/>
                <w:sz w:val="20"/>
                <w:szCs w:val="20"/>
                <w:color w:val="auto"/>
              </w:rPr>
              <w:t>0.4</w:t>
            </w:r>
          </w:p>
        </w:tc>
        <w:tc>
          <w:tcPr>
            <w:tcW w:w="880" w:type="dxa"/>
            <w:vAlign w:val="bottom"/>
            <w:gridSpan w:val="2"/>
          </w:tcPr>
          <w:p>
            <w:pPr>
              <w:jc w:val="right"/>
              <w:ind w:right="84"/>
              <w:spacing w:after="0"/>
              <w:rPr>
                <w:sz w:val="20"/>
                <w:szCs w:val="20"/>
                <w:color w:val="auto"/>
              </w:rPr>
            </w:pPr>
            <w:r>
              <w:rPr>
                <w:rFonts w:ascii="Arial" w:cs="Arial" w:eastAsia="Arial" w:hAnsi="Arial"/>
                <w:sz w:val="20"/>
                <w:szCs w:val="20"/>
                <w:color w:val="auto"/>
              </w:rPr>
              <w:t>8.9</w:t>
            </w:r>
          </w:p>
        </w:tc>
        <w:tc>
          <w:tcPr>
            <w:tcW w:w="0" w:type="dxa"/>
            <w:vAlign w:val="bottom"/>
          </w:tcPr>
          <w:p>
            <w:pPr>
              <w:spacing w:after="0"/>
              <w:rPr>
                <w:sz w:val="1"/>
                <w:szCs w:val="1"/>
                <w:color w:val="auto"/>
              </w:rPr>
            </w:pPr>
          </w:p>
        </w:tc>
      </w:tr>
      <w:tr>
        <w:trPr>
          <w:trHeight w:val="240"/>
        </w:trPr>
        <w:tc>
          <w:tcPr>
            <w:tcW w:w="4300" w:type="dxa"/>
            <w:vAlign w:val="bottom"/>
          </w:tcPr>
          <w:p>
            <w:pPr>
              <w:spacing w:after="0"/>
              <w:rPr>
                <w:sz w:val="20"/>
                <w:szCs w:val="20"/>
                <w:color w:val="auto"/>
              </w:rPr>
            </w:pPr>
            <w:r>
              <w:rPr>
                <w:rFonts w:ascii="Arial" w:cs="Arial" w:eastAsia="Arial" w:hAnsi="Arial"/>
                <w:sz w:val="20"/>
                <w:szCs w:val="20"/>
                <w:color w:val="auto"/>
              </w:rPr>
              <w:t>Dry</w:t>
            </w: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300" w:type="dxa"/>
            <w:vAlign w:val="bottom"/>
          </w:tcPr>
          <w:p>
            <w:pPr>
              <w:ind w:left="200"/>
              <w:spacing w:after="0"/>
              <w:rPr>
                <w:sz w:val="20"/>
                <w:szCs w:val="20"/>
                <w:color w:val="auto"/>
              </w:rPr>
            </w:pPr>
            <w:r>
              <w:rPr>
                <w:rFonts w:ascii="Arial" w:cs="Arial" w:eastAsia="Arial" w:hAnsi="Arial"/>
                <w:sz w:val="20"/>
                <w:szCs w:val="20"/>
                <w:color w:val="auto"/>
              </w:rPr>
              <w:t>Exploratory . . . . . . . . . . . . . . . . . . . . . . . . . . .</w:t>
            </w:r>
          </w:p>
        </w:tc>
        <w:tc>
          <w:tcPr>
            <w:tcW w:w="1040" w:type="dxa"/>
            <w:vAlign w:val="bottom"/>
          </w:tcPr>
          <w:p>
            <w:pPr>
              <w:jc w:val="right"/>
              <w:ind w:right="183"/>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1020" w:type="dxa"/>
            <w:vAlign w:val="bottom"/>
          </w:tcPr>
          <w:p>
            <w:pPr>
              <w:jc w:val="right"/>
              <w:ind w:right="222"/>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40" w:type="dxa"/>
            <w:vAlign w:val="bottom"/>
          </w:tcPr>
          <w:p>
            <w:pPr>
              <w:spacing w:after="0"/>
              <w:rPr>
                <w:sz w:val="20"/>
                <w:szCs w:val="20"/>
                <w:color w:val="auto"/>
              </w:rPr>
            </w:pPr>
          </w:p>
        </w:tc>
        <w:tc>
          <w:tcPr>
            <w:tcW w:w="1000" w:type="dxa"/>
            <w:vAlign w:val="bottom"/>
          </w:tcPr>
          <w:p>
            <w:pPr>
              <w:jc w:val="right"/>
              <w:ind w:right="263"/>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840" w:type="dxa"/>
            <w:vAlign w:val="bottom"/>
          </w:tcPr>
          <w:p>
            <w:pPr>
              <w:jc w:val="right"/>
              <w:ind w:right="8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4300" w:type="dxa"/>
            <w:vAlign w:val="bottom"/>
          </w:tcPr>
          <w:p>
            <w:pPr>
              <w:ind w:left="200"/>
              <w:spacing w:after="0"/>
              <w:rPr>
                <w:sz w:val="20"/>
                <w:szCs w:val="20"/>
                <w:color w:val="auto"/>
              </w:rPr>
            </w:pPr>
            <w:r>
              <w:rPr>
                <w:rFonts w:ascii="Arial" w:cs="Arial" w:eastAsia="Arial" w:hAnsi="Arial"/>
                <w:sz w:val="20"/>
                <w:szCs w:val="20"/>
                <w:color w:val="auto"/>
              </w:rPr>
              <w:t>Development  . . . . . . . . . . . . . . . . . . . . . . . . .</w:t>
            </w:r>
          </w:p>
        </w:tc>
        <w:tc>
          <w:tcPr>
            <w:tcW w:w="1040" w:type="dxa"/>
            <w:vAlign w:val="bottom"/>
          </w:tcPr>
          <w:p>
            <w:pPr>
              <w:jc w:val="right"/>
              <w:ind w:right="183"/>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1020" w:type="dxa"/>
            <w:vAlign w:val="bottom"/>
          </w:tcPr>
          <w:p>
            <w:pPr>
              <w:jc w:val="right"/>
              <w:ind w:right="222"/>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40" w:type="dxa"/>
            <w:vAlign w:val="bottom"/>
          </w:tcPr>
          <w:p>
            <w:pPr>
              <w:spacing w:after="0"/>
              <w:rPr>
                <w:sz w:val="20"/>
                <w:szCs w:val="20"/>
                <w:color w:val="auto"/>
              </w:rPr>
            </w:pPr>
          </w:p>
        </w:tc>
        <w:tc>
          <w:tcPr>
            <w:tcW w:w="1000" w:type="dxa"/>
            <w:vAlign w:val="bottom"/>
          </w:tcPr>
          <w:p>
            <w:pPr>
              <w:jc w:val="right"/>
              <w:ind w:right="263"/>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840" w:type="dxa"/>
            <w:vAlign w:val="bottom"/>
          </w:tcPr>
          <w:p>
            <w:pPr>
              <w:jc w:val="right"/>
              <w:ind w:right="8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500" w:firstLine="300"/>
        <w:spacing w:after="0" w:line="245" w:lineRule="auto"/>
        <w:rPr>
          <w:sz w:val="20"/>
          <w:szCs w:val="20"/>
          <w:color w:val="auto"/>
        </w:rPr>
      </w:pPr>
      <w:r>
        <w:rPr>
          <w:rFonts w:ascii="Arial" w:cs="Arial" w:eastAsia="Arial" w:hAnsi="Arial"/>
          <w:sz w:val="20"/>
          <w:szCs w:val="20"/>
          <w:color w:val="auto"/>
        </w:rPr>
        <w:t>The following table sets forth information on our development wells where drilling was either in progress or pending completion as of December 31, 2022.</w:t>
      </w:r>
    </w:p>
    <w:p>
      <w:pPr>
        <w:spacing w:after="0" w:line="141"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San Joaquin</w:t>
            </w:r>
          </w:p>
        </w:tc>
        <w:tc>
          <w:tcPr>
            <w:tcW w:w="4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8"/>
              </w:rPr>
              <w:t>Los Angeles</w:t>
            </w:r>
          </w:p>
        </w:tc>
        <w:tc>
          <w:tcPr>
            <w:tcW w:w="4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rPr>
              <w:t>Ventura</w:t>
            </w:r>
          </w:p>
        </w:tc>
        <w:tc>
          <w:tcPr>
            <w:tcW w:w="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Sacramento</w:t>
            </w: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9"/>
              </w:rPr>
              <w:t>Total Net</w:t>
            </w:r>
          </w:p>
        </w:tc>
      </w:tr>
      <w:tr>
        <w:trPr>
          <w:trHeight w:val="181"/>
        </w:trPr>
        <w:tc>
          <w:tcPr>
            <w:tcW w:w="4100" w:type="dxa"/>
            <w:vAlign w:val="bottom"/>
          </w:tcPr>
          <w:p>
            <w:pPr>
              <w:spacing w:after="0"/>
              <w:rPr>
                <w:sz w:val="15"/>
                <w:szCs w:val="15"/>
                <w:color w:val="auto"/>
              </w:rPr>
            </w:pPr>
          </w:p>
        </w:tc>
        <w:tc>
          <w:tcPr>
            <w:tcW w:w="10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Basin</w:t>
            </w:r>
          </w:p>
        </w:tc>
        <w:tc>
          <w:tcPr>
            <w:tcW w:w="40" w:type="dxa"/>
            <w:vAlign w:val="bottom"/>
          </w:tcPr>
          <w:p>
            <w:pPr>
              <w:spacing w:after="0"/>
              <w:rPr>
                <w:sz w:val="15"/>
                <w:szCs w:val="15"/>
                <w:color w:val="auto"/>
              </w:rPr>
            </w:pPr>
          </w:p>
        </w:tc>
        <w:tc>
          <w:tcPr>
            <w:tcW w:w="10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6"/>
              </w:rPr>
              <w:t>Basin</w:t>
            </w:r>
          </w:p>
        </w:tc>
        <w:tc>
          <w:tcPr>
            <w:tcW w:w="40" w:type="dxa"/>
            <w:vAlign w:val="bottom"/>
          </w:tcPr>
          <w:p>
            <w:pPr>
              <w:spacing w:after="0"/>
              <w:rPr>
                <w:sz w:val="15"/>
                <w:szCs w:val="15"/>
                <w:color w:val="auto"/>
              </w:rPr>
            </w:pPr>
          </w:p>
        </w:tc>
        <w:tc>
          <w:tcPr>
            <w:tcW w:w="76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Basin</w:t>
            </w:r>
          </w:p>
        </w:tc>
        <w:tc>
          <w:tcPr>
            <w:tcW w:w="40" w:type="dxa"/>
            <w:vAlign w:val="bottom"/>
          </w:tcPr>
          <w:p>
            <w:pPr>
              <w:spacing w:after="0"/>
              <w:rPr>
                <w:sz w:val="15"/>
                <w:szCs w:val="15"/>
                <w:color w:val="auto"/>
              </w:rPr>
            </w:pPr>
          </w:p>
        </w:tc>
        <w:tc>
          <w:tcPr>
            <w:tcW w:w="100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Basin</w:t>
            </w:r>
          </w:p>
        </w:tc>
        <w:tc>
          <w:tcPr>
            <w:tcW w:w="40" w:type="dxa"/>
            <w:vAlign w:val="bottom"/>
          </w:tcPr>
          <w:p>
            <w:pPr>
              <w:spacing w:after="0"/>
              <w:rPr>
                <w:sz w:val="15"/>
                <w:szCs w:val="15"/>
                <w:color w:val="auto"/>
              </w:rPr>
            </w:pPr>
          </w:p>
        </w:tc>
        <w:tc>
          <w:tcPr>
            <w:tcW w:w="8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Wells</w:t>
            </w:r>
          </w:p>
        </w:tc>
      </w:tr>
      <w:tr>
        <w:trPr>
          <w:trHeight w:val="28"/>
        </w:trPr>
        <w:tc>
          <w:tcPr>
            <w:tcW w:w="4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82"/>
        </w:trPr>
        <w:tc>
          <w:tcPr>
            <w:tcW w:w="4100" w:type="dxa"/>
            <w:vAlign w:val="bottom"/>
          </w:tcPr>
          <w:p>
            <w:pPr>
              <w:spacing w:after="0"/>
              <w:rPr>
                <w:sz w:val="20"/>
                <w:szCs w:val="20"/>
                <w:color w:val="auto"/>
              </w:rPr>
            </w:pPr>
            <w:r>
              <w:rPr>
                <w:rFonts w:ascii="Arial" w:cs="Arial" w:eastAsia="Arial" w:hAnsi="Arial"/>
                <w:sz w:val="20"/>
                <w:szCs w:val="20"/>
                <w:color w:val="auto"/>
              </w:rPr>
              <w:t>Gross  . . . . . . . . . . . . . . . . . . . . . . . . . . . . . . .</w:t>
            </w:r>
          </w:p>
        </w:tc>
        <w:tc>
          <w:tcPr>
            <w:tcW w:w="1040" w:type="dxa"/>
            <w:vAlign w:val="bottom"/>
          </w:tcPr>
          <w:p>
            <w:pPr>
              <w:jc w:val="center"/>
              <w:spacing w:after="0"/>
              <w:rPr>
                <w:sz w:val="20"/>
                <w:szCs w:val="20"/>
                <w:color w:val="auto"/>
              </w:rPr>
            </w:pPr>
            <w:r>
              <w:rPr>
                <w:rFonts w:ascii="Arial" w:cs="Arial" w:eastAsia="Arial" w:hAnsi="Arial"/>
                <w:sz w:val="20"/>
                <w:szCs w:val="20"/>
                <w:color w:val="auto"/>
              </w:rPr>
              <w:t>3.0</w:t>
            </w:r>
          </w:p>
        </w:tc>
        <w:tc>
          <w:tcPr>
            <w:tcW w:w="1060" w:type="dxa"/>
            <w:vAlign w:val="bottom"/>
            <w:gridSpan w:val="2"/>
          </w:tcPr>
          <w:p>
            <w:pPr>
              <w:jc w:val="center"/>
              <w:spacing w:after="0"/>
              <w:rPr>
                <w:sz w:val="20"/>
                <w:szCs w:val="20"/>
                <w:color w:val="auto"/>
              </w:rPr>
            </w:pPr>
            <w:r>
              <w:rPr>
                <w:rFonts w:ascii="Arial" w:cs="Arial" w:eastAsia="Arial" w:hAnsi="Arial"/>
                <w:sz w:val="20"/>
                <w:szCs w:val="20"/>
                <w:color w:val="auto"/>
              </w:rPr>
              <w:t>3.0</w:t>
            </w:r>
          </w:p>
        </w:tc>
        <w:tc>
          <w:tcPr>
            <w:tcW w:w="4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880" w:type="dxa"/>
            <w:vAlign w:val="bottom"/>
            <w:gridSpan w:val="2"/>
          </w:tcPr>
          <w:p>
            <w:pPr>
              <w:jc w:val="center"/>
              <w:spacing w:after="0"/>
              <w:rPr>
                <w:sz w:val="20"/>
                <w:szCs w:val="20"/>
                <w:color w:val="auto"/>
              </w:rPr>
            </w:pPr>
            <w:r>
              <w:rPr>
                <w:rFonts w:ascii="Arial" w:cs="Arial" w:eastAsia="Arial" w:hAnsi="Arial"/>
                <w:sz w:val="20"/>
                <w:szCs w:val="20"/>
                <w:color w:val="auto"/>
              </w:rPr>
              <w:t>6.0</w:t>
            </w:r>
          </w:p>
        </w:tc>
      </w:tr>
      <w:tr>
        <w:trPr>
          <w:trHeight w:val="240"/>
        </w:trPr>
        <w:tc>
          <w:tcPr>
            <w:tcW w:w="4100" w:type="dxa"/>
            <w:vAlign w:val="bottom"/>
          </w:tcPr>
          <w:p>
            <w:pPr>
              <w:spacing w:after="0"/>
              <w:rPr>
                <w:sz w:val="20"/>
                <w:szCs w:val="20"/>
                <w:color w:val="auto"/>
              </w:rPr>
            </w:pPr>
            <w:r>
              <w:rPr>
                <w:rFonts w:ascii="Arial" w:cs="Arial" w:eastAsia="Arial" w:hAnsi="Arial"/>
                <w:sz w:val="20"/>
                <w:szCs w:val="20"/>
                <w:color w:val="auto"/>
              </w:rPr>
              <w:t>Net  . . . . . . . . . . . . . . . . . . . . . . . . . . . . . . . . .</w:t>
            </w:r>
          </w:p>
        </w:tc>
        <w:tc>
          <w:tcPr>
            <w:tcW w:w="1040" w:type="dxa"/>
            <w:vAlign w:val="bottom"/>
          </w:tcPr>
          <w:p>
            <w:pPr>
              <w:jc w:val="center"/>
              <w:spacing w:after="0"/>
              <w:rPr>
                <w:sz w:val="20"/>
                <w:szCs w:val="20"/>
                <w:color w:val="auto"/>
              </w:rPr>
            </w:pPr>
            <w:r>
              <w:rPr>
                <w:rFonts w:ascii="Arial" w:cs="Arial" w:eastAsia="Arial" w:hAnsi="Arial"/>
                <w:sz w:val="20"/>
                <w:szCs w:val="20"/>
                <w:color w:val="auto"/>
              </w:rPr>
              <w:t>3.0</w:t>
            </w:r>
          </w:p>
        </w:tc>
        <w:tc>
          <w:tcPr>
            <w:tcW w:w="1060" w:type="dxa"/>
            <w:vAlign w:val="bottom"/>
            <w:gridSpan w:val="2"/>
          </w:tcPr>
          <w:p>
            <w:pPr>
              <w:jc w:val="center"/>
              <w:spacing w:after="0"/>
              <w:rPr>
                <w:sz w:val="20"/>
                <w:szCs w:val="20"/>
                <w:color w:val="auto"/>
              </w:rPr>
            </w:pPr>
            <w:r>
              <w:rPr>
                <w:rFonts w:ascii="Arial" w:cs="Arial" w:eastAsia="Arial" w:hAnsi="Arial"/>
                <w:sz w:val="20"/>
                <w:szCs w:val="20"/>
                <w:color w:val="auto"/>
              </w:rPr>
              <w:t>2.8</w:t>
            </w:r>
          </w:p>
        </w:tc>
        <w:tc>
          <w:tcPr>
            <w:tcW w:w="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880" w:type="dxa"/>
            <w:vAlign w:val="bottom"/>
            <w:gridSpan w:val="2"/>
          </w:tcPr>
          <w:p>
            <w:pPr>
              <w:jc w:val="center"/>
              <w:spacing w:after="0"/>
              <w:rPr>
                <w:sz w:val="20"/>
                <w:szCs w:val="20"/>
                <w:color w:val="auto"/>
              </w:rPr>
            </w:pPr>
            <w:r>
              <w:rPr>
                <w:rFonts w:ascii="Arial" w:cs="Arial" w:eastAsia="Arial" w:hAnsi="Arial"/>
                <w:sz w:val="20"/>
                <w:szCs w:val="20"/>
                <w:color w:val="auto"/>
              </w:rPr>
              <w:t>5.8</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Productive Wells</w:t>
      </w:r>
    </w:p>
    <w:p>
      <w:pPr>
        <w:spacing w:after="0" w:line="214" w:lineRule="exact"/>
        <w:rPr>
          <w:sz w:val="20"/>
          <w:szCs w:val="20"/>
          <w:color w:val="auto"/>
        </w:rPr>
      </w:pPr>
    </w:p>
    <w:p>
      <w:pPr>
        <w:ind w:right="60" w:firstLine="300"/>
        <w:spacing w:after="0" w:line="248" w:lineRule="auto"/>
        <w:rPr>
          <w:sz w:val="20"/>
          <w:szCs w:val="20"/>
          <w:color w:val="auto"/>
        </w:rPr>
      </w:pPr>
      <w:r>
        <w:rPr>
          <w:rFonts w:ascii="Arial" w:cs="Arial" w:eastAsia="Arial" w:hAnsi="Arial"/>
          <w:sz w:val="20"/>
          <w:szCs w:val="20"/>
          <w:color w:val="auto"/>
        </w:rPr>
        <w:t>Productive wells are those that produce, or are capable of producing, commercial quantities of hydrocarbons, regardless of whether they produce at a reasonable rate of return. Our average working interest in our producing wells was 92% as of December 31, 2022. Wells are categorized based on the primary product they produce.</w:t>
      </w:r>
    </w:p>
    <w:p>
      <w:pPr>
        <w:sectPr>
          <w:pgSz w:w="11880" w:h="15480" w:orient="portrait"/>
          <w:cols w:equalWidth="0" w:num="1">
            <w:col w:w="9120"/>
          </w:cols>
          <w:pgMar w:left="1380" w:top="1310"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880" w:h="15480" w:orient="portrait"/>
          <w:cols w:equalWidth="0" w:num="1">
            <w:col w:w="9120"/>
          </w:cols>
          <w:pgMar w:left="1380" w:top="1310" w:right="1380" w:bottom="655" w:gutter="0" w:footer="0" w:header="0"/>
          <w:type w:val="continuous"/>
        </w:sectPr>
      </w:pPr>
    </w:p>
    <w:bookmarkStart w:id="23" w:name="page24"/>
    <w:bookmarkEnd w:id="23"/>
    <w:p>
      <w:pPr>
        <w:jc w:val="both"/>
        <w:ind w:right="260" w:firstLine="300"/>
        <w:spacing w:after="0" w:line="269" w:lineRule="auto"/>
        <w:rPr>
          <w:sz w:val="20"/>
          <w:szCs w:val="20"/>
          <w:color w:val="auto"/>
        </w:rPr>
      </w:pPr>
      <w:r>
        <w:rPr>
          <w:rFonts w:ascii="Arial" w:cs="Arial" w:eastAsia="Arial" w:hAnsi="Arial"/>
          <w:sz w:val="19"/>
          <w:szCs w:val="19"/>
          <w:color w:val="auto"/>
        </w:rPr>
        <w:t>The following table sets forth our productive oil and natural gas wells (both producing and capable of production) as of December 31, 2022, excluding wells that have been idle for more than five years: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19"/>
                <w:szCs w:val="19"/>
                <w:color w:val="auto"/>
              </w:rPr>
            </w:pPr>
          </w:p>
        </w:tc>
        <w:tc>
          <w:tcPr>
            <w:tcW w:w="3240" w:type="dxa"/>
            <w:vAlign w:val="bottom"/>
            <w:gridSpan w:val="7"/>
          </w:tcPr>
          <w:p>
            <w:pPr>
              <w:ind w:left="800"/>
              <w:spacing w:after="0"/>
              <w:rPr>
                <w:sz w:val="20"/>
                <w:szCs w:val="20"/>
                <w:color w:val="auto"/>
              </w:rPr>
            </w:pPr>
            <w:r>
              <w:rPr>
                <w:rFonts w:ascii="Arial" w:cs="Arial" w:eastAsia="Arial" w:hAnsi="Arial"/>
                <w:sz w:val="20"/>
                <w:szCs w:val="20"/>
                <w:b w:val="1"/>
                <w:bCs w:val="1"/>
                <w:color w:val="auto"/>
              </w:rPr>
              <w:t>As of December 31, 2022</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2"/>
        </w:trPr>
        <w:tc>
          <w:tcPr>
            <w:tcW w:w="5160" w:type="dxa"/>
            <w:vAlign w:val="bottom"/>
          </w:tcPr>
          <w:p>
            <w:pPr>
              <w:spacing w:after="0"/>
              <w:rPr>
                <w:sz w:val="18"/>
                <w:szCs w:val="18"/>
                <w:color w:val="auto"/>
              </w:rPr>
            </w:pPr>
          </w:p>
        </w:tc>
        <w:tc>
          <w:tcPr>
            <w:tcW w:w="4040" w:type="dxa"/>
            <w:vAlign w:val="bottom"/>
            <w:gridSpan w:val="9"/>
          </w:tcPr>
          <w:p>
            <w:pPr>
              <w:jc w:val="right"/>
              <w:spacing w:after="0" w:line="212" w:lineRule="exact"/>
              <w:rPr>
                <w:sz w:val="20"/>
                <w:szCs w:val="20"/>
                <w:color w:val="auto"/>
              </w:rPr>
            </w:pPr>
            <w:r>
              <w:rPr>
                <w:rFonts w:ascii="Arial" w:cs="Arial" w:eastAsia="Arial" w:hAnsi="Arial"/>
                <w:sz w:val="20"/>
                <w:szCs w:val="20"/>
                <w:b w:val="1"/>
                <w:bCs w:val="1"/>
                <w:color w:val="auto"/>
              </w:rPr>
              <w:t>Productive Oil   Productive Natural Gas</w:t>
            </w:r>
          </w:p>
        </w:tc>
      </w:tr>
      <w:tr>
        <w:trPr>
          <w:trHeight w:val="228"/>
        </w:trPr>
        <w:tc>
          <w:tcPr>
            <w:tcW w:w="5160" w:type="dxa"/>
            <w:vAlign w:val="bottom"/>
          </w:tcPr>
          <w:p>
            <w:pPr>
              <w:spacing w:after="0"/>
              <w:rPr>
                <w:sz w:val="19"/>
                <w:szCs w:val="19"/>
                <w:color w:val="auto"/>
              </w:rPr>
            </w:pPr>
          </w:p>
        </w:tc>
        <w:tc>
          <w:tcPr>
            <w:tcW w:w="1920" w:type="dxa"/>
            <w:vAlign w:val="bottom"/>
            <w:gridSpan w:val="4"/>
          </w:tcPr>
          <w:p>
            <w:pPr>
              <w:ind w:left="680"/>
              <w:spacing w:after="0" w:line="228" w:lineRule="exact"/>
              <w:rPr>
                <w:sz w:val="20"/>
                <w:szCs w:val="20"/>
                <w:color w:val="auto"/>
              </w:rPr>
            </w:pPr>
            <w:r>
              <w:rPr>
                <w:rFonts w:ascii="Arial" w:cs="Arial" w:eastAsia="Arial" w:hAnsi="Arial"/>
                <w:sz w:val="20"/>
                <w:szCs w:val="20"/>
                <w:b w:val="1"/>
                <w:bCs w:val="1"/>
                <w:color w:val="auto"/>
              </w:rPr>
              <w:t>Wells</w:t>
            </w:r>
          </w:p>
        </w:tc>
        <w:tc>
          <w:tcPr>
            <w:tcW w:w="1320" w:type="dxa"/>
            <w:vAlign w:val="bottom"/>
            <w:gridSpan w:val="3"/>
          </w:tcPr>
          <w:p>
            <w:pPr>
              <w:ind w:left="760"/>
              <w:spacing w:after="0" w:line="228" w:lineRule="exact"/>
              <w:rPr>
                <w:sz w:val="20"/>
                <w:szCs w:val="20"/>
                <w:color w:val="auto"/>
              </w:rPr>
            </w:pPr>
            <w:r>
              <w:rPr>
                <w:rFonts w:ascii="Arial" w:cs="Arial" w:eastAsia="Arial" w:hAnsi="Arial"/>
                <w:sz w:val="20"/>
                <w:szCs w:val="20"/>
                <w:b w:val="1"/>
                <w:bCs w:val="1"/>
                <w:color w:val="auto"/>
              </w:rPr>
              <w:t>Wells</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0"/>
        </w:trPr>
        <w:tc>
          <w:tcPr>
            <w:tcW w:w="5160" w:type="dxa"/>
            <w:vAlign w:val="bottom"/>
          </w:tcPr>
          <w:p>
            <w:pPr>
              <w:spacing w:after="0"/>
              <w:rPr>
                <w:sz w:val="22"/>
                <w:szCs w:val="22"/>
                <w:color w:val="auto"/>
              </w:rPr>
            </w:pPr>
          </w:p>
        </w:tc>
        <w:tc>
          <w:tcPr>
            <w:tcW w:w="940" w:type="dxa"/>
            <w:vAlign w:val="bottom"/>
            <w:tcBorders>
              <w:bottom w:val="single" w:sz="8" w:color="auto"/>
            </w:tcBorders>
          </w:tcPr>
          <w:p>
            <w:pPr>
              <w:jc w:val="right"/>
              <w:spacing w:after="0" w:line="260" w:lineRule="exact"/>
              <w:rPr>
                <w:sz w:val="20"/>
                <w:szCs w:val="20"/>
                <w:color w:val="auto"/>
              </w:rPr>
            </w:pPr>
            <w:r>
              <w:rPr>
                <w:rFonts w:ascii="Arial" w:cs="Arial" w:eastAsia="Arial" w:hAnsi="Arial"/>
                <w:sz w:val="20"/>
                <w:szCs w:val="20"/>
                <w:b w:val="1"/>
                <w:bCs w:val="1"/>
                <w:color w:val="auto"/>
              </w:rPr>
              <w:t>Gross</w:t>
            </w:r>
            <w:r>
              <w:rPr>
                <w:rFonts w:ascii="Arial" w:cs="Arial" w:eastAsia="Arial" w:hAnsi="Arial"/>
                <w:sz w:val="26"/>
                <w:szCs w:val="26"/>
                <w:b w:val="1"/>
                <w:bCs w:val="1"/>
                <w:color w:val="auto"/>
                <w:vertAlign w:val="superscript"/>
              </w:rPr>
              <w:t>(a)</w:t>
            </w:r>
          </w:p>
        </w:tc>
        <w:tc>
          <w:tcPr>
            <w:tcW w:w="40" w:type="dxa"/>
            <w:vAlign w:val="bottom"/>
          </w:tcPr>
          <w:p>
            <w:pPr>
              <w:spacing w:after="0"/>
              <w:rPr>
                <w:sz w:val="22"/>
                <w:szCs w:val="22"/>
                <w:color w:val="auto"/>
              </w:rPr>
            </w:pPr>
          </w:p>
        </w:tc>
        <w:tc>
          <w:tcPr>
            <w:tcW w:w="900" w:type="dxa"/>
            <w:vAlign w:val="bottom"/>
            <w:tcBorders>
              <w:bottom w:val="single" w:sz="8" w:color="auto"/>
            </w:tcBorders>
          </w:tcPr>
          <w:p>
            <w:pPr>
              <w:jc w:val="right"/>
              <w:ind w:right="100"/>
              <w:spacing w:after="0" w:line="260" w:lineRule="exact"/>
              <w:rPr>
                <w:sz w:val="20"/>
                <w:szCs w:val="20"/>
                <w:color w:val="auto"/>
              </w:rPr>
            </w:pPr>
            <w:r>
              <w:rPr>
                <w:rFonts w:ascii="Arial" w:cs="Arial" w:eastAsia="Arial" w:hAnsi="Arial"/>
                <w:sz w:val="20"/>
                <w:szCs w:val="20"/>
                <w:b w:val="1"/>
                <w:bCs w:val="1"/>
                <w:color w:val="auto"/>
              </w:rPr>
              <w:t>Net</w:t>
            </w:r>
            <w:r>
              <w:rPr>
                <w:rFonts w:ascii="Arial" w:cs="Arial" w:eastAsia="Arial" w:hAnsi="Arial"/>
                <w:sz w:val="26"/>
                <w:szCs w:val="26"/>
                <w:b w:val="1"/>
                <w:bCs w:val="1"/>
                <w:color w:val="auto"/>
                <w:vertAlign w:val="superscript"/>
              </w:rPr>
              <w:t>(b)</w:t>
            </w:r>
          </w:p>
        </w:tc>
        <w:tc>
          <w:tcPr>
            <w:tcW w:w="40" w:type="dxa"/>
            <w:vAlign w:val="bottom"/>
          </w:tcPr>
          <w:p>
            <w:pPr>
              <w:spacing w:after="0"/>
              <w:rPr>
                <w:sz w:val="22"/>
                <w:szCs w:val="22"/>
                <w:color w:val="auto"/>
              </w:rPr>
            </w:pPr>
          </w:p>
        </w:tc>
        <w:tc>
          <w:tcPr>
            <w:tcW w:w="1100" w:type="dxa"/>
            <w:vAlign w:val="bottom"/>
            <w:tcBorders>
              <w:bottom w:val="single" w:sz="8" w:color="auto"/>
            </w:tcBorders>
          </w:tcPr>
          <w:p>
            <w:pPr>
              <w:jc w:val="right"/>
              <w:ind w:right="80"/>
              <w:spacing w:after="0" w:line="260" w:lineRule="exact"/>
              <w:rPr>
                <w:sz w:val="20"/>
                <w:szCs w:val="20"/>
                <w:color w:val="auto"/>
              </w:rPr>
            </w:pPr>
            <w:r>
              <w:rPr>
                <w:rFonts w:ascii="Arial" w:cs="Arial" w:eastAsia="Arial" w:hAnsi="Arial"/>
                <w:sz w:val="20"/>
                <w:szCs w:val="20"/>
                <w:b w:val="1"/>
                <w:bCs w:val="1"/>
                <w:color w:val="auto"/>
              </w:rPr>
              <w:t>Gross</w:t>
            </w:r>
            <w:r>
              <w:rPr>
                <w:rFonts w:ascii="Arial" w:cs="Arial" w:eastAsia="Arial" w:hAnsi="Arial"/>
                <w:sz w:val="26"/>
                <w:szCs w:val="26"/>
                <w:b w:val="1"/>
                <w:bCs w:val="1"/>
                <w:color w:val="auto"/>
                <w:vertAlign w:val="superscript"/>
              </w:rPr>
              <w:t>(a)</w:t>
            </w:r>
          </w:p>
        </w:tc>
        <w:tc>
          <w:tcPr>
            <w:tcW w:w="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00"/>
              <w:spacing w:after="0" w:line="260" w:lineRule="exact"/>
              <w:rPr>
                <w:sz w:val="20"/>
                <w:szCs w:val="20"/>
                <w:color w:val="auto"/>
              </w:rPr>
            </w:pPr>
            <w:r>
              <w:rPr>
                <w:rFonts w:ascii="Arial" w:cs="Arial" w:eastAsia="Arial" w:hAnsi="Arial"/>
                <w:sz w:val="20"/>
                <w:szCs w:val="20"/>
                <w:b w:val="1"/>
                <w:bCs w:val="1"/>
                <w:color w:val="auto"/>
                <w:w w:val="91"/>
              </w:rPr>
              <w:t>Net</w:t>
            </w:r>
            <w:r>
              <w:rPr>
                <w:rFonts w:ascii="Arial" w:cs="Arial" w:eastAsia="Arial" w:hAnsi="Arial"/>
                <w:sz w:val="26"/>
                <w:szCs w:val="26"/>
                <w:b w:val="1"/>
                <w:bCs w:val="1"/>
                <w:color w:val="auto"/>
                <w:w w:val="91"/>
                <w:vertAlign w:val="superscript"/>
              </w:rPr>
              <w:t>(b)</w:t>
            </w:r>
          </w:p>
        </w:tc>
        <w:tc>
          <w:tcPr>
            <w:tcW w:w="80" w:type="dxa"/>
            <w:vAlign w:val="bottom"/>
          </w:tcPr>
          <w:p>
            <w:pPr>
              <w:spacing w:after="0"/>
              <w:rPr>
                <w:sz w:val="22"/>
                <w:szCs w:val="22"/>
                <w:color w:val="auto"/>
              </w:rPr>
            </w:pPr>
          </w:p>
        </w:tc>
      </w:tr>
      <w:tr>
        <w:trPr>
          <w:trHeight w:val="280"/>
        </w:trPr>
        <w:tc>
          <w:tcPr>
            <w:tcW w:w="5160" w:type="dxa"/>
            <w:vAlign w:val="bottom"/>
          </w:tcPr>
          <w:p>
            <w:pPr>
              <w:spacing w:after="0"/>
              <w:rPr>
                <w:sz w:val="20"/>
                <w:szCs w:val="20"/>
                <w:color w:val="auto"/>
              </w:rPr>
            </w:pPr>
            <w:r>
              <w:rPr>
                <w:rFonts w:ascii="Arial" w:cs="Arial" w:eastAsia="Arial" w:hAnsi="Arial"/>
                <w:sz w:val="20"/>
                <w:szCs w:val="20"/>
                <w:color w:val="auto"/>
              </w:rPr>
              <w:t>San Joaquin Basin . . . . . . . . . . . . . . . . . . . . . . . . . . . . . . .</w:t>
            </w:r>
          </w:p>
        </w:tc>
        <w:tc>
          <w:tcPr>
            <w:tcW w:w="940" w:type="dxa"/>
            <w:vAlign w:val="bottom"/>
          </w:tcPr>
          <w:p>
            <w:pPr>
              <w:jc w:val="right"/>
              <w:spacing w:after="0"/>
              <w:rPr>
                <w:sz w:val="20"/>
                <w:szCs w:val="20"/>
                <w:color w:val="auto"/>
              </w:rPr>
            </w:pPr>
            <w:r>
              <w:rPr>
                <w:rFonts w:ascii="Arial" w:cs="Arial" w:eastAsia="Arial" w:hAnsi="Arial"/>
                <w:sz w:val="20"/>
                <w:szCs w:val="20"/>
                <w:color w:val="auto"/>
              </w:rPr>
              <w:t>7,312</w:t>
            </w:r>
          </w:p>
        </w:tc>
        <w:tc>
          <w:tcPr>
            <w:tcW w:w="980" w:type="dxa"/>
            <w:vAlign w:val="bottom"/>
            <w:gridSpan w:val="3"/>
          </w:tcPr>
          <w:p>
            <w:pPr>
              <w:jc w:val="right"/>
              <w:ind w:right="40"/>
              <w:spacing w:after="0"/>
              <w:rPr>
                <w:sz w:val="20"/>
                <w:szCs w:val="20"/>
                <w:color w:val="auto"/>
              </w:rPr>
            </w:pPr>
            <w:r>
              <w:rPr>
                <w:rFonts w:ascii="Arial" w:cs="Arial" w:eastAsia="Arial" w:hAnsi="Arial"/>
                <w:sz w:val="20"/>
                <w:szCs w:val="20"/>
                <w:color w:val="auto"/>
              </w:rPr>
              <w:t>6,802</w:t>
            </w:r>
          </w:p>
        </w:tc>
        <w:tc>
          <w:tcPr>
            <w:tcW w:w="1100" w:type="dxa"/>
            <w:vAlign w:val="bottom"/>
          </w:tcPr>
          <w:p>
            <w:pPr>
              <w:jc w:val="right"/>
              <w:spacing w:after="0"/>
              <w:rPr>
                <w:sz w:val="20"/>
                <w:szCs w:val="20"/>
                <w:color w:val="auto"/>
              </w:rPr>
            </w:pPr>
            <w:r>
              <w:rPr>
                <w:rFonts w:ascii="Arial" w:cs="Arial" w:eastAsia="Arial" w:hAnsi="Arial"/>
                <w:sz w:val="20"/>
                <w:szCs w:val="20"/>
                <w:color w:val="auto"/>
              </w:rPr>
              <w:t>158</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20"/>
                <w:szCs w:val="20"/>
                <w:color w:val="auto"/>
              </w:rPr>
              <w:t>156</w:t>
            </w:r>
          </w:p>
        </w:tc>
      </w:tr>
      <w:tr>
        <w:trPr>
          <w:trHeight w:val="240"/>
        </w:trPr>
        <w:tc>
          <w:tcPr>
            <w:tcW w:w="5160" w:type="dxa"/>
            <w:vAlign w:val="bottom"/>
          </w:tcPr>
          <w:p>
            <w:pPr>
              <w:spacing w:after="0"/>
              <w:rPr>
                <w:sz w:val="20"/>
                <w:szCs w:val="20"/>
                <w:color w:val="auto"/>
              </w:rPr>
            </w:pPr>
            <w:r>
              <w:rPr>
                <w:rFonts w:ascii="Arial" w:cs="Arial" w:eastAsia="Arial" w:hAnsi="Arial"/>
                <w:sz w:val="20"/>
                <w:szCs w:val="20"/>
                <w:color w:val="auto"/>
              </w:rPr>
              <w:t>Los Angeles Basin . . . . . . . . . . . . . . . . . . . . . . . . . . . . . . .</w:t>
            </w:r>
          </w:p>
        </w:tc>
        <w:tc>
          <w:tcPr>
            <w:tcW w:w="940" w:type="dxa"/>
            <w:vAlign w:val="bottom"/>
          </w:tcPr>
          <w:p>
            <w:pPr>
              <w:jc w:val="right"/>
              <w:spacing w:after="0"/>
              <w:rPr>
                <w:sz w:val="20"/>
                <w:szCs w:val="20"/>
                <w:color w:val="auto"/>
              </w:rPr>
            </w:pPr>
            <w:r>
              <w:rPr>
                <w:rFonts w:ascii="Arial" w:cs="Arial" w:eastAsia="Arial" w:hAnsi="Arial"/>
                <w:sz w:val="20"/>
                <w:szCs w:val="20"/>
                <w:color w:val="auto"/>
              </w:rPr>
              <w:t>1,730</w:t>
            </w:r>
          </w:p>
        </w:tc>
        <w:tc>
          <w:tcPr>
            <w:tcW w:w="980" w:type="dxa"/>
            <w:vAlign w:val="bottom"/>
            <w:gridSpan w:val="3"/>
          </w:tcPr>
          <w:p>
            <w:pPr>
              <w:jc w:val="right"/>
              <w:ind w:right="40"/>
              <w:spacing w:after="0"/>
              <w:rPr>
                <w:sz w:val="20"/>
                <w:szCs w:val="20"/>
                <w:color w:val="auto"/>
              </w:rPr>
            </w:pPr>
            <w:r>
              <w:rPr>
                <w:rFonts w:ascii="Arial" w:cs="Arial" w:eastAsia="Arial" w:hAnsi="Arial"/>
                <w:sz w:val="20"/>
                <w:szCs w:val="20"/>
                <w:color w:val="auto"/>
              </w:rPr>
              <w:t>1,640</w:t>
            </w:r>
          </w:p>
        </w:tc>
        <w:tc>
          <w:tcPr>
            <w:tcW w:w="1320" w:type="dxa"/>
            <w:vAlign w:val="bottom"/>
            <w:gridSpan w:val="3"/>
          </w:tcPr>
          <w:p>
            <w:pPr>
              <w:jc w:val="right"/>
              <w:ind w:right="320"/>
              <w:spacing w:after="0"/>
              <w:rPr>
                <w:sz w:val="20"/>
                <w:szCs w:val="20"/>
                <w:color w:val="auto"/>
              </w:rPr>
            </w:pPr>
            <w:r>
              <w:rPr>
                <w:rFonts w:ascii="Arial" w:cs="Arial" w:eastAsia="Arial" w:hAnsi="Arial"/>
                <w:sz w:val="20"/>
                <w:szCs w:val="20"/>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r>
      <w:tr>
        <w:trPr>
          <w:trHeight w:val="240"/>
        </w:trPr>
        <w:tc>
          <w:tcPr>
            <w:tcW w:w="5160" w:type="dxa"/>
            <w:vAlign w:val="bottom"/>
          </w:tcPr>
          <w:p>
            <w:pPr>
              <w:spacing w:after="0"/>
              <w:rPr>
                <w:sz w:val="20"/>
                <w:szCs w:val="20"/>
                <w:color w:val="auto"/>
              </w:rPr>
            </w:pPr>
            <w:r>
              <w:rPr>
                <w:rFonts w:ascii="Arial" w:cs="Arial" w:eastAsia="Arial" w:hAnsi="Arial"/>
                <w:sz w:val="20"/>
                <w:szCs w:val="20"/>
                <w:color w:val="auto"/>
              </w:rPr>
              <w:t>Ventura Basin  . . . . . . . . . . . . . . . . . . . . . . . . . . . . . . . . . .</w:t>
            </w:r>
          </w:p>
        </w:tc>
        <w:tc>
          <w:tcPr>
            <w:tcW w:w="940" w:type="dxa"/>
            <w:vAlign w:val="bottom"/>
          </w:tcPr>
          <w:p>
            <w:pPr>
              <w:jc w:val="right"/>
              <w:spacing w:after="0"/>
              <w:rPr>
                <w:sz w:val="20"/>
                <w:szCs w:val="20"/>
                <w:color w:val="auto"/>
              </w:rPr>
            </w:pPr>
            <w:r>
              <w:rPr>
                <w:rFonts w:ascii="Arial" w:cs="Arial" w:eastAsia="Arial" w:hAnsi="Arial"/>
                <w:sz w:val="20"/>
                <w:szCs w:val="20"/>
                <w:color w:val="auto"/>
              </w:rPr>
              <w:t>20</w:t>
            </w:r>
          </w:p>
        </w:tc>
        <w:tc>
          <w:tcPr>
            <w:tcW w:w="980" w:type="dxa"/>
            <w:vAlign w:val="bottom"/>
            <w:gridSpan w:val="3"/>
          </w:tcPr>
          <w:p>
            <w:pPr>
              <w:jc w:val="right"/>
              <w:ind w:right="40"/>
              <w:spacing w:after="0"/>
              <w:rPr>
                <w:sz w:val="20"/>
                <w:szCs w:val="20"/>
                <w:color w:val="auto"/>
              </w:rPr>
            </w:pPr>
            <w:r>
              <w:rPr>
                <w:rFonts w:ascii="Arial" w:cs="Arial" w:eastAsia="Arial" w:hAnsi="Arial"/>
                <w:sz w:val="20"/>
                <w:szCs w:val="20"/>
                <w:color w:val="auto"/>
              </w:rPr>
              <w:t>20</w:t>
            </w:r>
          </w:p>
        </w:tc>
        <w:tc>
          <w:tcPr>
            <w:tcW w:w="1320" w:type="dxa"/>
            <w:vAlign w:val="bottom"/>
            <w:gridSpan w:val="3"/>
          </w:tcPr>
          <w:p>
            <w:pPr>
              <w:jc w:val="right"/>
              <w:ind w:right="320"/>
              <w:spacing w:after="0"/>
              <w:rPr>
                <w:sz w:val="20"/>
                <w:szCs w:val="20"/>
                <w:color w:val="auto"/>
              </w:rPr>
            </w:pPr>
            <w:r>
              <w:rPr>
                <w:rFonts w:ascii="Arial" w:cs="Arial" w:eastAsia="Arial" w:hAnsi="Arial"/>
                <w:sz w:val="20"/>
                <w:szCs w:val="20"/>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r>
      <w:tr>
        <w:trPr>
          <w:trHeight w:val="240"/>
        </w:trPr>
        <w:tc>
          <w:tcPr>
            <w:tcW w:w="5160" w:type="dxa"/>
            <w:vAlign w:val="bottom"/>
          </w:tcPr>
          <w:p>
            <w:pPr>
              <w:spacing w:after="0"/>
              <w:rPr>
                <w:sz w:val="20"/>
                <w:szCs w:val="20"/>
                <w:color w:val="auto"/>
              </w:rPr>
            </w:pPr>
            <w:r>
              <w:rPr>
                <w:rFonts w:ascii="Arial" w:cs="Arial" w:eastAsia="Arial" w:hAnsi="Arial"/>
                <w:sz w:val="20"/>
                <w:szCs w:val="20"/>
                <w:color w:val="auto"/>
              </w:rPr>
              <w:t>Sacramento Basin . . . . . . . . . . . . . . . . . . . . . . . . . . . . . . .</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920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20"/>
                <w:szCs w:val="20"/>
                <w:color w:val="auto"/>
              </w:rPr>
              <w:t>849</w:t>
            </w:r>
          </w:p>
        </w:tc>
      </w:tr>
      <w:tr>
        <w:trPr>
          <w:trHeight w:val="30"/>
        </w:trPr>
        <w:tc>
          <w:tcPr>
            <w:tcW w:w="5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70"/>
        </w:trPr>
        <w:tc>
          <w:tcPr>
            <w:tcW w:w="5160" w:type="dxa"/>
            <w:vAlign w:val="bottom"/>
          </w:tcPr>
          <w:p>
            <w:pPr>
              <w:spacing w:after="0"/>
              <w:rPr>
                <w:sz w:val="20"/>
                <w:szCs w:val="20"/>
                <w:color w:val="auto"/>
              </w:rPr>
            </w:pPr>
            <w:r>
              <w:rPr>
                <w:rFonts w:ascii="Arial" w:cs="Arial" w:eastAsia="Arial" w:hAnsi="Arial"/>
                <w:sz w:val="20"/>
                <w:szCs w:val="20"/>
                <w:color w:val="auto"/>
                <w:w w:val="99"/>
              </w:rPr>
              <w:t>Total  . . . . . . . . . . . . . . . . . . . . . . . . . . . . . . . . . . . . . . . . . .</w:t>
            </w:r>
          </w:p>
        </w:tc>
        <w:tc>
          <w:tcPr>
            <w:tcW w:w="940" w:type="dxa"/>
            <w:vAlign w:val="bottom"/>
          </w:tcPr>
          <w:p>
            <w:pPr>
              <w:jc w:val="right"/>
              <w:spacing w:after="0"/>
              <w:rPr>
                <w:sz w:val="20"/>
                <w:szCs w:val="20"/>
                <w:color w:val="auto"/>
              </w:rPr>
            </w:pPr>
            <w:r>
              <w:rPr>
                <w:rFonts w:ascii="Arial" w:cs="Arial" w:eastAsia="Arial" w:hAnsi="Arial"/>
                <w:sz w:val="20"/>
                <w:szCs w:val="20"/>
                <w:color w:val="auto"/>
              </w:rPr>
              <w:t>9,062</w:t>
            </w:r>
          </w:p>
        </w:tc>
        <w:tc>
          <w:tcPr>
            <w:tcW w:w="980" w:type="dxa"/>
            <w:vAlign w:val="bottom"/>
            <w:gridSpan w:val="3"/>
          </w:tcPr>
          <w:p>
            <w:pPr>
              <w:jc w:val="right"/>
              <w:ind w:right="40"/>
              <w:spacing w:after="0"/>
              <w:rPr>
                <w:sz w:val="20"/>
                <w:szCs w:val="20"/>
                <w:color w:val="auto"/>
              </w:rPr>
            </w:pPr>
            <w:r>
              <w:rPr>
                <w:rFonts w:ascii="Arial" w:cs="Arial" w:eastAsia="Arial" w:hAnsi="Arial"/>
                <w:sz w:val="20"/>
                <w:szCs w:val="20"/>
                <w:color w:val="auto"/>
              </w:rPr>
              <w:t>8,462</w:t>
            </w:r>
          </w:p>
        </w:tc>
        <w:tc>
          <w:tcPr>
            <w:tcW w:w="1100" w:type="dxa"/>
            <w:vAlign w:val="bottom"/>
          </w:tcPr>
          <w:p>
            <w:pPr>
              <w:jc w:val="right"/>
              <w:spacing w:after="0"/>
              <w:rPr>
                <w:sz w:val="20"/>
                <w:szCs w:val="20"/>
                <w:color w:val="auto"/>
              </w:rPr>
            </w:pPr>
            <w:r>
              <w:rPr>
                <w:rFonts w:ascii="Arial" w:cs="Arial" w:eastAsia="Arial" w:hAnsi="Arial"/>
                <w:sz w:val="20"/>
                <w:szCs w:val="20"/>
                <w:color w:val="auto"/>
              </w:rPr>
              <w:t>1,078</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20"/>
                <w:szCs w:val="20"/>
                <w:color w:val="auto"/>
              </w:rPr>
              <w:t>1,005</w:t>
            </w:r>
          </w:p>
        </w:tc>
      </w:tr>
      <w:tr>
        <w:trPr>
          <w:trHeight w:val="30"/>
        </w:trPr>
        <w:tc>
          <w:tcPr>
            <w:tcW w:w="5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0"/>
        </w:trPr>
        <w:tc>
          <w:tcPr>
            <w:tcW w:w="5160" w:type="dxa"/>
            <w:vAlign w:val="bottom"/>
          </w:tcPr>
          <w:p>
            <w:pPr>
              <w:spacing w:after="0"/>
              <w:rPr>
                <w:sz w:val="20"/>
                <w:szCs w:val="20"/>
                <w:color w:val="auto"/>
              </w:rPr>
            </w:pPr>
            <w:r>
              <w:rPr>
                <w:rFonts w:ascii="Arial" w:cs="Arial" w:eastAsia="Arial" w:hAnsi="Arial"/>
                <w:sz w:val="20"/>
                <w:szCs w:val="20"/>
                <w:color w:val="auto"/>
              </w:rPr>
              <w:t>Multiple completion wells included in the total above . . .</w:t>
            </w:r>
          </w:p>
        </w:tc>
        <w:tc>
          <w:tcPr>
            <w:tcW w:w="940" w:type="dxa"/>
            <w:vAlign w:val="bottom"/>
          </w:tcPr>
          <w:p>
            <w:pPr>
              <w:jc w:val="right"/>
              <w:spacing w:after="0"/>
              <w:rPr>
                <w:sz w:val="20"/>
                <w:szCs w:val="20"/>
                <w:color w:val="auto"/>
              </w:rPr>
            </w:pPr>
            <w:r>
              <w:rPr>
                <w:rFonts w:ascii="Arial" w:cs="Arial" w:eastAsia="Arial" w:hAnsi="Arial"/>
                <w:sz w:val="20"/>
                <w:szCs w:val="20"/>
                <w:color w:val="auto"/>
              </w:rPr>
              <w:t>126</w:t>
            </w:r>
          </w:p>
        </w:tc>
        <w:tc>
          <w:tcPr>
            <w:tcW w:w="980" w:type="dxa"/>
            <w:vAlign w:val="bottom"/>
            <w:gridSpan w:val="3"/>
          </w:tcPr>
          <w:p>
            <w:pPr>
              <w:jc w:val="right"/>
              <w:ind w:right="40"/>
              <w:spacing w:after="0"/>
              <w:rPr>
                <w:sz w:val="20"/>
                <w:szCs w:val="20"/>
                <w:color w:val="auto"/>
              </w:rPr>
            </w:pPr>
            <w:r>
              <w:rPr>
                <w:rFonts w:ascii="Arial" w:cs="Arial" w:eastAsia="Arial" w:hAnsi="Arial"/>
                <w:sz w:val="20"/>
                <w:szCs w:val="20"/>
                <w:color w:val="auto"/>
              </w:rPr>
              <w:t>123</w:t>
            </w:r>
          </w:p>
        </w:tc>
        <w:tc>
          <w:tcPr>
            <w:tcW w:w="1100" w:type="dxa"/>
            <w:vAlign w:val="bottom"/>
          </w:tcPr>
          <w:p>
            <w:pPr>
              <w:jc w:val="right"/>
              <w:spacing w:after="0"/>
              <w:rPr>
                <w:sz w:val="20"/>
                <w:szCs w:val="20"/>
                <w:color w:val="auto"/>
              </w:rPr>
            </w:pPr>
            <w:r>
              <w:rPr>
                <w:rFonts w:ascii="Arial" w:cs="Arial" w:eastAsia="Arial" w:hAnsi="Arial"/>
                <w:sz w:val="20"/>
                <w:szCs w:val="20"/>
                <w:color w:val="auto"/>
              </w:rPr>
              <w:t>17</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20"/>
                <w:szCs w:val="20"/>
                <w:color w:val="auto"/>
              </w:rPr>
              <w:t>15</w:t>
            </w:r>
          </w:p>
        </w:tc>
      </w:tr>
    </w:tbl>
    <w:p>
      <w:pPr>
        <w:spacing w:after="0" w:line="48" w:lineRule="exact"/>
        <w:rPr>
          <w:sz w:val="20"/>
          <w:szCs w:val="20"/>
          <w:color w:val="auto"/>
        </w:rPr>
      </w:pPr>
    </w:p>
    <w:p>
      <w:pPr>
        <w:ind w:left="400" w:hanging="320"/>
        <w:spacing w:after="0"/>
        <w:tabs>
          <w:tab w:leader="none" w:pos="4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total number of wells in which interests are owned.</w:t>
      </w:r>
    </w:p>
    <w:p>
      <w:pPr>
        <w:spacing w:after="0" w:line="16" w:lineRule="exact"/>
        <w:rPr>
          <w:rFonts w:ascii="Arial" w:cs="Arial" w:eastAsia="Arial" w:hAnsi="Arial"/>
          <w:sz w:val="16"/>
          <w:szCs w:val="16"/>
          <w:color w:val="auto"/>
        </w:rPr>
      </w:pPr>
    </w:p>
    <w:p>
      <w:pPr>
        <w:ind w:left="400" w:hanging="320"/>
        <w:spacing w:after="0"/>
        <w:tabs>
          <w:tab w:leader="none" w:pos="4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Net wells include wells reduced to our fractional interest.</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Exploration Inventory</w:t>
      </w:r>
    </w:p>
    <w:p>
      <w:pPr>
        <w:spacing w:after="0" w:line="214" w:lineRule="exact"/>
        <w:rPr>
          <w:sz w:val="20"/>
          <w:szCs w:val="20"/>
          <w:color w:val="auto"/>
        </w:rPr>
      </w:pPr>
    </w:p>
    <w:p>
      <w:pPr>
        <w:ind w:right="320" w:firstLine="300"/>
        <w:spacing w:after="0" w:line="245" w:lineRule="auto"/>
        <w:rPr>
          <w:sz w:val="20"/>
          <w:szCs w:val="20"/>
          <w:color w:val="auto"/>
        </w:rPr>
      </w:pPr>
      <w:r>
        <w:rPr>
          <w:rFonts w:ascii="Arial" w:cs="Arial" w:eastAsia="Arial" w:hAnsi="Arial"/>
          <w:sz w:val="20"/>
          <w:szCs w:val="20"/>
          <w:color w:val="auto"/>
        </w:rPr>
        <w:t>We have had minimal investment in exploration activity in recent years, and our 2023 capital plan does not allocate any capital towards exploration drilling.</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Marketing Arrangements</w:t>
      </w:r>
    </w:p>
    <w:p>
      <w:pPr>
        <w:spacing w:after="0" w:line="212" w:lineRule="exact"/>
        <w:rPr>
          <w:sz w:val="20"/>
          <w:szCs w:val="20"/>
          <w:color w:val="auto"/>
        </w:rPr>
      </w:pPr>
    </w:p>
    <w:p>
      <w:pPr>
        <w:ind w:right="220" w:firstLine="300"/>
        <w:spacing w:after="0" w:line="249" w:lineRule="auto"/>
        <w:rPr>
          <w:sz w:val="20"/>
          <w:szCs w:val="20"/>
          <w:color w:val="auto"/>
        </w:rPr>
      </w:pPr>
      <w:r>
        <w:rPr>
          <w:rFonts w:ascii="Arial" w:cs="Arial" w:eastAsia="Arial" w:hAnsi="Arial"/>
          <w:sz w:val="20"/>
          <w:szCs w:val="20"/>
          <w:i w:val="1"/>
          <w:iCs w:val="1"/>
          <w:color w:val="auto"/>
        </w:rPr>
        <w:t xml:space="preserve">Crude Oil </w:t>
      </w:r>
      <w:r>
        <w:rPr>
          <w:rFonts w:ascii="Arial" w:cs="Arial" w:eastAsia="Arial" w:hAnsi="Arial"/>
          <w:sz w:val="20"/>
          <w:szCs w:val="20"/>
          <w:color w:val="auto"/>
        </w:rPr>
        <w:t>– We sell nearly all of our crude oil to California refiners. Substantially all of our crude oil</w:t>
      </w:r>
      <w:r>
        <w:rPr>
          <w:rFonts w:ascii="Arial" w:cs="Arial" w:eastAsia="Arial" w:hAnsi="Arial"/>
          <w:sz w:val="20"/>
          <w:szCs w:val="20"/>
          <w:i w:val="1"/>
          <w:iCs w:val="1"/>
          <w:color w:val="auto"/>
        </w:rPr>
        <w:t xml:space="preserve"> </w:t>
      </w:r>
      <w:r>
        <w:rPr>
          <w:rFonts w:ascii="Arial" w:cs="Arial" w:eastAsia="Arial" w:hAnsi="Arial"/>
          <w:sz w:val="20"/>
          <w:szCs w:val="20"/>
          <w:color w:val="auto"/>
        </w:rPr>
        <w:t>production is connected to third-party pipelines and California refining markets via our gathering systems. We do not refine or process the crude oil we produce and do not have any significant long-term transportation arrangements.</w:t>
      </w:r>
    </w:p>
    <w:p>
      <w:pPr>
        <w:spacing w:after="0" w:line="208" w:lineRule="exact"/>
        <w:rPr>
          <w:sz w:val="20"/>
          <w:szCs w:val="20"/>
          <w:color w:val="auto"/>
        </w:rPr>
      </w:pPr>
    </w:p>
    <w:p>
      <w:pPr>
        <w:ind w:right="140" w:firstLine="300"/>
        <w:spacing w:after="0" w:line="249" w:lineRule="auto"/>
        <w:rPr>
          <w:sz w:val="20"/>
          <w:szCs w:val="20"/>
          <w:color w:val="auto"/>
        </w:rPr>
      </w:pPr>
      <w:r>
        <w:rPr>
          <w:rFonts w:ascii="Arial" w:cs="Arial" w:eastAsia="Arial" w:hAnsi="Arial"/>
          <w:sz w:val="20"/>
          <w:szCs w:val="20"/>
          <w:color w:val="auto"/>
        </w:rPr>
        <w:t>The prices paid by California refiners are typically based on local third-party postings that are closely tied to Brent prices. International waterborne-based Brent prices are relevant because there is limited crude pipeline infrastructure available to transport crude overland from other parts of the United States into California. We believe that these limitations will continue to contribute to higher realizations in California than most other U.S. oil markets for comparable grades.</w:t>
      </w:r>
    </w:p>
    <w:p>
      <w:pPr>
        <w:spacing w:after="0" w:line="205" w:lineRule="exact"/>
        <w:rPr>
          <w:sz w:val="20"/>
          <w:szCs w:val="20"/>
          <w:color w:val="auto"/>
        </w:rPr>
      </w:pPr>
    </w:p>
    <w:p>
      <w:pPr>
        <w:ind w:right="200" w:firstLine="300"/>
        <w:spacing w:after="0" w:line="250" w:lineRule="auto"/>
        <w:rPr>
          <w:sz w:val="20"/>
          <w:szCs w:val="20"/>
          <w:color w:val="auto"/>
        </w:rPr>
      </w:pPr>
      <w:r>
        <w:rPr>
          <w:rFonts w:ascii="Arial" w:cs="Arial" w:eastAsia="Arial" w:hAnsi="Arial"/>
          <w:sz w:val="20"/>
          <w:szCs w:val="20"/>
          <w:i w:val="1"/>
          <w:iCs w:val="1"/>
          <w:color w:val="auto"/>
        </w:rPr>
        <w:t xml:space="preserve">Natural Gas </w:t>
      </w:r>
      <w:r>
        <w:rPr>
          <w:rFonts w:ascii="Arial" w:cs="Arial" w:eastAsia="Arial" w:hAnsi="Arial"/>
          <w:sz w:val="20"/>
          <w:szCs w:val="20"/>
          <w:color w:val="auto"/>
        </w:rPr>
        <w:t>– We sell all of our natural gas not used in our operations into the California market. A</w:t>
      </w:r>
      <w:r>
        <w:rPr>
          <w:rFonts w:ascii="Arial" w:cs="Arial" w:eastAsia="Arial" w:hAnsi="Arial"/>
          <w:sz w:val="20"/>
          <w:szCs w:val="20"/>
          <w:i w:val="1"/>
          <w:iCs w:val="1"/>
          <w:color w:val="auto"/>
        </w:rPr>
        <w:t xml:space="preserve"> </w:t>
      </w:r>
      <w:r>
        <w:rPr>
          <w:rFonts w:ascii="Arial" w:cs="Arial" w:eastAsia="Arial" w:hAnsi="Arial"/>
          <w:sz w:val="20"/>
          <w:szCs w:val="20"/>
          <w:color w:val="auto"/>
        </w:rPr>
        <w:t>majority of these sales are done on a daily basis using index based prices. Natural gas prices and differentials are strongly affected by local market fundamentals, such as storage capacity and the availability of transportation capacity in the market and producing areas. Transportation capacity influences prices because California imports more than 90% of its natural gas from other states and Canada. As a result, we typically obtain higher realizations relative to out-of-state producers due to lower transportation costs on the delivery of our natural gas.</w:t>
      </w:r>
    </w:p>
    <w:p>
      <w:pPr>
        <w:spacing w:after="0" w:line="205" w:lineRule="exact"/>
        <w:rPr>
          <w:sz w:val="20"/>
          <w:szCs w:val="20"/>
          <w:color w:val="auto"/>
        </w:rPr>
      </w:pPr>
    </w:p>
    <w:p>
      <w:pPr>
        <w:ind w:right="220" w:firstLine="300"/>
        <w:spacing w:after="0" w:line="249" w:lineRule="auto"/>
        <w:rPr>
          <w:sz w:val="20"/>
          <w:szCs w:val="20"/>
          <w:color w:val="auto"/>
        </w:rPr>
      </w:pPr>
      <w:r>
        <w:rPr>
          <w:rFonts w:ascii="Arial" w:cs="Arial" w:eastAsia="Arial" w:hAnsi="Arial"/>
          <w:sz w:val="20"/>
          <w:szCs w:val="20"/>
          <w:color w:val="auto"/>
        </w:rPr>
        <w:t>In addition to selling natural gas, we also use natural gas in steam generation for our steamfloods and power generation. As a result, the positive impact of higher natural gas prices is partially offset by higher operating costs of our steamflood projects and power generation, but higher prices still have a net positive effect on our operating results due to net higher revenue. Conversely, lower natural gas prices lower these operating costs but have a net negative effect on our financial results.</w:t>
      </w:r>
    </w:p>
    <w:p>
      <w:pPr>
        <w:spacing w:after="0" w:line="207" w:lineRule="exact"/>
        <w:rPr>
          <w:sz w:val="20"/>
          <w:szCs w:val="20"/>
          <w:color w:val="auto"/>
        </w:rPr>
      </w:pPr>
    </w:p>
    <w:p>
      <w:pPr>
        <w:ind w:right="380" w:firstLine="300"/>
        <w:spacing w:after="0" w:line="243" w:lineRule="auto"/>
        <w:rPr>
          <w:sz w:val="20"/>
          <w:szCs w:val="20"/>
          <w:color w:val="auto"/>
        </w:rPr>
      </w:pPr>
      <w:r>
        <w:rPr>
          <w:rFonts w:ascii="Arial" w:cs="Arial" w:eastAsia="Arial" w:hAnsi="Arial"/>
          <w:sz w:val="20"/>
          <w:szCs w:val="20"/>
          <w:color w:val="auto"/>
        </w:rPr>
        <w:t>We currently hold transportation capacity contracts to transport all of our natural gas volumes for multiple years.</w:t>
      </w:r>
    </w:p>
    <w:p>
      <w:pPr>
        <w:sectPr>
          <w:pgSz w:w="11880" w:h="15480" w:orient="portrait"/>
          <w:cols w:equalWidth="0" w:num="1">
            <w:col w:w="9200"/>
          </w:cols>
          <w:pgMar w:left="1380" w:top="1316" w:right="130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20</w:t>
      </w:r>
    </w:p>
    <w:p>
      <w:pPr>
        <w:sectPr>
          <w:pgSz w:w="11880" w:h="15480" w:orient="portrait"/>
          <w:cols w:equalWidth="0" w:num="1">
            <w:col w:w="9200"/>
          </w:cols>
          <w:pgMar w:left="1380" w:top="1316" w:right="1300" w:bottom="655" w:gutter="0" w:footer="0" w:header="0"/>
          <w:type w:val="continuous"/>
        </w:sectPr>
      </w:pPr>
    </w:p>
    <w:bookmarkStart w:id="24" w:name="page25"/>
    <w:bookmarkEnd w:id="24"/>
    <w:p>
      <w:pPr>
        <w:ind w:right="20" w:firstLine="300"/>
        <w:spacing w:after="0" w:line="249" w:lineRule="auto"/>
        <w:rPr>
          <w:sz w:val="20"/>
          <w:szCs w:val="20"/>
          <w:color w:val="auto"/>
        </w:rPr>
      </w:pPr>
      <w:r>
        <w:rPr>
          <w:rFonts w:ascii="Arial" w:cs="Arial" w:eastAsia="Arial" w:hAnsi="Arial"/>
          <w:sz w:val="20"/>
          <w:szCs w:val="20"/>
          <w:i w:val="1"/>
          <w:iCs w:val="1"/>
          <w:color w:val="auto"/>
        </w:rPr>
        <w:t xml:space="preserve">NGLs </w:t>
      </w:r>
      <w:r>
        <w:rPr>
          <w:rFonts w:ascii="Arial" w:cs="Arial" w:eastAsia="Arial" w:hAnsi="Arial"/>
          <w:sz w:val="20"/>
          <w:szCs w:val="20"/>
          <w:color w:val="auto"/>
        </w:rPr>
        <w:t>– NGL prices vary by liquid type and realizations are closely correlated to the different</w:t>
      </w:r>
      <w:r>
        <w:rPr>
          <w:rFonts w:ascii="Arial" w:cs="Arial" w:eastAsia="Arial" w:hAnsi="Arial"/>
          <w:sz w:val="20"/>
          <w:szCs w:val="20"/>
          <w:i w:val="1"/>
          <w:iCs w:val="1"/>
          <w:color w:val="auto"/>
        </w:rPr>
        <w:t xml:space="preserve"> </w:t>
      </w:r>
      <w:r>
        <w:rPr>
          <w:rFonts w:ascii="Arial" w:cs="Arial" w:eastAsia="Arial" w:hAnsi="Arial"/>
          <w:sz w:val="20"/>
          <w:szCs w:val="20"/>
          <w:color w:val="auto"/>
        </w:rPr>
        <w:t>commodity prices to which they relate. Prices can also fluctuate due to the demand for certain chemical products (for which NGLs are used as feedstock) and due to infrastructure constraints and seasonality. Finally, our results are also affected by the performance of our natural gas-processing plants. We process our wet gas to extract NGLs and other natural gas byproducts. We then deliver dry gas to pipelines and separately sell the remaining products as NGLs. The efficiency with which we extract liquids from the wet gas stream affects our operating results. Our natural gas-processing plants also facilitate access to third-party delivery points near the Elk Hills field.</w:t>
      </w:r>
    </w:p>
    <w:p>
      <w:pPr>
        <w:spacing w:after="0" w:line="213" w:lineRule="exact"/>
        <w:rPr>
          <w:sz w:val="20"/>
          <w:szCs w:val="20"/>
          <w:color w:val="auto"/>
        </w:rPr>
      </w:pPr>
    </w:p>
    <w:p>
      <w:pPr>
        <w:ind w:right="120" w:firstLine="300"/>
        <w:spacing w:after="0" w:line="248" w:lineRule="auto"/>
        <w:rPr>
          <w:sz w:val="20"/>
          <w:szCs w:val="20"/>
          <w:color w:val="auto"/>
        </w:rPr>
      </w:pPr>
      <w:r>
        <w:rPr>
          <w:rFonts w:ascii="Arial" w:cs="Arial" w:eastAsia="Arial" w:hAnsi="Arial"/>
          <w:sz w:val="20"/>
          <w:szCs w:val="20"/>
          <w:color w:val="auto"/>
        </w:rPr>
        <w:t>We currently have a ship-or-pay pipeline transportation contract for 6,500 barrels per day of NGLs through March 2023. Our contract to transport NGLs requires us to cash settle any shortfall between the committed quantities and volumes actually shipped. We have met all our shipping commitments under this contract.</w:t>
      </w:r>
    </w:p>
    <w:p>
      <w:pPr>
        <w:spacing w:after="0" w:line="207" w:lineRule="exact"/>
        <w:rPr>
          <w:sz w:val="20"/>
          <w:szCs w:val="20"/>
          <w:color w:val="auto"/>
        </w:rPr>
      </w:pPr>
    </w:p>
    <w:p>
      <w:pPr>
        <w:ind w:right="260" w:firstLine="300"/>
        <w:spacing w:after="0" w:line="249" w:lineRule="auto"/>
        <w:rPr>
          <w:sz w:val="20"/>
          <w:szCs w:val="20"/>
          <w:color w:val="auto"/>
        </w:rPr>
      </w:pPr>
      <w:r>
        <w:rPr>
          <w:rFonts w:ascii="Arial" w:cs="Arial" w:eastAsia="Arial" w:hAnsi="Arial"/>
          <w:sz w:val="20"/>
          <w:szCs w:val="20"/>
          <w:i w:val="1"/>
          <w:iCs w:val="1"/>
          <w:color w:val="auto"/>
        </w:rPr>
        <w:t xml:space="preserve">Electricity </w:t>
      </w:r>
      <w:r>
        <w:rPr>
          <w:rFonts w:ascii="Arial" w:cs="Arial" w:eastAsia="Arial" w:hAnsi="Arial"/>
          <w:sz w:val="20"/>
          <w:szCs w:val="20"/>
          <w:color w:val="auto"/>
        </w:rPr>
        <w:t>– A portion of the electrical output of the Elk Hills power plant is used by Elk Hills and</w:t>
      </w:r>
      <w:r>
        <w:rPr>
          <w:rFonts w:ascii="Arial" w:cs="Arial" w:eastAsia="Arial" w:hAnsi="Arial"/>
          <w:sz w:val="20"/>
          <w:szCs w:val="20"/>
          <w:i w:val="1"/>
          <w:iCs w:val="1"/>
          <w:color w:val="auto"/>
        </w:rPr>
        <w:t xml:space="preserve"> </w:t>
      </w:r>
      <w:r>
        <w:rPr>
          <w:rFonts w:ascii="Arial" w:cs="Arial" w:eastAsia="Arial" w:hAnsi="Arial"/>
          <w:sz w:val="20"/>
          <w:szCs w:val="20"/>
          <w:color w:val="auto"/>
        </w:rPr>
        <w:t>other nearby production fields. This provides a reliable source of power. We sell remaining electrical output to the wholesale power market and a local utility. We also sell the remaining capacity to community choice aggregates and other local utilities.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Delivery Commitments</w:t>
      </w:r>
    </w:p>
    <w:p>
      <w:pPr>
        <w:spacing w:after="0" w:line="215" w:lineRule="exact"/>
        <w:rPr>
          <w:sz w:val="20"/>
          <w:szCs w:val="20"/>
          <w:color w:val="auto"/>
        </w:rPr>
      </w:pPr>
    </w:p>
    <w:p>
      <w:pPr>
        <w:ind w:right="160" w:firstLine="300"/>
        <w:spacing w:after="0" w:line="249" w:lineRule="auto"/>
        <w:rPr>
          <w:sz w:val="20"/>
          <w:szCs w:val="20"/>
          <w:color w:val="auto"/>
        </w:rPr>
      </w:pPr>
      <w:r>
        <w:rPr>
          <w:rFonts w:ascii="Arial" w:cs="Arial" w:eastAsia="Arial" w:hAnsi="Arial"/>
          <w:sz w:val="20"/>
          <w:szCs w:val="20"/>
          <w:color w:val="auto"/>
        </w:rPr>
        <w:t>We have commitments to certain refineries and other buyers to deliver oil, natural gas and NGLs. As of December 31, 2022, we had oil delivery commitments of 10 MMBbl in 2023, 3 MMBbl in 2024 and 1 MMBbl in 2025, NGL delivery commitments of 1 MMBbl through March 2023 and natural gas delivery commitments of 13 Bcf through December 2023. We generally have significantly more production than the amounts committed for delivery and have the ability to secure additional volumes of products as needed. These commitments are typically index-based contracts with prices set at the time of delivery.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Derivatives</w:t>
      </w:r>
    </w:p>
    <w:p>
      <w:pPr>
        <w:spacing w:after="0" w:line="215"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We protect our operating cash flow from volatility in the commodities market through our hedging strategy. Prior to May 2022, our Revolving Credit Facility required us to maintain certain levels of hedges regardless of our leverage. We also entered into incremental hedges above and beyond these requirements for certain time periods. In certain circumstances, these hedges (including hedges entered into by us in 2020 to comply with covenants in our Revolving Credit Facility) prevent us from realizing the full benefits of price increases. Following an amendment to our Revolving Credit Facility in April 2022, we are only required to maintain hedges in the event the ratio of our consolidated total debt to consolidated EBITDAX as defined in our Credit Agreement exceeds 1:1. We continuously evaluate our hedging strategy to take into account changes in prevailing market prices and conditions.</w:t>
      </w:r>
    </w:p>
    <w:p>
      <w:pPr>
        <w:spacing w:after="0" w:line="211" w:lineRule="exact"/>
        <w:rPr>
          <w:sz w:val="20"/>
          <w:szCs w:val="20"/>
          <w:color w:val="auto"/>
        </w:rPr>
      </w:pPr>
    </w:p>
    <w:p>
      <w:pPr>
        <w:ind w:right="420" w:firstLine="300"/>
        <w:spacing w:after="0" w:line="247" w:lineRule="auto"/>
        <w:rPr>
          <w:sz w:val="20"/>
          <w:szCs w:val="20"/>
          <w:color w:val="auto"/>
        </w:rPr>
      </w:pPr>
      <w:r>
        <w:rPr>
          <w:rFonts w:ascii="Arial" w:cs="Arial" w:eastAsia="Arial" w:hAnsi="Arial"/>
          <w:sz w:val="20"/>
          <w:szCs w:val="20"/>
          <w:color w:val="auto"/>
        </w:rPr>
        <w:t xml:space="preserve">Refer to </w:t>
      </w:r>
      <w:r>
        <w:rPr>
          <w:rFonts w:ascii="Arial" w:cs="Arial" w:eastAsia="Arial" w:hAnsi="Arial"/>
          <w:sz w:val="20"/>
          <w:szCs w:val="20"/>
          <w:i w:val="1"/>
          <w:iCs w:val="1"/>
          <w:color w:val="auto"/>
        </w:rPr>
        <w:t>Part II, Item 8 – Financial Statements and Supplementary Data, Note 7 Derivatives</w:t>
      </w:r>
      <w:r>
        <w:rPr>
          <w:rFonts w:ascii="Arial" w:cs="Arial" w:eastAsia="Arial" w:hAnsi="Arial"/>
          <w:sz w:val="20"/>
          <w:szCs w:val="20"/>
          <w:color w:val="auto"/>
        </w:rPr>
        <w:t xml:space="preserve"> for more information on our commodity contracts.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Principal Customers</w:t>
      </w:r>
    </w:p>
    <w:p>
      <w:pPr>
        <w:spacing w:after="0" w:line="215" w:lineRule="exact"/>
        <w:rPr>
          <w:sz w:val="20"/>
          <w:szCs w:val="20"/>
          <w:color w:val="auto"/>
        </w:rPr>
      </w:pPr>
    </w:p>
    <w:p>
      <w:pPr>
        <w:ind w:right="20" w:firstLine="300"/>
        <w:spacing w:after="0" w:line="248" w:lineRule="auto"/>
        <w:rPr>
          <w:sz w:val="20"/>
          <w:szCs w:val="20"/>
          <w:color w:val="auto"/>
        </w:rPr>
      </w:pPr>
      <w:r>
        <w:rPr>
          <w:rFonts w:ascii="Arial" w:cs="Arial" w:eastAsia="Arial" w:hAnsi="Arial"/>
          <w:sz w:val="20"/>
          <w:szCs w:val="20"/>
          <w:color w:val="auto"/>
        </w:rPr>
        <w:t xml:space="preserve">We sell crude oil, natural gas and NGLs to marketers, California refineries and other purchasers that have access to transportation and storage facilities. Our ability to sell our products can be affected by factors that are beyond our control and cannot be accurately predicted. See </w:t>
      </w:r>
      <w:r>
        <w:rPr>
          <w:rFonts w:ascii="Arial" w:cs="Arial" w:eastAsia="Arial" w:hAnsi="Arial"/>
          <w:sz w:val="20"/>
          <w:szCs w:val="20"/>
          <w:i w:val="1"/>
          <w:iCs w:val="1"/>
          <w:color w:val="auto"/>
        </w:rPr>
        <w:t>Part II, Item 8 –</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Financial Statements and Supplementary Data, Note 1 Nature of Business, Summary of Significant Accounting Policies and Other </w:t>
      </w:r>
      <w:r>
        <w:rPr>
          <w:rFonts w:ascii="Arial" w:cs="Arial" w:eastAsia="Arial" w:hAnsi="Arial"/>
          <w:sz w:val="20"/>
          <w:szCs w:val="20"/>
          <w:color w:val="auto"/>
        </w:rPr>
        <w:t>for more information on our customers</w:t>
      </w:r>
      <w:r>
        <w:rPr>
          <w:rFonts w:ascii="Arial" w:cs="Arial" w:eastAsia="Arial" w:hAnsi="Arial"/>
          <w:sz w:val="20"/>
          <w:szCs w:val="20"/>
          <w:i w:val="1"/>
          <w:iCs w:val="1"/>
          <w:color w:val="auto"/>
        </w:rPr>
        <w:t>.</w:t>
      </w:r>
    </w:p>
    <w:p>
      <w:pPr>
        <w:sectPr>
          <w:pgSz w:w="11880" w:h="15480" w:orient="portrait"/>
          <w:cols w:equalWidth="0" w:num="1">
            <w:col w:w="9080"/>
          </w:cols>
          <w:pgMar w:left="1380" w:top="1314" w:right="142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21</w:t>
      </w:r>
    </w:p>
    <w:p>
      <w:pPr>
        <w:sectPr>
          <w:pgSz w:w="11880" w:h="15480" w:orient="portrait"/>
          <w:cols w:equalWidth="0" w:num="1">
            <w:col w:w="9080"/>
          </w:cols>
          <w:pgMar w:left="1380" w:top="1314" w:right="1420" w:bottom="655" w:gutter="0" w:footer="0" w:header="0"/>
          <w:type w:val="continuous"/>
        </w:sectPr>
      </w:pPr>
    </w:p>
    <w:bookmarkStart w:id="25" w:name="page26"/>
    <w:bookmarkEnd w:id="25"/>
    <w:p>
      <w:pPr>
        <w:spacing w:after="0"/>
        <w:rPr>
          <w:sz w:val="20"/>
          <w:szCs w:val="20"/>
          <w:color w:val="auto"/>
        </w:rPr>
      </w:pPr>
      <w:r>
        <w:rPr>
          <w:rFonts w:ascii="Arial" w:cs="Arial" w:eastAsia="Arial" w:hAnsi="Arial"/>
          <w:sz w:val="20"/>
          <w:szCs w:val="20"/>
          <w:b w:val="1"/>
          <w:bCs w:val="1"/>
          <w:i w:val="1"/>
          <w:iCs w:val="1"/>
          <w:color w:val="auto"/>
        </w:rPr>
        <w:t>Title to Properties</w:t>
      </w:r>
    </w:p>
    <w:p>
      <w:pPr>
        <w:spacing w:after="0" w:line="215"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color w:val="auto"/>
        </w:rPr>
        <w:t xml:space="preserve">As is customary in the oil and natural gas industry for acquired properties, we initially conduct a high-level review of the title to our properties at the time of acquisition. Individual properties may be subject to ordinary course burdens that we believe do not materially interfere with the use or affect the value of such properties. Burdens on properties may include customary royalty or net profits interests, liens incident to operating agreements and tax obligations or duties under applicable laws, or development and abandonment obligations, among other items. Prior to the commencement of drilling operations on those properties, we typically conduct a more thorough title examination and may perform curative work with respect to significant defects. We generally will not commence drilling operations on a property until we have cured known title defects that are material to the project. For additional information on properties which secure our debt, see </w:t>
      </w:r>
      <w:r>
        <w:rPr>
          <w:rFonts w:ascii="Arial" w:cs="Arial" w:eastAsia="Arial" w:hAnsi="Arial"/>
          <w:sz w:val="20"/>
          <w:szCs w:val="20"/>
          <w:i w:val="1"/>
          <w:iCs w:val="1"/>
          <w:color w:val="auto"/>
        </w:rPr>
        <w:t>Part II, Item 8 – Financial Statements</w:t>
      </w:r>
      <w:r>
        <w:rPr>
          <w:rFonts w:ascii="Arial" w:cs="Arial" w:eastAsia="Arial" w:hAnsi="Arial"/>
          <w:sz w:val="20"/>
          <w:szCs w:val="20"/>
          <w:color w:val="auto"/>
        </w:rPr>
        <w:t xml:space="preserve"> </w:t>
      </w:r>
      <w:r>
        <w:rPr>
          <w:rFonts w:ascii="Arial" w:cs="Arial" w:eastAsia="Arial" w:hAnsi="Arial"/>
          <w:sz w:val="20"/>
          <w:szCs w:val="20"/>
          <w:i w:val="1"/>
          <w:iCs w:val="1"/>
          <w:color w:val="auto"/>
        </w:rPr>
        <w:t>and Supplementary Data, Note 4 Debt.</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Competition</w:t>
      </w:r>
    </w:p>
    <w:p>
      <w:pPr>
        <w:spacing w:after="0" w:line="215"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Our competitors are primarily other exploration and production companies that produce oil, natural gas and NGLs. We compete locally against small independent producers and major international oil companies who operate in California. We also compete with foreign oil and gas companies because California imports approximately 75% of the oil it consumes. We believe that our proximity to the California refineries gives us a competitive advantage over importers due to lower transportation costs. Further, California refineries are generally designed to process crude with similar characteristics to the low-carbon intensity oil produced from our fields. The California natural gas market is serviced from a network of pipelines, including interstate and intrastate pipelines. We deliver our natural gas to customers using our firm capacity contracts.</w:t>
      </w:r>
    </w:p>
    <w:p>
      <w:pPr>
        <w:spacing w:after="0" w:line="213" w:lineRule="exact"/>
        <w:rPr>
          <w:sz w:val="20"/>
          <w:szCs w:val="20"/>
          <w:color w:val="auto"/>
        </w:rPr>
      </w:pPr>
    </w:p>
    <w:p>
      <w:pPr>
        <w:ind w:right="80" w:firstLine="300"/>
        <w:spacing w:after="0" w:line="264" w:lineRule="auto"/>
        <w:rPr>
          <w:sz w:val="20"/>
          <w:szCs w:val="20"/>
          <w:color w:val="auto"/>
        </w:rPr>
      </w:pPr>
      <w:r>
        <w:rPr>
          <w:rFonts w:ascii="Arial" w:cs="Arial" w:eastAsia="Arial" w:hAnsi="Arial"/>
          <w:sz w:val="19"/>
          <w:szCs w:val="19"/>
          <w:color w:val="auto"/>
        </w:rPr>
        <w:t>We compete for third-party services to profitably develop our assets, to find or acquire additional reserves, to sell our production and to find and retain qualified personnel. Higher commodity prices could intensify competition for drilling and workover rigs, pipe, other oil field equipment and personnel. In 2022, we experienced increased costs due to inflation. However, in the current environment, we anticipate modest price increases for materials and services as contracts are renewed in the future. We believe our relative size and activity levels, compared to other in-state producers, favorably influences the pricing we receive from third-party providers in the markets in which we operate.</w:t>
      </w:r>
    </w:p>
    <w:p>
      <w:pPr>
        <w:spacing w:after="0" w:line="198"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We also face competition in our oil and natural gas operations from other sources of energy, including wind and solar power. These products compete directly with the electricity we generate from our power plants and indirectly as substitutes for oil, natural gas and NGLs. We expect competition from these sources to intensify in the future due to technological advances and as California continues to develop renewable energy and implements climate-related policies.</w:t>
      </w:r>
    </w:p>
    <w:p>
      <w:pPr>
        <w:spacing w:after="0" w:line="207" w:lineRule="exact"/>
        <w:rPr>
          <w:sz w:val="20"/>
          <w:szCs w:val="20"/>
          <w:color w:val="auto"/>
        </w:rPr>
      </w:pPr>
    </w:p>
    <w:p>
      <w:pPr>
        <w:ind w:right="80" w:firstLine="300"/>
        <w:spacing w:after="0" w:line="271" w:lineRule="auto"/>
        <w:rPr>
          <w:sz w:val="20"/>
          <w:szCs w:val="20"/>
          <w:color w:val="auto"/>
        </w:rPr>
      </w:pPr>
      <w:r>
        <w:rPr>
          <w:rFonts w:ascii="Arial" w:cs="Arial" w:eastAsia="Arial" w:hAnsi="Arial"/>
          <w:sz w:val="19"/>
          <w:szCs w:val="19"/>
          <w:color w:val="auto"/>
        </w:rPr>
        <w:t>In our carbon management business, we compete with other potential storage providers to acquire and develop storage reservoirs and enter into agreements with existing and future emission sources.</w:t>
      </w:r>
    </w:p>
    <w:p>
      <w:pPr>
        <w:sectPr>
          <w:pgSz w:w="11880" w:h="15480" w:orient="portrait"/>
          <w:cols w:equalWidth="0" w:num="1">
            <w:col w:w="9080"/>
          </w:cols>
          <w:pgMar w:left="1380" w:top="1311" w:right="142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22</w:t>
      </w:r>
    </w:p>
    <w:p>
      <w:pPr>
        <w:sectPr>
          <w:pgSz w:w="11880" w:h="15480" w:orient="portrait"/>
          <w:cols w:equalWidth="0" w:num="1">
            <w:col w:w="9080"/>
          </w:cols>
          <w:pgMar w:left="1380" w:top="1311" w:right="1420" w:bottom="655" w:gutter="0" w:footer="0" w:header="0"/>
          <w:type w:val="continuous"/>
        </w:sectPr>
      </w:pPr>
    </w:p>
    <w:bookmarkStart w:id="26" w:name="page27"/>
    <w:bookmarkEnd w:id="26"/>
    <w:p>
      <w:pPr>
        <w:spacing w:after="0"/>
        <w:rPr>
          <w:sz w:val="20"/>
          <w:szCs w:val="20"/>
          <w:color w:val="auto"/>
        </w:rPr>
      </w:pPr>
      <w:r>
        <w:rPr>
          <w:rFonts w:ascii="Arial" w:cs="Arial" w:eastAsia="Arial" w:hAnsi="Arial"/>
          <w:sz w:val="20"/>
          <w:szCs w:val="20"/>
          <w:b w:val="1"/>
          <w:bCs w:val="1"/>
          <w:color w:val="auto"/>
        </w:rPr>
        <w:t>Infrastructure</w:t>
      </w:r>
    </w:p>
    <w:p>
      <w:pPr>
        <w:spacing w:after="0" w:line="136" w:lineRule="exact"/>
        <w:rPr>
          <w:sz w:val="20"/>
          <w:szCs w:val="20"/>
          <w:color w:val="auto"/>
        </w:rPr>
      </w:pPr>
    </w:p>
    <w:p>
      <w:pPr>
        <w:ind w:right="280" w:firstLine="300"/>
        <w:spacing w:after="0" w:line="243" w:lineRule="auto"/>
        <w:rPr>
          <w:sz w:val="20"/>
          <w:szCs w:val="20"/>
          <w:color w:val="auto"/>
        </w:rPr>
      </w:pPr>
      <w:r>
        <w:rPr>
          <w:rFonts w:ascii="Arial" w:cs="Arial" w:eastAsia="Arial" w:hAnsi="Arial"/>
          <w:sz w:val="20"/>
          <w:szCs w:val="20"/>
          <w:color w:val="auto"/>
        </w:rPr>
        <w:t>The infrastructure used in our operations, including plants and facilities located in the Wilmington field, is presented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jc w:val="center"/>
              <w:spacing w:after="0"/>
              <w:rPr>
                <w:sz w:val="20"/>
                <w:szCs w:val="20"/>
                <w:color w:val="auto"/>
              </w:rPr>
            </w:pPr>
            <w:r>
              <w:rPr>
                <w:rFonts w:ascii="Arial" w:cs="Arial" w:eastAsia="Arial" w:hAnsi="Arial"/>
                <w:sz w:val="18"/>
                <w:szCs w:val="18"/>
                <w:b w:val="1"/>
                <w:bCs w:val="1"/>
                <w:color w:val="auto"/>
                <w:w w:val="98"/>
              </w:rPr>
              <w:t>Description</w:t>
            </w:r>
          </w:p>
        </w:tc>
        <w:tc>
          <w:tcPr>
            <w:tcW w:w="160" w:type="dxa"/>
            <w:vAlign w:val="bottom"/>
          </w:tcPr>
          <w:p>
            <w:pPr>
              <w:spacing w:after="0"/>
              <w:rPr>
                <w:sz w:val="17"/>
                <w:szCs w:val="17"/>
                <w:color w:val="auto"/>
              </w:rPr>
            </w:pPr>
          </w:p>
        </w:tc>
        <w:tc>
          <w:tcPr>
            <w:tcW w:w="1080" w:type="dxa"/>
            <w:vAlign w:val="bottom"/>
          </w:tcPr>
          <w:p>
            <w:pPr>
              <w:ind w:left="180"/>
              <w:spacing w:after="0"/>
              <w:rPr>
                <w:sz w:val="20"/>
                <w:szCs w:val="20"/>
                <w:color w:val="auto"/>
              </w:rPr>
            </w:pPr>
            <w:r>
              <w:rPr>
                <w:rFonts w:ascii="Arial" w:cs="Arial" w:eastAsia="Arial" w:hAnsi="Arial"/>
                <w:sz w:val="18"/>
                <w:szCs w:val="18"/>
                <w:b w:val="1"/>
                <w:bCs w:val="1"/>
                <w:color w:val="auto"/>
              </w:rPr>
              <w:t>Quantity</w:t>
            </w:r>
          </w:p>
        </w:tc>
        <w:tc>
          <w:tcPr>
            <w:tcW w:w="16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rPr>
              <w:t>Unit</w:t>
            </w:r>
          </w:p>
        </w:tc>
        <w:tc>
          <w:tcPr>
            <w:tcW w:w="160" w:type="dxa"/>
            <w:vAlign w:val="bottom"/>
          </w:tcPr>
          <w:p>
            <w:pPr>
              <w:spacing w:after="0"/>
              <w:rPr>
                <w:sz w:val="17"/>
                <w:szCs w:val="17"/>
                <w:color w:val="auto"/>
              </w:rPr>
            </w:pPr>
          </w:p>
        </w:tc>
        <w:tc>
          <w:tcPr>
            <w:tcW w:w="2920" w:type="dxa"/>
            <w:vAlign w:val="bottom"/>
            <w:gridSpan w:val="3"/>
          </w:tcPr>
          <w:p>
            <w:pPr>
              <w:ind w:left="1560"/>
              <w:spacing w:after="0"/>
              <w:rPr>
                <w:sz w:val="20"/>
                <w:szCs w:val="20"/>
                <w:color w:val="auto"/>
              </w:rPr>
            </w:pPr>
            <w:r>
              <w:rPr>
                <w:rFonts w:ascii="Arial" w:cs="Arial" w:eastAsia="Arial" w:hAnsi="Arial"/>
                <w:sz w:val="18"/>
                <w:szCs w:val="18"/>
                <w:b w:val="1"/>
                <w:bCs w:val="1"/>
                <w:color w:val="auto"/>
              </w:rPr>
              <w:t>Capacity</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4"/>
        </w:trPr>
        <w:tc>
          <w:tcPr>
            <w:tcW w:w="2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3"/>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9"/>
              </w:rPr>
              <w:t>Other</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03"/>
        </w:trPr>
        <w:tc>
          <w:tcPr>
            <w:tcW w:w="2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ind w:left="100"/>
              <w:spacing w:after="0" w:line="203" w:lineRule="exact"/>
              <w:rPr>
                <w:sz w:val="20"/>
                <w:szCs w:val="20"/>
                <w:color w:val="auto"/>
              </w:rPr>
            </w:pPr>
            <w:r>
              <w:rPr>
                <w:rFonts w:ascii="Arial" w:cs="Arial" w:eastAsia="Arial" w:hAnsi="Arial"/>
                <w:sz w:val="18"/>
                <w:szCs w:val="18"/>
                <w:b w:val="1"/>
                <w:bCs w:val="1"/>
                <w:color w:val="auto"/>
              </w:rPr>
              <w:t>San Joaquin Basin</w:t>
            </w:r>
          </w:p>
        </w:tc>
        <w:tc>
          <w:tcPr>
            <w:tcW w:w="160" w:type="dxa"/>
            <w:vAlign w:val="bottom"/>
          </w:tcPr>
          <w:p>
            <w:pPr>
              <w:spacing w:after="0"/>
              <w:rPr>
                <w:sz w:val="17"/>
                <w:szCs w:val="17"/>
                <w:color w:val="auto"/>
              </w:rPr>
            </w:pPr>
          </w:p>
        </w:tc>
        <w:tc>
          <w:tcPr>
            <w:tcW w:w="960" w:type="dxa"/>
            <w:vAlign w:val="bottom"/>
          </w:tcPr>
          <w:p>
            <w:pPr>
              <w:jc w:val="center"/>
              <w:spacing w:after="0" w:line="203" w:lineRule="exact"/>
              <w:rPr>
                <w:sz w:val="20"/>
                <w:szCs w:val="20"/>
                <w:color w:val="auto"/>
              </w:rPr>
            </w:pPr>
            <w:r>
              <w:rPr>
                <w:rFonts w:ascii="Arial" w:cs="Arial" w:eastAsia="Arial" w:hAnsi="Arial"/>
                <w:sz w:val="18"/>
                <w:szCs w:val="18"/>
                <w:b w:val="1"/>
                <w:bCs w:val="1"/>
                <w:color w:val="auto"/>
              </w:rPr>
              <w:t>Basins</w:t>
            </w:r>
          </w:p>
        </w:tc>
        <w:tc>
          <w:tcPr>
            <w:tcW w:w="160" w:type="dxa"/>
            <w:vAlign w:val="bottom"/>
          </w:tcPr>
          <w:p>
            <w:pPr>
              <w:spacing w:after="0"/>
              <w:rPr>
                <w:sz w:val="17"/>
                <w:szCs w:val="17"/>
                <w:color w:val="auto"/>
              </w:rPr>
            </w:pPr>
          </w:p>
        </w:tc>
        <w:tc>
          <w:tcPr>
            <w:tcW w:w="780" w:type="dxa"/>
            <w:vAlign w:val="bottom"/>
          </w:tcPr>
          <w:p>
            <w:pPr>
              <w:ind w:left="180"/>
              <w:spacing w:after="0" w:line="203" w:lineRule="exact"/>
              <w:rPr>
                <w:sz w:val="20"/>
                <w:szCs w:val="20"/>
                <w:color w:val="auto"/>
              </w:rPr>
            </w:pPr>
            <w:r>
              <w:rPr>
                <w:rFonts w:ascii="Arial" w:cs="Arial" w:eastAsia="Arial" w:hAnsi="Arial"/>
                <w:sz w:val="18"/>
                <w:szCs w:val="18"/>
                <w:b w:val="1"/>
                <w:bCs w:val="1"/>
                <w:color w:val="auto"/>
              </w:rPr>
              <w:t>Total</w:t>
            </w:r>
          </w:p>
        </w:tc>
      </w:tr>
      <w:tr>
        <w:trPr>
          <w:trHeight w:val="24"/>
        </w:trPr>
        <w:tc>
          <w:tcPr>
            <w:tcW w:w="29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6"/>
        </w:trPr>
        <w:tc>
          <w:tcPr>
            <w:tcW w:w="2980" w:type="dxa"/>
            <w:vAlign w:val="bottom"/>
          </w:tcPr>
          <w:p>
            <w:pPr>
              <w:jc w:val="center"/>
              <w:spacing w:after="0" w:line="216" w:lineRule="exact"/>
              <w:rPr>
                <w:sz w:val="20"/>
                <w:szCs w:val="20"/>
                <w:color w:val="auto"/>
              </w:rPr>
            </w:pPr>
            <w:r>
              <w:rPr>
                <w:rFonts w:ascii="Arial" w:cs="Arial" w:eastAsia="Arial" w:hAnsi="Arial"/>
                <w:sz w:val="19"/>
                <w:szCs w:val="19"/>
                <w:color w:val="auto"/>
              </w:rPr>
              <w:t>Gas Processing Plants</w:t>
            </w:r>
            <w:r>
              <w:rPr>
                <w:rFonts w:ascii="Arial" w:cs="Arial" w:eastAsia="Arial" w:hAnsi="Arial"/>
                <w:sz w:val="25"/>
                <w:szCs w:val="25"/>
                <w:color w:val="auto"/>
                <w:vertAlign w:val="superscript"/>
              </w:rPr>
              <w:t>(a)</w:t>
            </w:r>
            <w:r>
              <w:rPr>
                <w:rFonts w:ascii="Arial" w:cs="Arial" w:eastAsia="Arial" w:hAnsi="Arial"/>
                <w:sz w:val="19"/>
                <w:szCs w:val="19"/>
                <w:color w:val="auto"/>
              </w:rPr>
              <w:t xml:space="preserve">  . . . . . . .</w:t>
            </w:r>
          </w:p>
        </w:tc>
        <w:tc>
          <w:tcPr>
            <w:tcW w:w="1240" w:type="dxa"/>
            <w:vAlign w:val="bottom"/>
            <w:gridSpan w:val="2"/>
          </w:tcPr>
          <w:p>
            <w:pPr>
              <w:jc w:val="center"/>
              <w:ind w:left="60"/>
              <w:spacing w:after="0" w:line="216" w:lineRule="exact"/>
              <w:rPr>
                <w:sz w:val="20"/>
                <w:szCs w:val="20"/>
                <w:color w:val="auto"/>
              </w:rPr>
            </w:pPr>
            <w:r>
              <w:rPr>
                <w:rFonts w:ascii="Arial" w:cs="Arial" w:eastAsia="Arial" w:hAnsi="Arial"/>
                <w:sz w:val="20"/>
                <w:szCs w:val="20"/>
                <w:color w:val="auto"/>
              </w:rPr>
              <w:t>6</w:t>
            </w:r>
          </w:p>
        </w:tc>
        <w:tc>
          <w:tcPr>
            <w:tcW w:w="160" w:type="dxa"/>
            <w:vAlign w:val="bottom"/>
          </w:tcPr>
          <w:p>
            <w:pPr>
              <w:spacing w:after="0"/>
              <w:rPr>
                <w:sz w:val="18"/>
                <w:szCs w:val="18"/>
                <w:color w:val="auto"/>
              </w:rPr>
            </w:pPr>
          </w:p>
        </w:tc>
        <w:tc>
          <w:tcPr>
            <w:tcW w:w="720" w:type="dxa"/>
            <w:vAlign w:val="bottom"/>
          </w:tcPr>
          <w:p>
            <w:pPr>
              <w:jc w:val="center"/>
              <w:spacing w:after="0" w:line="216" w:lineRule="exact"/>
              <w:rPr>
                <w:sz w:val="20"/>
                <w:szCs w:val="20"/>
                <w:color w:val="auto"/>
              </w:rPr>
            </w:pPr>
            <w:r>
              <w:rPr>
                <w:rFonts w:ascii="Arial" w:cs="Arial" w:eastAsia="Arial" w:hAnsi="Arial"/>
                <w:sz w:val="20"/>
                <w:szCs w:val="20"/>
                <w:color w:val="auto"/>
              </w:rPr>
              <w:t>MMcf/d</w:t>
            </w:r>
          </w:p>
        </w:tc>
        <w:tc>
          <w:tcPr>
            <w:tcW w:w="1960" w:type="dxa"/>
            <w:vAlign w:val="bottom"/>
            <w:gridSpan w:val="2"/>
          </w:tcPr>
          <w:p>
            <w:pPr>
              <w:jc w:val="center"/>
              <w:ind w:left="40"/>
              <w:spacing w:after="0" w:line="216" w:lineRule="exact"/>
              <w:rPr>
                <w:sz w:val="20"/>
                <w:szCs w:val="20"/>
                <w:color w:val="auto"/>
              </w:rPr>
            </w:pPr>
            <w:r>
              <w:rPr>
                <w:rFonts w:ascii="Arial" w:cs="Arial" w:eastAsia="Arial" w:hAnsi="Arial"/>
                <w:sz w:val="20"/>
                <w:szCs w:val="20"/>
                <w:color w:val="auto"/>
              </w:rPr>
              <w:t>525</w:t>
            </w:r>
          </w:p>
        </w:tc>
        <w:tc>
          <w:tcPr>
            <w:tcW w:w="1120" w:type="dxa"/>
            <w:vAlign w:val="bottom"/>
            <w:gridSpan w:val="2"/>
          </w:tcPr>
          <w:p>
            <w:pPr>
              <w:jc w:val="center"/>
              <w:ind w:left="40"/>
              <w:spacing w:after="0" w:line="216" w:lineRule="exact"/>
              <w:rPr>
                <w:sz w:val="20"/>
                <w:szCs w:val="20"/>
                <w:color w:val="auto"/>
              </w:rPr>
            </w:pPr>
            <w:r>
              <w:rPr>
                <w:rFonts w:ascii="Arial" w:cs="Arial" w:eastAsia="Arial" w:hAnsi="Arial"/>
                <w:sz w:val="20"/>
                <w:szCs w:val="20"/>
                <w:color w:val="auto"/>
                <w:w w:val="98"/>
              </w:rPr>
              <w:t>18</w:t>
            </w:r>
          </w:p>
        </w:tc>
        <w:tc>
          <w:tcPr>
            <w:tcW w:w="940" w:type="dxa"/>
            <w:vAlign w:val="bottom"/>
            <w:gridSpan w:val="2"/>
          </w:tcPr>
          <w:p>
            <w:pPr>
              <w:jc w:val="center"/>
              <w:ind w:left="60"/>
              <w:spacing w:after="0" w:line="216" w:lineRule="exact"/>
              <w:rPr>
                <w:sz w:val="20"/>
                <w:szCs w:val="20"/>
                <w:color w:val="auto"/>
              </w:rPr>
            </w:pPr>
            <w:r>
              <w:rPr>
                <w:rFonts w:ascii="Arial" w:cs="Arial" w:eastAsia="Arial" w:hAnsi="Arial"/>
                <w:sz w:val="20"/>
                <w:szCs w:val="20"/>
                <w:color w:val="auto"/>
              </w:rPr>
              <w:t>543</w:t>
            </w:r>
          </w:p>
        </w:tc>
      </w:tr>
      <w:tr>
        <w:trPr>
          <w:trHeight w:val="200"/>
        </w:trPr>
        <w:tc>
          <w:tcPr>
            <w:tcW w:w="2980" w:type="dxa"/>
            <w:vAlign w:val="bottom"/>
          </w:tcPr>
          <w:p>
            <w:pPr>
              <w:jc w:val="center"/>
              <w:spacing w:after="0" w:line="200" w:lineRule="exact"/>
              <w:rPr>
                <w:sz w:val="20"/>
                <w:szCs w:val="20"/>
                <w:color w:val="auto"/>
              </w:rPr>
            </w:pPr>
            <w:r>
              <w:rPr>
                <w:rFonts w:ascii="Arial" w:cs="Arial" w:eastAsia="Arial" w:hAnsi="Arial"/>
                <w:sz w:val="18"/>
                <w:szCs w:val="18"/>
                <w:color w:val="auto"/>
              </w:rPr>
              <w:t>Power Plants</w:t>
            </w:r>
            <w:r>
              <w:rPr>
                <w:rFonts w:ascii="Arial" w:cs="Arial" w:eastAsia="Arial" w:hAnsi="Arial"/>
                <w:sz w:val="23"/>
                <w:szCs w:val="23"/>
                <w:color w:val="auto"/>
                <w:vertAlign w:val="superscript"/>
              </w:rPr>
              <w:t>(b)</w:t>
            </w:r>
            <w:r>
              <w:rPr>
                <w:rFonts w:ascii="Arial" w:cs="Arial" w:eastAsia="Arial" w:hAnsi="Arial"/>
                <w:sz w:val="18"/>
                <w:szCs w:val="18"/>
                <w:color w:val="auto"/>
              </w:rPr>
              <w:t xml:space="preserve">  . . . . . . . . . . . . . . .</w:t>
            </w:r>
          </w:p>
        </w:tc>
        <w:tc>
          <w:tcPr>
            <w:tcW w:w="1240" w:type="dxa"/>
            <w:vAlign w:val="bottom"/>
            <w:gridSpan w:val="2"/>
          </w:tcPr>
          <w:p>
            <w:pPr>
              <w:jc w:val="center"/>
              <w:ind w:left="60"/>
              <w:spacing w:after="0" w:line="200" w:lineRule="exact"/>
              <w:rPr>
                <w:sz w:val="20"/>
                <w:szCs w:val="20"/>
                <w:color w:val="auto"/>
              </w:rPr>
            </w:pPr>
            <w:r>
              <w:rPr>
                <w:rFonts w:ascii="Arial" w:cs="Arial" w:eastAsia="Arial" w:hAnsi="Arial"/>
                <w:sz w:val="20"/>
                <w:szCs w:val="20"/>
                <w:color w:val="auto"/>
              </w:rPr>
              <w:t>3</w:t>
            </w:r>
          </w:p>
        </w:tc>
        <w:tc>
          <w:tcPr>
            <w:tcW w:w="160" w:type="dxa"/>
            <w:vAlign w:val="bottom"/>
          </w:tcPr>
          <w:p>
            <w:pPr>
              <w:spacing w:after="0"/>
              <w:rPr>
                <w:sz w:val="17"/>
                <w:szCs w:val="17"/>
                <w:color w:val="auto"/>
              </w:rPr>
            </w:pPr>
          </w:p>
        </w:tc>
        <w:tc>
          <w:tcPr>
            <w:tcW w:w="720" w:type="dxa"/>
            <w:vAlign w:val="bottom"/>
          </w:tcPr>
          <w:p>
            <w:pPr>
              <w:jc w:val="center"/>
              <w:spacing w:after="0" w:line="200" w:lineRule="exact"/>
              <w:rPr>
                <w:sz w:val="20"/>
                <w:szCs w:val="20"/>
                <w:color w:val="auto"/>
              </w:rPr>
            </w:pPr>
            <w:r>
              <w:rPr>
                <w:rFonts w:ascii="Arial" w:cs="Arial" w:eastAsia="Arial" w:hAnsi="Arial"/>
                <w:sz w:val="20"/>
                <w:szCs w:val="20"/>
                <w:color w:val="auto"/>
              </w:rPr>
              <w:t>MW</w:t>
            </w:r>
          </w:p>
        </w:tc>
        <w:tc>
          <w:tcPr>
            <w:tcW w:w="1960" w:type="dxa"/>
            <w:vAlign w:val="bottom"/>
            <w:gridSpan w:val="2"/>
          </w:tcPr>
          <w:p>
            <w:pPr>
              <w:jc w:val="center"/>
              <w:ind w:left="40"/>
              <w:spacing w:after="0" w:line="200" w:lineRule="exact"/>
              <w:rPr>
                <w:sz w:val="20"/>
                <w:szCs w:val="20"/>
                <w:color w:val="auto"/>
              </w:rPr>
            </w:pPr>
            <w:r>
              <w:rPr>
                <w:rFonts w:ascii="Arial" w:cs="Arial" w:eastAsia="Arial" w:hAnsi="Arial"/>
                <w:sz w:val="20"/>
                <w:szCs w:val="20"/>
                <w:color w:val="auto"/>
              </w:rPr>
              <w:t>595</w:t>
            </w:r>
          </w:p>
        </w:tc>
        <w:tc>
          <w:tcPr>
            <w:tcW w:w="1120" w:type="dxa"/>
            <w:vAlign w:val="bottom"/>
            <w:gridSpan w:val="2"/>
          </w:tcPr>
          <w:p>
            <w:pPr>
              <w:jc w:val="center"/>
              <w:ind w:left="40"/>
              <w:spacing w:after="0" w:line="200" w:lineRule="exact"/>
              <w:rPr>
                <w:sz w:val="20"/>
                <w:szCs w:val="20"/>
                <w:color w:val="auto"/>
              </w:rPr>
            </w:pPr>
            <w:r>
              <w:rPr>
                <w:rFonts w:ascii="Arial" w:cs="Arial" w:eastAsia="Arial" w:hAnsi="Arial"/>
                <w:sz w:val="20"/>
                <w:szCs w:val="20"/>
                <w:color w:val="auto"/>
                <w:w w:val="98"/>
              </w:rPr>
              <w:t>48</w:t>
            </w:r>
          </w:p>
        </w:tc>
        <w:tc>
          <w:tcPr>
            <w:tcW w:w="940" w:type="dxa"/>
            <w:vAlign w:val="bottom"/>
            <w:gridSpan w:val="2"/>
          </w:tcPr>
          <w:p>
            <w:pPr>
              <w:jc w:val="center"/>
              <w:ind w:left="60"/>
              <w:spacing w:after="0" w:line="200" w:lineRule="exact"/>
              <w:rPr>
                <w:sz w:val="20"/>
                <w:szCs w:val="20"/>
                <w:color w:val="auto"/>
              </w:rPr>
            </w:pPr>
            <w:r>
              <w:rPr>
                <w:rFonts w:ascii="Arial" w:cs="Arial" w:eastAsia="Arial" w:hAnsi="Arial"/>
                <w:sz w:val="20"/>
                <w:szCs w:val="20"/>
                <w:color w:val="auto"/>
              </w:rPr>
              <w:t>643</w:t>
            </w:r>
          </w:p>
        </w:tc>
      </w:tr>
      <w:tr>
        <w:trPr>
          <w:trHeight w:val="200"/>
        </w:trPr>
        <w:tc>
          <w:tcPr>
            <w:tcW w:w="2980" w:type="dxa"/>
            <w:vAlign w:val="bottom"/>
          </w:tcPr>
          <w:p>
            <w:pPr>
              <w:jc w:val="center"/>
              <w:spacing w:after="0" w:line="200" w:lineRule="exact"/>
              <w:rPr>
                <w:sz w:val="20"/>
                <w:szCs w:val="20"/>
                <w:color w:val="auto"/>
              </w:rPr>
            </w:pPr>
            <w:r>
              <w:rPr>
                <w:rFonts w:ascii="Arial" w:cs="Arial" w:eastAsia="Arial" w:hAnsi="Arial"/>
                <w:sz w:val="18"/>
                <w:szCs w:val="18"/>
                <w:color w:val="auto"/>
              </w:rPr>
              <w:t>Steam Generators/Plants</w:t>
            </w:r>
            <w:r>
              <w:rPr>
                <w:rFonts w:ascii="Arial" w:cs="Arial" w:eastAsia="Arial" w:hAnsi="Arial"/>
                <w:sz w:val="23"/>
                <w:szCs w:val="23"/>
                <w:color w:val="auto"/>
                <w:vertAlign w:val="superscript"/>
              </w:rPr>
              <w:t>(c)</w:t>
            </w:r>
            <w:r>
              <w:rPr>
                <w:rFonts w:ascii="Arial" w:cs="Arial" w:eastAsia="Arial" w:hAnsi="Arial"/>
                <w:sz w:val="18"/>
                <w:szCs w:val="18"/>
                <w:color w:val="auto"/>
              </w:rPr>
              <w:t xml:space="preserve">  . . . . .</w:t>
            </w:r>
          </w:p>
        </w:tc>
        <w:tc>
          <w:tcPr>
            <w:tcW w:w="1240" w:type="dxa"/>
            <w:vAlign w:val="bottom"/>
            <w:gridSpan w:val="2"/>
          </w:tcPr>
          <w:p>
            <w:pPr>
              <w:jc w:val="center"/>
              <w:ind w:left="40"/>
              <w:spacing w:after="0" w:line="200" w:lineRule="exact"/>
              <w:rPr>
                <w:sz w:val="20"/>
                <w:szCs w:val="20"/>
                <w:color w:val="auto"/>
              </w:rPr>
            </w:pPr>
            <w:r>
              <w:rPr>
                <w:rFonts w:ascii="Arial" w:cs="Arial" w:eastAsia="Arial" w:hAnsi="Arial"/>
                <w:sz w:val="20"/>
                <w:szCs w:val="20"/>
                <w:color w:val="auto"/>
              </w:rPr>
              <w:t>&gt;30</w:t>
            </w:r>
          </w:p>
        </w:tc>
        <w:tc>
          <w:tcPr>
            <w:tcW w:w="160" w:type="dxa"/>
            <w:vAlign w:val="bottom"/>
          </w:tcPr>
          <w:p>
            <w:pPr>
              <w:spacing w:after="0"/>
              <w:rPr>
                <w:sz w:val="17"/>
                <w:szCs w:val="17"/>
                <w:color w:val="auto"/>
              </w:rPr>
            </w:pPr>
          </w:p>
        </w:tc>
        <w:tc>
          <w:tcPr>
            <w:tcW w:w="720" w:type="dxa"/>
            <w:vAlign w:val="bottom"/>
          </w:tcPr>
          <w:p>
            <w:pPr>
              <w:jc w:val="center"/>
              <w:spacing w:after="0" w:line="200" w:lineRule="exact"/>
              <w:rPr>
                <w:sz w:val="20"/>
                <w:szCs w:val="20"/>
                <w:color w:val="auto"/>
              </w:rPr>
            </w:pPr>
            <w:r>
              <w:rPr>
                <w:rFonts w:ascii="Arial" w:cs="Arial" w:eastAsia="Arial" w:hAnsi="Arial"/>
                <w:sz w:val="20"/>
                <w:szCs w:val="20"/>
                <w:color w:val="auto"/>
                <w:w w:val="99"/>
              </w:rPr>
              <w:t>MBbl/d</w:t>
            </w:r>
          </w:p>
        </w:tc>
        <w:tc>
          <w:tcPr>
            <w:tcW w:w="1960" w:type="dxa"/>
            <w:vAlign w:val="bottom"/>
            <w:gridSpan w:val="2"/>
          </w:tcPr>
          <w:p>
            <w:pPr>
              <w:jc w:val="center"/>
              <w:ind w:left="40"/>
              <w:spacing w:after="0" w:line="200" w:lineRule="exact"/>
              <w:rPr>
                <w:sz w:val="20"/>
                <w:szCs w:val="20"/>
                <w:color w:val="auto"/>
              </w:rPr>
            </w:pPr>
            <w:r>
              <w:rPr>
                <w:rFonts w:ascii="Arial" w:cs="Arial" w:eastAsia="Arial" w:hAnsi="Arial"/>
                <w:sz w:val="20"/>
                <w:szCs w:val="20"/>
                <w:color w:val="auto"/>
              </w:rPr>
              <w:t>150</w:t>
            </w:r>
          </w:p>
        </w:tc>
        <w:tc>
          <w:tcPr>
            <w:tcW w:w="160" w:type="dxa"/>
            <w:vAlign w:val="bottom"/>
          </w:tcPr>
          <w:p>
            <w:pPr>
              <w:spacing w:after="0"/>
              <w:rPr>
                <w:sz w:val="17"/>
                <w:szCs w:val="17"/>
                <w:color w:val="auto"/>
              </w:rPr>
            </w:pPr>
          </w:p>
        </w:tc>
        <w:tc>
          <w:tcPr>
            <w:tcW w:w="960" w:type="dxa"/>
            <w:vAlign w:val="bottom"/>
          </w:tcPr>
          <w:p>
            <w:pPr>
              <w:jc w:val="center"/>
              <w:spacing w:after="0" w:line="200" w:lineRule="exact"/>
              <w:rPr>
                <w:sz w:val="20"/>
                <w:szCs w:val="20"/>
                <w:color w:val="auto"/>
              </w:rPr>
            </w:pPr>
            <w:r>
              <w:rPr>
                <w:rFonts w:ascii="Arial" w:cs="Arial" w:eastAsia="Arial" w:hAnsi="Arial"/>
                <w:sz w:val="20"/>
                <w:szCs w:val="20"/>
                <w:color w:val="auto"/>
                <w:w w:val="99"/>
              </w:rPr>
              <w:t>—</w:t>
            </w:r>
          </w:p>
        </w:tc>
        <w:tc>
          <w:tcPr>
            <w:tcW w:w="940" w:type="dxa"/>
            <w:vAlign w:val="bottom"/>
            <w:gridSpan w:val="2"/>
          </w:tcPr>
          <w:p>
            <w:pPr>
              <w:jc w:val="center"/>
              <w:ind w:left="60"/>
              <w:spacing w:after="0" w:line="200" w:lineRule="exact"/>
              <w:rPr>
                <w:sz w:val="20"/>
                <w:szCs w:val="20"/>
                <w:color w:val="auto"/>
              </w:rPr>
            </w:pPr>
            <w:r>
              <w:rPr>
                <w:rFonts w:ascii="Arial" w:cs="Arial" w:eastAsia="Arial" w:hAnsi="Arial"/>
                <w:sz w:val="20"/>
                <w:szCs w:val="20"/>
                <w:color w:val="auto"/>
              </w:rPr>
              <w:t>150</w:t>
            </w:r>
          </w:p>
        </w:tc>
      </w:tr>
      <w:tr>
        <w:trPr>
          <w:trHeight w:val="200"/>
        </w:trPr>
        <w:tc>
          <w:tcPr>
            <w:tcW w:w="2980" w:type="dxa"/>
            <w:vAlign w:val="bottom"/>
          </w:tcPr>
          <w:p>
            <w:pPr>
              <w:jc w:val="center"/>
              <w:spacing w:after="0" w:line="200" w:lineRule="exact"/>
              <w:rPr>
                <w:sz w:val="20"/>
                <w:szCs w:val="20"/>
                <w:color w:val="auto"/>
              </w:rPr>
            </w:pPr>
            <w:r>
              <w:rPr>
                <w:rFonts w:ascii="Arial" w:cs="Arial" w:eastAsia="Arial" w:hAnsi="Arial"/>
                <w:sz w:val="20"/>
                <w:szCs w:val="20"/>
                <w:color w:val="auto"/>
                <w:w w:val="97"/>
              </w:rPr>
              <w:t>Compressors  . . . . . . . . . . . . . . . .</w:t>
            </w:r>
          </w:p>
        </w:tc>
        <w:tc>
          <w:tcPr>
            <w:tcW w:w="1240" w:type="dxa"/>
            <w:vAlign w:val="bottom"/>
            <w:gridSpan w:val="2"/>
          </w:tcPr>
          <w:p>
            <w:pPr>
              <w:jc w:val="center"/>
              <w:ind w:left="60"/>
              <w:spacing w:after="0" w:line="200" w:lineRule="exact"/>
              <w:rPr>
                <w:sz w:val="20"/>
                <w:szCs w:val="20"/>
                <w:color w:val="auto"/>
              </w:rPr>
            </w:pPr>
            <w:r>
              <w:rPr>
                <w:rFonts w:ascii="Arial" w:cs="Arial" w:eastAsia="Arial" w:hAnsi="Arial"/>
                <w:sz w:val="20"/>
                <w:szCs w:val="20"/>
                <w:color w:val="auto"/>
                <w:w w:val="97"/>
              </w:rPr>
              <w:t>&gt;300</w:t>
            </w:r>
          </w:p>
        </w:tc>
        <w:tc>
          <w:tcPr>
            <w:tcW w:w="160" w:type="dxa"/>
            <w:vAlign w:val="bottom"/>
          </w:tcPr>
          <w:p>
            <w:pPr>
              <w:spacing w:after="0"/>
              <w:rPr>
                <w:sz w:val="17"/>
                <w:szCs w:val="17"/>
                <w:color w:val="auto"/>
              </w:rPr>
            </w:pPr>
          </w:p>
        </w:tc>
        <w:tc>
          <w:tcPr>
            <w:tcW w:w="720" w:type="dxa"/>
            <w:vAlign w:val="bottom"/>
          </w:tcPr>
          <w:p>
            <w:pPr>
              <w:jc w:val="center"/>
              <w:spacing w:after="0" w:line="200" w:lineRule="exact"/>
              <w:rPr>
                <w:sz w:val="20"/>
                <w:szCs w:val="20"/>
                <w:color w:val="auto"/>
              </w:rPr>
            </w:pPr>
            <w:r>
              <w:rPr>
                <w:rFonts w:ascii="Arial" w:cs="Arial" w:eastAsia="Arial" w:hAnsi="Arial"/>
                <w:sz w:val="20"/>
                <w:szCs w:val="20"/>
                <w:color w:val="auto"/>
                <w:w w:val="99"/>
              </w:rPr>
              <w:t>MHp</w:t>
            </w:r>
          </w:p>
        </w:tc>
        <w:tc>
          <w:tcPr>
            <w:tcW w:w="1960" w:type="dxa"/>
            <w:vAlign w:val="bottom"/>
            <w:gridSpan w:val="2"/>
          </w:tcPr>
          <w:p>
            <w:pPr>
              <w:jc w:val="center"/>
              <w:ind w:left="40"/>
              <w:spacing w:after="0" w:line="200" w:lineRule="exact"/>
              <w:rPr>
                <w:sz w:val="20"/>
                <w:szCs w:val="20"/>
                <w:color w:val="auto"/>
              </w:rPr>
            </w:pPr>
            <w:r>
              <w:rPr>
                <w:rFonts w:ascii="Arial" w:cs="Arial" w:eastAsia="Arial" w:hAnsi="Arial"/>
                <w:sz w:val="20"/>
                <w:szCs w:val="20"/>
                <w:color w:val="auto"/>
              </w:rPr>
              <w:t>320</w:t>
            </w:r>
          </w:p>
        </w:tc>
        <w:tc>
          <w:tcPr>
            <w:tcW w:w="1120" w:type="dxa"/>
            <w:vAlign w:val="bottom"/>
            <w:gridSpan w:val="2"/>
          </w:tcPr>
          <w:p>
            <w:pPr>
              <w:jc w:val="center"/>
              <w:ind w:left="40"/>
              <w:spacing w:after="0" w:line="200" w:lineRule="exact"/>
              <w:rPr>
                <w:sz w:val="20"/>
                <w:szCs w:val="20"/>
                <w:color w:val="auto"/>
              </w:rPr>
            </w:pPr>
            <w:r>
              <w:rPr>
                <w:rFonts w:ascii="Arial" w:cs="Arial" w:eastAsia="Arial" w:hAnsi="Arial"/>
                <w:sz w:val="20"/>
                <w:szCs w:val="20"/>
                <w:color w:val="auto"/>
                <w:w w:val="98"/>
              </w:rPr>
              <w:t>21</w:t>
            </w:r>
          </w:p>
        </w:tc>
        <w:tc>
          <w:tcPr>
            <w:tcW w:w="940" w:type="dxa"/>
            <w:vAlign w:val="bottom"/>
            <w:gridSpan w:val="2"/>
          </w:tcPr>
          <w:p>
            <w:pPr>
              <w:jc w:val="center"/>
              <w:ind w:left="60"/>
              <w:spacing w:after="0" w:line="200" w:lineRule="exact"/>
              <w:rPr>
                <w:sz w:val="20"/>
                <w:szCs w:val="20"/>
                <w:color w:val="auto"/>
              </w:rPr>
            </w:pPr>
            <w:r>
              <w:rPr>
                <w:rFonts w:ascii="Arial" w:cs="Arial" w:eastAsia="Arial" w:hAnsi="Arial"/>
                <w:sz w:val="20"/>
                <w:szCs w:val="20"/>
                <w:color w:val="auto"/>
              </w:rPr>
              <w:t>341</w:t>
            </w:r>
          </w:p>
        </w:tc>
      </w:tr>
      <w:tr>
        <w:trPr>
          <w:trHeight w:val="200"/>
        </w:trPr>
        <w:tc>
          <w:tcPr>
            <w:tcW w:w="2980" w:type="dxa"/>
            <w:vAlign w:val="bottom"/>
          </w:tcPr>
          <w:p>
            <w:pPr>
              <w:jc w:val="center"/>
              <w:spacing w:after="0" w:line="200" w:lineRule="exact"/>
              <w:rPr>
                <w:sz w:val="20"/>
                <w:szCs w:val="20"/>
                <w:color w:val="auto"/>
              </w:rPr>
            </w:pPr>
            <w:r>
              <w:rPr>
                <w:rFonts w:ascii="Arial" w:cs="Arial" w:eastAsia="Arial" w:hAnsi="Arial"/>
                <w:sz w:val="18"/>
                <w:szCs w:val="18"/>
                <w:color w:val="auto"/>
              </w:rPr>
              <w:t>Water Management Systems</w:t>
            </w:r>
            <w:r>
              <w:rPr>
                <w:rFonts w:ascii="Arial" w:cs="Arial" w:eastAsia="Arial" w:hAnsi="Arial"/>
                <w:sz w:val="23"/>
                <w:szCs w:val="23"/>
                <w:color w:val="auto"/>
                <w:vertAlign w:val="superscript"/>
              </w:rPr>
              <w:t>(c)</w:t>
            </w:r>
            <w:r>
              <w:rPr>
                <w:rFonts w:ascii="Arial" w:cs="Arial" w:eastAsia="Arial" w:hAnsi="Arial"/>
                <w:sz w:val="18"/>
                <w:szCs w:val="18"/>
                <w:color w:val="auto"/>
              </w:rPr>
              <w:t xml:space="preserve">  . .</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200" w:lineRule="exact"/>
              <w:rPr>
                <w:sz w:val="20"/>
                <w:szCs w:val="20"/>
                <w:color w:val="auto"/>
              </w:rPr>
            </w:pPr>
            <w:r>
              <w:rPr>
                <w:rFonts w:ascii="Arial" w:cs="Arial" w:eastAsia="Arial" w:hAnsi="Arial"/>
                <w:sz w:val="20"/>
                <w:szCs w:val="20"/>
                <w:color w:val="auto"/>
              </w:rPr>
              <w:t>MBw/d</w:t>
            </w:r>
          </w:p>
        </w:tc>
        <w:tc>
          <w:tcPr>
            <w:tcW w:w="1960" w:type="dxa"/>
            <w:vAlign w:val="bottom"/>
            <w:gridSpan w:val="2"/>
          </w:tcPr>
          <w:p>
            <w:pPr>
              <w:jc w:val="center"/>
              <w:ind w:left="40"/>
              <w:spacing w:after="0" w:line="200" w:lineRule="exact"/>
              <w:rPr>
                <w:sz w:val="20"/>
                <w:szCs w:val="20"/>
                <w:color w:val="auto"/>
              </w:rPr>
            </w:pPr>
            <w:r>
              <w:rPr>
                <w:rFonts w:ascii="Arial" w:cs="Arial" w:eastAsia="Arial" w:hAnsi="Arial"/>
                <w:sz w:val="20"/>
                <w:szCs w:val="20"/>
                <w:color w:val="auto"/>
                <w:w w:val="99"/>
              </w:rPr>
              <w:t>1,900</w:t>
            </w:r>
          </w:p>
        </w:tc>
        <w:tc>
          <w:tcPr>
            <w:tcW w:w="1120" w:type="dxa"/>
            <w:vAlign w:val="bottom"/>
            <w:gridSpan w:val="2"/>
          </w:tcPr>
          <w:p>
            <w:pPr>
              <w:jc w:val="center"/>
              <w:ind w:left="40"/>
              <w:spacing w:after="0" w:line="200" w:lineRule="exact"/>
              <w:rPr>
                <w:sz w:val="20"/>
                <w:szCs w:val="20"/>
                <w:color w:val="auto"/>
              </w:rPr>
            </w:pPr>
            <w:r>
              <w:rPr>
                <w:rFonts w:ascii="Arial" w:cs="Arial" w:eastAsia="Arial" w:hAnsi="Arial"/>
                <w:sz w:val="20"/>
                <w:szCs w:val="20"/>
                <w:color w:val="auto"/>
                <w:w w:val="99"/>
              </w:rPr>
              <w:t>1,980</w:t>
            </w:r>
          </w:p>
        </w:tc>
        <w:tc>
          <w:tcPr>
            <w:tcW w:w="940" w:type="dxa"/>
            <w:vAlign w:val="bottom"/>
            <w:gridSpan w:val="2"/>
          </w:tcPr>
          <w:p>
            <w:pPr>
              <w:jc w:val="center"/>
              <w:ind w:left="60"/>
              <w:spacing w:after="0" w:line="200" w:lineRule="exact"/>
              <w:rPr>
                <w:sz w:val="20"/>
                <w:szCs w:val="20"/>
                <w:color w:val="auto"/>
              </w:rPr>
            </w:pPr>
            <w:r>
              <w:rPr>
                <w:rFonts w:ascii="Arial" w:cs="Arial" w:eastAsia="Arial" w:hAnsi="Arial"/>
                <w:sz w:val="20"/>
                <w:szCs w:val="20"/>
                <w:color w:val="auto"/>
                <w:w w:val="99"/>
              </w:rPr>
              <w:t>3,880</w:t>
            </w:r>
          </w:p>
        </w:tc>
      </w:tr>
      <w:tr>
        <w:trPr>
          <w:trHeight w:val="200"/>
        </w:trPr>
        <w:tc>
          <w:tcPr>
            <w:tcW w:w="2980" w:type="dxa"/>
            <w:vAlign w:val="bottom"/>
          </w:tcPr>
          <w:p>
            <w:pPr>
              <w:jc w:val="center"/>
              <w:spacing w:after="0" w:line="200" w:lineRule="exact"/>
              <w:rPr>
                <w:sz w:val="20"/>
                <w:szCs w:val="20"/>
                <w:color w:val="auto"/>
              </w:rPr>
            </w:pPr>
            <w:r>
              <w:rPr>
                <w:rFonts w:ascii="Arial" w:cs="Arial" w:eastAsia="Arial" w:hAnsi="Arial"/>
                <w:sz w:val="18"/>
                <w:szCs w:val="18"/>
                <w:color w:val="auto"/>
              </w:rPr>
              <w:t>Water Softeners</w:t>
            </w:r>
            <w:r>
              <w:rPr>
                <w:rFonts w:ascii="Arial" w:cs="Arial" w:eastAsia="Arial" w:hAnsi="Arial"/>
                <w:sz w:val="23"/>
                <w:szCs w:val="23"/>
                <w:color w:val="auto"/>
                <w:vertAlign w:val="superscript"/>
              </w:rPr>
              <w:t>(c)</w:t>
            </w:r>
            <w:r>
              <w:rPr>
                <w:rFonts w:ascii="Arial" w:cs="Arial" w:eastAsia="Arial" w:hAnsi="Arial"/>
                <w:sz w:val="18"/>
                <w:szCs w:val="18"/>
                <w:color w:val="auto"/>
              </w:rPr>
              <w:t xml:space="preserve">   . . . . . . . . . . . .</w:t>
            </w:r>
          </w:p>
        </w:tc>
        <w:tc>
          <w:tcPr>
            <w:tcW w:w="1240" w:type="dxa"/>
            <w:vAlign w:val="bottom"/>
            <w:gridSpan w:val="2"/>
          </w:tcPr>
          <w:p>
            <w:pPr>
              <w:jc w:val="center"/>
              <w:ind w:left="40"/>
              <w:spacing w:after="0" w:line="200" w:lineRule="exact"/>
              <w:rPr>
                <w:sz w:val="20"/>
                <w:szCs w:val="20"/>
                <w:color w:val="auto"/>
              </w:rPr>
            </w:pPr>
            <w:r>
              <w:rPr>
                <w:rFonts w:ascii="Arial" w:cs="Arial" w:eastAsia="Arial" w:hAnsi="Arial"/>
                <w:sz w:val="20"/>
                <w:szCs w:val="20"/>
                <w:color w:val="auto"/>
                <w:w w:val="98"/>
              </w:rPr>
              <w:t>16</w:t>
            </w:r>
          </w:p>
        </w:tc>
        <w:tc>
          <w:tcPr>
            <w:tcW w:w="160" w:type="dxa"/>
            <w:vAlign w:val="bottom"/>
          </w:tcPr>
          <w:p>
            <w:pPr>
              <w:spacing w:after="0"/>
              <w:rPr>
                <w:sz w:val="17"/>
                <w:szCs w:val="17"/>
                <w:color w:val="auto"/>
              </w:rPr>
            </w:pPr>
          </w:p>
        </w:tc>
        <w:tc>
          <w:tcPr>
            <w:tcW w:w="720" w:type="dxa"/>
            <w:vAlign w:val="bottom"/>
          </w:tcPr>
          <w:p>
            <w:pPr>
              <w:jc w:val="center"/>
              <w:spacing w:after="0" w:line="200" w:lineRule="exact"/>
              <w:rPr>
                <w:sz w:val="20"/>
                <w:szCs w:val="20"/>
                <w:color w:val="auto"/>
              </w:rPr>
            </w:pPr>
            <w:r>
              <w:rPr>
                <w:rFonts w:ascii="Arial" w:cs="Arial" w:eastAsia="Arial" w:hAnsi="Arial"/>
                <w:sz w:val="20"/>
                <w:szCs w:val="20"/>
                <w:color w:val="auto"/>
              </w:rPr>
              <w:t>MBw/d</w:t>
            </w:r>
          </w:p>
        </w:tc>
        <w:tc>
          <w:tcPr>
            <w:tcW w:w="1960" w:type="dxa"/>
            <w:vAlign w:val="bottom"/>
            <w:gridSpan w:val="2"/>
          </w:tcPr>
          <w:p>
            <w:pPr>
              <w:jc w:val="center"/>
              <w:ind w:left="40"/>
              <w:spacing w:after="0" w:line="200" w:lineRule="exact"/>
              <w:rPr>
                <w:sz w:val="20"/>
                <w:szCs w:val="20"/>
                <w:color w:val="auto"/>
              </w:rPr>
            </w:pPr>
            <w:r>
              <w:rPr>
                <w:rFonts w:ascii="Arial" w:cs="Arial" w:eastAsia="Arial" w:hAnsi="Arial"/>
                <w:sz w:val="20"/>
                <w:szCs w:val="20"/>
                <w:color w:val="auto"/>
              </w:rPr>
              <w:t>125</w:t>
            </w:r>
          </w:p>
        </w:tc>
        <w:tc>
          <w:tcPr>
            <w:tcW w:w="160" w:type="dxa"/>
            <w:vAlign w:val="bottom"/>
          </w:tcPr>
          <w:p>
            <w:pPr>
              <w:spacing w:after="0"/>
              <w:rPr>
                <w:sz w:val="17"/>
                <w:szCs w:val="17"/>
                <w:color w:val="auto"/>
              </w:rPr>
            </w:pPr>
          </w:p>
        </w:tc>
        <w:tc>
          <w:tcPr>
            <w:tcW w:w="960" w:type="dxa"/>
            <w:vAlign w:val="bottom"/>
          </w:tcPr>
          <w:p>
            <w:pPr>
              <w:jc w:val="center"/>
              <w:spacing w:after="0" w:line="200" w:lineRule="exact"/>
              <w:rPr>
                <w:sz w:val="20"/>
                <w:szCs w:val="20"/>
                <w:color w:val="auto"/>
              </w:rPr>
            </w:pPr>
            <w:r>
              <w:rPr>
                <w:rFonts w:ascii="Arial" w:cs="Arial" w:eastAsia="Arial" w:hAnsi="Arial"/>
                <w:sz w:val="20"/>
                <w:szCs w:val="20"/>
                <w:color w:val="auto"/>
                <w:w w:val="99"/>
              </w:rPr>
              <w:t>—</w:t>
            </w:r>
          </w:p>
        </w:tc>
        <w:tc>
          <w:tcPr>
            <w:tcW w:w="940" w:type="dxa"/>
            <w:vAlign w:val="bottom"/>
            <w:gridSpan w:val="2"/>
          </w:tcPr>
          <w:p>
            <w:pPr>
              <w:jc w:val="center"/>
              <w:ind w:left="60"/>
              <w:spacing w:after="0" w:line="200" w:lineRule="exact"/>
              <w:rPr>
                <w:sz w:val="20"/>
                <w:szCs w:val="20"/>
                <w:color w:val="auto"/>
              </w:rPr>
            </w:pPr>
            <w:r>
              <w:rPr>
                <w:rFonts w:ascii="Arial" w:cs="Arial" w:eastAsia="Arial" w:hAnsi="Arial"/>
                <w:sz w:val="20"/>
                <w:szCs w:val="20"/>
                <w:color w:val="auto"/>
              </w:rPr>
              <w:t>125</w:t>
            </w:r>
          </w:p>
        </w:tc>
      </w:tr>
      <w:tr>
        <w:trPr>
          <w:trHeight w:val="200"/>
        </w:trPr>
        <w:tc>
          <w:tcPr>
            <w:tcW w:w="2980" w:type="dxa"/>
            <w:vAlign w:val="bottom"/>
          </w:tcPr>
          <w:p>
            <w:pPr>
              <w:jc w:val="center"/>
              <w:spacing w:after="0" w:line="200" w:lineRule="exact"/>
              <w:rPr>
                <w:sz w:val="20"/>
                <w:szCs w:val="20"/>
                <w:color w:val="auto"/>
              </w:rPr>
            </w:pPr>
            <w:r>
              <w:rPr>
                <w:rFonts w:ascii="Arial" w:cs="Arial" w:eastAsia="Arial" w:hAnsi="Arial"/>
                <w:sz w:val="18"/>
                <w:szCs w:val="18"/>
                <w:color w:val="auto"/>
              </w:rPr>
              <w:t>Oil and NGL Storage</w:t>
            </w:r>
            <w:r>
              <w:rPr>
                <w:rFonts w:ascii="Arial" w:cs="Arial" w:eastAsia="Arial" w:hAnsi="Arial"/>
                <w:sz w:val="23"/>
                <w:szCs w:val="23"/>
                <w:color w:val="auto"/>
                <w:vertAlign w:val="superscript"/>
              </w:rPr>
              <w:t>(d)</w:t>
            </w:r>
            <w:r>
              <w:rPr>
                <w:rFonts w:ascii="Arial" w:cs="Arial" w:eastAsia="Arial" w:hAnsi="Arial"/>
                <w:sz w:val="18"/>
                <w:szCs w:val="18"/>
                <w:color w:val="auto"/>
              </w:rPr>
              <w:t xml:space="preserve"> . . . . . . . . .</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spacing w:after="0" w:line="200" w:lineRule="exact"/>
              <w:rPr>
                <w:sz w:val="20"/>
                <w:szCs w:val="20"/>
                <w:color w:val="auto"/>
              </w:rPr>
            </w:pPr>
            <w:r>
              <w:rPr>
                <w:rFonts w:ascii="Arial" w:cs="Arial" w:eastAsia="Arial" w:hAnsi="Arial"/>
                <w:sz w:val="20"/>
                <w:szCs w:val="20"/>
                <w:color w:val="auto"/>
              </w:rPr>
              <w:t>MBbls</w:t>
            </w:r>
          </w:p>
        </w:tc>
        <w:tc>
          <w:tcPr>
            <w:tcW w:w="1960" w:type="dxa"/>
            <w:vAlign w:val="bottom"/>
            <w:gridSpan w:val="2"/>
          </w:tcPr>
          <w:p>
            <w:pPr>
              <w:jc w:val="center"/>
              <w:ind w:left="40"/>
              <w:spacing w:after="0" w:line="200" w:lineRule="exact"/>
              <w:rPr>
                <w:sz w:val="20"/>
                <w:szCs w:val="20"/>
                <w:color w:val="auto"/>
              </w:rPr>
            </w:pPr>
            <w:r>
              <w:rPr>
                <w:rFonts w:ascii="Arial" w:cs="Arial" w:eastAsia="Arial" w:hAnsi="Arial"/>
                <w:sz w:val="20"/>
                <w:szCs w:val="20"/>
                <w:color w:val="auto"/>
              </w:rPr>
              <w:t>408</w:t>
            </w:r>
          </w:p>
        </w:tc>
        <w:tc>
          <w:tcPr>
            <w:tcW w:w="1120" w:type="dxa"/>
            <w:vAlign w:val="bottom"/>
            <w:gridSpan w:val="2"/>
          </w:tcPr>
          <w:p>
            <w:pPr>
              <w:jc w:val="center"/>
              <w:ind w:left="40"/>
              <w:spacing w:after="0" w:line="200" w:lineRule="exact"/>
              <w:rPr>
                <w:sz w:val="20"/>
                <w:szCs w:val="20"/>
                <w:color w:val="auto"/>
              </w:rPr>
            </w:pPr>
            <w:r>
              <w:rPr>
                <w:rFonts w:ascii="Arial" w:cs="Arial" w:eastAsia="Arial" w:hAnsi="Arial"/>
                <w:sz w:val="20"/>
                <w:szCs w:val="20"/>
                <w:color w:val="auto"/>
              </w:rPr>
              <w:t>195</w:t>
            </w:r>
          </w:p>
        </w:tc>
        <w:tc>
          <w:tcPr>
            <w:tcW w:w="940" w:type="dxa"/>
            <w:vAlign w:val="bottom"/>
            <w:gridSpan w:val="2"/>
          </w:tcPr>
          <w:p>
            <w:pPr>
              <w:jc w:val="center"/>
              <w:ind w:left="60"/>
              <w:spacing w:after="0" w:line="200" w:lineRule="exact"/>
              <w:rPr>
                <w:sz w:val="20"/>
                <w:szCs w:val="20"/>
                <w:color w:val="auto"/>
              </w:rPr>
            </w:pPr>
            <w:r>
              <w:rPr>
                <w:rFonts w:ascii="Arial" w:cs="Arial" w:eastAsia="Arial" w:hAnsi="Arial"/>
                <w:sz w:val="20"/>
                <w:szCs w:val="20"/>
                <w:color w:val="auto"/>
              </w:rPr>
              <w:t>603</w:t>
            </w:r>
          </w:p>
        </w:tc>
      </w:tr>
      <w:tr>
        <w:trPr>
          <w:trHeight w:val="300"/>
        </w:trPr>
        <w:tc>
          <w:tcPr>
            <w:tcW w:w="2980" w:type="dxa"/>
            <w:vAlign w:val="bottom"/>
          </w:tcPr>
          <w:p>
            <w:pPr>
              <w:jc w:val="center"/>
              <w:spacing w:after="0"/>
              <w:rPr>
                <w:sz w:val="20"/>
                <w:szCs w:val="20"/>
                <w:color w:val="auto"/>
              </w:rPr>
            </w:pPr>
            <w:r>
              <w:rPr>
                <w:rFonts w:ascii="Arial" w:cs="Arial" w:eastAsia="Arial" w:hAnsi="Arial"/>
                <w:sz w:val="20"/>
                <w:szCs w:val="20"/>
                <w:color w:val="auto"/>
                <w:w w:val="94"/>
              </w:rPr>
              <w:t>Pipelines</w:t>
            </w:r>
            <w:r>
              <w:rPr>
                <w:rFonts w:ascii="Arial" w:cs="Arial" w:eastAsia="Arial" w:hAnsi="Arial"/>
                <w:sz w:val="26"/>
                <w:szCs w:val="26"/>
                <w:color w:val="auto"/>
                <w:w w:val="94"/>
                <w:vertAlign w:val="superscript"/>
              </w:rPr>
              <w:t>(e)</w:t>
            </w:r>
            <w:r>
              <w:rPr>
                <w:rFonts w:ascii="Arial" w:cs="Arial" w:eastAsia="Arial" w:hAnsi="Arial"/>
                <w:sz w:val="20"/>
                <w:szCs w:val="20"/>
                <w:color w:val="auto"/>
                <w:w w:val="94"/>
              </w:rPr>
              <w:t xml:space="preserve">   . . . . . . . . . . . . . . . . . .</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center"/>
              <w:spacing w:after="0" w:line="224" w:lineRule="exact"/>
              <w:rPr>
                <w:sz w:val="20"/>
                <w:szCs w:val="20"/>
                <w:color w:val="auto"/>
              </w:rPr>
            </w:pPr>
            <w:r>
              <w:rPr>
                <w:rFonts w:ascii="Arial" w:cs="Arial" w:eastAsia="Arial" w:hAnsi="Arial"/>
                <w:sz w:val="20"/>
                <w:szCs w:val="20"/>
                <w:color w:val="auto"/>
                <w:w w:val="98"/>
              </w:rPr>
              <w:t>Miles</w:t>
            </w: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gridSpan w:val="2"/>
          </w:tcPr>
          <w:p>
            <w:pPr>
              <w:jc w:val="center"/>
              <w:ind w:left="60"/>
              <w:spacing w:after="0" w:line="224" w:lineRule="exact"/>
              <w:rPr>
                <w:sz w:val="20"/>
                <w:szCs w:val="20"/>
                <w:color w:val="auto"/>
              </w:rPr>
            </w:pPr>
            <w:r>
              <w:rPr>
                <w:rFonts w:ascii="Arial" w:cs="Arial" w:eastAsia="Arial" w:hAnsi="Arial"/>
                <w:sz w:val="20"/>
                <w:szCs w:val="20"/>
                <w:color w:val="auto"/>
              </w:rPr>
              <w:t>&gt;8,000</w:t>
            </w:r>
          </w:p>
        </w:tc>
      </w:tr>
    </w:tbl>
    <w:p>
      <w:pPr>
        <w:spacing w:after="0" w:line="57" w:lineRule="exact"/>
        <w:rPr>
          <w:sz w:val="20"/>
          <w:szCs w:val="20"/>
          <w:color w:val="auto"/>
        </w:rPr>
      </w:pPr>
    </w:p>
    <w:p>
      <w:pPr>
        <w:ind w:left="400" w:right="180" w:hanging="240"/>
        <w:spacing w:after="0" w:line="278" w:lineRule="auto"/>
        <w:tabs>
          <w:tab w:leader="none" w:pos="4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Includes the Elk Hills cryogenic gas plant with a capacity of 200 MMcf/d of inlet gas and two low temperature separation plants used as backup facilities. Our natural gas processing facilities are interconnected via pipelines to nearby third-party rail and trucking facilities, with access to various North American NGL markets. In addition, we have truck rack facilities coupled with a battery of pressurized storage tanks at our natural gas processing facilities for NGL sales to third parties.</w:t>
      </w:r>
    </w:p>
    <w:p>
      <w:pPr>
        <w:ind w:left="400" w:right="80" w:hanging="240"/>
        <w:spacing w:after="0" w:line="259" w:lineRule="auto"/>
        <w:tabs>
          <w:tab w:leader="none" w:pos="4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our 550-megawatt combined-cycle Elk Hills power plant, located adjacent to the Elk Hills natural gas processing facility and typically generates all the electricity needed by our Elk Hills field and certain contiguous operations in the San Joaquin basin. We utilize approximately a third of its capacity for operations and our subsidiary sells the excess to the grid and to a local utility. Also included is a 45-megawatt cogeneration facility at Elk Hills that provides additional flexibility and reliability to support field operations and a 48-megawatt power generating facility that is part of the Long Beach Unit located in the Los Angeles basin.</w:t>
      </w:r>
    </w:p>
    <w:p>
      <w:pPr>
        <w:spacing w:after="0" w:line="8" w:lineRule="exact"/>
        <w:rPr>
          <w:rFonts w:ascii="Arial" w:cs="Arial" w:eastAsia="Arial" w:hAnsi="Arial"/>
          <w:sz w:val="16"/>
          <w:szCs w:val="16"/>
          <w:color w:val="auto"/>
        </w:rPr>
      </w:pPr>
    </w:p>
    <w:p>
      <w:pPr>
        <w:ind w:left="400" w:right="80" w:hanging="240"/>
        <w:spacing w:after="0" w:line="257" w:lineRule="auto"/>
        <w:tabs>
          <w:tab w:leader="none" w:pos="4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own, control and operate water management and steam-generation infrastructure. We soften and self-supply water to generate steam, reducing our operating costs. This is integral to our operations in the San Joaquin basin and supports our high-margin oil fields.</w:t>
      </w:r>
    </w:p>
    <w:p>
      <w:pPr>
        <w:spacing w:after="0" w:line="8" w:lineRule="exact"/>
        <w:rPr>
          <w:rFonts w:ascii="Arial" w:cs="Arial" w:eastAsia="Arial" w:hAnsi="Arial"/>
          <w:sz w:val="16"/>
          <w:szCs w:val="16"/>
          <w:color w:val="auto"/>
        </w:rPr>
      </w:pPr>
    </w:p>
    <w:p>
      <w:pPr>
        <w:ind w:left="400" w:right="60" w:hanging="240"/>
        <w:spacing w:after="0" w:line="278" w:lineRule="auto"/>
        <w:tabs>
          <w:tab w:leader="none" w:pos="4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Our tank storage capacity throughout California gives us flexibility for a period of time to store crude oil and NGLs, allowing us to continue production and avoid or delay any field shutdowns in the event of temporary power, pipeline or other shutdowns.</w:t>
      </w:r>
    </w:p>
    <w:p>
      <w:pPr>
        <w:ind w:left="400" w:right="140" w:hanging="240"/>
        <w:spacing w:after="0" w:line="282" w:lineRule="auto"/>
        <w:tabs>
          <w:tab w:leader="none" w:pos="4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Our pipelines are dedicated almost entirely to collecting our oil and natural gas production and are in close proximity to field-specific facilities such as tank settings or central processing sites. Our oil pipelines connect to multiple third-party transportation pipelines. In addition, virtually all of our natural gas facilities connect with major third-party natural gas pipeline systems.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Carbon Management Business</w:t>
      </w:r>
    </w:p>
    <w:p>
      <w:pPr>
        <w:spacing w:after="0" w:line="214"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auto"/>
        </w:rPr>
        <w:t>In 2021, we adopted a 2045 Full-Scope Net Zero goal to achieve permanent storage of captured or removed carbon emissions in a volume equal to all of our Scope 1, 2 and 3 emissions by 2045. Our climate-related goal could be modified as standards and rules develop related to greenhouse gas emissions, and the potential separation of our carbon management business would also affect our ability to reach this goal.</w:t>
      </w:r>
    </w:p>
    <w:p>
      <w:pPr>
        <w:spacing w:after="0" w:line="207" w:lineRule="exact"/>
        <w:rPr>
          <w:sz w:val="20"/>
          <w:szCs w:val="20"/>
          <w:color w:val="auto"/>
        </w:rPr>
      </w:pPr>
    </w:p>
    <w:p>
      <w:pPr>
        <w:ind w:right="20" w:firstLine="300"/>
        <w:spacing w:after="0" w:line="249" w:lineRule="auto"/>
        <w:rPr>
          <w:sz w:val="20"/>
          <w:szCs w:val="20"/>
          <w:color w:val="auto"/>
        </w:rPr>
      </w:pPr>
      <w:r>
        <w:rPr>
          <w:rFonts w:ascii="Arial" w:cs="Arial" w:eastAsia="Arial" w:hAnsi="Arial"/>
          <w:sz w:val="19"/>
          <w:szCs w:val="19"/>
          <w:color w:val="auto"/>
        </w:rPr>
        <w:t>We have formed a carbon management business to pursue CCS projects that are directly-sited or within close proximity to significant sources of CO</w:t>
      </w:r>
      <w:r>
        <w:rPr>
          <w:rFonts w:ascii="Arial" w:cs="Arial" w:eastAsia="Arial" w:hAnsi="Arial"/>
          <w:sz w:val="25"/>
          <w:szCs w:val="25"/>
          <w:color w:val="auto"/>
          <w:vertAlign w:val="subscript"/>
        </w:rPr>
        <w:t>2</w:t>
      </w:r>
      <w:r>
        <w:rPr>
          <w:rFonts w:ascii="Arial" w:cs="Arial" w:eastAsia="Arial" w:hAnsi="Arial"/>
          <w:sz w:val="19"/>
          <w:szCs w:val="19"/>
          <w:color w:val="auto"/>
        </w:rPr>
        <w:t xml:space="preserve"> emissions in California. We intend to manage our carbon management business on a stand-alone basis over time. We expect that this will provide greater flexibility to consider strategic options, including the potential separation from our E&amp;P business. To facilitate that goal, we have created a new board of directors at Carbon TerraVault, initially comprised of three of our directors: Mark A. (Mac) McFarland, Andrew Bremner and James Chapman.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EPA Class VI Permits and CCS Projects</w:t>
      </w:r>
    </w:p>
    <w:p>
      <w:pPr>
        <w:spacing w:after="0" w:line="215" w:lineRule="exact"/>
        <w:rPr>
          <w:sz w:val="20"/>
          <w:szCs w:val="20"/>
          <w:color w:val="auto"/>
        </w:rPr>
      </w:pPr>
    </w:p>
    <w:p>
      <w:pPr>
        <w:ind w:right="40" w:firstLine="300"/>
        <w:spacing w:after="0" w:line="266" w:lineRule="auto"/>
        <w:rPr>
          <w:sz w:val="20"/>
          <w:szCs w:val="20"/>
          <w:color w:val="auto"/>
        </w:rPr>
      </w:pPr>
      <w:r>
        <w:rPr>
          <w:rFonts w:ascii="Arial" w:cs="Arial" w:eastAsia="Arial" w:hAnsi="Arial"/>
          <w:sz w:val="19"/>
          <w:szCs w:val="19"/>
          <w:color w:val="auto"/>
        </w:rPr>
        <w:t>We are in the early stages of developing several CCS projects in California. To date, we have submitted Class VI permit applications to the EPA for two permanent sequestration projects at our Elk Hills field. We have also submitted permit applications for two permanent sequestration projects in the Sacramento Basin.</w:t>
      </w:r>
    </w:p>
    <w:p>
      <w:pPr>
        <w:sectPr>
          <w:pgSz w:w="11880" w:h="15480" w:orient="portrait"/>
          <w:cols w:equalWidth="0" w:num="1">
            <w:col w:w="9120"/>
          </w:cols>
          <w:pgMar w:left="1380" w:top="1310"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880" w:h="15480" w:orient="portrait"/>
          <w:cols w:equalWidth="0" w:num="1">
            <w:col w:w="9120"/>
          </w:cols>
          <w:pgMar w:left="1380" w:top="1310" w:right="1380" w:bottom="655" w:gutter="0" w:footer="0" w:header="0"/>
          <w:type w:val="continuous"/>
        </w:sectPr>
      </w:pPr>
    </w:p>
    <w:bookmarkStart w:id="27" w:name="page28"/>
    <w:bookmarkEnd w:id="27"/>
    <w:p>
      <w:pPr>
        <w:ind w:right="40" w:firstLine="300"/>
        <w:spacing w:after="0" w:line="249" w:lineRule="auto"/>
        <w:rPr>
          <w:sz w:val="20"/>
          <w:szCs w:val="20"/>
          <w:color w:val="auto"/>
        </w:rPr>
      </w:pPr>
      <w:r>
        <w:rPr>
          <w:rFonts w:ascii="Arial" w:cs="Arial" w:eastAsia="Arial" w:hAnsi="Arial"/>
          <w:sz w:val="20"/>
          <w:szCs w:val="20"/>
          <w:color w:val="auto"/>
        </w:rPr>
        <w:t>We continue to evaluate potential storage projects in California. One of our storage projects is being jointly developed through the Carbon TerraVault JV. Several other projects are being considered by the Carbon TerraVault JV for future development. If Brookfield elects to participate in a project, our upfront costs to evaluate and permit that project will be subsequently recovered through Brookfield’s investment in the Carbon TerraVault JV. We may also pursue the development of CCS projects independently of the Carbon TerraVault JV if Brookfield elects not to participate.</w:t>
      </w:r>
    </w:p>
    <w:p>
      <w:pPr>
        <w:spacing w:after="0" w:line="188"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In 2022, we executed two carbon dioxide management agreements (CDMAs) with emitters to provide permanent carbon storage. The CDMAs frame the material economics and terms of the project and include conditions precedent to close. The CDMAs are also subject to negotiation of definitive documents and a final investment decision. One of the CDMAs relates to a project that will be developed through the Carbon TerraVault JV. We are separately in discussions with other potential emitters to enter into joint venture or other commercial arrangements with respect to CCS projects.</w:t>
      </w:r>
    </w:p>
    <w:p>
      <w:pPr>
        <w:spacing w:after="0" w:line="153" w:lineRule="exact"/>
        <w:rPr>
          <w:sz w:val="20"/>
          <w:szCs w:val="20"/>
          <w:color w:val="auto"/>
        </w:rPr>
      </w:pPr>
    </w:p>
    <w:p>
      <w:pPr>
        <w:ind w:right="80" w:firstLine="300"/>
        <w:spacing w:after="0" w:line="227" w:lineRule="auto"/>
        <w:rPr>
          <w:sz w:val="20"/>
          <w:szCs w:val="20"/>
          <w:color w:val="auto"/>
        </w:rPr>
      </w:pPr>
      <w:r>
        <w:rPr>
          <w:rFonts w:ascii="Arial" w:cs="Arial" w:eastAsia="Arial" w:hAnsi="Arial"/>
          <w:sz w:val="20"/>
          <w:szCs w:val="20"/>
          <w:color w:val="auto"/>
        </w:rPr>
        <w:t>Once completed, we expect that our Carbon TerraVault CCS projects will inject CO</w:t>
      </w:r>
      <w:r>
        <w:rPr>
          <w:rFonts w:ascii="Arial" w:cs="Arial" w:eastAsia="Arial" w:hAnsi="Arial"/>
          <w:sz w:val="26"/>
          <w:szCs w:val="26"/>
          <w:color w:val="auto"/>
          <w:vertAlign w:val="subscript"/>
        </w:rPr>
        <w:t>2</w:t>
      </w:r>
      <w:r>
        <w:rPr>
          <w:rFonts w:ascii="Arial" w:cs="Arial" w:eastAsia="Arial" w:hAnsi="Arial"/>
          <w:sz w:val="20"/>
          <w:szCs w:val="20"/>
          <w:color w:val="auto"/>
        </w:rPr>
        <w:t xml:space="preserve"> captured from industrial sources into subsurface reservoirs and permanently store CO</w:t>
      </w:r>
      <w:r>
        <w:rPr>
          <w:rFonts w:ascii="Arial" w:cs="Arial" w:eastAsia="Arial" w:hAnsi="Arial"/>
          <w:sz w:val="26"/>
          <w:szCs w:val="26"/>
          <w:color w:val="auto"/>
          <w:vertAlign w:val="subscript"/>
        </w:rPr>
        <w:t>2</w:t>
      </w:r>
      <w:r>
        <w:rPr>
          <w:rFonts w:ascii="Arial" w:cs="Arial" w:eastAsia="Arial" w:hAnsi="Arial"/>
          <w:sz w:val="20"/>
          <w:szCs w:val="20"/>
          <w:color w:val="auto"/>
        </w:rPr>
        <w:t xml:space="preserve"> deep underground. As part of our commitment to carbon management, we are also evaluating the feasibility of developing a carbon capture system for our 550-megawatt Elk Hills power plant (CalCapture) and pursuing a U.S. Department of Energy grant for the development of a direct air capture hub in California.</w:t>
      </w:r>
    </w:p>
    <w:p>
      <w:pPr>
        <w:spacing w:after="0" w:line="198" w:lineRule="exact"/>
        <w:rPr>
          <w:sz w:val="20"/>
          <w:szCs w:val="20"/>
          <w:color w:val="auto"/>
        </w:rPr>
      </w:pPr>
    </w:p>
    <w:p>
      <w:pPr>
        <w:ind w:right="180" w:firstLine="300"/>
        <w:spacing w:after="0" w:line="266" w:lineRule="auto"/>
        <w:rPr>
          <w:sz w:val="20"/>
          <w:szCs w:val="20"/>
          <w:color w:val="auto"/>
        </w:rPr>
      </w:pPr>
      <w:r>
        <w:rPr>
          <w:rFonts w:ascii="Arial" w:cs="Arial" w:eastAsia="Arial" w:hAnsi="Arial"/>
          <w:sz w:val="19"/>
          <w:szCs w:val="19"/>
          <w:color w:val="auto"/>
        </w:rPr>
        <w:t xml:space="preserve">We expect that the size and scope of our projects providing these and similar services and capital spent on such projects will continue to grow given our strategy of expansion into these services and the development of our carbon management business as a stand-alone business. For more information about the risks involved in our carbon management business, see </w:t>
      </w:r>
      <w:r>
        <w:rPr>
          <w:rFonts w:ascii="Arial" w:cs="Arial" w:eastAsia="Arial" w:hAnsi="Arial"/>
          <w:sz w:val="19"/>
          <w:szCs w:val="19"/>
          <w:i w:val="1"/>
          <w:iCs w:val="1"/>
          <w:color w:val="auto"/>
        </w:rPr>
        <w:t>Part I, Item 1A – Risk Factors.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Carbon TerraVault JV</w:t>
      </w:r>
    </w:p>
    <w:p>
      <w:pPr>
        <w:spacing w:after="0" w:line="195" w:lineRule="exact"/>
        <w:rPr>
          <w:sz w:val="20"/>
          <w:szCs w:val="20"/>
          <w:color w:val="auto"/>
        </w:rPr>
      </w:pPr>
    </w:p>
    <w:p>
      <w:pPr>
        <w:ind w:right="20" w:firstLine="300"/>
        <w:spacing w:after="0" w:line="256" w:lineRule="auto"/>
        <w:rPr>
          <w:sz w:val="20"/>
          <w:szCs w:val="20"/>
          <w:color w:val="auto"/>
        </w:rPr>
      </w:pPr>
      <w:r>
        <w:rPr>
          <w:rFonts w:ascii="Arial" w:cs="Arial" w:eastAsia="Arial" w:hAnsi="Arial"/>
          <w:sz w:val="19"/>
          <w:szCs w:val="19"/>
          <w:color w:val="auto"/>
        </w:rPr>
        <w:t>In August 2022, we entered into the Carbon TerraVault JV with Brookfield for the further development of our carbon management business. We hold a 51% interest in the Carbon TerraVault JV and Brookfield holds a 49% interest. Brookfield has committed an initial $500 million to invest in CCS projects that are jointly approved through the Carbon TerraVault JV. At the formation of the Carbon TerraVault JV, we contributed rights to inject CO</w:t>
      </w:r>
      <w:r>
        <w:rPr>
          <w:rFonts w:ascii="Arial" w:cs="Arial" w:eastAsia="Arial" w:hAnsi="Arial"/>
          <w:sz w:val="25"/>
          <w:szCs w:val="25"/>
          <w:color w:val="auto"/>
          <w:vertAlign w:val="subscript"/>
        </w:rPr>
        <w:t>2</w:t>
      </w:r>
      <w:r>
        <w:rPr>
          <w:rFonts w:ascii="Arial" w:cs="Arial" w:eastAsia="Arial" w:hAnsi="Arial"/>
          <w:sz w:val="19"/>
          <w:szCs w:val="19"/>
          <w:color w:val="auto"/>
        </w:rPr>
        <w:t xml:space="preserve"> into the 26R reservoir in our Elk Hills field for permanent CO</w:t>
      </w:r>
      <w:r>
        <w:rPr>
          <w:rFonts w:ascii="Arial" w:cs="Arial" w:eastAsia="Arial" w:hAnsi="Arial"/>
          <w:sz w:val="25"/>
          <w:szCs w:val="25"/>
          <w:color w:val="auto"/>
          <w:vertAlign w:val="subscript"/>
        </w:rPr>
        <w:t>2</w:t>
      </w:r>
      <w:r>
        <w:rPr>
          <w:rFonts w:ascii="Arial" w:cs="Arial" w:eastAsia="Arial" w:hAnsi="Arial"/>
          <w:sz w:val="19"/>
          <w:szCs w:val="19"/>
          <w:color w:val="auto"/>
        </w:rPr>
        <w:t xml:space="preserve"> storage (26R reservoir) and Brookfield committed to make an initial investment of $137 million, payable in three equal installments with the last two installments subject to the achievement of certain milestones. Brookfield contributed the first $46 million installment of their initial investment to the Carbon TerraVault JV during the year ended December 31, 2022. This amount may, at our sole discretion, be distributed to us or used to satisfy future capital contributions, among other items. The parties have certain put and call rights with respect to the 26R reservoir if certain milestones are not met. Future storage projects for Brookfield’s initial commitment are subject to approval of the joint venture, including Brookfield.</w:t>
      </w:r>
    </w:p>
    <w:p>
      <w:pPr>
        <w:spacing w:after="0" w:line="190" w:lineRule="exact"/>
        <w:rPr>
          <w:sz w:val="20"/>
          <w:szCs w:val="20"/>
          <w:color w:val="auto"/>
        </w:rPr>
      </w:pPr>
    </w:p>
    <w:p>
      <w:pPr>
        <w:ind w:right="20" w:firstLine="300"/>
        <w:spacing w:after="0" w:line="251" w:lineRule="auto"/>
        <w:rPr>
          <w:sz w:val="20"/>
          <w:szCs w:val="20"/>
          <w:color w:val="auto"/>
        </w:rPr>
      </w:pPr>
      <w:r>
        <w:rPr>
          <w:rFonts w:ascii="Arial" w:cs="Arial" w:eastAsia="Arial" w:hAnsi="Arial"/>
          <w:sz w:val="19"/>
          <w:szCs w:val="19"/>
          <w:color w:val="auto"/>
        </w:rPr>
        <w:t>The Carbon TerraVault JV has an option to participate in certain projects that involve the capture, transportation and storage of CO</w:t>
      </w:r>
      <w:r>
        <w:rPr>
          <w:rFonts w:ascii="Arial" w:cs="Arial" w:eastAsia="Arial" w:hAnsi="Arial"/>
          <w:sz w:val="25"/>
          <w:szCs w:val="25"/>
          <w:color w:val="auto"/>
          <w:vertAlign w:val="subscript"/>
        </w:rPr>
        <w:t>2</w:t>
      </w:r>
      <w:r>
        <w:rPr>
          <w:rFonts w:ascii="Arial" w:cs="Arial" w:eastAsia="Arial" w:hAnsi="Arial"/>
          <w:sz w:val="19"/>
          <w:szCs w:val="19"/>
          <w:color w:val="auto"/>
        </w:rPr>
        <w:t xml:space="preserve"> in California. This option expires upon the earlier of (1) August 2027, (2) when a final investment decision has been approved by the Carbon TerraVault JV for storage projects representing in excess of 5 MMTPA in the aggregate, or (3) when Brookfield has made contributions to the joint venture in excess of $500 million (unless Brookfield elects to increase its commitment). Refer to </w:t>
      </w:r>
      <w:r>
        <w:rPr>
          <w:rFonts w:ascii="Arial" w:cs="Arial" w:eastAsia="Arial" w:hAnsi="Arial"/>
          <w:sz w:val="19"/>
          <w:szCs w:val="19"/>
          <w:i w:val="1"/>
          <w:iCs w:val="1"/>
          <w:color w:val="auto"/>
        </w:rPr>
        <w:t>Part II,</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Item 8 – Financial Statements and Supplementary Data, Note 8 Investment in Unconsolidated Subsidiary and Related Party Transactions </w:t>
      </w:r>
      <w:r>
        <w:rPr>
          <w:rFonts w:ascii="Arial" w:cs="Arial" w:eastAsia="Arial" w:hAnsi="Arial"/>
          <w:sz w:val="19"/>
          <w:szCs w:val="19"/>
          <w:color w:val="auto"/>
        </w:rPr>
        <w:t>for more information on our Carbon TerraVault JV.</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Human Capital Management</w:t>
      </w:r>
    </w:p>
    <w:p>
      <w:pPr>
        <w:spacing w:after="0" w:line="194" w:lineRule="exact"/>
        <w:rPr>
          <w:sz w:val="20"/>
          <w:szCs w:val="20"/>
          <w:color w:val="auto"/>
        </w:rPr>
      </w:pPr>
    </w:p>
    <w:p>
      <w:pPr>
        <w:ind w:right="60" w:firstLine="300"/>
        <w:spacing w:after="0" w:line="248" w:lineRule="auto"/>
        <w:rPr>
          <w:sz w:val="20"/>
          <w:szCs w:val="20"/>
          <w:color w:val="auto"/>
        </w:rPr>
      </w:pPr>
      <w:r>
        <w:rPr>
          <w:rFonts w:ascii="Arial" w:cs="Arial" w:eastAsia="Arial" w:hAnsi="Arial"/>
          <w:sz w:val="20"/>
          <w:szCs w:val="20"/>
          <w:color w:val="auto"/>
        </w:rPr>
        <w:t>Our employees are our most valuable asset and we strive to provide a safe and healthy workplace, development opportunities and financial rewards, ensuring focus on fair and equitable treatment. We believe our core values of Character, Responsibility and Commitment and our comprehensive business and ethical conduct policies sustain shareholder value.</w:t>
      </w:r>
    </w:p>
    <w:p>
      <w:pPr>
        <w:sectPr>
          <w:pgSz w:w="11880" w:h="15480" w:orient="portrait"/>
          <w:cols w:equalWidth="0" w:num="1">
            <w:col w:w="9100"/>
          </w:cols>
          <w:pgMar w:left="1380" w:top="1316" w:right="1400" w:bottom="655" w:gutter="0" w:footer="0" w:header="0"/>
        </w:sect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24</w:t>
      </w:r>
    </w:p>
    <w:p>
      <w:pPr>
        <w:sectPr>
          <w:pgSz w:w="11880" w:h="15480" w:orient="portrait"/>
          <w:cols w:equalWidth="0" w:num="1">
            <w:col w:w="9100"/>
          </w:cols>
          <w:pgMar w:left="1380" w:top="1316" w:right="1400" w:bottom="655" w:gutter="0" w:footer="0" w:header="0"/>
          <w:type w:val="continuous"/>
        </w:sectPr>
      </w:pPr>
    </w:p>
    <w:bookmarkStart w:id="28" w:name="page29"/>
    <w:bookmarkEnd w:id="28"/>
    <w:p>
      <w:pPr>
        <w:ind w:right="20" w:firstLine="300"/>
        <w:spacing w:after="0" w:line="248" w:lineRule="auto"/>
        <w:rPr>
          <w:sz w:val="20"/>
          <w:szCs w:val="20"/>
          <w:color w:val="auto"/>
        </w:rPr>
      </w:pPr>
      <w:r>
        <w:rPr>
          <w:rFonts w:ascii="Arial" w:cs="Arial" w:eastAsia="Arial" w:hAnsi="Arial"/>
          <w:sz w:val="20"/>
          <w:szCs w:val="20"/>
          <w:color w:val="auto"/>
        </w:rPr>
        <w:t>Our comprehensive business and ethical conduct policies apply to all directors, officers and employees, each of whom personally commits to following our code of conduct and our corporate policies, as well as to suppliers and vendors working in our operations. Our position is that no business goal is worth our employees compromising their integrity or our shared values.</w:t>
      </w:r>
    </w:p>
    <w:p>
      <w:pPr>
        <w:spacing w:after="0" w:line="209" w:lineRule="exact"/>
        <w:rPr>
          <w:sz w:val="20"/>
          <w:szCs w:val="20"/>
          <w:color w:val="auto"/>
        </w:rPr>
      </w:pPr>
    </w:p>
    <w:p>
      <w:pPr>
        <w:ind w:right="120" w:firstLine="300"/>
        <w:spacing w:after="0" w:line="248" w:lineRule="auto"/>
        <w:rPr>
          <w:sz w:val="20"/>
          <w:szCs w:val="20"/>
          <w:color w:val="auto"/>
        </w:rPr>
      </w:pPr>
      <w:r>
        <w:rPr>
          <w:rFonts w:ascii="Arial" w:cs="Arial" w:eastAsia="Arial" w:hAnsi="Arial"/>
          <w:sz w:val="20"/>
          <w:szCs w:val="20"/>
          <w:color w:val="auto"/>
        </w:rPr>
        <w:t>As of December 31, 2022, we had approximately 1,060 employees, all in the United States. Of the total 1,060 employees, 45 full-time equivalents are focused on our carbon management business. Approximately 50 of our employees are covered by a collective bargaining agreement. We also utilize the services of many third-party contractors throughout our operations.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Continued Employee Development</w:t>
      </w:r>
    </w:p>
    <w:p>
      <w:pPr>
        <w:spacing w:after="0" w:line="215"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Employee development opportunities are provided to enhance leadership development and expand career opportunities. Our employees undergo mandatory annual training on our policies including health and safety, business ethics, harassment, IT security and others. Our mandatory training reinforces our company-wide commitment to operate in accordance with all applicable laws, rules and regulations and to sustain a diverse and empowered workforce comprising of our employees and those of our suppliers, vendors and joint ventures. In addition to training, our employees receive regular performance and career development discussions from their direct managers. All employees receive annual performance reviews.</w:t>
      </w:r>
    </w:p>
    <w:p>
      <w:pPr>
        <w:spacing w:after="0" w:line="211" w:lineRule="exact"/>
        <w:rPr>
          <w:sz w:val="20"/>
          <w:szCs w:val="20"/>
          <w:color w:val="auto"/>
        </w:rPr>
      </w:pPr>
    </w:p>
    <w:p>
      <w:pPr>
        <w:ind w:right="420" w:firstLine="300"/>
        <w:spacing w:after="0" w:line="248" w:lineRule="auto"/>
        <w:rPr>
          <w:sz w:val="20"/>
          <w:szCs w:val="20"/>
          <w:color w:val="auto"/>
        </w:rPr>
      </w:pPr>
      <w:r>
        <w:rPr>
          <w:rFonts w:ascii="Arial" w:cs="Arial" w:eastAsia="Arial" w:hAnsi="Arial"/>
          <w:sz w:val="20"/>
          <w:szCs w:val="20"/>
          <w:color w:val="auto"/>
        </w:rPr>
        <w:t>Our largest development initiatives include the Future Leaders Development Program with the University of California, Los Angeles (UCLA) Anderson School; our Intrepid Women’s Program, a program of coaching and development circles for women; and ELEVATE, a manager workshop on communication styles and culture changing behaviors to develop our future leaders.</w:t>
      </w:r>
    </w:p>
    <w:p>
      <w:pPr>
        <w:spacing w:after="0" w:line="209" w:lineRule="exact"/>
        <w:rPr>
          <w:sz w:val="20"/>
          <w:szCs w:val="20"/>
          <w:color w:val="auto"/>
        </w:rPr>
      </w:pPr>
    </w:p>
    <w:p>
      <w:pPr>
        <w:ind w:right="40" w:firstLine="300"/>
        <w:spacing w:after="0" w:line="250" w:lineRule="auto"/>
        <w:rPr>
          <w:sz w:val="20"/>
          <w:szCs w:val="20"/>
          <w:color w:val="auto"/>
        </w:rPr>
      </w:pPr>
      <w:r>
        <w:rPr>
          <w:rFonts w:ascii="Arial" w:cs="Arial" w:eastAsia="Arial" w:hAnsi="Arial"/>
          <w:sz w:val="20"/>
          <w:szCs w:val="20"/>
          <w:color w:val="auto"/>
        </w:rPr>
        <w:t>We have taken steps to promote the development of a pipeline of candidates as we develop our carbon management business. In 2022, we pledged $2.5 million to fund several Kern County initiatives with Kern Community College District (Kern CCD) and California State University, Bakersfield (CSUB) to help advance the energy transition and further benefit local communities. We will collaborate with Kern CCD to establish the CRC Carbon Management Institute, a first-of-its-kind initiative that will empower local private and public partnerships to lead the way in defining how collaboration between education and industry can positively impact communities. Funding will also be used for research and development, community outreach and education, workforce training and education, and carbon management academics that will focus on advancing CCS and emerging technologies. Additionally, CSUB will launch the CRC Energy Transition Lecture Series on relevant topics and emerging issues related to CCS and technologies that will lead the way to achieving a net zero future. Finally, the CRC Carbon TerraVault Scholarship will be established to help provide students with academic opportunities.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Diversity, Equity and Inclusion</w:t>
      </w:r>
    </w:p>
    <w:p>
      <w:pPr>
        <w:spacing w:after="0" w:line="215"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auto"/>
        </w:rPr>
        <w:t>Our goal is to foster an open and diverse culture and we are committed to advancing women and minorities in our workplace. We believe increasing diversity, equity and inclusion (DE&amp;I) will help us achieve success through better retention rates, higher innovation, and increased productivity. We have implemented a 2030 ethnic, racial and gender diversity leadership goal that prioritizes ethnic, racial and gender diversity in company leadership positions and on the Board of Directors. Our goal is three pronged, to maintain greater than 20% ethnically and racially diverse professionals in leadership positions, increase gender diverse professionals in leadership positions to 30% and maintain current Board composition with at least 30% ethnically, racially and gender diverse Board members. We also established an Advisory Council focused on career development, promotion, recruitment and retention to help ensure that we meet our DE&amp;I goals. In 2022, we had all employees attend DE&amp;I training to reinforce an open and diverse culture.</w:t>
      </w:r>
    </w:p>
    <w:p>
      <w:pPr>
        <w:sectPr>
          <w:pgSz w:w="11880" w:h="15480" w:orient="portrait"/>
          <w:cols w:equalWidth="0" w:num="1">
            <w:col w:w="9100"/>
          </w:cols>
          <w:pgMar w:left="1380" w:top="1316" w:right="1400" w:bottom="655" w:gutter="0" w:footer="0" w:header="0"/>
        </w:sect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25</w:t>
      </w:r>
    </w:p>
    <w:p>
      <w:pPr>
        <w:sectPr>
          <w:pgSz w:w="11880" w:h="15480" w:orient="portrait"/>
          <w:cols w:equalWidth="0" w:num="1">
            <w:col w:w="9100"/>
          </w:cols>
          <w:pgMar w:left="1380" w:top="1316" w:right="1400" w:bottom="655" w:gutter="0" w:footer="0" w:header="0"/>
          <w:type w:val="continuous"/>
        </w:sectPr>
      </w:pPr>
    </w:p>
    <w:bookmarkStart w:id="29" w:name="page30"/>
    <w:bookmarkEnd w:id="29"/>
    <w:p>
      <w:pPr>
        <w:ind w:right="200" w:firstLine="300"/>
        <w:spacing w:after="0" w:line="243" w:lineRule="auto"/>
        <w:rPr>
          <w:sz w:val="20"/>
          <w:szCs w:val="20"/>
          <w:color w:val="auto"/>
        </w:rPr>
      </w:pPr>
      <w:r>
        <w:rPr>
          <w:rFonts w:ascii="Arial" w:cs="Arial" w:eastAsia="Arial" w:hAnsi="Arial"/>
          <w:sz w:val="20"/>
          <w:szCs w:val="20"/>
          <w:color w:val="auto"/>
        </w:rPr>
        <w:t>The table below approximates our self-reported gender diverse and ethnically and racially diverse employees and members of our Board of Directors as of December 31, 2022.</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jc w:val="right"/>
              <w:ind w:right="180"/>
              <w:spacing w:after="0"/>
              <w:rPr>
                <w:sz w:val="20"/>
                <w:szCs w:val="20"/>
                <w:color w:val="auto"/>
              </w:rPr>
            </w:pPr>
            <w:r>
              <w:rPr>
                <w:rFonts w:ascii="Arial" w:cs="Arial" w:eastAsia="Arial" w:hAnsi="Arial"/>
                <w:sz w:val="20"/>
                <w:szCs w:val="20"/>
                <w:b w:val="1"/>
                <w:bCs w:val="1"/>
                <w:color w:val="auto"/>
              </w:rPr>
              <w:t>Ethnically and</w:t>
            </w:r>
          </w:p>
        </w:tc>
      </w:tr>
      <w:tr>
        <w:trPr>
          <w:trHeight w:val="228"/>
        </w:trPr>
        <w:tc>
          <w:tcPr>
            <w:tcW w:w="5100" w:type="dxa"/>
            <w:vAlign w:val="bottom"/>
          </w:tcPr>
          <w:p>
            <w:pPr>
              <w:spacing w:after="0"/>
              <w:rPr>
                <w:sz w:val="19"/>
                <w:szCs w:val="19"/>
                <w:color w:val="auto"/>
              </w:rPr>
            </w:pPr>
          </w:p>
        </w:tc>
        <w:tc>
          <w:tcPr>
            <w:tcW w:w="1880" w:type="dxa"/>
            <w:vAlign w:val="bottom"/>
          </w:tcPr>
          <w:p>
            <w:pPr>
              <w:jc w:val="right"/>
              <w:ind w:right="100"/>
              <w:spacing w:after="0" w:line="228" w:lineRule="exact"/>
              <w:rPr>
                <w:sz w:val="20"/>
                <w:szCs w:val="20"/>
                <w:color w:val="auto"/>
              </w:rPr>
            </w:pPr>
            <w:r>
              <w:rPr>
                <w:rFonts w:ascii="Arial" w:cs="Arial" w:eastAsia="Arial" w:hAnsi="Arial"/>
                <w:sz w:val="20"/>
                <w:szCs w:val="20"/>
                <w:b w:val="1"/>
                <w:bCs w:val="1"/>
                <w:color w:val="auto"/>
              </w:rPr>
              <w:t>Gender Diverse</w:t>
            </w:r>
          </w:p>
        </w:tc>
        <w:tc>
          <w:tcPr>
            <w:tcW w:w="200" w:type="dxa"/>
            <w:vAlign w:val="bottom"/>
          </w:tcPr>
          <w:p>
            <w:pPr>
              <w:spacing w:after="0"/>
              <w:rPr>
                <w:sz w:val="19"/>
                <w:szCs w:val="19"/>
                <w:color w:val="auto"/>
              </w:rPr>
            </w:pPr>
          </w:p>
        </w:tc>
        <w:tc>
          <w:tcPr>
            <w:tcW w:w="1940" w:type="dxa"/>
            <w:vAlign w:val="bottom"/>
          </w:tcPr>
          <w:p>
            <w:pPr>
              <w:jc w:val="right"/>
              <w:ind w:right="100"/>
              <w:spacing w:after="0" w:line="228" w:lineRule="exact"/>
              <w:rPr>
                <w:sz w:val="20"/>
                <w:szCs w:val="20"/>
                <w:color w:val="auto"/>
              </w:rPr>
            </w:pPr>
            <w:r>
              <w:rPr>
                <w:rFonts w:ascii="Arial" w:cs="Arial" w:eastAsia="Arial" w:hAnsi="Arial"/>
                <w:sz w:val="20"/>
                <w:szCs w:val="20"/>
                <w:b w:val="1"/>
                <w:bCs w:val="1"/>
                <w:color w:val="auto"/>
              </w:rPr>
              <w:t>Racially Diverse</w:t>
            </w:r>
          </w:p>
        </w:tc>
      </w:tr>
      <w:tr>
        <w:trPr>
          <w:trHeight w:val="20"/>
        </w:trPr>
        <w:tc>
          <w:tcPr>
            <w:tcW w:w="5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80"/>
        </w:trPr>
        <w:tc>
          <w:tcPr>
            <w:tcW w:w="5100" w:type="dxa"/>
            <w:vAlign w:val="bottom"/>
          </w:tcPr>
          <w:p>
            <w:pPr>
              <w:spacing w:after="0"/>
              <w:rPr>
                <w:sz w:val="20"/>
                <w:szCs w:val="20"/>
                <w:color w:val="auto"/>
              </w:rPr>
            </w:pPr>
            <w:r>
              <w:rPr>
                <w:rFonts w:ascii="Arial" w:cs="Arial" w:eastAsia="Arial" w:hAnsi="Arial"/>
                <w:sz w:val="20"/>
                <w:szCs w:val="20"/>
                <w:color w:val="auto"/>
              </w:rPr>
              <w:t>All Employees . . . . . . . . . . . . . . . . . . . . . . . . . . . . . . . . . .</w:t>
            </w:r>
          </w:p>
        </w:tc>
        <w:tc>
          <w:tcPr>
            <w:tcW w:w="1880" w:type="dxa"/>
            <w:vAlign w:val="bottom"/>
          </w:tcPr>
          <w:p>
            <w:pPr>
              <w:jc w:val="right"/>
              <w:ind w:right="520"/>
              <w:spacing w:after="0"/>
              <w:rPr>
                <w:sz w:val="20"/>
                <w:szCs w:val="20"/>
                <w:color w:val="auto"/>
              </w:rPr>
            </w:pPr>
            <w:r>
              <w:rPr>
                <w:rFonts w:ascii="Arial" w:cs="Arial" w:eastAsia="Arial" w:hAnsi="Arial"/>
                <w:sz w:val="20"/>
                <w:szCs w:val="20"/>
                <w:color w:val="auto"/>
              </w:rPr>
              <w:t>20%</w:t>
            </w:r>
          </w:p>
        </w:tc>
        <w:tc>
          <w:tcPr>
            <w:tcW w:w="2140" w:type="dxa"/>
            <w:vAlign w:val="bottom"/>
            <w:gridSpan w:val="2"/>
          </w:tcPr>
          <w:p>
            <w:pPr>
              <w:jc w:val="right"/>
              <w:ind w:right="540"/>
              <w:spacing w:after="0"/>
              <w:rPr>
                <w:sz w:val="20"/>
                <w:szCs w:val="20"/>
                <w:color w:val="auto"/>
              </w:rPr>
            </w:pPr>
            <w:r>
              <w:rPr>
                <w:rFonts w:ascii="Arial" w:cs="Arial" w:eastAsia="Arial" w:hAnsi="Arial"/>
                <w:sz w:val="20"/>
                <w:szCs w:val="20"/>
                <w:color w:val="auto"/>
              </w:rPr>
              <w:t>40%</w:t>
            </w:r>
          </w:p>
        </w:tc>
      </w:tr>
      <w:tr>
        <w:trPr>
          <w:trHeight w:val="240"/>
        </w:trPr>
        <w:tc>
          <w:tcPr>
            <w:tcW w:w="5100" w:type="dxa"/>
            <w:vAlign w:val="bottom"/>
          </w:tcPr>
          <w:p>
            <w:pPr>
              <w:spacing w:after="0"/>
              <w:rPr>
                <w:sz w:val="20"/>
                <w:szCs w:val="20"/>
                <w:color w:val="auto"/>
              </w:rPr>
            </w:pPr>
            <w:r>
              <w:rPr>
                <w:rFonts w:ascii="Arial" w:cs="Arial" w:eastAsia="Arial" w:hAnsi="Arial"/>
                <w:sz w:val="20"/>
                <w:szCs w:val="20"/>
                <w:color w:val="auto"/>
              </w:rPr>
              <w:t>Managers  . . . . . . . . . . . . . . . . . . . . . . . . . . . . . . . . . . . . .</w:t>
            </w:r>
          </w:p>
        </w:tc>
        <w:tc>
          <w:tcPr>
            <w:tcW w:w="1880" w:type="dxa"/>
            <w:vAlign w:val="bottom"/>
          </w:tcPr>
          <w:p>
            <w:pPr>
              <w:jc w:val="right"/>
              <w:ind w:right="520"/>
              <w:spacing w:after="0"/>
              <w:rPr>
                <w:sz w:val="20"/>
                <w:szCs w:val="20"/>
                <w:color w:val="auto"/>
              </w:rPr>
            </w:pPr>
            <w:r>
              <w:rPr>
                <w:rFonts w:ascii="Arial" w:cs="Arial" w:eastAsia="Arial" w:hAnsi="Arial"/>
                <w:sz w:val="20"/>
                <w:szCs w:val="20"/>
                <w:color w:val="auto"/>
              </w:rPr>
              <w:t>21%</w:t>
            </w:r>
          </w:p>
        </w:tc>
        <w:tc>
          <w:tcPr>
            <w:tcW w:w="2140" w:type="dxa"/>
            <w:vAlign w:val="bottom"/>
            <w:gridSpan w:val="2"/>
          </w:tcPr>
          <w:p>
            <w:pPr>
              <w:jc w:val="right"/>
              <w:ind w:right="540"/>
              <w:spacing w:after="0"/>
              <w:rPr>
                <w:sz w:val="20"/>
                <w:szCs w:val="20"/>
                <w:color w:val="auto"/>
              </w:rPr>
            </w:pPr>
            <w:r>
              <w:rPr>
                <w:rFonts w:ascii="Arial" w:cs="Arial" w:eastAsia="Arial" w:hAnsi="Arial"/>
                <w:sz w:val="20"/>
                <w:szCs w:val="20"/>
                <w:color w:val="auto"/>
              </w:rPr>
              <w:t>23%</w:t>
            </w:r>
          </w:p>
        </w:tc>
      </w:tr>
      <w:tr>
        <w:trPr>
          <w:trHeight w:val="240"/>
        </w:trPr>
        <w:tc>
          <w:tcPr>
            <w:tcW w:w="5100" w:type="dxa"/>
            <w:vAlign w:val="bottom"/>
          </w:tcPr>
          <w:p>
            <w:pPr>
              <w:spacing w:after="0"/>
              <w:rPr>
                <w:sz w:val="20"/>
                <w:szCs w:val="20"/>
                <w:color w:val="auto"/>
              </w:rPr>
            </w:pPr>
            <w:r>
              <w:rPr>
                <w:rFonts w:ascii="Arial" w:cs="Arial" w:eastAsia="Arial" w:hAnsi="Arial"/>
                <w:sz w:val="20"/>
                <w:szCs w:val="20"/>
                <w:color w:val="auto"/>
                <w:w w:val="99"/>
              </w:rPr>
              <w:t>Executives . . . . . . . . . . . . . . . . . . . . . . . . . . . . . . . . . . . . .</w:t>
            </w:r>
          </w:p>
        </w:tc>
        <w:tc>
          <w:tcPr>
            <w:tcW w:w="1880" w:type="dxa"/>
            <w:vAlign w:val="bottom"/>
          </w:tcPr>
          <w:p>
            <w:pPr>
              <w:jc w:val="right"/>
              <w:ind w:right="520"/>
              <w:spacing w:after="0"/>
              <w:rPr>
                <w:sz w:val="20"/>
                <w:szCs w:val="20"/>
                <w:color w:val="auto"/>
              </w:rPr>
            </w:pPr>
            <w:r>
              <w:rPr>
                <w:rFonts w:ascii="Arial" w:cs="Arial" w:eastAsia="Arial" w:hAnsi="Arial"/>
                <w:sz w:val="20"/>
                <w:szCs w:val="20"/>
                <w:color w:val="auto"/>
              </w:rPr>
              <w:t>22%</w:t>
            </w:r>
          </w:p>
        </w:tc>
        <w:tc>
          <w:tcPr>
            <w:tcW w:w="2140" w:type="dxa"/>
            <w:vAlign w:val="bottom"/>
            <w:gridSpan w:val="2"/>
          </w:tcPr>
          <w:p>
            <w:pPr>
              <w:jc w:val="right"/>
              <w:ind w:right="540"/>
              <w:spacing w:after="0"/>
              <w:rPr>
                <w:sz w:val="20"/>
                <w:szCs w:val="20"/>
                <w:color w:val="auto"/>
              </w:rPr>
            </w:pPr>
            <w:r>
              <w:rPr>
                <w:rFonts w:ascii="Arial" w:cs="Arial" w:eastAsia="Arial" w:hAnsi="Arial"/>
                <w:sz w:val="20"/>
                <w:szCs w:val="20"/>
                <w:color w:val="auto"/>
              </w:rPr>
              <w:t>26%</w:t>
            </w:r>
          </w:p>
        </w:tc>
      </w:tr>
      <w:tr>
        <w:trPr>
          <w:trHeight w:val="240"/>
        </w:trPr>
        <w:tc>
          <w:tcPr>
            <w:tcW w:w="5100" w:type="dxa"/>
            <w:vAlign w:val="bottom"/>
          </w:tcPr>
          <w:p>
            <w:pPr>
              <w:spacing w:after="0"/>
              <w:rPr>
                <w:sz w:val="20"/>
                <w:szCs w:val="20"/>
                <w:color w:val="auto"/>
              </w:rPr>
            </w:pPr>
            <w:r>
              <w:rPr>
                <w:rFonts w:ascii="Arial" w:cs="Arial" w:eastAsia="Arial" w:hAnsi="Arial"/>
                <w:sz w:val="20"/>
                <w:szCs w:val="20"/>
                <w:color w:val="auto"/>
              </w:rPr>
              <w:t>Board of Directors . . . . . . . . . . . . . . . . . . . . . . . . . . . . . . .</w:t>
            </w:r>
          </w:p>
        </w:tc>
        <w:tc>
          <w:tcPr>
            <w:tcW w:w="1880" w:type="dxa"/>
            <w:vAlign w:val="bottom"/>
          </w:tcPr>
          <w:p>
            <w:pPr>
              <w:jc w:val="right"/>
              <w:ind w:right="520"/>
              <w:spacing w:after="0"/>
              <w:rPr>
                <w:sz w:val="20"/>
                <w:szCs w:val="20"/>
                <w:color w:val="auto"/>
              </w:rPr>
            </w:pPr>
            <w:r>
              <w:rPr>
                <w:rFonts w:ascii="Arial" w:cs="Arial" w:eastAsia="Arial" w:hAnsi="Arial"/>
                <w:sz w:val="20"/>
                <w:szCs w:val="20"/>
                <w:color w:val="auto"/>
              </w:rPr>
              <w:t>33%</w:t>
            </w:r>
          </w:p>
        </w:tc>
        <w:tc>
          <w:tcPr>
            <w:tcW w:w="2140" w:type="dxa"/>
            <w:vAlign w:val="bottom"/>
            <w:gridSpan w:val="2"/>
          </w:tcPr>
          <w:p>
            <w:pPr>
              <w:jc w:val="right"/>
              <w:ind w:right="540"/>
              <w:spacing w:after="0"/>
              <w:rPr>
                <w:sz w:val="20"/>
                <w:szCs w:val="20"/>
                <w:color w:val="auto"/>
              </w:rPr>
            </w:pPr>
            <w:r>
              <w:rPr>
                <w:rFonts w:ascii="Arial" w:cs="Arial" w:eastAsia="Arial" w:hAnsi="Arial"/>
                <w:sz w:val="20"/>
                <w:szCs w:val="20"/>
                <w:color w:val="auto"/>
              </w:rPr>
              <w:t>33%</w:t>
            </w:r>
          </w:p>
        </w:tc>
      </w:tr>
    </w:tbl>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Employee Safety</w:t>
      </w:r>
    </w:p>
    <w:p>
      <w:pPr>
        <w:spacing w:after="0" w:line="215" w:lineRule="exact"/>
        <w:rPr>
          <w:sz w:val="20"/>
          <w:szCs w:val="20"/>
          <w:color w:val="auto"/>
        </w:rPr>
      </w:pPr>
    </w:p>
    <w:p>
      <w:pPr>
        <w:ind w:right="140" w:firstLine="300"/>
        <w:spacing w:after="0" w:line="249" w:lineRule="auto"/>
        <w:rPr>
          <w:sz w:val="20"/>
          <w:szCs w:val="20"/>
          <w:color w:val="auto"/>
        </w:rPr>
      </w:pPr>
      <w:r>
        <w:rPr>
          <w:rFonts w:ascii="Arial" w:cs="Arial" w:eastAsia="Arial" w:hAnsi="Arial"/>
          <w:sz w:val="20"/>
          <w:szCs w:val="20"/>
          <w:color w:val="auto"/>
        </w:rPr>
        <w:t>Our unwavering commitment to health, safety and the environment defines how we operate our business. We prepare our workforce to work safely through comprehensive training, safe work practices, technology and rigorous maintenance and asset integrity programs. Each year, we set a threshold TRIR as a quantitative metric that directly impacts incentive compensation for all of our employees. We have achieved exemplary, steadily improved safety performance over the last several years by promoting a culture of safety where all employees, contractors and vendors are empowered with Stop Work Authority to cease any activity – without repercussions – to prevent a safety or environmental accident.</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Engagement and Retention</w:t>
      </w:r>
    </w:p>
    <w:p>
      <w:pPr>
        <w:spacing w:after="0" w:line="215" w:lineRule="exact"/>
        <w:rPr>
          <w:sz w:val="20"/>
          <w:szCs w:val="20"/>
          <w:color w:val="auto"/>
        </w:rPr>
      </w:pPr>
    </w:p>
    <w:p>
      <w:pPr>
        <w:ind w:right="620" w:firstLine="300"/>
        <w:spacing w:after="0" w:line="249" w:lineRule="auto"/>
        <w:rPr>
          <w:sz w:val="20"/>
          <w:szCs w:val="20"/>
          <w:color w:val="auto"/>
        </w:rPr>
      </w:pPr>
      <w:r>
        <w:rPr>
          <w:rFonts w:ascii="Arial" w:cs="Arial" w:eastAsia="Arial" w:hAnsi="Arial"/>
          <w:sz w:val="20"/>
          <w:szCs w:val="20"/>
          <w:color w:val="auto"/>
        </w:rPr>
        <w:t>We survey our employees annually to ensure employee sentiment is collected and heard throughout the year allowing us to assess engagement levels and drivers to determine areas of improvement to enhance engagement and retention. The results of the engagement surveys are reviewed by senior management and our Board of Directors. Senior leadership also host regular townhalls so employees can engage with them through question and answer sessions.</w:t>
      </w:r>
    </w:p>
    <w:p>
      <w:pPr>
        <w:spacing w:after="0" w:line="207"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We provide our employees industry competitive base wages and annual and long-term incentive compensation opportunities, as well as matching and profit-sharing retirement contributions to employees’ 401(k) accounts; comprehensive health benefits; life, disability and accident insurance coverages; sick pay, paid holidays, paid parental leave and vacation; employee assistance for confidential counseling services, a wellness program to promote the well-being of our employees and their families; and various group discount programs. Our employee stock purchase program allows our employees to purchase shares of our common stock at a discounted price. We also provide options for alternate work schedules, flexible work hours, part-time work options and telecommuting.</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Regulation of the Industries in Which We Operate</w:t>
      </w:r>
    </w:p>
    <w:p>
      <w:pPr>
        <w:spacing w:after="0" w:line="214" w:lineRule="exact"/>
        <w:rPr>
          <w:sz w:val="20"/>
          <w:szCs w:val="20"/>
          <w:color w:val="auto"/>
        </w:rPr>
      </w:pPr>
    </w:p>
    <w:p>
      <w:pPr>
        <w:ind w:right="200" w:firstLine="300"/>
        <w:spacing w:after="0" w:line="245" w:lineRule="auto"/>
        <w:rPr>
          <w:sz w:val="20"/>
          <w:szCs w:val="20"/>
          <w:color w:val="auto"/>
        </w:rPr>
      </w:pPr>
      <w:r>
        <w:rPr>
          <w:rFonts w:ascii="Arial" w:cs="Arial" w:eastAsia="Arial" w:hAnsi="Arial"/>
          <w:sz w:val="20"/>
          <w:szCs w:val="20"/>
          <w:color w:val="auto"/>
        </w:rPr>
        <w:t>Our operations are subject to a wide range of federal, state and local laws and regulations. Those that specifically relate to oil and natural gas exploration and production are described in this section.</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Regulation of Exploration and Production Activities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Well Permitting</w:t>
      </w:r>
    </w:p>
    <w:p>
      <w:pPr>
        <w:spacing w:after="0" w:line="214"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CalGEM is California’s primary regulator of the oil and natural gas production industry on private and state lands, with additional oversight from the State Lands Commission’s administration of state surface and mineral interests. From time to time we have experienced significant delays with respect to obtaining drilling permits from CalGEM for our operations. A variety of factors outside of our control can lead to such delays. CalGEM has not issued any permits for new production wells to any operators since December 2022.</w:t>
      </w:r>
    </w:p>
    <w:p>
      <w:pPr>
        <w:sectPr>
          <w:pgSz w:w="11880" w:h="15480" w:orient="portrait"/>
          <w:cols w:equalWidth="0" w:num="1">
            <w:col w:w="9120"/>
          </w:cols>
          <w:pgMar w:left="1380" w:top="1316" w:right="1380" w:bottom="655"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880" w:h="15480" w:orient="portrait"/>
          <w:cols w:equalWidth="0" w:num="1">
            <w:col w:w="9120"/>
          </w:cols>
          <w:pgMar w:left="1380" w:top="1316" w:right="1380" w:bottom="655" w:gutter="0" w:footer="0" w:header="0"/>
          <w:type w:val="continuous"/>
        </w:sectPr>
      </w:pPr>
    </w:p>
    <w:bookmarkStart w:id="30" w:name="page31"/>
    <w:bookmarkEnd w:id="30"/>
    <w:p>
      <w:pPr>
        <w:ind w:right="20" w:firstLine="300"/>
        <w:spacing w:after="0" w:line="248" w:lineRule="auto"/>
        <w:rPr>
          <w:sz w:val="20"/>
          <w:szCs w:val="20"/>
          <w:color w:val="auto"/>
        </w:rPr>
      </w:pPr>
      <w:r>
        <w:rPr>
          <w:rFonts w:ascii="Arial" w:cs="Arial" w:eastAsia="Arial" w:hAnsi="Arial"/>
          <w:sz w:val="20"/>
          <w:szCs w:val="20"/>
          <w:color w:val="auto"/>
        </w:rPr>
        <w:t>CalGEM currently requires an operator to identify the manner in which the California Environmental Quality Act (CEQA) has been satisfied prior to issuing various state permits, typically through either an environmental review or an exemption by a state or local agency. In Kern County, this requirement has typically been satisfied by complying with the local oil and natural gas ordinance which was supported by an Environmental Impact Report (EIR) certified by the Kern County Board of Supervisors in 2015.</w:t>
      </w:r>
    </w:p>
    <w:p>
      <w:pPr>
        <w:spacing w:after="0" w:line="212" w:lineRule="exact"/>
        <w:rPr>
          <w:sz w:val="20"/>
          <w:szCs w:val="20"/>
          <w:color w:val="auto"/>
        </w:rPr>
      </w:pPr>
    </w:p>
    <w:p>
      <w:pPr>
        <w:ind w:right="20" w:firstLine="300"/>
        <w:spacing w:after="0" w:line="250" w:lineRule="auto"/>
        <w:rPr>
          <w:sz w:val="20"/>
          <w:szCs w:val="20"/>
          <w:color w:val="auto"/>
        </w:rPr>
      </w:pPr>
      <w:r>
        <w:rPr>
          <w:rFonts w:ascii="Arial" w:cs="Arial" w:eastAsia="Arial" w:hAnsi="Arial"/>
          <w:sz w:val="20"/>
          <w:szCs w:val="20"/>
          <w:color w:val="auto"/>
        </w:rPr>
        <w:t>Our operations in Kern County have been subject to significant uncertainty over the past several years as a result of ongoing challenges to the County’s ability to rely on an existing EIR to meet the County’s obligations under CEQA. In December 2015 several groups challenged the sufficiency of the EIR for satisfying CEQA requirements in Kern County for oil and natural gas permit approvals (Kern County EIR Litigation). In March 2018 a trial court (Trial Court) found that the EIR inadequately analyzed the environmental impacts to rangeland and road paving mitigation for purposes of well work and rejected the plaintiffs’ other CEQA claims. The plaintiffs appealed. In February 2020, the California Fifth District Appellate Court (Appellate Court) ruled that the plaintiffs’ other CEQA claims had merit and ordered Kern County to rescind the Zoning Ordinance and cease issuing permits. In March 2021, Kern County’s Board of Supervisors approved a revised Zoning Ordinance (the Revised Ordinance) and certified a Supplemental Recirculated Environmental Impact Report (SREIR) for purposes of satisfying CEQA requirements with respect to the issuance of oil and natural gas permits. A suit was subsequently filed that same month challenging the sufficiency of the SREIR. In October 2021, the Trial Court ordered Kern County to cease using the existing EIR to meet CEQA requirements until it determined that the Revised Ordinance complied with CEQA requirements. The Trial Court subsequently identified four deficiencies in the SREIR that needed correction to conform to CEQA. In November 2022, upon the correction of those deficiencies to the Trial Court’s satisfaction, the Trial Court lifted the suspension on Kern County’s ability to rely on the existing SREIR to meet CEQA requirements in Kern County (the Discharge Order). In December 2022, the Trial Court denied a motion to stay the Discharge Order. The plaintiffs appealed the judgment and Discharge Order and filed a petition requesting a stay of the ordinance pending resolution of the merits of the appeal.</w:t>
      </w:r>
    </w:p>
    <w:p>
      <w:pPr>
        <w:spacing w:after="0" w:line="209" w:lineRule="exact"/>
        <w:rPr>
          <w:sz w:val="20"/>
          <w:szCs w:val="20"/>
          <w:color w:val="auto"/>
        </w:rPr>
      </w:pPr>
    </w:p>
    <w:p>
      <w:pPr>
        <w:ind w:firstLine="300"/>
        <w:spacing w:after="0" w:line="248" w:lineRule="auto"/>
        <w:rPr>
          <w:sz w:val="20"/>
          <w:szCs w:val="20"/>
          <w:color w:val="auto"/>
        </w:rPr>
      </w:pPr>
      <w:r>
        <w:rPr>
          <w:rFonts w:ascii="Arial" w:cs="Arial" w:eastAsia="Arial" w:hAnsi="Arial"/>
          <w:sz w:val="20"/>
          <w:szCs w:val="20"/>
          <w:color w:val="auto"/>
        </w:rPr>
        <w:t>On January 26, 2023, the Appellate Court issued a preliminary order on the petition reinstating a suspension of Kern County’s ability to rely on the existing SREIR to meet CEQA requirements pending the outcome of a final order determining whether oil and natural gas permitting shall remain suspended for the duration of the appeals process. That order is still pending.</w:t>
      </w:r>
    </w:p>
    <w:p>
      <w:pPr>
        <w:spacing w:after="0" w:line="209"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We intend to address CEQA compliance for our oil and natural gas permits in Kern County through alternative pathways. However, this will be a lengthy process and we cannot predict whether this approach will ultimately be successful. As a result of these issues and current lack of permits with respect to our Kern County properties, we do not currently plan to drill and complete any additional wells within Kern County until permitting is resumed in Kern County, which may be later in the 2024 calendar year. However, there is no certainty that we will obtain permits on that timeline or at all, which may further adversely affect our future development plans, proved undeveloped reserves, business, operations, cash flows, financial position and results of operations. Approximately 71% of our proved undeveloped reserves or 9% of our total proved reserves relate to wells to be drilled in Kern County beginning in 2024 for which we would need to obtain permits.</w:t>
      </w:r>
    </w:p>
    <w:p>
      <w:pPr>
        <w:sectPr>
          <w:pgSz w:w="11880" w:h="15480" w:orient="portrait"/>
          <w:cols w:equalWidth="0" w:num="1">
            <w:col w:w="9100"/>
          </w:cols>
          <w:pgMar w:left="1380" w:top="1316" w:right="140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27</w:t>
      </w:r>
    </w:p>
    <w:p>
      <w:pPr>
        <w:sectPr>
          <w:pgSz w:w="11880" w:h="15480" w:orient="portrait"/>
          <w:cols w:equalWidth="0" w:num="1">
            <w:col w:w="9100"/>
          </w:cols>
          <w:pgMar w:left="1380" w:top="1316" w:right="1400" w:bottom="655" w:gutter="0" w:footer="0" w:header="0"/>
          <w:type w:val="continuous"/>
        </w:sectPr>
      </w:pPr>
    </w:p>
    <w:bookmarkStart w:id="31" w:name="page32"/>
    <w:bookmarkEnd w:id="31"/>
    <w:p>
      <w:pPr>
        <w:ind w:right="40" w:firstLine="300"/>
        <w:spacing w:after="0" w:line="249" w:lineRule="auto"/>
        <w:rPr>
          <w:sz w:val="20"/>
          <w:szCs w:val="20"/>
          <w:color w:val="auto"/>
        </w:rPr>
      </w:pPr>
      <w:r>
        <w:rPr>
          <w:rFonts w:ascii="Arial" w:cs="Arial" w:eastAsia="Arial" w:hAnsi="Arial"/>
          <w:sz w:val="20"/>
          <w:szCs w:val="20"/>
          <w:color w:val="auto"/>
        </w:rPr>
        <w:t>The California Legislature and Governor have significantly increased the jurisdiction, duties and enforcement authority of CalGEM, the State Lands Commission and other state agencies with respect to oil and natural gas activities in recent years through legislation and policy pronouncements. For example, 2019 state legislation expanded CalGEM’s duties effective on January 1, 2020 to include public health and safety and reducing or mitigating greenhouse gas emissions while meeting the state’s energy needs, and will require CalGEM to study and prioritize idle wells with emissions, evaluate costs of abandonment, decommissioning and restoration, and review and update associated indemnity bond amounts from operators if warranted, up to a specified cap which may be shared among operators. Other 2019 legislation specifically addressed oil and natural gas leasing by the State Lands Commission, including imposing conditions on assignment of state leases, requiring lessees to complete abandonment and decommissioning upon the termination of state leases, and prohibiting leasing or conveyance of state lands for new oil and natural gas infrastructure that would advance production on certain federal lands such as national monuments, parks, wilderness areas and wildlife refuges.</w:t>
      </w:r>
    </w:p>
    <w:p>
      <w:pPr>
        <w:spacing w:after="0" w:line="220" w:lineRule="exact"/>
        <w:rPr>
          <w:sz w:val="20"/>
          <w:szCs w:val="20"/>
          <w:color w:val="auto"/>
        </w:rPr>
      </w:pPr>
    </w:p>
    <w:p>
      <w:pPr>
        <w:ind w:right="160" w:firstLine="300"/>
        <w:spacing w:after="0" w:line="249" w:lineRule="auto"/>
        <w:rPr>
          <w:sz w:val="20"/>
          <w:szCs w:val="20"/>
          <w:color w:val="auto"/>
        </w:rPr>
      </w:pPr>
      <w:r>
        <w:rPr>
          <w:rFonts w:ascii="Arial" w:cs="Arial" w:eastAsia="Arial" w:hAnsi="Arial"/>
          <w:sz w:val="20"/>
          <w:szCs w:val="20"/>
          <w:color w:val="auto"/>
        </w:rPr>
        <w:t>CalGEM and other state agencies have also significantly revised their regulations, regulatory interpretations and data collection and reporting requirements. CalGEM issued updated regulations in April 2019 governing management of idle wells and underground fluid injection, which include specific implementation periods. The updated idle well management regulations require operators to either submit annual idle well management plans describing how they will plug and abandon or reactivate a specified percentage of long-term idle wells or pay additional annual fees and perform additional testing to retain greater flexibility to return long-term idle wells to service in the future. The updated underground injection regulations address injection approvals, project data requirements, testing of injection wells, monitoring and reporting requirements with respect to injection parameters, containment and incident response, among other topics.</w:t>
      </w:r>
    </w:p>
    <w:p>
      <w:pPr>
        <w:spacing w:after="0" w:line="214" w:lineRule="exact"/>
        <w:rPr>
          <w:sz w:val="20"/>
          <w:szCs w:val="20"/>
          <w:color w:val="auto"/>
        </w:rPr>
      </w:pPr>
    </w:p>
    <w:p>
      <w:pPr>
        <w:ind w:firstLine="300"/>
        <w:spacing w:after="0" w:line="264" w:lineRule="auto"/>
        <w:rPr>
          <w:sz w:val="20"/>
          <w:szCs w:val="20"/>
          <w:color w:val="auto"/>
        </w:rPr>
      </w:pPr>
      <w:r>
        <w:rPr>
          <w:rFonts w:ascii="Arial" w:cs="Arial" w:eastAsia="Arial" w:hAnsi="Arial"/>
          <w:sz w:val="19"/>
          <w:szCs w:val="19"/>
          <w:color w:val="auto"/>
        </w:rPr>
        <w:t>In addition, certain local governments have proposed or adopted ordinances that would restrict certain drilling activities in general and well stimulation, completion or injection activities in particular, impose setback distances from certain other land uses, or ban such activities outright. For example, both the City and the County of Los Angeles have voted to prohibit new oil and natural gas wells and phase out existing wells over a number of years. Our operations in unincorporated areas of Los Angeles are not affected by these bans, and we do not anticipate a material impact from these bans to our future drilling operations as we have no drilling plans or proved undeveloped reserves within the area that would be covered by these bans. However, from time to time, other local governments in California have sought to enact similar bans and others may seek to do so in the future. For example, a similar ban was previously proposed in Monterey County, where we own mineral rights but have no production, before being declared to be preempted by state and federal regulation. Other local governments have sought to ban natural gas or the transportation of natural gas through their cities. The City of Antioch declined to extend our franchise agreement for a natural gas pipeline through its city. Several companies, including CRC, have challenged the city’s inconsistent and arbitrary approach to natural gas approvals.</w:t>
      </w:r>
    </w:p>
    <w:p>
      <w:pPr>
        <w:sectPr>
          <w:pgSz w:w="11880" w:h="15480" w:orient="portrait"/>
          <w:cols w:equalWidth="0" w:num="1">
            <w:col w:w="9120"/>
          </w:cols>
          <w:pgMar w:left="1380" w:top="1316"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880" w:h="15480" w:orient="portrait"/>
          <w:cols w:equalWidth="0" w:num="1">
            <w:col w:w="9120"/>
          </w:cols>
          <w:pgMar w:left="1380" w:top="1316" w:right="1380" w:bottom="655" w:gutter="0" w:footer="0" w:header="0"/>
          <w:type w:val="continuous"/>
        </w:sectPr>
      </w:pPr>
    </w:p>
    <w:bookmarkStart w:id="32" w:name="page33"/>
    <w:bookmarkEnd w:id="32"/>
    <w:p>
      <w:pPr>
        <w:spacing w:after="0"/>
        <w:rPr>
          <w:sz w:val="20"/>
          <w:szCs w:val="20"/>
          <w:color w:val="auto"/>
        </w:rPr>
      </w:pPr>
      <w:r>
        <w:rPr>
          <w:rFonts w:ascii="Arial" w:cs="Arial" w:eastAsia="Arial" w:hAnsi="Arial"/>
          <w:sz w:val="20"/>
          <w:szCs w:val="20"/>
          <w:i w:val="1"/>
          <w:iCs w:val="1"/>
          <w:u w:val="single" w:color="auto"/>
          <w:color w:val="auto"/>
        </w:rPr>
        <w:t>Setbacks</w:t>
      </w:r>
    </w:p>
    <w:p>
      <w:pPr>
        <w:spacing w:after="0" w:line="196"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color w:val="auto"/>
        </w:rPr>
        <w:t>On September 16, 2022, the Governor of California signed Senate Bill No. 1137 into law, which established 3,200 feet as the minimum distance between new oil and natural gas production wells and certain sensitive receptors such as homes, schools and businesses open to the public effective January 1, 2023. On January 6, 2023, CalGEM’s emergency regulations to support implementation of Senate Bill No. 1137 were approved by the Office of Administrative Law and final regulations were published. The regulations included applicable requirements of notice to property owners and tenants regarding the work performed and offering the sampling of test water wells or surface water before and after drilling; the contents of required notices for new production facilities; the annual submission of a sensitive receptor inventory and sensitive receptor map and the contents and format of the same; and the requirements of statements where operators have determined a location not to be within a health protection zone. Additional provisions of Senate Bill No. 1137 include, among others, the imposition of health, safety and environmental controls applicable to both current and new wells located within this distance of sensitive receptors related to noise, light, and dust pollution controls and air emission monitoring, and the immediate suspension of operations at production facilities determined to not be in compliance with certain air emission requirements. In December 2022, proponents of a voter referendum (the Referendum) collected more than the requisite number of signatures required to put Senate Bill No. 1137 on the 2024 ballot. On February 3, 2023, the Secretary of State of California certified the signatures and confirmed that the Referendum qualifies for the November 2024 ballot. Accordingly, Senate Bill No. 1137 is stayed until it is put to a vote, although any stay could be delayed if there are legal challenges to the Secretary of State’s certification. In addition, even during the stay, CalGEM could attempt to initiate rulemaking with regard to setbacks.</w:t>
      </w:r>
    </w:p>
    <w:p>
      <w:pPr>
        <w:spacing w:after="0" w:line="189" w:lineRule="exact"/>
        <w:rPr>
          <w:sz w:val="20"/>
          <w:szCs w:val="20"/>
          <w:color w:val="auto"/>
        </w:rPr>
      </w:pPr>
    </w:p>
    <w:p>
      <w:pPr>
        <w:ind w:right="20" w:firstLine="300"/>
        <w:spacing w:after="0" w:line="264" w:lineRule="auto"/>
        <w:rPr>
          <w:sz w:val="20"/>
          <w:szCs w:val="20"/>
          <w:color w:val="auto"/>
        </w:rPr>
      </w:pPr>
      <w:r>
        <w:rPr>
          <w:rFonts w:ascii="Arial" w:cs="Arial" w:eastAsia="Arial" w:hAnsi="Arial"/>
          <w:sz w:val="19"/>
          <w:szCs w:val="19"/>
          <w:color w:val="auto"/>
        </w:rPr>
        <w:t>The majority of our production is in rural areas in the San Joaquin basin and is unlikely to be affected by Senate Bill No. 1137 should the outcome of the Referendum result in the bill being implemented. We would not expect the implementation of this law to result in any change in our existing proved developed producing reserves or current production rates or any material change to the timing of plugging and abandonment liabilities. However, there is significant uncertainty with respect to our ability to develop proved undeveloped reserves within the setback zones established by Senate Bill No. 1137. As a result, we have removed from our reserves any proved undeveloped reserves that are located within setback zones, except for those reserves for which we have existing drilling permits and intend to develop prior to the November 2024 ballot. This resulted in a reduction to the net present value of our proved undeveloped reserves by 24% and our overall proved reserves by 4% as of December 31, 2022.</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Pipeline Transportation</w:t>
      </w:r>
    </w:p>
    <w:p>
      <w:pPr>
        <w:spacing w:after="0" w:line="194" w:lineRule="exact"/>
        <w:rPr>
          <w:sz w:val="20"/>
          <w:szCs w:val="20"/>
          <w:color w:val="auto"/>
        </w:rPr>
      </w:pPr>
    </w:p>
    <w:p>
      <w:pPr>
        <w:ind w:right="80" w:firstLine="300"/>
        <w:spacing w:after="0" w:line="250" w:lineRule="auto"/>
        <w:rPr>
          <w:sz w:val="20"/>
          <w:szCs w:val="20"/>
          <w:color w:val="auto"/>
        </w:rPr>
      </w:pPr>
      <w:r>
        <w:rPr>
          <w:rFonts w:ascii="Arial" w:cs="Arial" w:eastAsia="Arial" w:hAnsi="Arial"/>
          <w:sz w:val="20"/>
          <w:szCs w:val="20"/>
          <w:color w:val="auto"/>
        </w:rPr>
        <w:t>Federal and state pipeline regulations have also been recently revised. CalGEM imposed more stringent inspection and integrity management requirements in 2019 and 2020 with respect to certain natural gas pipelines in specified locations, with additional regulations anticipated in 2022 regarding digital mapping of such lines. The Office of the State Fire Marshal adopted regulations in 2020 to require risk assessment of various oil lines in the coastal zone, followed by retrofitting of certain of those lines with the best available control technology to mitigate oil spills over a specified implementation period. Finally, the federal PHMSA has, from time to time, issued new regulations expanding or otherwise revising pipeline integrity requirements. For example, in November 2021, PHMSA issued a final rule imposing safety regulations on an aggregate of approximately 400,000 miles of previously unregulated onshore gas gathering lines across the United States that, among other things, will impose criteria for inspection and repair of fugitive emissions, extend reporting requirements to all gas gathering operators and apply a set of minimum safety requirements to certain gas gathering pipelines with large diameters and high operating pressures. And, in August 2022, PHMSA finalized additional pipeline safety rules, which adjusted the repair criteria for pipelines in high consequence areas, created new criteria for pipelines in non-high consequence areas, and strengthened integrity management assessment requirements, among other items.</w:t>
      </w:r>
    </w:p>
    <w:p>
      <w:pPr>
        <w:sectPr>
          <w:pgSz w:w="11880" w:h="15480" w:orient="portrait"/>
          <w:cols w:equalWidth="0" w:num="1">
            <w:col w:w="9080"/>
          </w:cols>
          <w:pgMar w:left="1380" w:top="1310" w:right="1420" w:bottom="655"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29</w:t>
      </w:r>
    </w:p>
    <w:p>
      <w:pPr>
        <w:sectPr>
          <w:pgSz w:w="11880" w:h="15480" w:orient="portrait"/>
          <w:cols w:equalWidth="0" w:num="1">
            <w:col w:w="9080"/>
          </w:cols>
          <w:pgMar w:left="1380" w:top="1310" w:right="1420" w:bottom="655" w:gutter="0" w:footer="0" w:header="0"/>
          <w:type w:val="continuous"/>
        </w:sectPr>
      </w:pPr>
    </w:p>
    <w:bookmarkStart w:id="33" w:name="page34"/>
    <w:bookmarkEnd w:id="33"/>
    <w:p>
      <w:pPr>
        <w:spacing w:after="0"/>
        <w:rPr>
          <w:sz w:val="20"/>
          <w:szCs w:val="20"/>
          <w:color w:val="auto"/>
        </w:rPr>
      </w:pPr>
      <w:r>
        <w:rPr>
          <w:rFonts w:ascii="Arial" w:cs="Arial" w:eastAsia="Arial" w:hAnsi="Arial"/>
          <w:sz w:val="20"/>
          <w:szCs w:val="20"/>
          <w:i w:val="1"/>
          <w:iCs w:val="1"/>
          <w:u w:val="single" w:color="auto"/>
          <w:color w:val="auto"/>
        </w:rPr>
        <w:t>Water Injection</w:t>
      </w:r>
    </w:p>
    <w:p>
      <w:pPr>
        <w:spacing w:after="0" w:line="216"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Our operations in the Wilmington Oil Field utilize injection wells to reinject produced water pursuant to waterflooding plans. These operations are subject to regulation by the City of Long Beach and CalGEM. We are currently in discussions with the City of Long Beach and CalGEM with respect to what injection well pressure gradient complies with CalGEM’s requirements for the protection of underground sources of drinking water, while at the same time mitigating subsidence risks. CalGEM’s local office has preliminarily indicated that the injection well pressure gradient should be reduced from the gradient that has been used for several decades. As part of our ongoing discussions, we and the City of Long Beach have provided CalGEM with technical information regarding how the historical injection well pressure gradient complies with CalGEM’s requirements and to inform them of the absence of risk of leakage. If CalGEM were to ultimately disagree and determine to reduce the injection well pressure gradient, and we were unable to reverse that decision on appeal or other legal challenge, we expect any material reduction in injection well pressure gradient for our operations in the Wilmington Oil Field would result in a decrease in production and reserves from the field.</w:t>
      </w:r>
    </w:p>
    <w:p>
      <w:pPr>
        <w:spacing w:after="0" w:line="218" w:lineRule="exact"/>
        <w:rPr>
          <w:sz w:val="20"/>
          <w:szCs w:val="20"/>
          <w:color w:val="auto"/>
        </w:rPr>
      </w:pPr>
    </w:p>
    <w:p>
      <w:pPr>
        <w:ind w:firstLine="300"/>
        <w:spacing w:after="0" w:line="248" w:lineRule="auto"/>
        <w:rPr>
          <w:sz w:val="20"/>
          <w:szCs w:val="20"/>
          <w:color w:val="auto"/>
        </w:rPr>
      </w:pPr>
      <w:r>
        <w:rPr>
          <w:rFonts w:ascii="Arial" w:cs="Arial" w:eastAsia="Arial" w:hAnsi="Arial"/>
          <w:sz w:val="20"/>
          <w:szCs w:val="20"/>
          <w:color w:val="auto"/>
        </w:rPr>
        <w:t>Collectively, the effect of these regulations is to potentially limit the number and location of our wells and the amount of oil and natural gas that we can produce from our wells compared to what we otherwise would be able to do.</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Regulation of Health, Safety and Environmental Matters</w:t>
      </w:r>
    </w:p>
    <w:p>
      <w:pPr>
        <w:spacing w:after="0" w:line="215"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Numerous federal, state, local and other laws and regulations that govern health and safety, the release or discharge of materials, land use or environmental protection may restrict the use of our properties and operations, increase our costs or lower demand for or restrict the use of our products and services. Applicable federal health, safety and environmental laws include the Occupational Safety and Health Act, Clean Air Act, Clean Water Act, Safe Drinking Water Act, Oil Pollution Act, Natural Gas Pipeline Safety Act, Pipeline Safety Improvement Act, Pipeline Safety, Regulatory Certainty, and Job Creation Act, Endangered Species Act, Migratory Bird Treaty Act, Comprehensive Environmental Response, Compensation, and Liability Act, Resource Conservation and Recovery Act and NEPA, among others. California imposes additional laws that are analogous to, and often more stringent than, such federal laws. These laws and regulations:</w:t>
      </w:r>
    </w:p>
    <w:p>
      <w:pPr>
        <w:spacing w:after="0" w:line="214" w:lineRule="exact"/>
        <w:rPr>
          <w:sz w:val="20"/>
          <w:szCs w:val="20"/>
          <w:color w:val="auto"/>
        </w:rPr>
      </w:pPr>
    </w:p>
    <w:p>
      <w:pPr>
        <w:ind w:left="600" w:right="200" w:hanging="300"/>
        <w:spacing w:after="0" w:line="248" w:lineRule="auto"/>
        <w:tabs>
          <w:tab w:leader="none" w:pos="6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establish air, soil and water quality standards for a given region, such as the San Joaquin Valley, conduct regional, community or field monitoring of air, soil or water quality, and require attainment plans to meet those regional standards, which may include significant mitigation measures or restrictions on development, economic activity and transportation in such region;</w:t>
      </w:r>
    </w:p>
    <w:p>
      <w:pPr>
        <w:spacing w:after="0" w:line="9" w:lineRule="exact"/>
        <w:rPr>
          <w:rFonts w:ascii="Arial" w:cs="Arial" w:eastAsia="Arial" w:hAnsi="Arial"/>
          <w:sz w:val="20"/>
          <w:szCs w:val="20"/>
          <w:color w:val="auto"/>
        </w:rPr>
      </w:pPr>
    </w:p>
    <w:p>
      <w:pPr>
        <w:ind w:left="600" w:right="360" w:hanging="300"/>
        <w:spacing w:after="0" w:line="248" w:lineRule="auto"/>
        <w:tabs>
          <w:tab w:leader="none" w:pos="6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require various permits, approvals and mitigation measures before drilling, workover, production, underground fluid injection or waste disposal commences, or before facilities are constructed or put into operation;</w:t>
      </w:r>
    </w:p>
    <w:p>
      <w:pPr>
        <w:spacing w:after="0" w:line="7" w:lineRule="exact"/>
        <w:rPr>
          <w:rFonts w:ascii="Arial" w:cs="Arial" w:eastAsia="Arial" w:hAnsi="Arial"/>
          <w:sz w:val="20"/>
          <w:szCs w:val="20"/>
          <w:color w:val="auto"/>
        </w:rPr>
      </w:pPr>
    </w:p>
    <w:p>
      <w:pPr>
        <w:ind w:left="600" w:right="80" w:hanging="300"/>
        <w:spacing w:after="0" w:line="248" w:lineRule="auto"/>
        <w:tabs>
          <w:tab w:leader="none" w:pos="6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require the installation of sophisticated safety and pollution control equipment, such as leak detection, monitoring and shutdown systems, and implementation of inspection, monitoring and repair programs to prevent or reduce releases or discharges of regulated materials to air, land, surface water or ground water;</w:t>
      </w:r>
    </w:p>
    <w:p>
      <w:pPr>
        <w:spacing w:after="0" w:line="9" w:lineRule="exact"/>
        <w:rPr>
          <w:rFonts w:ascii="Arial" w:cs="Arial" w:eastAsia="Arial" w:hAnsi="Arial"/>
          <w:sz w:val="20"/>
          <w:szCs w:val="20"/>
          <w:color w:val="auto"/>
        </w:rPr>
      </w:pPr>
    </w:p>
    <w:p>
      <w:pPr>
        <w:ind w:left="600" w:right="40" w:hanging="300"/>
        <w:spacing w:after="0" w:line="248" w:lineRule="auto"/>
        <w:tabs>
          <w:tab w:leader="none" w:pos="6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restrict the use, types or sources of water, energy, land surface, habitat or other natural resources, require conservation and reclamation measures, impose energy efficiency or renewable energy standards on us or users of our products and services, and restrict the use of oil, natural gas or certain petroleum–based products such as fuels and plastics;</w:t>
      </w:r>
    </w:p>
    <w:p>
      <w:pPr>
        <w:spacing w:after="0" w:line="9" w:lineRule="exact"/>
        <w:rPr>
          <w:rFonts w:ascii="Arial" w:cs="Arial" w:eastAsia="Arial" w:hAnsi="Arial"/>
          <w:sz w:val="20"/>
          <w:szCs w:val="20"/>
          <w:color w:val="auto"/>
        </w:rPr>
      </w:pPr>
    </w:p>
    <w:p>
      <w:pPr>
        <w:ind w:left="600" w:right="20" w:hanging="300"/>
        <w:spacing w:after="0" w:line="248" w:lineRule="auto"/>
        <w:tabs>
          <w:tab w:leader="none" w:pos="6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restrict the types, quantities and concentrations of regulated materials, including oil, natural gas, produced water or wastes, that can be released or discharged into the environment, or any other uses of those materials resulting from drilling, production, processing, power generation, transportation or storage activities;</w:t>
      </w:r>
    </w:p>
    <w:p>
      <w:pPr>
        <w:sectPr>
          <w:pgSz w:w="11880" w:h="15480" w:orient="portrait"/>
          <w:cols w:equalWidth="0" w:num="1">
            <w:col w:w="9100"/>
          </w:cols>
          <w:pgMar w:left="1380" w:top="1310" w:right="1400" w:bottom="655"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30</w:t>
      </w:r>
    </w:p>
    <w:p>
      <w:pPr>
        <w:sectPr>
          <w:pgSz w:w="11880" w:h="15480" w:orient="portrait"/>
          <w:cols w:equalWidth="0" w:num="1">
            <w:col w:w="9100"/>
          </w:cols>
          <w:pgMar w:left="1380" w:top="1310" w:right="1400" w:bottom="655" w:gutter="0" w:footer="0" w:header="0"/>
          <w:type w:val="continuous"/>
        </w:sectPr>
      </w:pPr>
    </w:p>
    <w:bookmarkStart w:id="34" w:name="page35"/>
    <w:bookmarkEnd w:id="34"/>
    <w:p>
      <w:pPr>
        <w:ind w:left="600" w:right="140" w:hanging="300"/>
        <w:spacing w:after="0" w:line="247" w:lineRule="auto"/>
        <w:tabs>
          <w:tab w:leader="none" w:pos="6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limit or prohibit operations on lands lying within coastal, wilderness, wetlands, groundwater recharge, endangered species habitat and other protected areas, and require the dedication of surface acreage for habitat conservation;</w:t>
      </w:r>
    </w:p>
    <w:p>
      <w:pPr>
        <w:spacing w:after="0" w:line="9" w:lineRule="exact"/>
        <w:rPr>
          <w:rFonts w:ascii="Arial" w:cs="Arial" w:eastAsia="Arial" w:hAnsi="Arial"/>
          <w:sz w:val="20"/>
          <w:szCs w:val="20"/>
          <w:color w:val="auto"/>
        </w:rPr>
      </w:pPr>
    </w:p>
    <w:p>
      <w:pPr>
        <w:ind w:left="600" w:right="80" w:hanging="300"/>
        <w:spacing w:after="0" w:line="247" w:lineRule="auto"/>
        <w:tabs>
          <w:tab w:leader="none" w:pos="6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establish standards for the management of solid and hazardous wastes or the closure, abandonment, cleanup or restoration of former operations, such as plugging and abandonment of wells and decommissioning of facilities;</w:t>
      </w:r>
    </w:p>
    <w:p>
      <w:pPr>
        <w:spacing w:after="0" w:line="9" w:lineRule="exact"/>
        <w:rPr>
          <w:rFonts w:ascii="Arial" w:cs="Arial" w:eastAsia="Arial" w:hAnsi="Arial"/>
          <w:sz w:val="20"/>
          <w:szCs w:val="20"/>
          <w:color w:val="auto"/>
        </w:rPr>
      </w:pPr>
    </w:p>
    <w:p>
      <w:pPr>
        <w:ind w:left="600" w:right="100" w:hanging="300"/>
        <w:spacing w:after="0" w:line="248" w:lineRule="auto"/>
        <w:tabs>
          <w:tab w:leader="none" w:pos="6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impose substantial liabilities for unauthorized releases or discharges of regulated materials into the environment with respect to our current or former properties and operations and other locations where such materials generated by us or our predecessors were released or discharged;</w:t>
      </w:r>
    </w:p>
    <w:p>
      <w:pPr>
        <w:spacing w:after="0" w:line="9" w:lineRule="exact"/>
        <w:rPr>
          <w:rFonts w:ascii="Arial" w:cs="Arial" w:eastAsia="Arial" w:hAnsi="Arial"/>
          <w:sz w:val="20"/>
          <w:szCs w:val="20"/>
          <w:color w:val="auto"/>
        </w:rPr>
      </w:pPr>
    </w:p>
    <w:p>
      <w:pPr>
        <w:ind w:left="600" w:right="500" w:hanging="300"/>
        <w:spacing w:after="0" w:line="243" w:lineRule="auto"/>
        <w:tabs>
          <w:tab w:leader="none" w:pos="6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require comprehensive environmental analyses, recordkeeping and reports with respect to operations affecting federal, state and private lands or leases;</w:t>
      </w:r>
    </w:p>
    <w:p>
      <w:pPr>
        <w:spacing w:after="0" w:line="7" w:lineRule="exact"/>
        <w:rPr>
          <w:rFonts w:ascii="Arial" w:cs="Arial" w:eastAsia="Arial" w:hAnsi="Arial"/>
          <w:sz w:val="20"/>
          <w:szCs w:val="20"/>
          <w:color w:val="auto"/>
        </w:rPr>
      </w:pPr>
    </w:p>
    <w:p>
      <w:pPr>
        <w:ind w:left="600" w:hanging="300"/>
        <w:spacing w:after="0"/>
        <w:tabs>
          <w:tab w:leader="none" w:pos="6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impose taxes or fees with respect to the foregoing matters;</w:t>
      </w:r>
    </w:p>
    <w:p>
      <w:pPr>
        <w:spacing w:after="0" w:line="16" w:lineRule="exact"/>
        <w:rPr>
          <w:rFonts w:ascii="Arial" w:cs="Arial" w:eastAsia="Arial" w:hAnsi="Arial"/>
          <w:sz w:val="20"/>
          <w:szCs w:val="20"/>
          <w:color w:val="auto"/>
        </w:rPr>
      </w:pPr>
    </w:p>
    <w:p>
      <w:pPr>
        <w:ind w:left="600" w:right="140" w:hanging="300"/>
        <w:spacing w:after="0" w:line="243" w:lineRule="auto"/>
        <w:tabs>
          <w:tab w:leader="none" w:pos="6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may expose us to litigation with government authorities, counterparties, special interest groups or others; and</w:t>
      </w:r>
    </w:p>
    <w:p>
      <w:pPr>
        <w:spacing w:after="0" w:line="7" w:lineRule="exact"/>
        <w:rPr>
          <w:rFonts w:ascii="Arial" w:cs="Arial" w:eastAsia="Arial" w:hAnsi="Arial"/>
          <w:sz w:val="20"/>
          <w:szCs w:val="20"/>
          <w:color w:val="auto"/>
        </w:rPr>
      </w:pPr>
    </w:p>
    <w:p>
      <w:pPr>
        <w:ind w:left="600" w:hanging="300"/>
        <w:spacing w:after="0"/>
        <w:tabs>
          <w:tab w:leader="none" w:pos="6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may restrict our rate of oil, NGLs, natural gas and electricity production.</w:t>
      </w:r>
    </w:p>
    <w:p>
      <w:pPr>
        <w:spacing w:after="0" w:line="216"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color w:val="auto"/>
        </w:rPr>
        <w:t>Due to the risk of future drought conditions in California, water districts and the state government have implemented regulations and policies that may restrict groundwater extraction and water usage and increase the cost of water. Water management, including our ability to recycle, reuse and dispose of produced water and our access to water supplies from third-party sources, in each case at a reasonable cost, in a timely manner and in compliance with applicable laws, regulations and permits, is an essential component of our operations to produce crude oil, natural gas and NGLs economically and in commercial quantities. As such, any limitations or restrictions on wastewater disposal or water availability could have an adverse impact on our operations. We treat and reuse water that is co-produced with oil and natural gas for a substantial portion of our needs in activities such as pressure management, waterflooding, steamflooding and well drilling, completion and stimulation. We also provide reclaimed produced water to certain agricultural water districts. We also use supplied water from various local and regional sources, particularly for power plants and steam generation. We are a net fresh water supplier to the State. While our production to date has not been impacted by restrictions on access to third-party water sources, we cannot guarantee that there may not be restrictions in the future.</w:t>
      </w:r>
    </w:p>
    <w:p>
      <w:pPr>
        <w:sectPr>
          <w:pgSz w:w="11880" w:h="15480" w:orient="portrait"/>
          <w:cols w:equalWidth="0" w:num="1">
            <w:col w:w="9080"/>
          </w:cols>
          <w:pgMar w:left="1380" w:top="1316" w:right="142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31</w:t>
      </w:r>
    </w:p>
    <w:p>
      <w:pPr>
        <w:sectPr>
          <w:pgSz w:w="11880" w:h="15480" w:orient="portrait"/>
          <w:cols w:equalWidth="0" w:num="1">
            <w:col w:w="9080"/>
          </w:cols>
          <w:pgMar w:left="1380" w:top="1316" w:right="1420" w:bottom="655" w:gutter="0" w:footer="0" w:header="0"/>
          <w:type w:val="continuous"/>
        </w:sectPr>
      </w:pPr>
    </w:p>
    <w:bookmarkStart w:id="35" w:name="page36"/>
    <w:bookmarkEnd w:id="35"/>
    <w:p>
      <w:pPr>
        <w:ind w:firstLine="300"/>
        <w:spacing w:after="0" w:line="264" w:lineRule="auto"/>
        <w:rPr>
          <w:sz w:val="20"/>
          <w:szCs w:val="20"/>
          <w:color w:val="auto"/>
        </w:rPr>
      </w:pPr>
      <w:r>
        <w:rPr>
          <w:rFonts w:ascii="Arial" w:cs="Arial" w:eastAsia="Arial" w:hAnsi="Arial"/>
          <w:sz w:val="19"/>
          <w:szCs w:val="19"/>
          <w:color w:val="auto"/>
        </w:rPr>
        <w:t>In 2014, at the request of the EPA, CalGEM commenced a detailed review of the multi-decade practice of permitting underground injection wells and associated aquifer exemptions under the SDWA. In 2015, the state set deadlines to obtain the EPA’s confirmation of aquifer exemptions under the SDWA in certain formations in certain fields. Since the state and the EPA did not complete their review before the state’s deadlines, the state announced that it will not rescind permits or enforce the deadlines with respect to many of the formations pending completion of the review but has applied the deadlines to others. Several industry groups and operators challenged CalGEM’s implementation of its aquifer exemption regulations. In March 2017, the Kern County Superior Court issued an injunction barring the blanket enforcement of CalGEM’s aquifer exemption regulations. The court found that CalGEM must find actual harm results from an injection well’s operations and go through a hearing process before the agency can issue fines or shut down operations. During the review, the state has restricted injection in certain formations or wells in several fields, including some operated by us, requested that we change injection zones in certain fields, and held certain pending injection permits in abeyance. We are coordinating with the state to change injection zones in certain fields to facilitate disposal of produced water in deeper formations where feasible or to increase recycling of produced water in pressure maintenance or waterfloods in lieu of disposal. In September 2021, the EPA issued a letter to the California Natural Resources Agency and the State Water Resources Control Board regarding the state’s compliance with the 2015 compliance plan relating to the state’s process for approving aquifer exemptions under the SDWA. The letter requested that California take appropriate action by September 2022, or the EPA would consider taking additional action to impose limits on California’s administration of the UIC program, withhold federal funds for the administration of the UIC program, and direct orders to oil and natural gas operators injecting into formations not authorized by the EPA, among other measures. The state responded in October 2021 with a proposed compliance plan and a follow-up letter in August 2022 providing a mid-year update, but, to date, the EPA has not yet responded.</w:t>
      </w:r>
    </w:p>
    <w:p>
      <w:pPr>
        <w:spacing w:after="0" w:line="200" w:lineRule="exact"/>
        <w:rPr>
          <w:sz w:val="20"/>
          <w:szCs w:val="20"/>
          <w:color w:val="auto"/>
        </w:rPr>
      </w:pPr>
    </w:p>
    <w:p>
      <w:pPr>
        <w:spacing w:after="0" w:line="232" w:lineRule="exact"/>
        <w:rPr>
          <w:sz w:val="20"/>
          <w:szCs w:val="20"/>
          <w:color w:val="auto"/>
        </w:rPr>
      </w:pPr>
    </w:p>
    <w:p>
      <w:pPr>
        <w:ind w:right="120" w:firstLine="300"/>
        <w:spacing w:after="0" w:line="264" w:lineRule="auto"/>
        <w:rPr>
          <w:sz w:val="20"/>
          <w:szCs w:val="20"/>
          <w:color w:val="auto"/>
        </w:rPr>
      </w:pPr>
      <w:r>
        <w:rPr>
          <w:rFonts w:ascii="Arial" w:cs="Arial" w:eastAsia="Arial" w:hAnsi="Arial"/>
          <w:sz w:val="19"/>
          <w:szCs w:val="19"/>
          <w:color w:val="auto"/>
        </w:rPr>
        <w:t>With respect to major federal actions pursuant to NEPA, recent modifications may impose additional restrictions on oil and natural gas activities on federal lands. In October 2021, the Biden Administration announced three significant changes to a 2020 rule finalized under the Trump Administration. These changes included (i) authorizing agencies to consider the direct, indirect and cumulative effects of major federal actions including upstream and downstream impacts of fossil fuel projects; (ii) allowing agencies to determine the purpose and need of a project (thereby allowing consideration of less-harmful alternatives); and (iii) affording agencies greater flexibility in crafting their own NEPA procedures, consistent with Council of Environmental Quality (CEQ) regulations, so as to meet the agencies’ and public’s need. To that end, in April 2022, the CEQ issued a final rule in line with the proposed changes – “Phase I” of the Biden Administration’s two-phased approach to modifying NEPA. “Phase 2” of the process includes the release of a new rule proposing broader changes to NEPA regulations.</w:t>
      </w:r>
    </w:p>
    <w:p>
      <w:pPr>
        <w:spacing w:after="0" w:line="196" w:lineRule="exact"/>
        <w:rPr>
          <w:sz w:val="20"/>
          <w:szCs w:val="20"/>
          <w:color w:val="auto"/>
        </w:rPr>
      </w:pPr>
    </w:p>
    <w:p>
      <w:pPr>
        <w:ind w:right="60" w:firstLine="300"/>
        <w:spacing w:after="0" w:line="248" w:lineRule="auto"/>
        <w:rPr>
          <w:sz w:val="20"/>
          <w:szCs w:val="20"/>
          <w:color w:val="auto"/>
        </w:rPr>
      </w:pPr>
      <w:r>
        <w:rPr>
          <w:rFonts w:ascii="Arial" w:cs="Arial" w:eastAsia="Arial" w:hAnsi="Arial"/>
          <w:sz w:val="20"/>
          <w:szCs w:val="20"/>
          <w:color w:val="auto"/>
        </w:rPr>
        <w:t>Federal, state and local agencies may assert overlapping authority to regulate in these areas. In addition, certain of these laws and regulations may apply retroactively and may impose strict or joint and several liability on us for events or conditions over which we and our predecessors had no control, without regard to fault, legality of the original activities, or ownership or control by third parties.</w:t>
      </w:r>
    </w:p>
    <w:p>
      <w:pPr>
        <w:sectPr>
          <w:pgSz w:w="11880" w:h="15480" w:orient="portrait"/>
          <w:cols w:equalWidth="0" w:num="1">
            <w:col w:w="9100"/>
          </w:cols>
          <w:pgMar w:left="1380" w:top="1316" w:right="140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32</w:t>
      </w:r>
    </w:p>
    <w:p>
      <w:pPr>
        <w:sectPr>
          <w:pgSz w:w="11880" w:h="15480" w:orient="portrait"/>
          <w:cols w:equalWidth="0" w:num="1">
            <w:col w:w="9100"/>
          </w:cols>
          <w:pgMar w:left="1380" w:top="1316" w:right="1400" w:bottom="655" w:gutter="0" w:footer="0" w:header="0"/>
          <w:type w:val="continuous"/>
        </w:sectPr>
      </w:pPr>
    </w:p>
    <w:bookmarkStart w:id="36" w:name="page37"/>
    <w:bookmarkEnd w:id="36"/>
    <w:p>
      <w:pPr>
        <w:spacing w:after="0"/>
        <w:rPr>
          <w:sz w:val="20"/>
          <w:szCs w:val="20"/>
          <w:color w:val="auto"/>
        </w:rPr>
      </w:pPr>
      <w:r>
        <w:rPr>
          <w:rFonts w:ascii="Arial" w:cs="Arial" w:eastAsia="Arial" w:hAnsi="Arial"/>
          <w:sz w:val="20"/>
          <w:szCs w:val="20"/>
          <w:b w:val="1"/>
          <w:bCs w:val="1"/>
          <w:i w:val="1"/>
          <w:iCs w:val="1"/>
          <w:color w:val="auto"/>
        </w:rPr>
        <w:t>Regulation of Carbon Capture, Sequestration and Storage</w:t>
      </w:r>
    </w:p>
    <w:p>
      <w:pPr>
        <w:spacing w:after="0" w:line="215" w:lineRule="exact"/>
        <w:rPr>
          <w:sz w:val="20"/>
          <w:szCs w:val="20"/>
          <w:color w:val="auto"/>
        </w:rPr>
      </w:pPr>
    </w:p>
    <w:p>
      <w:pPr>
        <w:ind w:firstLine="300"/>
        <w:spacing w:after="0" w:line="235" w:lineRule="auto"/>
        <w:rPr>
          <w:sz w:val="20"/>
          <w:szCs w:val="20"/>
          <w:color w:val="auto"/>
        </w:rPr>
      </w:pPr>
      <w:r>
        <w:rPr>
          <w:rFonts w:ascii="Arial" w:cs="Arial" w:eastAsia="Arial" w:hAnsi="Arial"/>
          <w:sz w:val="20"/>
          <w:szCs w:val="20"/>
          <w:color w:val="auto"/>
        </w:rPr>
        <w:t>On September 16, 2022, the Governor of California signed Senate Bill No. 905 into law, which contemplates the development of unitization, permitting and pipeline safety regulations over a multi-year period to facilitate the development of CCS projects in California, though the legislation does not provide for compulsory unitization. Protocols to support CCS are to be adopted by January 1, 2024 and a unified permit application is to be adopted by January 1, 2025. We believe our Carbon TerraVault projects, for which permits with the EPA have been filed, will continue to be developed on a timeline consistent with our initial expectations. These initial projects are not reliant on the unitization or permitting regulations being developed. In addition, our Carbon TerraVault projects are expected to either use emitters that are directly sited above these storage facilities or rely on pipelines for transporting CO</w:t>
      </w:r>
      <w:r>
        <w:rPr>
          <w:rFonts w:ascii="Arial" w:cs="Arial" w:eastAsia="Arial" w:hAnsi="Arial"/>
          <w:sz w:val="26"/>
          <w:szCs w:val="26"/>
          <w:color w:val="auto"/>
          <w:vertAlign w:val="subscript"/>
        </w:rPr>
        <w:t>2</w:t>
      </w:r>
      <w:r>
        <w:rPr>
          <w:rFonts w:ascii="Arial" w:cs="Arial" w:eastAsia="Arial" w:hAnsi="Arial"/>
          <w:sz w:val="20"/>
          <w:szCs w:val="20"/>
          <w:color w:val="auto"/>
        </w:rPr>
        <w:t xml:space="preserve"> that will need to comply with yet to be developed CO</w:t>
      </w:r>
      <w:r>
        <w:rPr>
          <w:rFonts w:ascii="Arial" w:cs="Arial" w:eastAsia="Arial" w:hAnsi="Arial"/>
          <w:sz w:val="26"/>
          <w:szCs w:val="26"/>
          <w:color w:val="auto"/>
          <w:vertAlign w:val="subscript"/>
        </w:rPr>
        <w:t>2</w:t>
      </w:r>
      <w:r>
        <w:rPr>
          <w:rFonts w:ascii="Arial" w:cs="Arial" w:eastAsia="Arial" w:hAnsi="Arial"/>
          <w:sz w:val="20"/>
          <w:szCs w:val="20"/>
          <w:color w:val="auto"/>
        </w:rPr>
        <w:t xml:space="preserve"> pipeline safety regulations from the federal PHMSA, which could take a number of years to effect. However, the terms of the final pipeline safety regulations may impair or prohibit those projects that rely on the transportation of CO</w:t>
      </w:r>
      <w:r>
        <w:rPr>
          <w:rFonts w:ascii="Arial" w:cs="Arial" w:eastAsia="Arial" w:hAnsi="Arial"/>
          <w:sz w:val="26"/>
          <w:szCs w:val="26"/>
          <w:color w:val="auto"/>
          <w:vertAlign w:val="subscript"/>
        </w:rPr>
        <w:t>2</w:t>
      </w:r>
      <w:r>
        <w:rPr>
          <w:rFonts w:ascii="Arial" w:cs="Arial" w:eastAsia="Arial" w:hAnsi="Arial"/>
          <w:sz w:val="20"/>
          <w:szCs w:val="20"/>
          <w:color w:val="auto"/>
        </w:rPr>
        <w:t>. In addition, delays in developing the required pipeline safety regulations would delay projects requiring pipeline transportation of CO</w:t>
      </w:r>
      <w:r>
        <w:rPr>
          <w:rFonts w:ascii="Arial" w:cs="Arial" w:eastAsia="Arial" w:hAnsi="Arial"/>
          <w:sz w:val="26"/>
          <w:szCs w:val="26"/>
          <w:color w:val="auto"/>
          <w:vertAlign w:val="subscript"/>
        </w:rPr>
        <w:t>2</w:t>
      </w:r>
      <w:r>
        <w:rPr>
          <w:rFonts w:ascii="Arial" w:cs="Arial" w:eastAsia="Arial" w:hAnsi="Arial"/>
          <w:sz w:val="20"/>
          <w:szCs w:val="20"/>
          <w:color w:val="auto"/>
        </w:rPr>
        <w:t>. The lack of compulsory unitization could also delay project timelines.</w:t>
      </w:r>
    </w:p>
    <w:p>
      <w:pPr>
        <w:spacing w:after="0" w:line="205" w:lineRule="exact"/>
        <w:rPr>
          <w:sz w:val="20"/>
          <w:szCs w:val="20"/>
          <w:color w:val="auto"/>
        </w:rPr>
      </w:pPr>
    </w:p>
    <w:p>
      <w:pPr>
        <w:ind w:right="100" w:firstLine="300"/>
        <w:spacing w:after="0" w:line="249" w:lineRule="auto"/>
        <w:rPr>
          <w:sz w:val="20"/>
          <w:szCs w:val="20"/>
          <w:color w:val="auto"/>
        </w:rPr>
      </w:pPr>
      <w:r>
        <w:rPr>
          <w:rFonts w:ascii="Arial" w:cs="Arial" w:eastAsia="Arial" w:hAnsi="Arial"/>
          <w:sz w:val="20"/>
          <w:szCs w:val="20"/>
          <w:color w:val="auto"/>
        </w:rPr>
        <w:t>The unified permitting process contemplated by Senate Bill No. 905 will be optional for project applicants and is intended to simplify the permitting process for CCS projects. In the meantime, pursuant to this legislation we are permitted to proceed with our existing and future permit applications with the EPA. This law also contemplates the implementation of a new regulatory program incorporating standards that are not yet defined and that could affect the timing of future CCS projects in California.</w:t>
      </w:r>
    </w:p>
    <w:p>
      <w:pPr>
        <w:spacing w:after="0" w:line="173" w:lineRule="exact"/>
        <w:rPr>
          <w:sz w:val="20"/>
          <w:szCs w:val="20"/>
          <w:color w:val="auto"/>
        </w:rPr>
      </w:pPr>
    </w:p>
    <w:p>
      <w:pPr>
        <w:ind w:right="80" w:firstLine="300"/>
        <w:spacing w:after="0" w:line="238" w:lineRule="auto"/>
        <w:rPr>
          <w:sz w:val="20"/>
          <w:szCs w:val="20"/>
          <w:color w:val="auto"/>
        </w:rPr>
      </w:pPr>
      <w:r>
        <w:rPr>
          <w:rFonts w:ascii="Arial" w:cs="Arial" w:eastAsia="Arial" w:hAnsi="Arial"/>
          <w:sz w:val="20"/>
          <w:szCs w:val="20"/>
          <w:color w:val="auto"/>
        </w:rPr>
        <w:t>Senate Bill No. 905 also prohibits CCS projects that utilize and permanently sequester CO</w:t>
      </w:r>
      <w:r>
        <w:rPr>
          <w:rFonts w:ascii="Arial" w:cs="Arial" w:eastAsia="Arial" w:hAnsi="Arial"/>
          <w:sz w:val="26"/>
          <w:szCs w:val="26"/>
          <w:color w:val="auto"/>
          <w:vertAlign w:val="subscript"/>
        </w:rPr>
        <w:t>2</w:t>
      </w:r>
      <w:r>
        <w:rPr>
          <w:rFonts w:ascii="Arial" w:cs="Arial" w:eastAsia="Arial" w:hAnsi="Arial"/>
          <w:sz w:val="20"/>
          <w:szCs w:val="20"/>
          <w:color w:val="auto"/>
        </w:rPr>
        <w:t xml:space="preserve"> in connection with Enhanced Oil Recovery (EOR) projects. In light of this prohibition and the enhancement of energy credits under the Inflation Reduction Act of 2022 (the Act), we transitioned our CalCapture project to target CCS.</w:t>
      </w:r>
    </w:p>
    <w:p>
      <w:pPr>
        <w:spacing w:after="0" w:line="215" w:lineRule="exact"/>
        <w:rPr>
          <w:sz w:val="20"/>
          <w:szCs w:val="20"/>
          <w:color w:val="auto"/>
        </w:rPr>
      </w:pPr>
    </w:p>
    <w:p>
      <w:pPr>
        <w:ind w:right="320" w:firstLine="300"/>
        <w:spacing w:after="0" w:line="229" w:lineRule="auto"/>
        <w:rPr>
          <w:sz w:val="20"/>
          <w:szCs w:val="20"/>
          <w:color w:val="auto"/>
        </w:rPr>
      </w:pPr>
      <w:r>
        <w:rPr>
          <w:rFonts w:ascii="Arial" w:cs="Arial" w:eastAsia="Arial" w:hAnsi="Arial"/>
          <w:sz w:val="20"/>
          <w:szCs w:val="20"/>
          <w:color w:val="auto"/>
        </w:rPr>
        <w:t>We currently do not have any oil and natural gas production or proved reserves associated with EOR projects that rely on CO</w:t>
      </w:r>
      <w:r>
        <w:rPr>
          <w:rFonts w:ascii="Arial" w:cs="Arial" w:eastAsia="Arial" w:hAnsi="Arial"/>
          <w:sz w:val="26"/>
          <w:szCs w:val="26"/>
          <w:color w:val="auto"/>
          <w:vertAlign w:val="subscript"/>
        </w:rPr>
        <w:t>2</w:t>
      </w:r>
      <w:r>
        <w:rPr>
          <w:rFonts w:ascii="Arial" w:cs="Arial" w:eastAsia="Arial" w:hAnsi="Arial"/>
          <w:sz w:val="20"/>
          <w:szCs w:val="20"/>
          <w:color w:val="auto"/>
        </w:rPr>
        <w:t xml:space="preserve"> floods. As a result, we do not expect the limitations on EOR activities included in Senate Bill No. 905 to impact our existing oil and natural gas production or proved reserves.</w:t>
      </w:r>
    </w:p>
    <w:p>
      <w:pPr>
        <w:spacing w:after="0" w:line="216" w:lineRule="exact"/>
        <w:rPr>
          <w:sz w:val="20"/>
          <w:szCs w:val="20"/>
          <w:color w:val="auto"/>
        </w:rPr>
      </w:pPr>
    </w:p>
    <w:p>
      <w:pPr>
        <w:ind w:right="60" w:firstLine="300"/>
        <w:spacing w:after="0" w:line="248" w:lineRule="auto"/>
        <w:rPr>
          <w:sz w:val="20"/>
          <w:szCs w:val="20"/>
          <w:color w:val="auto"/>
        </w:rPr>
      </w:pPr>
      <w:r>
        <w:rPr>
          <w:rFonts w:ascii="Arial" w:cs="Arial" w:eastAsia="Arial" w:hAnsi="Arial"/>
          <w:sz w:val="20"/>
          <w:szCs w:val="20"/>
          <w:color w:val="auto"/>
        </w:rPr>
        <w:t>President Biden signed the Act into law on August 16, 2022. Beginning in 2024, the Act’s methane emissions charge imposes a fee on excess methane emissions from certain oil and natural gas facilities, including some of our facilities, starting at $900 per metric ton of leaked methane in 2024 and rising to $1,200 in 2025, and $1,500 in 2026 and thereafter.</w:t>
      </w:r>
    </w:p>
    <w:p>
      <w:pPr>
        <w:spacing w:after="0" w:line="209" w:lineRule="exact"/>
        <w:rPr>
          <w:sz w:val="20"/>
          <w:szCs w:val="20"/>
          <w:color w:val="auto"/>
        </w:rPr>
      </w:pPr>
    </w:p>
    <w:p>
      <w:pPr>
        <w:ind w:right="160" w:firstLine="300"/>
        <w:spacing w:after="0" w:line="249" w:lineRule="auto"/>
        <w:rPr>
          <w:sz w:val="20"/>
          <w:szCs w:val="20"/>
          <w:color w:val="auto"/>
        </w:rPr>
      </w:pPr>
      <w:r>
        <w:rPr>
          <w:rFonts w:ascii="Arial" w:cs="Arial" w:eastAsia="Arial" w:hAnsi="Arial"/>
          <w:sz w:val="20"/>
          <w:szCs w:val="20"/>
          <w:color w:val="auto"/>
        </w:rPr>
        <w:t>The Act also enhanced existing credits for emissions reduction and sequestration (45Q credit) by increasing the size of the credit to $85 per metric ton when captured from industrial and power generation facilities, and to $180 per metric ton when utilizing direct air capture facilities. The Act also extended the date for when qualifying facilities must begin construction by seven years, among other modifications. Further, a direct pay option for the 45Q credit (for a limited five-year period) was added and the Act provides an option to monetize the 45Q credit through a sale to another taxpayer. These additional energy-related tax incentives are effective for new projects beginning on January 1, 2023 and enhance the development of CCS projects in California.</w:t>
      </w:r>
    </w:p>
    <w:p>
      <w:pPr>
        <w:sectPr>
          <w:pgSz w:w="11880" w:h="15480" w:orient="portrait"/>
          <w:cols w:equalWidth="0" w:num="1">
            <w:col w:w="9120"/>
          </w:cols>
          <w:pgMar w:left="1380" w:top="1311"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1880" w:h="15480" w:orient="portrait"/>
          <w:cols w:equalWidth="0" w:num="1">
            <w:col w:w="9120"/>
          </w:cols>
          <w:pgMar w:left="1380" w:top="1311" w:right="1380" w:bottom="655" w:gutter="0" w:footer="0" w:header="0"/>
          <w:type w:val="continuous"/>
        </w:sectPr>
      </w:pPr>
    </w:p>
    <w:bookmarkStart w:id="37" w:name="page38"/>
    <w:bookmarkEnd w:id="37"/>
    <w:p>
      <w:pPr>
        <w:spacing w:after="0"/>
        <w:rPr>
          <w:sz w:val="20"/>
          <w:szCs w:val="20"/>
          <w:color w:val="auto"/>
        </w:rPr>
      </w:pPr>
      <w:r>
        <w:rPr>
          <w:rFonts w:ascii="Arial" w:cs="Arial" w:eastAsia="Arial" w:hAnsi="Arial"/>
          <w:sz w:val="20"/>
          <w:szCs w:val="20"/>
          <w:b w:val="1"/>
          <w:bCs w:val="1"/>
          <w:i w:val="1"/>
          <w:iCs w:val="1"/>
          <w:color w:val="auto"/>
        </w:rPr>
        <w:t>Regulation of Climate Change and Greenhouse Gas (GHG) Emissions</w:t>
      </w:r>
    </w:p>
    <w:p>
      <w:pPr>
        <w:spacing w:after="0" w:line="215" w:lineRule="exact"/>
        <w:rPr>
          <w:sz w:val="20"/>
          <w:szCs w:val="20"/>
          <w:color w:val="auto"/>
        </w:rPr>
      </w:pPr>
    </w:p>
    <w:p>
      <w:pPr>
        <w:ind w:right="120" w:firstLine="300"/>
        <w:spacing w:after="0" w:line="249" w:lineRule="auto"/>
        <w:rPr>
          <w:sz w:val="20"/>
          <w:szCs w:val="20"/>
          <w:color w:val="auto"/>
        </w:rPr>
      </w:pPr>
      <w:r>
        <w:rPr>
          <w:rFonts w:ascii="Arial" w:cs="Arial" w:eastAsia="Arial" w:hAnsi="Arial"/>
          <w:sz w:val="20"/>
          <w:szCs w:val="20"/>
          <w:color w:val="auto"/>
        </w:rPr>
        <w:t>A number of international, federal, state, regional and local efforts seek to prevent or mitigate the effects of climate change or to track, mitigate and reduce GHG emissions associated with energy use and industrial activity, including operations of the oil and natural gas production sector and those who use our products as a source of energy or feedstocks. President Biden has made climate change a focus of his administration, and he has issued several executive orders on the subject, which, among other things, recommitted the United States to the Paris Agreement in 2021, called for the reinstatement or issuance of methane emissions standards for new, modified and existing oil and natural gas facilities (rules pertaining to which have been proposed by the EPA) and called for an increased emphasis on climate-related risk across governmental agencies and economic sectors. Additionally, the EPA has adopted federal regulations to:</w:t>
      </w:r>
    </w:p>
    <w:p>
      <w:pPr>
        <w:spacing w:after="0" w:line="214" w:lineRule="exact"/>
        <w:rPr>
          <w:sz w:val="20"/>
          <w:szCs w:val="20"/>
          <w:color w:val="auto"/>
        </w:rPr>
      </w:pPr>
    </w:p>
    <w:p>
      <w:pPr>
        <w:ind w:left="600" w:right="60" w:hanging="300"/>
        <w:spacing w:after="0" w:line="247" w:lineRule="auto"/>
        <w:tabs>
          <w:tab w:leader="none" w:pos="6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require reporting of annual GHG emissions from oil and natural gas exploration and production, power plants and natural gas processing plants; gathering and boosting compression and pipeline facilities; and certain completions and workovers;</w:t>
      </w:r>
    </w:p>
    <w:p>
      <w:pPr>
        <w:spacing w:after="0" w:line="5" w:lineRule="exact"/>
        <w:rPr>
          <w:rFonts w:ascii="Arial" w:cs="Arial" w:eastAsia="Arial" w:hAnsi="Arial"/>
          <w:sz w:val="20"/>
          <w:szCs w:val="20"/>
          <w:color w:val="auto"/>
        </w:rPr>
      </w:pPr>
    </w:p>
    <w:p>
      <w:pPr>
        <w:ind w:left="600" w:hanging="300"/>
        <w:spacing w:after="0"/>
        <w:tabs>
          <w:tab w:leader="none" w:pos="6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incorporate measures to reduce GHG emissions in permits for certain facilities; and</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restrict GHG emissions from certain mobile sources.</w:t>
      </w:r>
    </w:p>
    <w:p>
      <w:pPr>
        <w:spacing w:after="0" w:line="214" w:lineRule="exact"/>
        <w:rPr>
          <w:sz w:val="20"/>
          <w:szCs w:val="20"/>
          <w:color w:val="auto"/>
        </w:rPr>
      </w:pPr>
    </w:p>
    <w:p>
      <w:pPr>
        <w:ind w:right="120" w:firstLine="300"/>
        <w:spacing w:after="0" w:line="245" w:lineRule="auto"/>
        <w:rPr>
          <w:sz w:val="20"/>
          <w:szCs w:val="20"/>
          <w:color w:val="auto"/>
        </w:rPr>
      </w:pPr>
      <w:r>
        <w:rPr>
          <w:rFonts w:ascii="Arial" w:cs="Arial" w:eastAsia="Arial" w:hAnsi="Arial"/>
          <w:sz w:val="20"/>
          <w:szCs w:val="20"/>
          <w:color w:val="auto"/>
        </w:rPr>
        <w:t>California has adopted stringent laws and regulations to reduce GHG emissions. These state laws and regulations:</w:t>
      </w:r>
    </w:p>
    <w:p>
      <w:pPr>
        <w:spacing w:after="0" w:line="210" w:lineRule="exact"/>
        <w:rPr>
          <w:sz w:val="20"/>
          <w:szCs w:val="20"/>
          <w:color w:val="auto"/>
        </w:rPr>
      </w:pPr>
    </w:p>
    <w:p>
      <w:pPr>
        <w:jc w:val="both"/>
        <w:ind w:left="600" w:right="100" w:hanging="300"/>
        <w:spacing w:after="0" w:line="248" w:lineRule="auto"/>
        <w:tabs>
          <w:tab w:leader="none" w:pos="6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established a “cap-and-trade” program for GHG emissions that sets a statewide maximum limit on covered GHG emissions, and this cap declines annually to reach 40% below 1990 levels by 2030, the year that the cap-and-trade program currently expires;</w:t>
      </w:r>
    </w:p>
    <w:p>
      <w:pPr>
        <w:spacing w:after="0" w:line="7" w:lineRule="exact"/>
        <w:rPr>
          <w:rFonts w:ascii="Arial" w:cs="Arial" w:eastAsia="Arial" w:hAnsi="Arial"/>
          <w:sz w:val="20"/>
          <w:szCs w:val="20"/>
          <w:color w:val="auto"/>
        </w:rPr>
      </w:pPr>
    </w:p>
    <w:p>
      <w:pPr>
        <w:ind w:left="600" w:right="60" w:hanging="300"/>
        <w:spacing w:after="0" w:line="245" w:lineRule="auto"/>
        <w:tabs>
          <w:tab w:leader="none" w:pos="6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require allowances or qualifying offsets for GHGs emitted from California operations and for the volume of natural gas, propane and liquid transportation fuels sold for use in California;</w:t>
      </w:r>
    </w:p>
    <w:p>
      <w:pPr>
        <w:spacing w:after="0" w:line="10" w:lineRule="exact"/>
        <w:rPr>
          <w:rFonts w:ascii="Arial" w:cs="Arial" w:eastAsia="Arial" w:hAnsi="Arial"/>
          <w:sz w:val="20"/>
          <w:szCs w:val="20"/>
          <w:color w:val="auto"/>
        </w:rPr>
      </w:pPr>
    </w:p>
    <w:p>
      <w:pPr>
        <w:ind w:left="600" w:right="100" w:hanging="300"/>
        <w:spacing w:after="0" w:line="249" w:lineRule="auto"/>
        <w:tabs>
          <w:tab w:leader="none" w:pos="6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established a low carbon fuel standard (LCFS) and associated tradable credits that require a progressively lower carbon intensity of the state’s fuel supply than baseline gasoline and diesel fuels, and provide a mechanism to generate LCFS credits through innovative crude oil production methods such as those employing solar or wind energy or carbon capture and sequestration;</w:t>
      </w:r>
    </w:p>
    <w:p>
      <w:pPr>
        <w:spacing w:after="0" w:line="6" w:lineRule="exact"/>
        <w:rPr>
          <w:rFonts w:ascii="Arial" w:cs="Arial" w:eastAsia="Arial" w:hAnsi="Arial"/>
          <w:sz w:val="20"/>
          <w:szCs w:val="20"/>
          <w:color w:val="auto"/>
        </w:rPr>
      </w:pPr>
    </w:p>
    <w:p>
      <w:pPr>
        <w:ind w:left="600" w:right="680" w:hanging="300"/>
        <w:spacing w:after="0" w:line="245" w:lineRule="auto"/>
        <w:tabs>
          <w:tab w:leader="none" w:pos="6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mandated that California derive 60% of its electricity for retail customers from renewable resources by 2030;</w:t>
      </w:r>
    </w:p>
    <w:p>
      <w:pPr>
        <w:spacing w:after="0" w:line="10" w:lineRule="exact"/>
        <w:rPr>
          <w:rFonts w:ascii="Arial" w:cs="Arial" w:eastAsia="Arial" w:hAnsi="Arial"/>
          <w:sz w:val="20"/>
          <w:szCs w:val="20"/>
          <w:color w:val="auto"/>
        </w:rPr>
      </w:pPr>
    </w:p>
    <w:p>
      <w:pPr>
        <w:ind w:left="600" w:right="100" w:hanging="300"/>
        <w:spacing w:after="0" w:line="245" w:lineRule="auto"/>
        <w:tabs>
          <w:tab w:leader="none" w:pos="6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established a policy to derive all of California’s retail electricity from renewable or “zero-carbon” resources by 2045, subject to required evaluation of the feasibility by state agencies;</w:t>
      </w:r>
    </w:p>
    <w:p>
      <w:pPr>
        <w:spacing w:after="0" w:line="10" w:lineRule="exact"/>
        <w:rPr>
          <w:rFonts w:ascii="Arial" w:cs="Arial" w:eastAsia="Arial" w:hAnsi="Arial"/>
          <w:sz w:val="20"/>
          <w:szCs w:val="20"/>
          <w:color w:val="auto"/>
        </w:rPr>
      </w:pPr>
    </w:p>
    <w:p>
      <w:pPr>
        <w:ind w:left="600" w:right="280" w:hanging="300"/>
        <w:spacing w:after="0" w:line="248" w:lineRule="auto"/>
        <w:tabs>
          <w:tab w:leader="none" w:pos="6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imposed state goals to double the energy efficiency of buildings by 2030 and to reduce emissions of methane and fluorocarbon gases by 40% and black carbon by 50% below 2013 levels by 2030; and</w:t>
      </w:r>
    </w:p>
    <w:p>
      <w:pPr>
        <w:spacing w:after="0" w:line="7" w:lineRule="exact"/>
        <w:rPr>
          <w:rFonts w:ascii="Arial" w:cs="Arial" w:eastAsia="Arial" w:hAnsi="Arial"/>
          <w:sz w:val="20"/>
          <w:szCs w:val="20"/>
          <w:color w:val="auto"/>
        </w:rPr>
      </w:pPr>
    </w:p>
    <w:p>
      <w:pPr>
        <w:ind w:left="600" w:hanging="300"/>
        <w:spacing w:after="0" w:line="245" w:lineRule="auto"/>
        <w:tabs>
          <w:tab w:leader="none" w:pos="6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mandated that all new single family and low–rise multifamily housing construction in California include rooftop solar systems or direct connection to a state–approved community solar system.</w:t>
      </w:r>
    </w:p>
    <w:p>
      <w:pPr>
        <w:sectPr>
          <w:pgSz w:w="11880" w:h="15480" w:orient="portrait"/>
          <w:cols w:equalWidth="0" w:num="1">
            <w:col w:w="9080"/>
          </w:cols>
          <w:pgMar w:left="1380" w:top="1311" w:right="142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34</w:t>
      </w:r>
    </w:p>
    <w:p>
      <w:pPr>
        <w:sectPr>
          <w:pgSz w:w="11880" w:h="15480" w:orient="portrait"/>
          <w:cols w:equalWidth="0" w:num="1">
            <w:col w:w="9080"/>
          </w:cols>
          <w:pgMar w:left="1380" w:top="1311" w:right="1420" w:bottom="655" w:gutter="0" w:footer="0" w:header="0"/>
          <w:type w:val="continuous"/>
        </w:sectPr>
      </w:pPr>
    </w:p>
    <w:bookmarkStart w:id="38" w:name="page39"/>
    <w:bookmarkEnd w:id="38"/>
    <w:p>
      <w:pPr>
        <w:ind w:right="60" w:firstLine="300"/>
        <w:spacing w:after="0" w:line="249" w:lineRule="auto"/>
        <w:rPr>
          <w:sz w:val="20"/>
          <w:szCs w:val="20"/>
          <w:color w:val="auto"/>
        </w:rPr>
      </w:pPr>
      <w:r>
        <w:rPr>
          <w:rFonts w:ascii="Arial" w:cs="Arial" w:eastAsia="Arial" w:hAnsi="Arial"/>
          <w:sz w:val="20"/>
          <w:szCs w:val="20"/>
          <w:color w:val="auto"/>
        </w:rPr>
        <w:t xml:space="preserve">In addition, the current and former Governors of California and certain municipalities in California have announced their commitment to adhere to GHG reductions called for in the Paris Agreement through executive orders, pledges, resolutions and memoranda of understanding or other agreements with various other countries, U.S. states, Canadian provinces and municipalities. In furtherance of this commitment, in September 2022, the Governor of California signed Assembly Bill No. 1279 into law, which codifies a previously issued executive order by the Governor’s Office requiring the state to achieve carbon neutrality by 2025. In addition, the Governor of California previously issued an executive order directing several agencies to take further actions with respect to reducing emissions of GHGs. The Governor has also directed state agencies to implement other measures to mitigate climate change and strengthen biodiversity, such as via the conservation of 30% of state lands and waters by 2030. For more information, see </w:t>
      </w:r>
      <w:r>
        <w:rPr>
          <w:rFonts w:ascii="Arial" w:cs="Arial" w:eastAsia="Arial" w:hAnsi="Arial"/>
          <w:sz w:val="20"/>
          <w:szCs w:val="20"/>
          <w:i w:val="1"/>
          <w:iCs w:val="1"/>
          <w:color w:val="auto"/>
        </w:rPr>
        <w:t>Part I, Item 1A – Risk Factors, Risks Related to Regulation</w:t>
      </w:r>
      <w:r>
        <w:rPr>
          <w:rFonts w:ascii="Arial" w:cs="Arial" w:eastAsia="Arial" w:hAnsi="Arial"/>
          <w:sz w:val="20"/>
          <w:szCs w:val="20"/>
          <w:color w:val="auto"/>
        </w:rPr>
        <w:t xml:space="preserve"> </w:t>
      </w:r>
      <w:r>
        <w:rPr>
          <w:rFonts w:ascii="Arial" w:cs="Arial" w:eastAsia="Arial" w:hAnsi="Arial"/>
          <w:sz w:val="20"/>
          <w:szCs w:val="20"/>
          <w:i w:val="1"/>
          <w:iCs w:val="1"/>
          <w:color w:val="auto"/>
        </w:rPr>
        <w:t>and Government Action, Recent and future actions by the State of California could reduce both the demand for and supply of oil and natural gas within the state and consequently have a material and adverse effect on our business, results of operations and financial condition</w:t>
      </w:r>
      <w:r>
        <w:rPr>
          <w:rFonts w:ascii="Arial" w:cs="Arial" w:eastAsia="Arial" w:hAnsi="Arial"/>
          <w:sz w:val="20"/>
          <w:szCs w:val="20"/>
          <w:color w:val="auto"/>
        </w:rPr>
        <w:t>.</w:t>
      </w:r>
    </w:p>
    <w:p>
      <w:pPr>
        <w:spacing w:after="0" w:line="220"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color w:val="auto"/>
        </w:rPr>
        <w:t>The EPA and the California Air Resources Board (CARB) have also expanded direct regulation of methane as a contributor to GHG emissions. In 2016, the EPA adopted regulations to require additional emission controls for methane, volatile organic compounds and certain other substances for new or modified oil and natural gas facilities. Although the EPA rescinded the methane-specific requirements for production and processing facilities in September 2020, the U.S. Congress subsequently approved, and President Biden signed into a law, a resolution to repeal the September 2020 revisions to the methane standards, effectively reinstating the prior standards. Additionally, in November 2021, the EPA issued a proposed rule that, if finalized, would establish new source and first-time existing source standards of performance for methane and volatile organic compound emissions for oil and natural gas facilities. In November 2022, the EPA issued a supplemental proposal which sets forth specific revisions strengthening the first nationwide emissions guidelines for states to limit methane from existing oil and natural gas facilities and revises requirements for fugitive emissions monitoring and repair as well as equipment leaks and the frequency of monitoring surveys, among other items. The proposal is expected to be finalized in 2023, though it will likely be challenged. Moreover, CARB has implemented more stringent regulations that require monitoring, leak detection, repair and reporting of methane emissions from both existing and new oil and natural gas production, pipeline gathering and boosting facilities and natural gas processing plants, as well as additional controls such as tank vapor recovery to capture methane emissions.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Regulation of Transportation, Marketing and Sale of Our Products</w:t>
      </w:r>
    </w:p>
    <w:p>
      <w:pPr>
        <w:spacing w:after="0" w:line="215" w:lineRule="exact"/>
        <w:rPr>
          <w:sz w:val="20"/>
          <w:szCs w:val="20"/>
          <w:color w:val="auto"/>
        </w:rPr>
      </w:pPr>
    </w:p>
    <w:p>
      <w:pPr>
        <w:jc w:val="both"/>
        <w:ind w:right="100" w:firstLine="300"/>
        <w:spacing w:after="0" w:line="267" w:lineRule="auto"/>
        <w:rPr>
          <w:sz w:val="20"/>
          <w:szCs w:val="20"/>
          <w:color w:val="auto"/>
        </w:rPr>
      </w:pPr>
      <w:r>
        <w:rPr>
          <w:rFonts w:ascii="Arial" w:cs="Arial" w:eastAsia="Arial" w:hAnsi="Arial"/>
          <w:sz w:val="19"/>
          <w:szCs w:val="19"/>
          <w:color w:val="auto"/>
        </w:rPr>
        <w:t>Our sales prices of oil, NGLs and natural gas in the U.S. are set by the market and are not presently regulated. In 2015, the U.S. federal government lifted restrictions on the export of domestically produced oil that allows for the sale of U.S. oil production, including ours, in additional markets.</w:t>
      </w:r>
    </w:p>
    <w:p>
      <w:pPr>
        <w:spacing w:after="0" w:line="191" w:lineRule="exact"/>
        <w:rPr>
          <w:sz w:val="20"/>
          <w:szCs w:val="20"/>
          <w:color w:val="auto"/>
        </w:rPr>
      </w:pPr>
    </w:p>
    <w:p>
      <w:pPr>
        <w:ind w:right="80" w:firstLine="300"/>
        <w:spacing w:after="0" w:line="248" w:lineRule="auto"/>
        <w:rPr>
          <w:sz w:val="20"/>
          <w:szCs w:val="20"/>
          <w:color w:val="auto"/>
        </w:rPr>
      </w:pPr>
      <w:r>
        <w:rPr>
          <w:rFonts w:ascii="Arial" w:cs="Arial" w:eastAsia="Arial" w:hAnsi="Arial"/>
          <w:sz w:val="20"/>
          <w:szCs w:val="20"/>
          <w:color w:val="auto"/>
        </w:rPr>
        <w:t>Federal and state laws regulate transportation rates for, and marketing and sale of, petroleum products and electricity with respect to certain of our operations and those of certain of our customers, suppliers and counterparties. Such regulations also govern:</w:t>
      </w:r>
    </w:p>
    <w:p>
      <w:pPr>
        <w:spacing w:after="0" w:line="207" w:lineRule="exact"/>
        <w:rPr>
          <w:sz w:val="20"/>
          <w:szCs w:val="20"/>
          <w:color w:val="auto"/>
        </w:rPr>
      </w:pPr>
    </w:p>
    <w:p>
      <w:pPr>
        <w:ind w:left="600" w:right="180" w:hanging="300"/>
        <w:spacing w:after="0" w:line="245" w:lineRule="auto"/>
        <w:tabs>
          <w:tab w:leader="none" w:pos="6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interstate and intrastate pipeline transportation rates for oil, natural gas and NGLs in regulated pipeline systems;</w:t>
      </w:r>
    </w:p>
    <w:p>
      <w:pPr>
        <w:spacing w:after="0" w:line="6" w:lineRule="exact"/>
        <w:rPr>
          <w:rFonts w:ascii="Arial" w:cs="Arial" w:eastAsia="Arial" w:hAnsi="Arial"/>
          <w:sz w:val="20"/>
          <w:szCs w:val="20"/>
          <w:color w:val="auto"/>
        </w:rPr>
      </w:pPr>
    </w:p>
    <w:p>
      <w:pPr>
        <w:ind w:left="600" w:hanging="300"/>
        <w:spacing w:after="0"/>
        <w:tabs>
          <w:tab w:leader="none" w:pos="6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prevention of market manipulation in the oil, natural gas, NGL and power markets;</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market transparency rules with respect to natural gas and power markets;</w:t>
      </w:r>
    </w:p>
    <w:p>
      <w:pPr>
        <w:spacing w:after="0" w:line="14" w:lineRule="exact"/>
        <w:rPr>
          <w:rFonts w:ascii="Arial" w:cs="Arial" w:eastAsia="Arial" w:hAnsi="Arial"/>
          <w:sz w:val="20"/>
          <w:szCs w:val="20"/>
          <w:color w:val="auto"/>
        </w:rPr>
      </w:pPr>
    </w:p>
    <w:p>
      <w:pPr>
        <w:ind w:left="600" w:right="120" w:hanging="300"/>
        <w:spacing w:after="0" w:line="243" w:lineRule="auto"/>
        <w:tabs>
          <w:tab w:leader="none" w:pos="6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physical and futures energy commodities market, including financial derivative and hedging activity; and</w:t>
      </w:r>
    </w:p>
    <w:p>
      <w:pPr>
        <w:spacing w:after="0" w:line="14" w:lineRule="exact"/>
        <w:rPr>
          <w:rFonts w:ascii="Arial" w:cs="Arial" w:eastAsia="Arial" w:hAnsi="Arial"/>
          <w:sz w:val="20"/>
          <w:szCs w:val="20"/>
          <w:color w:val="auto"/>
        </w:rPr>
      </w:pPr>
    </w:p>
    <w:p>
      <w:pPr>
        <w:ind w:left="600" w:right="60" w:hanging="300"/>
        <w:spacing w:after="0" w:line="243" w:lineRule="auto"/>
        <w:tabs>
          <w:tab w:leader="none" w:pos="6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prevention of discrimination in natural gas gathering operations in favor of producers or sources of supply.</w:t>
      </w:r>
    </w:p>
    <w:p>
      <w:pPr>
        <w:sectPr>
          <w:pgSz w:w="11880" w:h="15480" w:orient="portrait"/>
          <w:cols w:equalWidth="0" w:num="1">
            <w:col w:w="9100"/>
          </w:cols>
          <w:pgMar w:left="1380" w:top="1316" w:right="1400" w:bottom="655"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35</w:t>
      </w:r>
    </w:p>
    <w:p>
      <w:pPr>
        <w:sectPr>
          <w:pgSz w:w="11880" w:h="15480" w:orient="portrait"/>
          <w:cols w:equalWidth="0" w:num="1">
            <w:col w:w="9100"/>
          </w:cols>
          <w:pgMar w:left="1380" w:top="1316" w:right="1400" w:bottom="655" w:gutter="0" w:footer="0" w:header="0"/>
          <w:type w:val="continuous"/>
        </w:sectPr>
      </w:pPr>
    </w:p>
    <w:bookmarkStart w:id="39" w:name="page40"/>
    <w:bookmarkEnd w:id="39"/>
    <w:p>
      <w:pPr>
        <w:jc w:val="both"/>
        <w:ind w:right="500" w:firstLine="300"/>
        <w:spacing w:after="0" w:line="247" w:lineRule="auto"/>
        <w:rPr>
          <w:sz w:val="20"/>
          <w:szCs w:val="20"/>
          <w:color w:val="auto"/>
        </w:rPr>
      </w:pPr>
      <w:r>
        <w:rPr>
          <w:rFonts w:ascii="Arial" w:cs="Arial" w:eastAsia="Arial" w:hAnsi="Arial"/>
          <w:sz w:val="20"/>
          <w:szCs w:val="20"/>
          <w:color w:val="auto"/>
        </w:rPr>
        <w:t>The federal and state agencies overseeing these regulations have substantial rate-setting and enforcement authority, and violation of the foregoing regulations could expose us to litigation with government authorities, counterparties, special interest groups and others.</w:t>
      </w:r>
    </w:p>
    <w:p>
      <w:pPr>
        <w:spacing w:after="0" w:line="210"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International treaties and regulations also affect the marketing or sale of our products. For example, on January 1, 2020, the International Maritime Organization reduced the maximum sulfur content in marine fuels from 3.5% to 0.5% by weight under the International Convention for the Prevention of Pollution from Ships. Under this IMO 2020 rule, ships must either switch to low-sulfur fuels or install scrubbing facilities for emission controls, which may affect the price of and demand for varying grades of crude oil, both internationally and in California.</w:t>
      </w:r>
    </w:p>
    <w:p>
      <w:pPr>
        <w:spacing w:after="0" w:line="208"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color w:val="auto"/>
        </w:rPr>
        <w:t>In addition, mandates or subsidies have been adopted or proposed by the state and certain local governments to require or promote renewable energy or electrification of transportation, appliances and equipment, or prohibit or restrict the use of petroleum products, by our customers or the public. For example, in January 2020, the California Public Utilities Commission (CPUC) commenced a rulemaking to develop a long-term natural gas planning strategy to ensure safe and reliable gas systems at just and reasonable rates during what it describes as a 25-year transition from natural gas-fueled technologies to meet the state’s GHG goals. In addition, several municipalities in California enacted ordinances in 2019 that restrict the installation of natural gas appliances and infrastructure in new residential or commercial construction, which could affect the retail natural gas market of our utility customers and the demand and prices we receive for the natural gas we produce. Several of these ordinances face legal challenges.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214"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We make available, free of charge on our website www.crc.com, our Annual Reports on Form 10-K, Quarterly Reports on Form 10-Q, Current Reports on Form 8-K, Definitive Proxy Statements and amendments to those reports filed or furnished, if any, as soon as reasonably practicable after we electronically file such material with, or furnish it to, the SEC. Unless otherwise provided herein, information contained on our website is not part of this report. The SEC maintains an internet site, http://www.sec.gov, that contains reports, proxy and information statements, and other information regarding issuers that file electronically with the SEC.</w:t>
      </w:r>
    </w:p>
    <w:p>
      <w:pPr>
        <w:sectPr>
          <w:pgSz w:w="11880" w:h="15480" w:orient="portrait"/>
          <w:cols w:equalWidth="0" w:num="1">
            <w:col w:w="9100"/>
          </w:cols>
          <w:pgMar w:left="1380" w:top="1316" w:right="140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36</w:t>
      </w:r>
    </w:p>
    <w:p>
      <w:pPr>
        <w:sectPr>
          <w:pgSz w:w="11880" w:h="15480" w:orient="portrait"/>
          <w:cols w:equalWidth="0" w:num="1">
            <w:col w:w="9100"/>
          </w:cols>
          <w:pgMar w:left="1380" w:top="1316" w:right="1400" w:bottom="655" w:gutter="0" w:footer="0" w:header="0"/>
          <w:type w:val="continuous"/>
        </w:sectPr>
      </w:pPr>
    </w:p>
    <w:bookmarkStart w:id="40" w:name="page41"/>
    <w:bookmarkEnd w:id="40"/>
    <w:p>
      <w:pPr>
        <w:spacing w:after="0"/>
        <w:tabs>
          <w:tab w:leader="none" w:pos="108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216" w:lineRule="exact"/>
        <w:rPr>
          <w:sz w:val="20"/>
          <w:szCs w:val="20"/>
          <w:color w:val="auto"/>
        </w:rPr>
      </w:pPr>
    </w:p>
    <w:p>
      <w:pPr>
        <w:ind w:right="100" w:firstLine="300"/>
        <w:spacing w:after="0" w:line="248" w:lineRule="auto"/>
        <w:rPr>
          <w:sz w:val="20"/>
          <w:szCs w:val="20"/>
          <w:color w:val="auto"/>
        </w:rPr>
      </w:pPr>
      <w:r>
        <w:rPr>
          <w:rFonts w:ascii="Arial" w:cs="Arial" w:eastAsia="Arial" w:hAnsi="Arial"/>
          <w:sz w:val="20"/>
          <w:szCs w:val="20"/>
          <w:color w:val="auto"/>
        </w:rPr>
        <w:t>Described below are certain risks and uncertainties that could adversely affect our business, financial condition, results of operations or cash flow. These risks are not the only risks we face. Our business could also be affected materially and adversely by other risks and uncertainties that are not currently known to us or that we currently deem to be insignificant.</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Risks Related to Our Business</w:t>
      </w:r>
    </w:p>
    <w:p>
      <w:pPr>
        <w:spacing w:after="0" w:line="16" w:lineRule="exact"/>
        <w:rPr>
          <w:sz w:val="20"/>
          <w:szCs w:val="20"/>
          <w:color w:val="auto"/>
        </w:rPr>
      </w:pPr>
    </w:p>
    <w:p>
      <w:pPr>
        <w:ind w:left="600" w:right="20" w:hanging="300"/>
        <w:spacing w:after="0" w:line="247" w:lineRule="auto"/>
        <w:tabs>
          <w:tab w:leader="none" w:pos="6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Prices for our products can fluctuate widely and an extended period of low prices could materially and adversely affect our financial condition, results of operations, cash flow and ability to invest in our assets.</w:t>
      </w:r>
    </w:p>
    <w:p>
      <w:pPr>
        <w:spacing w:after="0" w:line="9" w:lineRule="exact"/>
        <w:rPr>
          <w:rFonts w:ascii="Arial" w:cs="Arial" w:eastAsia="Arial" w:hAnsi="Arial"/>
          <w:sz w:val="20"/>
          <w:szCs w:val="20"/>
          <w:color w:val="auto"/>
        </w:rPr>
      </w:pPr>
    </w:p>
    <w:p>
      <w:pPr>
        <w:ind w:left="600" w:right="440" w:hanging="300"/>
        <w:spacing w:after="0" w:line="243" w:lineRule="auto"/>
        <w:tabs>
          <w:tab w:leader="none" w:pos="6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Our producing properties are located exclusively in California, making us vulnerable to risks associated with having operations concentrated in this geographic area.</w:t>
      </w:r>
    </w:p>
    <w:p>
      <w:pPr>
        <w:spacing w:after="0" w:line="14" w:lineRule="exact"/>
        <w:rPr>
          <w:rFonts w:ascii="Arial" w:cs="Arial" w:eastAsia="Arial" w:hAnsi="Arial"/>
          <w:sz w:val="20"/>
          <w:szCs w:val="20"/>
          <w:color w:val="auto"/>
        </w:rPr>
      </w:pPr>
    </w:p>
    <w:p>
      <w:pPr>
        <w:ind w:left="600" w:right="220" w:hanging="300"/>
        <w:spacing w:after="0" w:line="245" w:lineRule="auto"/>
        <w:tabs>
          <w:tab w:leader="none" w:pos="6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We may not be able to successfully separate our carbon management business from our E&amp;P business, or we may decide not to effect such separation.</w:t>
      </w:r>
    </w:p>
    <w:p>
      <w:pPr>
        <w:spacing w:after="0" w:line="10" w:lineRule="exact"/>
        <w:rPr>
          <w:rFonts w:ascii="Arial" w:cs="Arial" w:eastAsia="Arial" w:hAnsi="Arial"/>
          <w:sz w:val="20"/>
          <w:szCs w:val="20"/>
          <w:color w:val="auto"/>
        </w:rPr>
      </w:pPr>
    </w:p>
    <w:p>
      <w:pPr>
        <w:ind w:left="600" w:right="400" w:hanging="300"/>
        <w:spacing w:after="0" w:line="245" w:lineRule="auto"/>
        <w:tabs>
          <w:tab w:leader="none" w:pos="6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Our ability to achieve our 2045 Full-Scope Net Zero target and other goals related to carbon management activities, is subject to risks and uncertainties.</w:t>
      </w:r>
    </w:p>
    <w:p>
      <w:pPr>
        <w:spacing w:after="0" w:line="10" w:lineRule="exact"/>
        <w:rPr>
          <w:rFonts w:ascii="Arial" w:cs="Arial" w:eastAsia="Arial" w:hAnsi="Arial"/>
          <w:sz w:val="20"/>
          <w:szCs w:val="20"/>
          <w:color w:val="auto"/>
        </w:rPr>
      </w:pPr>
    </w:p>
    <w:p>
      <w:pPr>
        <w:ind w:left="600" w:right="200" w:hanging="300"/>
        <w:spacing w:after="0" w:line="248" w:lineRule="auto"/>
        <w:tabs>
          <w:tab w:leader="none" w:pos="6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Our ability to grow our Carbon TerraVault business and develop large scale CCS projects is subject to numerous risks and uncertainties. If we are unable to successfully execute our CCS strategy, it could have an adverse effect on our business, results of operations and financial condition.</w:t>
      </w:r>
    </w:p>
    <w:p>
      <w:pPr>
        <w:spacing w:after="0" w:line="9" w:lineRule="exact"/>
        <w:rPr>
          <w:rFonts w:ascii="Arial" w:cs="Arial" w:eastAsia="Arial" w:hAnsi="Arial"/>
          <w:sz w:val="20"/>
          <w:szCs w:val="20"/>
          <w:color w:val="auto"/>
        </w:rPr>
      </w:pPr>
    </w:p>
    <w:p>
      <w:pPr>
        <w:ind w:left="600" w:hanging="300"/>
        <w:spacing w:after="0" w:line="245" w:lineRule="auto"/>
        <w:tabs>
          <w:tab w:leader="none" w:pos="6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economics of CCS projects depend on financial and tax incentives that may not currently be sufficient for our CCS projects to be economical or could be changed or terminated.</w:t>
      </w:r>
    </w:p>
    <w:p>
      <w:pPr>
        <w:spacing w:after="0" w:line="10" w:lineRule="exact"/>
        <w:rPr>
          <w:rFonts w:ascii="Arial" w:cs="Arial" w:eastAsia="Arial" w:hAnsi="Arial"/>
          <w:sz w:val="20"/>
          <w:szCs w:val="20"/>
          <w:color w:val="auto"/>
        </w:rPr>
      </w:pPr>
    </w:p>
    <w:p>
      <w:pPr>
        <w:ind w:left="600" w:right="80" w:hanging="300"/>
        <w:spacing w:after="0" w:line="248" w:lineRule="auto"/>
        <w:tabs>
          <w:tab w:leader="none" w:pos="6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Our Carbon TerraVault JV with Brookfield is subject to inherent uncertainties, which could force us to delay or cancel CCS projects or seek alternative sources of capital to fund our CCS projects and thereby adversely affect our ability to implement our carbon management strategy.</w:t>
      </w:r>
    </w:p>
    <w:p>
      <w:pPr>
        <w:spacing w:after="0" w:line="7" w:lineRule="exact"/>
        <w:rPr>
          <w:rFonts w:ascii="Arial" w:cs="Arial" w:eastAsia="Arial" w:hAnsi="Arial"/>
          <w:sz w:val="20"/>
          <w:szCs w:val="20"/>
          <w:color w:val="auto"/>
        </w:rPr>
      </w:pPr>
    </w:p>
    <w:p>
      <w:pPr>
        <w:jc w:val="both"/>
        <w:ind w:left="600" w:right="40" w:hanging="300"/>
        <w:spacing w:after="0" w:line="248" w:lineRule="auto"/>
        <w:tabs>
          <w:tab w:leader="none" w:pos="6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Drilling for and producing oil and natural gas carry significant operational and financial risks and uncertainty. We may not drill wells at the times we scheduled, or at all. Wells we do drill may not yield production in economic quantities or generate the expected payback.</w:t>
      </w:r>
    </w:p>
    <w:p>
      <w:pPr>
        <w:spacing w:after="0" w:line="7" w:lineRule="exact"/>
        <w:rPr>
          <w:rFonts w:ascii="Arial" w:cs="Arial" w:eastAsia="Arial" w:hAnsi="Arial"/>
          <w:sz w:val="20"/>
          <w:szCs w:val="20"/>
          <w:color w:val="auto"/>
        </w:rPr>
      </w:pPr>
    </w:p>
    <w:p>
      <w:pPr>
        <w:ind w:left="600" w:right="80" w:hanging="300"/>
        <w:spacing w:after="0" w:line="248" w:lineRule="auto"/>
        <w:tabs>
          <w:tab w:leader="none" w:pos="6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Our business involves substantial capital investments. We may be unable to fund our capital program, or reach satisfactory terms for other future capital requirements which could lead to a decline in our oil and natural gas reserves or production. Our capital investment program is also susceptible to risks that could materially affect its implementation.</w:t>
      </w:r>
    </w:p>
    <w:p>
      <w:pPr>
        <w:spacing w:after="0" w:line="5" w:lineRule="exact"/>
        <w:rPr>
          <w:rFonts w:ascii="Arial" w:cs="Arial" w:eastAsia="Arial" w:hAnsi="Arial"/>
          <w:sz w:val="20"/>
          <w:szCs w:val="20"/>
          <w:color w:val="auto"/>
        </w:rPr>
      </w:pPr>
    </w:p>
    <w:p>
      <w:pPr>
        <w:ind w:left="600" w:hanging="300"/>
        <w:spacing w:after="0"/>
        <w:tabs>
          <w:tab w:leader="none" w:pos="6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We have been negatively impacted by inflation.</w:t>
      </w:r>
    </w:p>
    <w:p>
      <w:pPr>
        <w:spacing w:after="0" w:line="14" w:lineRule="exact"/>
        <w:rPr>
          <w:rFonts w:ascii="Arial" w:cs="Arial" w:eastAsia="Arial" w:hAnsi="Arial"/>
          <w:sz w:val="20"/>
          <w:szCs w:val="20"/>
          <w:color w:val="auto"/>
        </w:rPr>
      </w:pPr>
    </w:p>
    <w:p>
      <w:pPr>
        <w:ind w:left="600" w:right="360" w:hanging="300"/>
        <w:spacing w:after="0" w:line="248" w:lineRule="auto"/>
        <w:tabs>
          <w:tab w:leader="none" w:pos="6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We are subject to economic downturns and the effects of public health events, such as the COVID-19 pandemic, which may materially and adversely affect the demand and the market price for our products.</w:t>
      </w:r>
    </w:p>
    <w:p>
      <w:pPr>
        <w:spacing w:after="0" w:line="7" w:lineRule="exact"/>
        <w:rPr>
          <w:rFonts w:ascii="Arial" w:cs="Arial" w:eastAsia="Arial" w:hAnsi="Arial"/>
          <w:sz w:val="20"/>
          <w:szCs w:val="20"/>
          <w:color w:val="auto"/>
        </w:rPr>
      </w:pPr>
    </w:p>
    <w:p>
      <w:pPr>
        <w:ind w:left="600" w:right="420" w:hanging="300"/>
        <w:spacing w:after="0" w:line="245" w:lineRule="auto"/>
        <w:tabs>
          <w:tab w:leader="none" w:pos="6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conflict in Ukraine and related price volatility and geopolitical instability could negatively impact our business.</w:t>
      </w:r>
    </w:p>
    <w:p>
      <w:pPr>
        <w:spacing w:after="0" w:line="10" w:lineRule="exact"/>
        <w:rPr>
          <w:rFonts w:ascii="Arial" w:cs="Arial" w:eastAsia="Arial" w:hAnsi="Arial"/>
          <w:sz w:val="20"/>
          <w:szCs w:val="20"/>
          <w:color w:val="auto"/>
        </w:rPr>
      </w:pPr>
    </w:p>
    <w:p>
      <w:pPr>
        <w:ind w:left="600" w:right="100" w:hanging="300"/>
        <w:spacing w:after="0" w:line="248" w:lineRule="auto"/>
        <w:tabs>
          <w:tab w:leader="none" w:pos="6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From time to time we may engage in step-out drilling, or drilling in new or emerging plays. Our drilling results are uncertain, and the value of our undeveloped acreage may decline if drilling is unsuccessful.</w:t>
      </w:r>
    </w:p>
    <w:p>
      <w:pPr>
        <w:spacing w:after="0" w:line="7" w:lineRule="exact"/>
        <w:rPr>
          <w:rFonts w:ascii="Arial" w:cs="Arial" w:eastAsia="Arial" w:hAnsi="Arial"/>
          <w:sz w:val="20"/>
          <w:szCs w:val="20"/>
          <w:color w:val="auto"/>
        </w:rPr>
      </w:pPr>
    </w:p>
    <w:p>
      <w:pPr>
        <w:ind w:left="600" w:right="260" w:hanging="300"/>
        <w:spacing w:after="0" w:line="248" w:lineRule="auto"/>
        <w:tabs>
          <w:tab w:leader="none" w:pos="6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Many of our current and potential competitors have or may potentially have greater resources than we have and we may not be able to successfully compete in acquiring, exploring and developing new properties.</w:t>
      </w:r>
    </w:p>
    <w:p>
      <w:pPr>
        <w:spacing w:after="0" w:line="7" w:lineRule="exact"/>
        <w:rPr>
          <w:rFonts w:ascii="Arial" w:cs="Arial" w:eastAsia="Arial" w:hAnsi="Arial"/>
          <w:sz w:val="20"/>
          <w:szCs w:val="20"/>
          <w:color w:val="auto"/>
        </w:rPr>
      </w:pPr>
    </w:p>
    <w:p>
      <w:pPr>
        <w:ind w:left="600" w:hanging="300"/>
        <w:spacing w:after="0"/>
        <w:tabs>
          <w:tab w:leader="none" w:pos="6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Our hedging activities limit our ability to realize the full benefits of increases in commodity prices.</w:t>
      </w:r>
    </w:p>
    <w:p>
      <w:pPr>
        <w:spacing w:after="0" w:line="21" w:lineRule="exact"/>
        <w:rPr>
          <w:rFonts w:ascii="Arial" w:cs="Arial" w:eastAsia="Arial" w:hAnsi="Arial"/>
          <w:sz w:val="19"/>
          <w:szCs w:val="19"/>
          <w:color w:val="auto"/>
        </w:rPr>
      </w:pPr>
    </w:p>
    <w:p>
      <w:pPr>
        <w:ind w:left="600" w:right="160" w:hanging="300"/>
        <w:spacing w:after="0" w:line="243" w:lineRule="auto"/>
        <w:tabs>
          <w:tab w:leader="none" w:pos="6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Our level of hedging activities may be impacted by financial regulations that could increase our costs of hedging and/or limit the number of hedging counterparties available to us.</w:t>
      </w:r>
    </w:p>
    <w:p>
      <w:pPr>
        <w:spacing w:after="0" w:line="14" w:lineRule="exact"/>
        <w:rPr>
          <w:rFonts w:ascii="Arial" w:cs="Arial" w:eastAsia="Arial" w:hAnsi="Arial"/>
          <w:sz w:val="20"/>
          <w:szCs w:val="20"/>
          <w:color w:val="auto"/>
        </w:rPr>
      </w:pPr>
    </w:p>
    <w:p>
      <w:pPr>
        <w:ind w:left="600" w:right="80" w:hanging="300"/>
        <w:spacing w:after="0" w:line="269" w:lineRule="auto"/>
        <w:tabs>
          <w:tab w:leader="none" w:pos="6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Estimates of proved reserves and related future net cash flows are not precise. The actual quantities of our proved reserves and future net cash flows may prove to be lower than estimated.</w:t>
      </w:r>
    </w:p>
    <w:p>
      <w:pPr>
        <w:sectPr>
          <w:pgSz w:w="11880" w:h="15480" w:orient="portrait"/>
          <w:cols w:equalWidth="0" w:num="1">
            <w:col w:w="9120"/>
          </w:cols>
          <w:pgMar w:left="1380" w:top="1310" w:right="1380" w:bottom="655" w:gutter="0" w:footer="0" w:header="0"/>
        </w:sect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1880" w:h="15480" w:orient="portrait"/>
          <w:cols w:equalWidth="0" w:num="1">
            <w:col w:w="9120"/>
          </w:cols>
          <w:pgMar w:left="1380" w:top="1310" w:right="1380" w:bottom="655" w:gutter="0" w:footer="0" w:header="0"/>
          <w:type w:val="continuous"/>
        </w:sectPr>
      </w:pPr>
    </w:p>
    <w:bookmarkStart w:id="41" w:name="page42"/>
    <w:bookmarkEnd w:id="41"/>
    <w:p>
      <w:pPr>
        <w:spacing w:after="0"/>
        <w:rPr>
          <w:sz w:val="20"/>
          <w:szCs w:val="20"/>
          <w:color w:val="auto"/>
        </w:rPr>
      </w:pPr>
      <w:r>
        <w:rPr>
          <w:rFonts w:ascii="Arial" w:cs="Arial" w:eastAsia="Arial" w:hAnsi="Arial"/>
          <w:sz w:val="20"/>
          <w:szCs w:val="20"/>
          <w:i w:val="1"/>
          <w:iCs w:val="1"/>
          <w:color w:val="auto"/>
        </w:rPr>
        <w:t>Risks Related to Regulation and Government Action</w:t>
      </w:r>
    </w:p>
    <w:p>
      <w:pPr>
        <w:spacing w:after="0" w:line="16" w:lineRule="exact"/>
        <w:rPr>
          <w:sz w:val="20"/>
          <w:szCs w:val="20"/>
          <w:color w:val="auto"/>
        </w:rPr>
      </w:pPr>
    </w:p>
    <w:p>
      <w:pPr>
        <w:ind w:left="600" w:right="240" w:hanging="300"/>
        <w:spacing w:after="0" w:line="243" w:lineRule="auto"/>
        <w:tabs>
          <w:tab w:leader="none" w:pos="6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We may not be able to timely obtain drilling permits as a result of recent and future actions by the State of California.</w:t>
      </w:r>
    </w:p>
    <w:p>
      <w:pPr>
        <w:spacing w:after="0" w:line="14" w:lineRule="exact"/>
        <w:rPr>
          <w:rFonts w:ascii="Arial" w:cs="Arial" w:eastAsia="Arial" w:hAnsi="Arial"/>
          <w:sz w:val="20"/>
          <w:szCs w:val="20"/>
          <w:color w:val="auto"/>
        </w:rPr>
      </w:pPr>
    </w:p>
    <w:p>
      <w:pPr>
        <w:ind w:left="600" w:right="420" w:hanging="300"/>
        <w:spacing w:after="0" w:line="247" w:lineRule="auto"/>
        <w:tabs>
          <w:tab w:leader="none" w:pos="6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Recent and future actions by the State of California could reduce both the demand for and supply of oil and natural gas within the state and consequently have a material and adverse effect on our business, results of operations and financial condition.</w:t>
      </w:r>
    </w:p>
    <w:p>
      <w:pPr>
        <w:spacing w:after="0" w:line="9" w:lineRule="exact"/>
        <w:rPr>
          <w:rFonts w:ascii="Arial" w:cs="Arial" w:eastAsia="Arial" w:hAnsi="Arial"/>
          <w:sz w:val="20"/>
          <w:szCs w:val="20"/>
          <w:color w:val="auto"/>
        </w:rPr>
      </w:pPr>
    </w:p>
    <w:p>
      <w:pPr>
        <w:ind w:left="600" w:hanging="300"/>
        <w:spacing w:after="0" w:line="247" w:lineRule="auto"/>
        <w:tabs>
          <w:tab w:leader="none" w:pos="6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Our business is highly regulated and government authorities can delay or deny permits and approvals or change requirements governing our operations, which could increase costs, restrict operations and change or delay the implementation of our business plans.</w:t>
      </w:r>
    </w:p>
    <w:p>
      <w:pPr>
        <w:spacing w:after="0" w:line="9" w:lineRule="exact"/>
        <w:rPr>
          <w:rFonts w:ascii="Arial" w:cs="Arial" w:eastAsia="Arial" w:hAnsi="Arial"/>
          <w:sz w:val="20"/>
          <w:szCs w:val="20"/>
          <w:color w:val="auto"/>
        </w:rPr>
      </w:pPr>
    </w:p>
    <w:p>
      <w:pPr>
        <w:ind w:left="600" w:right="20" w:hanging="300"/>
        <w:spacing w:after="0" w:line="235" w:lineRule="auto"/>
        <w:tabs>
          <w:tab w:leader="none" w:pos="6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Our Carbon TerraVault business and our CCS projects are subject to extensive government regulation that, among other things, requires us to obtain and maintain permits for the injection and sequestration of CO</w:t>
      </w:r>
      <w:r>
        <w:rPr>
          <w:rFonts w:ascii="Arial" w:cs="Arial" w:eastAsia="Arial" w:hAnsi="Arial"/>
          <w:sz w:val="26"/>
          <w:szCs w:val="26"/>
          <w:color w:val="auto"/>
          <w:vertAlign w:val="subscript"/>
        </w:rPr>
        <w:t>2</w:t>
      </w:r>
      <w:r>
        <w:rPr>
          <w:rFonts w:ascii="Arial" w:cs="Arial" w:eastAsia="Arial" w:hAnsi="Arial"/>
          <w:sz w:val="20"/>
          <w:szCs w:val="20"/>
          <w:color w:val="auto"/>
        </w:rPr>
        <w:t>. Many of these regulations are still being developed. Failure to comply with these requirements and obtain the necessary permits, or the development of government regulations that are unfavorable to our CCS projects, could have an adverse effect on our business, results of operations and financial condition.</w:t>
      </w:r>
    </w:p>
    <w:p>
      <w:pPr>
        <w:spacing w:after="0" w:line="21" w:lineRule="exact"/>
        <w:rPr>
          <w:rFonts w:ascii="Arial" w:cs="Arial" w:eastAsia="Arial" w:hAnsi="Arial"/>
          <w:sz w:val="20"/>
          <w:szCs w:val="20"/>
          <w:color w:val="auto"/>
        </w:rPr>
      </w:pPr>
    </w:p>
    <w:p>
      <w:pPr>
        <w:ind w:left="600" w:right="100" w:hanging="300"/>
        <w:spacing w:after="0" w:line="245" w:lineRule="auto"/>
        <w:tabs>
          <w:tab w:leader="none" w:pos="6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Recent changes in California law may result in delays to our carbon capture, sequestration and storage projects.</w:t>
      </w:r>
    </w:p>
    <w:p>
      <w:pPr>
        <w:spacing w:after="0" w:line="10" w:lineRule="exact"/>
        <w:rPr>
          <w:rFonts w:ascii="Arial" w:cs="Arial" w:eastAsia="Arial" w:hAnsi="Arial"/>
          <w:sz w:val="20"/>
          <w:szCs w:val="20"/>
          <w:color w:val="auto"/>
        </w:rPr>
      </w:pPr>
    </w:p>
    <w:p>
      <w:pPr>
        <w:ind w:left="600" w:right="280" w:hanging="300"/>
        <w:spacing w:after="0" w:line="245" w:lineRule="auto"/>
        <w:tabs>
          <w:tab w:leader="none" w:pos="6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Concerns about climate change and other air quality issues may prompt governmental action that could materially affect our operations or results.</w:t>
      </w:r>
    </w:p>
    <w:p>
      <w:pPr>
        <w:spacing w:after="0" w:line="10" w:lineRule="exact"/>
        <w:rPr>
          <w:rFonts w:ascii="Arial" w:cs="Arial" w:eastAsia="Arial" w:hAnsi="Arial"/>
          <w:sz w:val="20"/>
          <w:szCs w:val="20"/>
          <w:color w:val="auto"/>
        </w:rPr>
      </w:pPr>
    </w:p>
    <w:p>
      <w:pPr>
        <w:ind w:left="600" w:right="180" w:hanging="300"/>
        <w:spacing w:after="0" w:line="245" w:lineRule="auto"/>
        <w:tabs>
          <w:tab w:leader="none" w:pos="6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Inflation Reduction Act could accelerate the transition to a low-carbon economy and could impose new costs on our operations.</w:t>
      </w:r>
    </w:p>
    <w:p>
      <w:pPr>
        <w:spacing w:after="0" w:line="6" w:lineRule="exact"/>
        <w:rPr>
          <w:rFonts w:ascii="Arial" w:cs="Arial" w:eastAsia="Arial" w:hAnsi="Arial"/>
          <w:sz w:val="20"/>
          <w:szCs w:val="20"/>
          <w:color w:val="auto"/>
        </w:rPr>
      </w:pPr>
    </w:p>
    <w:p>
      <w:pPr>
        <w:ind w:left="600" w:hanging="300"/>
        <w:spacing w:after="0"/>
        <w:tabs>
          <w:tab w:leader="none" w:pos="6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Adverse tax law changes may affect our operations.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Risks Related to our Indebtedness</w:t>
      </w:r>
    </w:p>
    <w:p>
      <w:pPr>
        <w:spacing w:after="0" w:line="14" w:lineRule="exact"/>
        <w:rPr>
          <w:sz w:val="20"/>
          <w:szCs w:val="20"/>
          <w:color w:val="auto"/>
        </w:rPr>
      </w:pPr>
    </w:p>
    <w:p>
      <w:pPr>
        <w:ind w:left="600" w:right="580" w:hanging="300"/>
        <w:spacing w:after="0" w:line="245" w:lineRule="auto"/>
        <w:tabs>
          <w:tab w:leader="none" w:pos="6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We may not be able to amend or refinance our existing debt to create more operating and financial flexibility and to enhance shareholder returns.</w:t>
      </w:r>
    </w:p>
    <w:p>
      <w:pPr>
        <w:spacing w:after="0" w:line="10" w:lineRule="exact"/>
        <w:rPr>
          <w:rFonts w:ascii="Arial" w:cs="Arial" w:eastAsia="Arial" w:hAnsi="Arial"/>
          <w:sz w:val="20"/>
          <w:szCs w:val="20"/>
          <w:color w:val="auto"/>
        </w:rPr>
      </w:pPr>
    </w:p>
    <w:p>
      <w:pPr>
        <w:ind w:left="600" w:right="220" w:hanging="300"/>
        <w:spacing w:after="0" w:line="245" w:lineRule="auto"/>
        <w:tabs>
          <w:tab w:leader="none" w:pos="6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Our existing and future indebtedness may adversely affect our business and limit our financial flexibility.</w:t>
      </w:r>
    </w:p>
    <w:p>
      <w:pPr>
        <w:spacing w:after="0" w:line="10" w:lineRule="exact"/>
        <w:rPr>
          <w:rFonts w:ascii="Arial" w:cs="Arial" w:eastAsia="Arial" w:hAnsi="Arial"/>
          <w:sz w:val="20"/>
          <w:szCs w:val="20"/>
          <w:color w:val="auto"/>
        </w:rPr>
      </w:pPr>
    </w:p>
    <w:p>
      <w:pPr>
        <w:ind w:left="600" w:right="80" w:hanging="300"/>
        <w:spacing w:after="0" w:line="248" w:lineRule="auto"/>
        <w:tabs>
          <w:tab w:leader="none" w:pos="6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We may not be able to generate sufficient cash to service all of our indebtedness and may be forced to take other actions to satisfy the obligations under our indebtedness, which may not be successful.</w:t>
      </w:r>
    </w:p>
    <w:p>
      <w:pPr>
        <w:spacing w:after="0" w:line="7" w:lineRule="exact"/>
        <w:rPr>
          <w:rFonts w:ascii="Arial" w:cs="Arial" w:eastAsia="Arial" w:hAnsi="Arial"/>
          <w:sz w:val="20"/>
          <w:szCs w:val="20"/>
          <w:color w:val="auto"/>
        </w:rPr>
      </w:pPr>
    </w:p>
    <w:p>
      <w:pPr>
        <w:ind w:left="600" w:right="200" w:hanging="300"/>
        <w:spacing w:after="0" w:line="245" w:lineRule="auto"/>
        <w:tabs>
          <w:tab w:leader="none" w:pos="6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lenders under our Revolving Credit Facility could limit our ability to borrow and restrict our ability to use or access to capital.</w:t>
      </w:r>
    </w:p>
    <w:p>
      <w:pPr>
        <w:spacing w:after="0" w:line="10" w:lineRule="exact"/>
        <w:rPr>
          <w:rFonts w:ascii="Arial" w:cs="Arial" w:eastAsia="Arial" w:hAnsi="Arial"/>
          <w:sz w:val="20"/>
          <w:szCs w:val="20"/>
          <w:color w:val="auto"/>
        </w:rPr>
      </w:pPr>
    </w:p>
    <w:p>
      <w:pPr>
        <w:ind w:left="600" w:right="320" w:hanging="300"/>
        <w:spacing w:after="0" w:line="245" w:lineRule="auto"/>
        <w:tabs>
          <w:tab w:leader="none" w:pos="6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Restrictive covenants in our Revolving Credit Facility and the indenture governing our Senior Notes may limit our financial and operating flexibility.</w:t>
      </w:r>
    </w:p>
    <w:p>
      <w:pPr>
        <w:spacing w:after="0" w:line="10" w:lineRule="exact"/>
        <w:rPr>
          <w:rFonts w:ascii="Arial" w:cs="Arial" w:eastAsia="Arial" w:hAnsi="Arial"/>
          <w:sz w:val="20"/>
          <w:szCs w:val="20"/>
          <w:color w:val="auto"/>
        </w:rPr>
      </w:pPr>
    </w:p>
    <w:p>
      <w:pPr>
        <w:ind w:left="600" w:right="200" w:hanging="300"/>
        <w:spacing w:after="0" w:line="245" w:lineRule="auto"/>
        <w:tabs>
          <w:tab w:leader="none" w:pos="6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Variable rate indebtedness under our Revolving Credit Facility subjects us to interest rate risk, which could cause our debt service obligations to increase significantly.</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Risks Related to Our Common Stock</w:t>
      </w:r>
    </w:p>
    <w:p>
      <w:pPr>
        <w:spacing w:after="0" w:line="14" w:lineRule="exact"/>
        <w:rPr>
          <w:sz w:val="20"/>
          <w:szCs w:val="20"/>
          <w:color w:val="auto"/>
        </w:rPr>
      </w:pPr>
    </w:p>
    <w:p>
      <w:pPr>
        <w:ind w:left="600" w:right="320" w:hanging="300"/>
        <w:spacing w:after="0" w:line="245" w:lineRule="auto"/>
        <w:tabs>
          <w:tab w:leader="none" w:pos="6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Our ability to pay dividends and repurchase shares of our common stock is subject to certain risks.</w:t>
      </w:r>
    </w:p>
    <w:p>
      <w:pPr>
        <w:spacing w:after="0" w:line="10" w:lineRule="exact"/>
        <w:rPr>
          <w:rFonts w:ascii="Arial" w:cs="Arial" w:eastAsia="Arial" w:hAnsi="Arial"/>
          <w:sz w:val="20"/>
          <w:szCs w:val="20"/>
          <w:color w:val="auto"/>
        </w:rPr>
      </w:pPr>
    </w:p>
    <w:p>
      <w:pPr>
        <w:ind w:left="600" w:right="20" w:hanging="300"/>
        <w:spacing w:after="0" w:line="245" w:lineRule="auto"/>
        <w:tabs>
          <w:tab w:leader="none" w:pos="6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trading price of our common stock may decline, and you may not be able to resell shares of our common stock at prices equal to or greater than the price you paid or at all.</w:t>
      </w:r>
    </w:p>
    <w:p>
      <w:pPr>
        <w:spacing w:after="0" w:line="10" w:lineRule="exact"/>
        <w:rPr>
          <w:rFonts w:ascii="Arial" w:cs="Arial" w:eastAsia="Arial" w:hAnsi="Arial"/>
          <w:sz w:val="20"/>
          <w:szCs w:val="20"/>
          <w:color w:val="auto"/>
        </w:rPr>
      </w:pPr>
    </w:p>
    <w:p>
      <w:pPr>
        <w:ind w:left="600" w:right="60" w:hanging="300"/>
        <w:spacing w:after="0" w:line="263" w:lineRule="auto"/>
        <w:tabs>
          <w:tab w:leader="none" w:pos="6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Future issuances of our common stock could reduce our stock price, and any additional capital raised by us through the sale of equity or convertible securities may dilute your ownership in us.</w:t>
      </w:r>
    </w:p>
    <w:p>
      <w:pPr>
        <w:spacing w:after="0" w:line="1" w:lineRule="exact"/>
        <w:rPr>
          <w:rFonts w:ascii="Arial" w:cs="Arial" w:eastAsia="Arial" w:hAnsi="Arial"/>
          <w:sz w:val="19"/>
          <w:szCs w:val="19"/>
          <w:color w:val="auto"/>
        </w:rPr>
      </w:pPr>
    </w:p>
    <w:p>
      <w:pPr>
        <w:ind w:left="600" w:right="200" w:hanging="300"/>
        <w:spacing w:after="0" w:line="263" w:lineRule="auto"/>
        <w:tabs>
          <w:tab w:leader="none" w:pos="6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There is an increased potential for short sales of our common stock due to the sales of shares issued upon exercise of warrants, which could materially affect the market price of the stock.</w:t>
      </w:r>
    </w:p>
    <w:p>
      <w:pPr>
        <w:spacing w:after="0" w:line="1" w:lineRule="exact"/>
        <w:rPr>
          <w:rFonts w:ascii="Arial" w:cs="Arial" w:eastAsia="Arial" w:hAnsi="Arial"/>
          <w:sz w:val="19"/>
          <w:szCs w:val="19"/>
          <w:color w:val="auto"/>
        </w:rPr>
      </w:pPr>
    </w:p>
    <w:p>
      <w:pPr>
        <w:ind w:left="600" w:right="780" w:hanging="300"/>
        <w:spacing w:after="0" w:line="243" w:lineRule="auto"/>
        <w:tabs>
          <w:tab w:leader="none" w:pos="6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ownership position of certain of our stockholders limits other stockholders’ ability to influence corporate matters and could affect the price of our common stock.</w:t>
      </w:r>
    </w:p>
    <w:p>
      <w:pPr>
        <w:spacing w:after="0" w:line="14" w:lineRule="exact"/>
        <w:rPr>
          <w:rFonts w:ascii="Arial" w:cs="Arial" w:eastAsia="Arial" w:hAnsi="Arial"/>
          <w:sz w:val="20"/>
          <w:szCs w:val="20"/>
          <w:color w:val="auto"/>
        </w:rPr>
      </w:pPr>
    </w:p>
    <w:p>
      <w:pPr>
        <w:ind w:left="600" w:right="520" w:hanging="300"/>
        <w:spacing w:after="0" w:line="243" w:lineRule="auto"/>
        <w:tabs>
          <w:tab w:leader="none" w:pos="6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Sales of shares of our common stock by our executive officers could negatively impact the market price for our common stock.</w:t>
      </w:r>
    </w:p>
    <w:p>
      <w:pPr>
        <w:sectPr>
          <w:pgSz w:w="11880" w:h="15480" w:orient="portrait"/>
          <w:cols w:equalWidth="0" w:num="1">
            <w:col w:w="9100"/>
          </w:cols>
          <w:pgMar w:left="1380" w:top="1310" w:right="1400" w:bottom="655"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38</w:t>
      </w:r>
    </w:p>
    <w:p>
      <w:pPr>
        <w:sectPr>
          <w:pgSz w:w="11880" w:h="15480" w:orient="portrait"/>
          <w:cols w:equalWidth="0" w:num="1">
            <w:col w:w="9100"/>
          </w:cols>
          <w:pgMar w:left="1380" w:top="1310" w:right="1400" w:bottom="655" w:gutter="0" w:footer="0" w:header="0"/>
          <w:type w:val="continuous"/>
        </w:sectPr>
      </w:pPr>
    </w:p>
    <w:bookmarkStart w:id="42" w:name="page43"/>
    <w:bookmarkEnd w:id="42"/>
    <w:p>
      <w:pPr>
        <w:spacing w:after="0"/>
        <w:rPr>
          <w:sz w:val="20"/>
          <w:szCs w:val="20"/>
          <w:color w:val="auto"/>
        </w:rPr>
      </w:pPr>
      <w:r>
        <w:rPr>
          <w:rFonts w:ascii="Arial" w:cs="Arial" w:eastAsia="Arial" w:hAnsi="Arial"/>
          <w:sz w:val="20"/>
          <w:szCs w:val="20"/>
          <w:i w:val="1"/>
          <w:iCs w:val="1"/>
          <w:color w:val="auto"/>
        </w:rPr>
        <w:t>General Risk Factors</w:t>
      </w:r>
    </w:p>
    <w:p>
      <w:pPr>
        <w:spacing w:after="0" w:line="10" w:lineRule="exact"/>
        <w:rPr>
          <w:sz w:val="20"/>
          <w:szCs w:val="20"/>
          <w:color w:val="auto"/>
        </w:rPr>
      </w:pPr>
    </w:p>
    <w:p>
      <w:pPr>
        <w:ind w:left="600" w:hanging="300"/>
        <w:spacing w:after="0"/>
        <w:tabs>
          <w:tab w:leader="none" w:pos="6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Increasing attention to ESG matters may adversely impact our business.</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Acquisition and disposition activities involve substantial risks.</w:t>
      </w:r>
    </w:p>
    <w:p>
      <w:pPr>
        <w:spacing w:after="0" w:line="16" w:lineRule="exact"/>
        <w:rPr>
          <w:rFonts w:ascii="Arial" w:cs="Arial" w:eastAsia="Arial" w:hAnsi="Arial"/>
          <w:sz w:val="20"/>
          <w:szCs w:val="20"/>
          <w:color w:val="auto"/>
        </w:rPr>
      </w:pPr>
    </w:p>
    <w:p>
      <w:pPr>
        <w:ind w:left="600" w:right="300" w:hanging="300"/>
        <w:spacing w:after="0" w:line="247" w:lineRule="auto"/>
        <w:tabs>
          <w:tab w:leader="none" w:pos="6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We may incur substantial losses and be subject to substantial liability claims as a result of pollution, environmental conditions or catastrophic events. We may not be insured for, or our insurance may be inadequate to protect us against, these risks.</w:t>
      </w:r>
    </w:p>
    <w:p>
      <w:pPr>
        <w:spacing w:after="0" w:line="3" w:lineRule="exact"/>
        <w:rPr>
          <w:rFonts w:ascii="Arial" w:cs="Arial" w:eastAsia="Arial" w:hAnsi="Arial"/>
          <w:sz w:val="20"/>
          <w:szCs w:val="20"/>
          <w:color w:val="auto"/>
        </w:rPr>
      </w:pPr>
    </w:p>
    <w:p>
      <w:pPr>
        <w:ind w:left="600" w:hanging="300"/>
        <w:spacing w:after="0"/>
        <w:tabs>
          <w:tab w:leader="none" w:pos="6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Cybersecurity attacks, systems failures and other disruptions could adversely affect us.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Business</w:t>
      </w:r>
    </w:p>
    <w:p>
      <w:pPr>
        <w:spacing w:after="0" w:line="212"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b w:val="1"/>
          <w:bCs w:val="1"/>
          <w:i w:val="1"/>
          <w:iCs w:val="1"/>
          <w:color w:val="auto"/>
        </w:rPr>
        <w:t>Prices for our products can fluctuate widely and an extended period of low prices could materially and adversely affect our financial condition, results of operations, cash flow and ability to invest in our assets.</w:t>
      </w:r>
    </w:p>
    <w:p>
      <w:pPr>
        <w:spacing w:after="0" w:line="206" w:lineRule="exact"/>
        <w:rPr>
          <w:sz w:val="20"/>
          <w:szCs w:val="20"/>
          <w:color w:val="auto"/>
        </w:rPr>
      </w:pPr>
    </w:p>
    <w:p>
      <w:pPr>
        <w:ind w:right="100" w:firstLine="300"/>
        <w:spacing w:after="0" w:line="248" w:lineRule="auto"/>
        <w:rPr>
          <w:sz w:val="20"/>
          <w:szCs w:val="20"/>
          <w:color w:val="auto"/>
        </w:rPr>
      </w:pPr>
      <w:r>
        <w:rPr>
          <w:rFonts w:ascii="Arial" w:cs="Arial" w:eastAsia="Arial" w:hAnsi="Arial"/>
          <w:sz w:val="20"/>
          <w:szCs w:val="20"/>
          <w:color w:val="auto"/>
        </w:rPr>
        <w:t>Our financial condition, results of operations, cash flow and ability to invest in our assets are highly dependent on oil, natural gas and NGL prices. A sustained period of low prices for oil, natural gas and NGLs would reduce our cash flows from operations and could reduce our borrowing capacity or cause a default under our financing agreements.</w:t>
      </w:r>
    </w:p>
    <w:p>
      <w:pPr>
        <w:spacing w:after="0" w:line="209" w:lineRule="exact"/>
        <w:rPr>
          <w:sz w:val="20"/>
          <w:szCs w:val="20"/>
          <w:color w:val="auto"/>
        </w:rPr>
      </w:pPr>
    </w:p>
    <w:p>
      <w:pPr>
        <w:jc w:val="both"/>
        <w:ind w:right="80" w:firstLine="300"/>
        <w:spacing w:after="0" w:line="248" w:lineRule="auto"/>
        <w:rPr>
          <w:sz w:val="20"/>
          <w:szCs w:val="20"/>
          <w:color w:val="auto"/>
        </w:rPr>
      </w:pPr>
      <w:r>
        <w:rPr>
          <w:rFonts w:ascii="Arial" w:cs="Arial" w:eastAsia="Arial" w:hAnsi="Arial"/>
          <w:sz w:val="20"/>
          <w:szCs w:val="20"/>
          <w:color w:val="auto"/>
        </w:rPr>
        <w:t>Prices for oil, natural gas and NGL may fluctuate widely in response to relatively minor changes in supply and demand, market uncertainty and a variety of additional factors that are beyond our control, such as:</w:t>
      </w:r>
    </w:p>
    <w:p>
      <w:pPr>
        <w:spacing w:after="0" w:line="203" w:lineRule="exact"/>
        <w:rPr>
          <w:sz w:val="20"/>
          <w:szCs w:val="20"/>
          <w:color w:val="auto"/>
        </w:rPr>
      </w:pPr>
    </w:p>
    <w:p>
      <w:pPr>
        <w:ind w:left="600" w:hanging="300"/>
        <w:spacing w:after="0"/>
        <w:tabs>
          <w:tab w:leader="none" w:pos="6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changes in domestic and global supply and demand;</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domestic and global inventory levels;</w:t>
      </w:r>
    </w:p>
    <w:p>
      <w:pPr>
        <w:spacing w:after="0" w:line="14" w:lineRule="exact"/>
        <w:rPr>
          <w:rFonts w:ascii="Arial" w:cs="Arial" w:eastAsia="Arial" w:hAnsi="Arial"/>
          <w:sz w:val="20"/>
          <w:szCs w:val="20"/>
          <w:color w:val="auto"/>
        </w:rPr>
      </w:pPr>
    </w:p>
    <w:p>
      <w:pPr>
        <w:ind w:left="600" w:right="140" w:hanging="300"/>
        <w:spacing w:after="0" w:line="245" w:lineRule="auto"/>
        <w:tabs>
          <w:tab w:leader="none" w:pos="6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political and economic conditions, including international disputes such as the conflict between Ukraine and Russia;</w:t>
      </w:r>
    </w:p>
    <w:p>
      <w:pPr>
        <w:spacing w:after="0" w:line="10" w:lineRule="exact"/>
        <w:rPr>
          <w:rFonts w:ascii="Arial" w:cs="Arial" w:eastAsia="Arial" w:hAnsi="Arial"/>
          <w:sz w:val="20"/>
          <w:szCs w:val="20"/>
          <w:color w:val="auto"/>
        </w:rPr>
      </w:pPr>
    </w:p>
    <w:p>
      <w:pPr>
        <w:ind w:left="600" w:right="840" w:hanging="300"/>
        <w:spacing w:after="0" w:line="245" w:lineRule="auto"/>
        <w:tabs>
          <w:tab w:leader="none" w:pos="6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pandemics, epidemics, outbreaks or other public health events, such as the COVID-19 pandemic;</w:t>
      </w:r>
    </w:p>
    <w:p>
      <w:pPr>
        <w:spacing w:after="0" w:line="6" w:lineRule="exact"/>
        <w:rPr>
          <w:rFonts w:ascii="Arial" w:cs="Arial" w:eastAsia="Arial" w:hAnsi="Arial"/>
          <w:sz w:val="20"/>
          <w:szCs w:val="20"/>
          <w:color w:val="auto"/>
        </w:rPr>
      </w:pPr>
    </w:p>
    <w:p>
      <w:pPr>
        <w:ind w:left="600" w:hanging="300"/>
        <w:spacing w:after="0"/>
        <w:tabs>
          <w:tab w:leader="none" w:pos="6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actions of OPEC and other significant producers and governments;</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changes or disruptions in actual or anticipated production, refining and processing;</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worldwide drilling and exploration activities;</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government energy policies and regulation, including with respect to climate change;</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effects of conservation;</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weather conditions and other seasonal impacts;</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speculative trading in derivative contracts;</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currency exchange rates;</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technological advances;</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transportation and storage capacity, bottlenecks and costs in producing areas;</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price, availability and acceptance of alternative energy sources;</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regional market conditions; and</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other matters affecting the supply and demand dynamics for these products.</w:t>
      </w:r>
    </w:p>
    <w:p>
      <w:pPr>
        <w:spacing w:after="0" w:line="214" w:lineRule="exact"/>
        <w:rPr>
          <w:sz w:val="20"/>
          <w:szCs w:val="20"/>
          <w:color w:val="auto"/>
        </w:rPr>
      </w:pPr>
    </w:p>
    <w:p>
      <w:pPr>
        <w:ind w:right="140" w:firstLine="300"/>
        <w:spacing w:after="0" w:line="245" w:lineRule="auto"/>
        <w:rPr>
          <w:sz w:val="20"/>
          <w:szCs w:val="20"/>
          <w:color w:val="auto"/>
        </w:rPr>
      </w:pPr>
      <w:r>
        <w:rPr>
          <w:rFonts w:ascii="Arial" w:cs="Arial" w:eastAsia="Arial" w:hAnsi="Arial"/>
          <w:sz w:val="20"/>
          <w:szCs w:val="20"/>
          <w:color w:val="auto"/>
        </w:rPr>
        <w:t>Lower prices could have adverse effects on our business, financial condition, results of operations and cash flow, including:</w:t>
      </w:r>
    </w:p>
    <w:p>
      <w:pPr>
        <w:spacing w:after="0" w:line="206" w:lineRule="exact"/>
        <w:rPr>
          <w:sz w:val="20"/>
          <w:szCs w:val="20"/>
          <w:color w:val="auto"/>
        </w:rPr>
      </w:pPr>
    </w:p>
    <w:p>
      <w:pPr>
        <w:ind w:left="600" w:hanging="300"/>
        <w:spacing w:after="0"/>
        <w:tabs>
          <w:tab w:leader="none" w:pos="6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reducing our proved oil and natural gas reserves over time;</w:t>
      </w:r>
    </w:p>
    <w:p>
      <w:pPr>
        <w:spacing w:after="0" w:line="10" w:lineRule="exact"/>
        <w:rPr>
          <w:rFonts w:ascii="Arial" w:cs="Arial" w:eastAsia="Arial" w:hAnsi="Arial"/>
          <w:sz w:val="20"/>
          <w:szCs w:val="20"/>
          <w:color w:val="auto"/>
        </w:rPr>
      </w:pPr>
    </w:p>
    <w:p>
      <w:pPr>
        <w:ind w:left="600" w:hanging="300"/>
        <w:spacing w:after="0"/>
        <w:tabs>
          <w:tab w:leader="none" w:pos="6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limiting our ability to grow or maintain future production;</w:t>
      </w:r>
    </w:p>
    <w:p>
      <w:pPr>
        <w:spacing w:after="0" w:line="14" w:lineRule="exact"/>
        <w:rPr>
          <w:rFonts w:ascii="Arial" w:cs="Arial" w:eastAsia="Arial" w:hAnsi="Arial"/>
          <w:sz w:val="20"/>
          <w:szCs w:val="20"/>
          <w:color w:val="auto"/>
        </w:rPr>
      </w:pPr>
    </w:p>
    <w:p>
      <w:pPr>
        <w:ind w:left="600" w:right="500" w:hanging="300"/>
        <w:spacing w:after="0" w:line="243" w:lineRule="auto"/>
        <w:tabs>
          <w:tab w:leader="none" w:pos="6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causing a reduction in our borrowing base under our Revolving Credit Facility, which could affect our liquidity;</w:t>
      </w:r>
    </w:p>
    <w:p>
      <w:pPr>
        <w:spacing w:after="0" w:line="14" w:lineRule="exact"/>
        <w:rPr>
          <w:rFonts w:ascii="Arial" w:cs="Arial" w:eastAsia="Arial" w:hAnsi="Arial"/>
          <w:sz w:val="20"/>
          <w:szCs w:val="20"/>
          <w:color w:val="auto"/>
        </w:rPr>
      </w:pPr>
    </w:p>
    <w:p>
      <w:pPr>
        <w:ind w:left="600" w:hanging="300"/>
        <w:spacing w:after="0" w:line="266" w:lineRule="auto"/>
        <w:tabs>
          <w:tab w:leader="none" w:pos="600" w:val="left"/>
        </w:tabs>
        <w:numPr>
          <w:ilvl w:val="0"/>
          <w:numId w:val="26"/>
        </w:numPr>
        <w:rPr>
          <w:rFonts w:ascii="Arial" w:cs="Arial" w:eastAsia="Arial" w:hAnsi="Arial"/>
          <w:sz w:val="19"/>
          <w:szCs w:val="19"/>
          <w:color w:val="auto"/>
        </w:rPr>
      </w:pPr>
      <w:r>
        <w:rPr>
          <w:rFonts w:ascii="Arial" w:cs="Arial" w:eastAsia="Arial" w:hAnsi="Arial"/>
          <w:sz w:val="19"/>
          <w:szCs w:val="19"/>
          <w:color w:val="auto"/>
        </w:rPr>
        <w:t>reducing our cash flow and ability to make interest payments or maintain compliance with financial covenants in the agreements governing our indebtedness, which could trigger mandatory loan repayments and default and foreclosure by our lenders and bondholders against our assets;</w:t>
      </w:r>
    </w:p>
    <w:p>
      <w:pPr>
        <w:sectPr>
          <w:pgSz w:w="11880" w:h="15480" w:orient="portrait"/>
          <w:cols w:equalWidth="0" w:num="1">
            <w:col w:w="9080"/>
          </w:cols>
          <w:pgMar w:left="1380" w:top="1310" w:right="1420" w:bottom="655" w:gutter="0" w:footer="0" w:header="0"/>
        </w:sect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39</w:t>
      </w:r>
    </w:p>
    <w:p>
      <w:pPr>
        <w:sectPr>
          <w:pgSz w:w="11880" w:h="15480" w:orient="portrait"/>
          <w:cols w:equalWidth="0" w:num="1">
            <w:col w:w="9080"/>
          </w:cols>
          <w:pgMar w:left="1380" w:top="1310" w:right="1420" w:bottom="655" w:gutter="0" w:footer="0" w:header="0"/>
          <w:type w:val="continuous"/>
        </w:sectPr>
      </w:pPr>
    </w:p>
    <w:bookmarkStart w:id="43" w:name="page44"/>
    <w:bookmarkEnd w:id="43"/>
    <w:p>
      <w:pPr>
        <w:ind w:left="600" w:right="300" w:hanging="300"/>
        <w:spacing w:after="0" w:line="243" w:lineRule="auto"/>
        <w:tabs>
          <w:tab w:leader="none" w:pos="6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affecting our ability to attract counterparties and enter into commercial transactions, including hedging, surety or insurance transactions; and</w:t>
      </w:r>
    </w:p>
    <w:p>
      <w:pPr>
        <w:spacing w:after="0" w:line="14" w:lineRule="exact"/>
        <w:rPr>
          <w:rFonts w:ascii="Arial" w:cs="Arial" w:eastAsia="Arial" w:hAnsi="Arial"/>
          <w:sz w:val="20"/>
          <w:szCs w:val="20"/>
          <w:color w:val="auto"/>
        </w:rPr>
      </w:pPr>
    </w:p>
    <w:p>
      <w:pPr>
        <w:ind w:left="600" w:right="160" w:hanging="300"/>
        <w:spacing w:after="0" w:line="243" w:lineRule="auto"/>
        <w:tabs>
          <w:tab w:leader="none" w:pos="6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limiting our access to funds through the capital markets and the price we could obtain for asset sales or other monetization transactions.</w:t>
      </w:r>
    </w:p>
    <w:p>
      <w:pPr>
        <w:spacing w:after="0" w:line="214" w:lineRule="exact"/>
        <w:rPr>
          <w:sz w:val="20"/>
          <w:szCs w:val="20"/>
          <w:color w:val="auto"/>
        </w:rPr>
      </w:pPr>
    </w:p>
    <w:p>
      <w:pPr>
        <w:ind w:right="160" w:firstLine="300"/>
        <w:spacing w:after="0" w:line="247" w:lineRule="auto"/>
        <w:rPr>
          <w:sz w:val="20"/>
          <w:szCs w:val="20"/>
          <w:color w:val="auto"/>
        </w:rPr>
      </w:pPr>
      <w:r>
        <w:rPr>
          <w:rFonts w:ascii="Arial" w:cs="Arial" w:eastAsia="Arial" w:hAnsi="Arial"/>
          <w:sz w:val="20"/>
          <w:szCs w:val="20"/>
          <w:color w:val="auto"/>
        </w:rPr>
        <w:t>Our hedging program does not provide downside protection for all of our production. As a result, our hedges do not fully protect us from commodity price declines, and we may be unable to enter into acceptable additional hedges in the future.</w:t>
      </w:r>
    </w:p>
    <w:p>
      <w:pPr>
        <w:spacing w:after="0" w:line="205" w:lineRule="exact"/>
        <w:rPr>
          <w:sz w:val="20"/>
          <w:szCs w:val="20"/>
          <w:color w:val="auto"/>
        </w:rPr>
      </w:pPr>
    </w:p>
    <w:p>
      <w:pPr>
        <w:ind w:right="20" w:firstLine="300"/>
        <w:spacing w:after="0" w:line="250" w:lineRule="auto"/>
        <w:rPr>
          <w:sz w:val="20"/>
          <w:szCs w:val="20"/>
          <w:color w:val="auto"/>
        </w:rPr>
      </w:pPr>
      <w:r>
        <w:rPr>
          <w:rFonts w:ascii="Arial" w:cs="Arial" w:eastAsia="Arial" w:hAnsi="Arial"/>
          <w:sz w:val="20"/>
          <w:szCs w:val="20"/>
          <w:b w:val="1"/>
          <w:bCs w:val="1"/>
          <w:i w:val="1"/>
          <w:iCs w:val="1"/>
          <w:color w:val="auto"/>
        </w:rPr>
        <w:t>Our producing properties are located exclusively in California, making us vulnerable to risks associated with having operations concentrated in this geographic area.</w:t>
      </w:r>
    </w:p>
    <w:p>
      <w:pPr>
        <w:spacing w:after="0" w:line="206"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color w:val="auto"/>
        </w:rPr>
        <w:t>Our operations are concentrated in California. Because of this geographic concentration, the success and profitability of our operations may be disproportionately exposed to the effect of regional conditions. These changes in state or regional laws and regulations affecting our operations, local price fluctuations and other regional supply and demand factors, including gathering, pipeline, transportation and storage capacity constraints, limited potential customers, infrastructure capacity and availability of rigs, equipment, oil field services, supplies and labor. Our operations are also exposed to natural disasters and related events common to California, such as wildfires, mudslides, high winds, earthquakes and extreme weather events, and the potential increase to the frequency of drought and flooding. Further, our operations may be exposed to power outages, mechanical failures, industrial accidents or labor difficulties. Any one of these events has the potential to cause producing wells to be shut in, delay operations and growth plans, decrease cash flows, increase operating and capital costs, prevent development of lease inventory before expiration and limit access to markets for our products.</w:t>
      </w:r>
    </w:p>
    <w:p>
      <w:pPr>
        <w:spacing w:after="0" w:line="200" w:lineRule="exact"/>
        <w:rPr>
          <w:sz w:val="20"/>
          <w:szCs w:val="20"/>
          <w:color w:val="auto"/>
        </w:rPr>
      </w:pPr>
    </w:p>
    <w:p>
      <w:pPr>
        <w:ind w:right="240" w:firstLine="300"/>
        <w:spacing w:after="0" w:line="250" w:lineRule="auto"/>
        <w:rPr>
          <w:sz w:val="20"/>
          <w:szCs w:val="20"/>
          <w:color w:val="auto"/>
        </w:rPr>
      </w:pPr>
      <w:r>
        <w:rPr>
          <w:rFonts w:ascii="Arial" w:cs="Arial" w:eastAsia="Arial" w:hAnsi="Arial"/>
          <w:sz w:val="20"/>
          <w:szCs w:val="20"/>
          <w:b w:val="1"/>
          <w:bCs w:val="1"/>
          <w:i w:val="1"/>
          <w:iCs w:val="1"/>
          <w:color w:val="auto"/>
        </w:rPr>
        <w:t>We may not be able to successfully separate or finance our carbon management business from our E&amp;P business, or we may decide not to effect such separation.</w:t>
      </w:r>
    </w:p>
    <w:p>
      <w:pPr>
        <w:spacing w:after="0" w:line="206"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auto"/>
        </w:rPr>
        <w:t>On February 24, 2023, we announced that we had adjusted our corporate operating structure, including setting up a board of directors at Carbon TerraVault, to facilitate the separate operation of our E&amp;P and carbon management businesses. We also intend to pursue financing options for our carbon management business that are separate from the rest of our business. Our carbon management business faces operational, technological and regulatory risks that could be considerable due to early stage nature of these projects and the sector generally, which may make it more difficult to independently finance and there are no assurances that it will be a viable standalone business in the near term or at all. Further, there can be no assurances that we will be able to successfully separate our E&amp;P and carbon management businesses. We also may decide not to pursue such separation if we do not believe it would maximize shareholder value.</w:t>
      </w:r>
    </w:p>
    <w:p>
      <w:pPr>
        <w:spacing w:after="0" w:line="209" w:lineRule="exact"/>
        <w:rPr>
          <w:sz w:val="20"/>
          <w:szCs w:val="20"/>
          <w:color w:val="auto"/>
        </w:rPr>
      </w:pPr>
    </w:p>
    <w:p>
      <w:pPr>
        <w:ind w:right="480" w:firstLine="300"/>
        <w:spacing w:after="0" w:line="250" w:lineRule="auto"/>
        <w:rPr>
          <w:sz w:val="20"/>
          <w:szCs w:val="20"/>
          <w:color w:val="auto"/>
        </w:rPr>
      </w:pPr>
      <w:r>
        <w:rPr>
          <w:rFonts w:ascii="Arial" w:cs="Arial" w:eastAsia="Arial" w:hAnsi="Arial"/>
          <w:sz w:val="20"/>
          <w:szCs w:val="20"/>
          <w:b w:val="1"/>
          <w:bCs w:val="1"/>
          <w:i w:val="1"/>
          <w:iCs w:val="1"/>
          <w:color w:val="auto"/>
        </w:rPr>
        <w:t>Our ability to achieve our 2045 Full-Scope Net Zero target and other goals related to our carbon management activities, is subject to risks and uncertainties.</w:t>
      </w:r>
    </w:p>
    <w:p>
      <w:pPr>
        <w:spacing w:after="0" w:line="206"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color w:val="auto"/>
        </w:rPr>
        <w:t>We have adopted a number of targets and objectives related to sustainability matters, including our 2045 Full-Scope Net Zero target and our energy transition strategy. Our efforts to research, establish, accomplish, and accurately report on these targets and objectives expose us to numerous operational, reputational, financial, legal, and other risks. Our ability to achieve any stated target or objective is not guaranteed and is subject to numerous factors and conditions, some of which are outside of our control. In particular, our 2045 Full-Scope Net Zero goal includes Scope 1, 2 and 3 emissions and estimation and management of Scope 3 emissions is subject to some degree of uncertainty. We cannot guarantee that we have been able to completely quantify the full scope of our emissions and account for mitigating all such emissions in our Full-Scope Net Zero goal.</w:t>
      </w:r>
    </w:p>
    <w:p>
      <w:pPr>
        <w:sectPr>
          <w:pgSz w:w="11880" w:h="15480" w:orient="portrait"/>
          <w:cols w:equalWidth="0" w:num="1">
            <w:col w:w="9120"/>
          </w:cols>
          <w:pgMar w:left="1380" w:top="1316"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ectPr>
          <w:pgSz w:w="11880" w:h="15480" w:orient="portrait"/>
          <w:cols w:equalWidth="0" w:num="1">
            <w:col w:w="9120"/>
          </w:cols>
          <w:pgMar w:left="1380" w:top="1316" w:right="1380" w:bottom="655" w:gutter="0" w:footer="0" w:header="0"/>
          <w:type w:val="continuous"/>
        </w:sectPr>
      </w:pPr>
    </w:p>
    <w:bookmarkStart w:id="44" w:name="page45"/>
    <w:bookmarkEnd w:id="44"/>
    <w:p>
      <w:pPr>
        <w:ind w:right="60" w:firstLine="300"/>
        <w:spacing w:after="0" w:line="249" w:lineRule="auto"/>
        <w:rPr>
          <w:sz w:val="20"/>
          <w:szCs w:val="20"/>
          <w:color w:val="auto"/>
        </w:rPr>
      </w:pPr>
      <w:r>
        <w:rPr>
          <w:rFonts w:ascii="Arial" w:cs="Arial" w:eastAsia="Arial" w:hAnsi="Arial"/>
          <w:sz w:val="20"/>
          <w:szCs w:val="20"/>
          <w:color w:val="auto"/>
        </w:rPr>
        <w:t xml:space="preserve">Our ability to achieve our 2045 Full-Scope Net Zero goal relies heavily on our ability to develop our Carbon TerraVault business and related CCS projects, which is subject to uncertainties and risks. See </w:t>
      </w:r>
      <w:r>
        <w:rPr>
          <w:rFonts w:ascii="Arial" w:cs="Arial" w:eastAsia="Arial" w:hAnsi="Arial"/>
          <w:sz w:val="20"/>
          <w:szCs w:val="20"/>
          <w:i w:val="1"/>
          <w:iCs w:val="1"/>
          <w:color w:val="auto"/>
        </w:rPr>
        <w:t xml:space="preserve">Risks Related to our Business – The economics of CCS projects depend on financial and tax incentives that may not currently be sufficient for our CCS projects to be economical or could be changed or terminated, Risks Related to our Business </w:t>
      </w:r>
      <w:r>
        <w:rPr>
          <w:rFonts w:ascii="Arial" w:cs="Arial" w:eastAsia="Arial" w:hAnsi="Arial"/>
          <w:sz w:val="20"/>
          <w:szCs w:val="20"/>
          <w:color w:val="auto"/>
        </w:rPr>
        <w:t>–</w:t>
      </w:r>
      <w:r>
        <w:rPr>
          <w:rFonts w:ascii="Arial" w:cs="Arial" w:eastAsia="Arial" w:hAnsi="Arial"/>
          <w:sz w:val="20"/>
          <w:szCs w:val="20"/>
          <w:i w:val="1"/>
          <w:iCs w:val="1"/>
          <w:color w:val="auto"/>
        </w:rPr>
        <w:t xml:space="preserve"> Our Carbon TerraVault JV with Brookfield is subject to inherent uncertainties, which could force us to delay or cancel CCS projects or seek alternative sources of capital to fund our CCS projects and thereby adversely affect our ability to implement our carbon management strategy</w:t>
      </w:r>
      <w:r>
        <w:rPr>
          <w:rFonts w:ascii="Arial" w:cs="Arial" w:eastAsia="Arial" w:hAnsi="Arial"/>
          <w:sz w:val="20"/>
          <w:szCs w:val="20"/>
          <w:color w:val="auto"/>
        </w:rPr>
        <w:t>. In addition, the commercial and regulatory environment</w:t>
      </w:r>
      <w:r>
        <w:rPr>
          <w:rFonts w:ascii="Arial" w:cs="Arial" w:eastAsia="Arial" w:hAnsi="Arial"/>
          <w:sz w:val="20"/>
          <w:szCs w:val="20"/>
          <w:i w:val="1"/>
          <w:iCs w:val="1"/>
          <w:color w:val="auto"/>
        </w:rPr>
        <w:t xml:space="preserve"> </w:t>
      </w:r>
      <w:r>
        <w:rPr>
          <w:rFonts w:ascii="Arial" w:cs="Arial" w:eastAsia="Arial" w:hAnsi="Arial"/>
          <w:sz w:val="20"/>
          <w:szCs w:val="20"/>
          <w:color w:val="auto"/>
        </w:rPr>
        <w:t>related to emissions reductions and reporting is evolving and uncertain, and changes in GHG emission accounting methodologies or new developments related to climate science could impact our ability to claim emissions reductions related to our sequestration activities and timely achieve our 2045 Full-Scope Net Zero goal or at all. If we are not able to successfully develop Carbon TerraVault and its CCS projects and claim related emissions reductions, or we are successful in separating our carbon management business, our ability to achieve our 2045 Full-Scope Net Zero goal would be materially and adversely affected.</w:t>
      </w:r>
    </w:p>
    <w:p>
      <w:pPr>
        <w:spacing w:after="0" w:line="221"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auto"/>
        </w:rPr>
        <w:t>Our business may face increased scrutiny from investors and other stakeholders related to our sustainability activities, including the goals, targets, and objectives that we announce, and our methodologies and timelines for pursuing them. If our sustainability practices do not meet investor or other stakeholder expectations and standards, which continue to evolve, our reputation, our ability to attract or retain employees, and our attractiveness as an investment or business partner could be negatively affected. Similarly, our failure or perceived failure to pursue or fulfill our sustainability-focused goals, targets, and objectives, to comply with ethical, environmental, or other standards, regulations, or expectations, or to satisfy various reporting standards with respect to these matters, within the timelines we announce, or at all, could adversely affect our business or reputation, as well as expose us to government enforcement actions and private litigation.</w:t>
      </w:r>
    </w:p>
    <w:p>
      <w:pPr>
        <w:spacing w:after="0" w:line="209" w:lineRule="exact"/>
        <w:rPr>
          <w:sz w:val="20"/>
          <w:szCs w:val="20"/>
          <w:color w:val="auto"/>
        </w:rPr>
      </w:pPr>
    </w:p>
    <w:p>
      <w:pPr>
        <w:ind w:right="100" w:firstLine="300"/>
        <w:spacing w:after="0" w:line="250" w:lineRule="auto"/>
        <w:rPr>
          <w:sz w:val="20"/>
          <w:szCs w:val="20"/>
          <w:color w:val="auto"/>
        </w:rPr>
      </w:pPr>
      <w:r>
        <w:rPr>
          <w:rFonts w:ascii="Arial" w:cs="Arial" w:eastAsia="Arial" w:hAnsi="Arial"/>
          <w:sz w:val="20"/>
          <w:szCs w:val="20"/>
          <w:b w:val="1"/>
          <w:bCs w:val="1"/>
          <w:i w:val="1"/>
          <w:iCs w:val="1"/>
          <w:color w:val="auto"/>
        </w:rPr>
        <w:t>Our ability to grow our Carbon TerraVault business and develop large scale CCS projects is subject to numerous risks and uncertainties. If we are unable to successfully execute our CCS strategy, it could have an adverse effect on our business, results of operations and financial condition.</w:t>
      </w:r>
    </w:p>
    <w:p>
      <w:pPr>
        <w:spacing w:after="0" w:line="207" w:lineRule="exact"/>
        <w:rPr>
          <w:sz w:val="20"/>
          <w:szCs w:val="20"/>
          <w:color w:val="auto"/>
        </w:rPr>
      </w:pPr>
    </w:p>
    <w:p>
      <w:pPr>
        <w:ind w:right="260" w:firstLine="300"/>
        <w:spacing w:after="0" w:line="249" w:lineRule="auto"/>
        <w:rPr>
          <w:sz w:val="20"/>
          <w:szCs w:val="20"/>
          <w:color w:val="auto"/>
        </w:rPr>
      </w:pPr>
      <w:r>
        <w:rPr>
          <w:rFonts w:ascii="Arial" w:cs="Arial" w:eastAsia="Arial" w:hAnsi="Arial"/>
          <w:sz w:val="20"/>
          <w:szCs w:val="20"/>
          <w:color w:val="auto"/>
        </w:rPr>
        <w:t>We have announced a strategy to pursue the development of a carbon management business in California. To our knowledge, there are no existing large scale CCS projects in California similar to those that we are seeking to have developed. These projects face operational, technological and regulatory risks that could be considerable due to early stage nature of these projects and the sector generally. Our ability to successfully develop these projects depends on a number of factors that we are not able to fully control, including the following:</w:t>
      </w:r>
    </w:p>
    <w:p>
      <w:pPr>
        <w:spacing w:after="0" w:line="208" w:lineRule="exact"/>
        <w:rPr>
          <w:sz w:val="20"/>
          <w:szCs w:val="20"/>
          <w:color w:val="auto"/>
        </w:rPr>
      </w:pPr>
    </w:p>
    <w:p>
      <w:pPr>
        <w:ind w:left="600" w:right="60" w:hanging="300"/>
        <w:spacing w:after="0" w:line="249" w:lineRule="auto"/>
        <w:tabs>
          <w:tab w:leader="none" w:pos="6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development of large scale CCS projects is an emerging sector and there are no meaningful precedents to gauge the likely range of economic terms upon which these projects may be feasibly developed. In addition, any of the operational, regulatory or financial risks could cause actual results to differ materially from expected payback or cause a project to become uneconomic or less profitable than forecast.</w:t>
      </w:r>
    </w:p>
    <w:p>
      <w:pPr>
        <w:spacing w:after="0" w:line="6" w:lineRule="exact"/>
        <w:rPr>
          <w:rFonts w:ascii="Arial" w:cs="Arial" w:eastAsia="Arial" w:hAnsi="Arial"/>
          <w:sz w:val="20"/>
          <w:szCs w:val="20"/>
          <w:color w:val="auto"/>
        </w:rPr>
      </w:pPr>
    </w:p>
    <w:p>
      <w:pPr>
        <w:ind w:left="600" w:hanging="300"/>
        <w:spacing w:after="0" w:line="249" w:lineRule="auto"/>
        <w:tabs>
          <w:tab w:leader="none" w:pos="6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development of CCS projects will require us, our joint venture partner, and third-party emitters to make significant capital investments in the relevant technology and infrastructure and we may not have sufficient capital resources to fund such investments. Such projects may also depend on third party financing and such financing may not be available on reasonable terms or at all. In some cases, these projects will involve the production and sale of hydrogen, ammonia or other products and markets for some of these products are still being developed.</w:t>
      </w:r>
    </w:p>
    <w:p>
      <w:pPr>
        <w:sectPr>
          <w:pgSz w:w="11880" w:h="15480" w:orient="portrait"/>
          <w:cols w:equalWidth="0" w:num="1">
            <w:col w:w="9120"/>
          </w:cols>
          <w:pgMar w:left="1380" w:top="1316"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1880" w:h="15480" w:orient="portrait"/>
          <w:cols w:equalWidth="0" w:num="1">
            <w:col w:w="9120"/>
          </w:cols>
          <w:pgMar w:left="1380" w:top="1316" w:right="1380" w:bottom="655" w:gutter="0" w:footer="0" w:header="0"/>
          <w:type w:val="continuous"/>
        </w:sectPr>
      </w:pPr>
    </w:p>
    <w:bookmarkStart w:id="45" w:name="page46"/>
    <w:bookmarkEnd w:id="45"/>
    <w:p>
      <w:pPr>
        <w:ind w:left="600" w:right="20" w:hanging="300"/>
        <w:spacing w:after="0" w:line="225" w:lineRule="auto"/>
        <w:tabs>
          <w:tab w:leader="none" w:pos="6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development of a CCS project will require us to enter into long term binding agreements with large carbon emitters and other third parties and we may not be able to do so on agreeable terms or at all. Such agreements are complex and may involve allocation of not only fees but also various credits, incentives and environmental attributes associated with the storage of CO</w:t>
      </w:r>
      <w:r>
        <w:rPr>
          <w:rFonts w:ascii="Arial" w:cs="Arial" w:eastAsia="Arial" w:hAnsi="Arial"/>
          <w:sz w:val="26"/>
          <w:szCs w:val="26"/>
          <w:color w:val="auto"/>
          <w:vertAlign w:val="subscript"/>
        </w:rPr>
        <w:t>2</w:t>
      </w:r>
      <w:r>
        <w:rPr>
          <w:rFonts w:ascii="Arial" w:cs="Arial" w:eastAsia="Arial" w:hAnsi="Arial"/>
          <w:sz w:val="20"/>
          <w:szCs w:val="20"/>
          <w:color w:val="auto"/>
        </w:rPr>
        <w:t>. Not all emission sources produce sufficiently large quantities of pure or relatively pure streams of CO</w:t>
      </w:r>
      <w:r>
        <w:rPr>
          <w:rFonts w:ascii="Arial" w:cs="Arial" w:eastAsia="Arial" w:hAnsi="Arial"/>
          <w:sz w:val="26"/>
          <w:szCs w:val="26"/>
          <w:color w:val="auto"/>
          <w:vertAlign w:val="subscript"/>
        </w:rPr>
        <w:t>2</w:t>
      </w:r>
      <w:r>
        <w:rPr>
          <w:rFonts w:ascii="Arial" w:cs="Arial" w:eastAsia="Arial" w:hAnsi="Arial"/>
          <w:sz w:val="20"/>
          <w:szCs w:val="20"/>
          <w:color w:val="auto"/>
        </w:rPr>
        <w:t>, or have installed equipment to capture such CO</w:t>
      </w:r>
      <w:r>
        <w:rPr>
          <w:rFonts w:ascii="Arial" w:cs="Arial" w:eastAsia="Arial" w:hAnsi="Arial"/>
          <w:sz w:val="26"/>
          <w:szCs w:val="26"/>
          <w:color w:val="auto"/>
          <w:vertAlign w:val="subscript"/>
        </w:rPr>
        <w:t>2</w:t>
      </w:r>
      <w:r>
        <w:rPr>
          <w:rFonts w:ascii="Arial" w:cs="Arial" w:eastAsia="Arial" w:hAnsi="Arial"/>
          <w:sz w:val="20"/>
          <w:szCs w:val="20"/>
          <w:color w:val="auto"/>
        </w:rPr>
        <w:t>, so as to be useable in one or more of our CCS projects. As a result, we cannot assure whether we will be able to procure sufficient quantities of CO</w:t>
      </w:r>
      <w:r>
        <w:rPr>
          <w:rFonts w:ascii="Arial" w:cs="Arial" w:eastAsia="Arial" w:hAnsi="Arial"/>
          <w:sz w:val="26"/>
          <w:szCs w:val="26"/>
          <w:color w:val="auto"/>
          <w:vertAlign w:val="subscript"/>
        </w:rPr>
        <w:t>2</w:t>
      </w:r>
      <w:r>
        <w:rPr>
          <w:rFonts w:ascii="Arial" w:cs="Arial" w:eastAsia="Arial" w:hAnsi="Arial"/>
          <w:sz w:val="20"/>
          <w:szCs w:val="20"/>
          <w:color w:val="auto"/>
        </w:rPr>
        <w:t xml:space="preserve"> on terms that are acceptable to us, and the failure to do so may have a material impact on our ability to execute our CCS strategy.</w:t>
      </w:r>
    </w:p>
    <w:p>
      <w:pPr>
        <w:spacing w:after="0" w:line="25" w:lineRule="exact"/>
        <w:rPr>
          <w:rFonts w:ascii="Arial" w:cs="Arial" w:eastAsia="Arial" w:hAnsi="Arial"/>
          <w:sz w:val="20"/>
          <w:szCs w:val="20"/>
          <w:color w:val="auto"/>
        </w:rPr>
      </w:pPr>
    </w:p>
    <w:p>
      <w:pPr>
        <w:ind w:left="600" w:right="80" w:hanging="300"/>
        <w:spacing w:after="0" w:line="249" w:lineRule="auto"/>
        <w:tabs>
          <w:tab w:leader="none" w:pos="6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development and operation of cost-effective, commercial-scale hydrogen and ammonia production facilities and associated sequestration facilities is highly complex. There can be no assurances that our partners will be able to successfully develop these production facilities, or that we will be able to develop the related sequestration facilities, in a timely manner or at all. In addition, there can be no assurances that these facilities can be maintained and operated over the longer term.</w:t>
      </w:r>
    </w:p>
    <w:p>
      <w:pPr>
        <w:spacing w:after="0" w:line="8" w:lineRule="exact"/>
        <w:rPr>
          <w:rFonts w:ascii="Arial" w:cs="Arial" w:eastAsia="Arial" w:hAnsi="Arial"/>
          <w:sz w:val="20"/>
          <w:szCs w:val="20"/>
          <w:color w:val="auto"/>
        </w:rPr>
      </w:pPr>
    </w:p>
    <w:p>
      <w:pPr>
        <w:ind w:left="600" w:right="100" w:hanging="300"/>
        <w:spacing w:after="0" w:line="222" w:lineRule="auto"/>
        <w:tabs>
          <w:tab w:leader="none" w:pos="6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Certain of our anticipated CCS project sites rely on pore space that we do not own and we may need to enter into agreements with landowners to allow us to inject CO</w:t>
      </w:r>
      <w:r>
        <w:rPr>
          <w:rFonts w:ascii="Arial" w:cs="Arial" w:eastAsia="Arial" w:hAnsi="Arial"/>
          <w:sz w:val="26"/>
          <w:szCs w:val="26"/>
          <w:color w:val="auto"/>
          <w:vertAlign w:val="subscript"/>
        </w:rPr>
        <w:t>2</w:t>
      </w:r>
      <w:r>
        <w:rPr>
          <w:rFonts w:ascii="Arial" w:cs="Arial" w:eastAsia="Arial" w:hAnsi="Arial"/>
          <w:sz w:val="20"/>
          <w:szCs w:val="20"/>
          <w:color w:val="auto"/>
        </w:rPr>
        <w:t>.</w:t>
      </w:r>
    </w:p>
    <w:p>
      <w:pPr>
        <w:ind w:left="600" w:right="60" w:hanging="300"/>
        <w:spacing w:after="0" w:line="246" w:lineRule="auto"/>
        <w:tabs>
          <w:tab w:leader="none" w:pos="6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Complex recordkeeping and GHG emissions/sequestration accounting may be required in connection with one or more of our projects, which may increase the costs of such operations. Different methodologies may be required for various regulatory and non-regulatory accounts regarding GHG emissions/sequestration at one or more of our projects, including but not limited to compliance with the EPA’s Mandatory Greenhouse Gas Reporting Program.</w:t>
      </w:r>
    </w:p>
    <w:p>
      <w:pPr>
        <w:spacing w:after="0" w:line="11" w:lineRule="exact"/>
        <w:rPr>
          <w:rFonts w:ascii="Arial" w:cs="Arial" w:eastAsia="Arial" w:hAnsi="Arial"/>
          <w:sz w:val="20"/>
          <w:szCs w:val="20"/>
          <w:color w:val="auto"/>
        </w:rPr>
      </w:pPr>
    </w:p>
    <w:p>
      <w:pPr>
        <w:ind w:left="600" w:hanging="300"/>
        <w:spacing w:after="0" w:line="255" w:lineRule="auto"/>
        <w:tabs>
          <w:tab w:leader="none" w:pos="600" w:val="left"/>
        </w:tabs>
        <w:numPr>
          <w:ilvl w:val="0"/>
          <w:numId w:val="29"/>
        </w:numPr>
        <w:rPr>
          <w:rFonts w:ascii="Arial" w:cs="Arial" w:eastAsia="Arial" w:hAnsi="Arial"/>
          <w:sz w:val="19"/>
          <w:szCs w:val="19"/>
          <w:color w:val="auto"/>
        </w:rPr>
      </w:pPr>
      <w:r>
        <w:rPr>
          <w:rFonts w:ascii="Arial" w:cs="Arial" w:eastAsia="Arial" w:hAnsi="Arial"/>
          <w:sz w:val="19"/>
          <w:szCs w:val="19"/>
          <w:color w:val="auto"/>
        </w:rPr>
        <w:t>Carbon capture may be viewed as a pathway to the continued use of fossil fuels and there may be organized opposition to CCS projects from environmental groups, local residents and legislators.</w:t>
      </w:r>
    </w:p>
    <w:p>
      <w:pPr>
        <w:spacing w:after="0" w:line="1" w:lineRule="exact"/>
        <w:rPr>
          <w:rFonts w:ascii="Arial" w:cs="Arial" w:eastAsia="Arial" w:hAnsi="Arial"/>
          <w:sz w:val="19"/>
          <w:szCs w:val="19"/>
          <w:color w:val="auto"/>
        </w:rPr>
      </w:pPr>
    </w:p>
    <w:p>
      <w:pPr>
        <w:ind w:left="600" w:right="240" w:hanging="300"/>
        <w:spacing w:after="0" w:line="217" w:lineRule="auto"/>
        <w:tabs>
          <w:tab w:leader="none" w:pos="6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We may need to transport CO</w:t>
      </w:r>
      <w:r>
        <w:rPr>
          <w:rFonts w:ascii="Arial" w:cs="Arial" w:eastAsia="Arial" w:hAnsi="Arial"/>
          <w:sz w:val="26"/>
          <w:szCs w:val="26"/>
          <w:color w:val="auto"/>
          <w:vertAlign w:val="subscript"/>
        </w:rPr>
        <w:t>2</w:t>
      </w:r>
      <w:r>
        <w:rPr>
          <w:rFonts w:ascii="Arial" w:cs="Arial" w:eastAsia="Arial" w:hAnsi="Arial"/>
          <w:sz w:val="20"/>
          <w:szCs w:val="20"/>
          <w:color w:val="auto"/>
        </w:rPr>
        <w:t xml:space="preserve"> in pipelines if a CCS project relies on storage space that is not co-located with the production facilities. Our ability to transport CO</w:t>
      </w:r>
      <w:r>
        <w:rPr>
          <w:rFonts w:ascii="Arial" w:cs="Arial" w:eastAsia="Arial" w:hAnsi="Arial"/>
          <w:sz w:val="26"/>
          <w:szCs w:val="26"/>
          <w:color w:val="auto"/>
          <w:vertAlign w:val="subscript"/>
        </w:rPr>
        <w:t>2</w:t>
      </w:r>
      <w:r>
        <w:rPr>
          <w:rFonts w:ascii="Arial" w:cs="Arial" w:eastAsia="Arial" w:hAnsi="Arial"/>
          <w:sz w:val="20"/>
          <w:szCs w:val="20"/>
          <w:color w:val="auto"/>
        </w:rPr>
        <w:t xml:space="preserve"> is subject to regulatory uncertainty, see </w:t>
      </w:r>
      <w:r>
        <w:rPr>
          <w:rFonts w:ascii="Arial" w:cs="Arial" w:eastAsia="Arial" w:hAnsi="Arial"/>
          <w:sz w:val="20"/>
          <w:szCs w:val="20"/>
          <w:i w:val="1"/>
          <w:iCs w:val="1"/>
          <w:color w:val="auto"/>
        </w:rPr>
        <w:t>Risks Related to Regulation and Government Action – Senate Bill 905 may</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result in delays to our CCS projects </w:t>
      </w:r>
      <w:r>
        <w:rPr>
          <w:rFonts w:ascii="Arial" w:cs="Arial" w:eastAsia="Arial" w:hAnsi="Arial"/>
          <w:sz w:val="20"/>
          <w:szCs w:val="20"/>
          <w:color w:val="auto"/>
        </w:rPr>
        <w:t>described below.</w:t>
      </w:r>
    </w:p>
    <w:p>
      <w:pPr>
        <w:spacing w:after="0" w:line="15" w:lineRule="exact"/>
        <w:rPr>
          <w:rFonts w:ascii="Arial" w:cs="Arial" w:eastAsia="Arial" w:hAnsi="Arial"/>
          <w:sz w:val="20"/>
          <w:szCs w:val="20"/>
          <w:color w:val="auto"/>
        </w:rPr>
      </w:pPr>
    </w:p>
    <w:p>
      <w:pPr>
        <w:ind w:left="600" w:right="40" w:hanging="300"/>
        <w:spacing w:after="0" w:line="238" w:lineRule="auto"/>
        <w:tabs>
          <w:tab w:leader="none" w:pos="6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 xml:space="preserve">Other regulatory uncertainties, see </w:t>
      </w:r>
      <w:r>
        <w:rPr>
          <w:rFonts w:ascii="Arial" w:cs="Arial" w:eastAsia="Arial" w:hAnsi="Arial"/>
          <w:sz w:val="20"/>
          <w:szCs w:val="20"/>
          <w:i w:val="1"/>
          <w:iCs w:val="1"/>
          <w:color w:val="auto"/>
        </w:rPr>
        <w:t>Risks Related to Regulation and Government Action – Our</w:t>
      </w:r>
      <w:r>
        <w:rPr>
          <w:rFonts w:ascii="Arial" w:cs="Arial" w:eastAsia="Arial" w:hAnsi="Arial"/>
          <w:sz w:val="20"/>
          <w:szCs w:val="20"/>
          <w:color w:val="auto"/>
        </w:rPr>
        <w:t xml:space="preserve"> </w:t>
      </w:r>
      <w:r>
        <w:rPr>
          <w:rFonts w:ascii="Arial" w:cs="Arial" w:eastAsia="Arial" w:hAnsi="Arial"/>
          <w:sz w:val="20"/>
          <w:szCs w:val="20"/>
          <w:i w:val="1"/>
          <w:iCs w:val="1"/>
          <w:color w:val="auto"/>
        </w:rPr>
        <w:t>Carbon TerraVault business and our CCS projects are subject to extensive government regulation that, among other things, requires us to obtain permits for the injection of CO</w:t>
      </w:r>
      <w:r>
        <w:rPr>
          <w:rFonts w:ascii="Arial" w:cs="Arial" w:eastAsia="Arial" w:hAnsi="Arial"/>
          <w:sz w:val="26"/>
          <w:szCs w:val="26"/>
          <w:i w:val="1"/>
          <w:iCs w:val="1"/>
          <w:color w:val="auto"/>
          <w:vertAlign w:val="subscript"/>
        </w:rPr>
        <w:t>2</w:t>
      </w:r>
      <w:r>
        <w:rPr>
          <w:rFonts w:ascii="Arial" w:cs="Arial" w:eastAsia="Arial" w:hAnsi="Arial"/>
          <w:sz w:val="20"/>
          <w:szCs w:val="20"/>
          <w:i w:val="1"/>
          <w:iCs w:val="1"/>
          <w:color w:val="auto"/>
        </w:rPr>
        <w:t xml:space="preserve">. Many of these regulations are still being developed. Failure to comply with these requirements and obtain the necessary permits, or the development of government regulation that is unfavorable to our CCS projects, could have a material adverse effect on our business, results of operations and financial condition </w:t>
      </w:r>
      <w:r>
        <w:rPr>
          <w:rFonts w:ascii="Arial" w:cs="Arial" w:eastAsia="Arial" w:hAnsi="Arial"/>
          <w:sz w:val="20"/>
          <w:szCs w:val="20"/>
          <w:color w:val="auto"/>
        </w:rPr>
        <w:t>described below.</w:t>
      </w:r>
    </w:p>
    <w:p>
      <w:pPr>
        <w:spacing w:after="0" w:line="217" w:lineRule="exact"/>
        <w:rPr>
          <w:sz w:val="20"/>
          <w:szCs w:val="20"/>
          <w:color w:val="auto"/>
        </w:rPr>
      </w:pPr>
    </w:p>
    <w:p>
      <w:pPr>
        <w:ind w:firstLine="300"/>
        <w:spacing w:after="0" w:line="264" w:lineRule="auto"/>
        <w:rPr>
          <w:sz w:val="20"/>
          <w:szCs w:val="20"/>
          <w:color w:val="auto"/>
        </w:rPr>
      </w:pPr>
      <w:r>
        <w:rPr>
          <w:rFonts w:ascii="Arial" w:cs="Arial" w:eastAsia="Arial" w:hAnsi="Arial"/>
          <w:sz w:val="19"/>
          <w:szCs w:val="19"/>
          <w:color w:val="auto"/>
        </w:rPr>
        <w:t>There can be no assurances that we will successfully develop our CCS projects, including Carbon TerraVault and CalCapture, and such failure could have an adverse effect on our business. Our carbon management business is currently in an early stage of development, and we do not expect the failure of a single CCS project to create an impact on our overall financial condition or operations. However, as the scale of our CCS projects grows, so will their impact on our overall financial condition and operations. Moreover, our failure to successfully develop our CCS projects would adversely affect our ability to claim emissions reductions related to our sequestration activities and our ability to meet our carbon management goals, which in turn could have an adverse effect on our business and reputation.</w:t>
      </w:r>
    </w:p>
    <w:p>
      <w:pPr>
        <w:sectPr>
          <w:pgSz w:w="11880" w:h="15480" w:orient="portrait"/>
          <w:cols w:equalWidth="0" w:num="1">
            <w:col w:w="9100"/>
          </w:cols>
          <w:pgMar w:left="1380" w:top="1316" w:right="140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42</w:t>
      </w:r>
    </w:p>
    <w:p>
      <w:pPr>
        <w:sectPr>
          <w:pgSz w:w="11880" w:h="15480" w:orient="portrait"/>
          <w:cols w:equalWidth="0" w:num="1">
            <w:col w:w="9100"/>
          </w:cols>
          <w:pgMar w:left="1380" w:top="1316" w:right="1400" w:bottom="655" w:gutter="0" w:footer="0" w:header="0"/>
          <w:type w:val="continuous"/>
        </w:sectPr>
      </w:pPr>
    </w:p>
    <w:bookmarkStart w:id="46" w:name="page47"/>
    <w:bookmarkEnd w:id="46"/>
    <w:p>
      <w:pPr>
        <w:ind w:right="840" w:firstLine="300"/>
        <w:spacing w:after="0" w:line="250" w:lineRule="auto"/>
        <w:rPr>
          <w:sz w:val="20"/>
          <w:szCs w:val="20"/>
          <w:color w:val="auto"/>
        </w:rPr>
      </w:pPr>
      <w:r>
        <w:rPr>
          <w:rFonts w:ascii="Arial" w:cs="Arial" w:eastAsia="Arial" w:hAnsi="Arial"/>
          <w:sz w:val="20"/>
          <w:szCs w:val="20"/>
          <w:b w:val="1"/>
          <w:bCs w:val="1"/>
          <w:i w:val="1"/>
          <w:iCs w:val="1"/>
          <w:color w:val="auto"/>
        </w:rPr>
        <w:t>The economics of CCS projects depend on financial and tax incentives that may not currently be sufficient for our CCS projects to be economical or could be changed or terminated.</w:t>
      </w:r>
    </w:p>
    <w:p>
      <w:pPr>
        <w:spacing w:after="0" w:line="166" w:lineRule="exact"/>
        <w:rPr>
          <w:sz w:val="20"/>
          <w:szCs w:val="20"/>
          <w:color w:val="auto"/>
        </w:rPr>
      </w:pPr>
    </w:p>
    <w:p>
      <w:pPr>
        <w:ind w:firstLine="300"/>
        <w:spacing w:after="0" w:line="237" w:lineRule="auto"/>
        <w:rPr>
          <w:sz w:val="20"/>
          <w:szCs w:val="20"/>
          <w:color w:val="auto"/>
        </w:rPr>
      </w:pPr>
      <w:r>
        <w:rPr>
          <w:rFonts w:ascii="Arial" w:cs="Arial" w:eastAsia="Arial" w:hAnsi="Arial"/>
          <w:sz w:val="20"/>
          <w:szCs w:val="20"/>
          <w:color w:val="auto"/>
        </w:rPr>
        <w:t>Congress has incentivized the development of carbon capture projects through the establishment of tax credits for the capture and sequestration of CO</w:t>
      </w:r>
      <w:r>
        <w:rPr>
          <w:rFonts w:ascii="Arial" w:cs="Arial" w:eastAsia="Arial" w:hAnsi="Arial"/>
          <w:sz w:val="26"/>
          <w:szCs w:val="26"/>
          <w:color w:val="auto"/>
          <w:vertAlign w:val="subscript"/>
        </w:rPr>
        <w:t>2,</w:t>
      </w:r>
      <w:r>
        <w:rPr>
          <w:rFonts w:ascii="Arial" w:cs="Arial" w:eastAsia="Arial" w:hAnsi="Arial"/>
          <w:sz w:val="20"/>
          <w:szCs w:val="20"/>
          <w:color w:val="auto"/>
        </w:rPr>
        <w:t xml:space="preserve"> the production of clean hydrogen and the production of other clean fuels. The successful development of our CCS projects is dependent upon our ability to directly or indirectly benefit from these tax credits. The amount of tax credits from which we may directly or indirectly benefit on our CCS projects is dependent upon satisfaction of certain requirements, which we cannot assure you that we (or our partners) will satisfy. One of those requirements is that a minimum volume of CO</w:t>
      </w:r>
      <w:r>
        <w:rPr>
          <w:rFonts w:ascii="Arial" w:cs="Arial" w:eastAsia="Arial" w:hAnsi="Arial"/>
          <w:sz w:val="26"/>
          <w:szCs w:val="26"/>
          <w:color w:val="auto"/>
          <w:vertAlign w:val="subscript"/>
        </w:rPr>
        <w:t>2</w:t>
      </w:r>
      <w:r>
        <w:rPr>
          <w:rFonts w:ascii="Arial" w:cs="Arial" w:eastAsia="Arial" w:hAnsi="Arial"/>
          <w:sz w:val="20"/>
          <w:szCs w:val="20"/>
          <w:color w:val="auto"/>
        </w:rPr>
        <w:t xml:space="preserve"> is captured by the applicable carbon capture equipment during each taxable year. If we or our counterparties are not able to capture the minimum volumes (which could be for a variety of reasons), then the tax credit will not be available. Additional financial incentives may also be required for our CCS projects to be economical. In particular, we anticipate that CCS projects associated with carbon emission reductions for transportation fuels will generate LCFS credits and that these additional credits will improve the economics of CCS projects. If the existing legal requirements for incentives such as the tax credits available for the capture and sequestration of CO</w:t>
      </w:r>
      <w:r>
        <w:rPr>
          <w:rFonts w:ascii="Arial" w:cs="Arial" w:eastAsia="Arial" w:hAnsi="Arial"/>
          <w:sz w:val="26"/>
          <w:szCs w:val="26"/>
          <w:color w:val="auto"/>
          <w:vertAlign w:val="subscript"/>
        </w:rPr>
        <w:t>2</w:t>
      </w:r>
      <w:r>
        <w:rPr>
          <w:rFonts w:ascii="Arial" w:cs="Arial" w:eastAsia="Arial" w:hAnsi="Arial"/>
          <w:sz w:val="20"/>
          <w:szCs w:val="20"/>
          <w:color w:val="auto"/>
        </w:rPr>
        <w:t xml:space="preserve"> and the production of clean hydrogen or LCFS are subsequently amended in a manner that such incentives no longer apply or are restricted in application, directly or indirectly, to our projects, we may not be able to successfully achieve an economic return from our CCS business or, alternatively, the construction or operation of applicable projects may be substantially delayed such that one or more projects is unprofitable or otherwise infeasible.</w:t>
      </w:r>
    </w:p>
    <w:p>
      <w:pPr>
        <w:spacing w:after="0" w:line="152" w:lineRule="exact"/>
        <w:rPr>
          <w:sz w:val="20"/>
          <w:szCs w:val="20"/>
          <w:color w:val="auto"/>
        </w:rPr>
      </w:pPr>
    </w:p>
    <w:p>
      <w:pPr>
        <w:ind w:firstLine="300"/>
        <w:spacing w:after="0" w:line="243" w:lineRule="auto"/>
        <w:rPr>
          <w:sz w:val="20"/>
          <w:szCs w:val="20"/>
          <w:color w:val="auto"/>
        </w:rPr>
      </w:pPr>
      <w:r>
        <w:rPr>
          <w:rFonts w:ascii="Arial" w:cs="Arial" w:eastAsia="Arial" w:hAnsi="Arial"/>
          <w:sz w:val="20"/>
          <w:szCs w:val="20"/>
          <w:color w:val="auto"/>
        </w:rPr>
        <w:t>The ability to monetize the tax credits for CO</w:t>
      </w:r>
      <w:r>
        <w:rPr>
          <w:rFonts w:ascii="Arial" w:cs="Arial" w:eastAsia="Arial" w:hAnsi="Arial"/>
          <w:sz w:val="26"/>
          <w:szCs w:val="26"/>
          <w:color w:val="auto"/>
          <w:vertAlign w:val="subscript"/>
        </w:rPr>
        <w:t>2</w:t>
      </w:r>
      <w:r>
        <w:rPr>
          <w:rFonts w:ascii="Arial" w:cs="Arial" w:eastAsia="Arial" w:hAnsi="Arial"/>
          <w:sz w:val="20"/>
          <w:szCs w:val="20"/>
          <w:color w:val="auto"/>
        </w:rPr>
        <w:t xml:space="preserve"> capture and sequestration is not certain. Either the new owners of the carbon capture facilities or the sequester must either have the ability to use the tax credit for itself, utilize direct pay (which is limited to the first five years), procure tax equity financing or transfer the credits to another tax-payer. The ability to utilize direct pay and the tax equity financing and credit transfers markets for tax credits provided under the IRA are still being analyzed and subject to further guidance from the IRS, and therefore many uncertainties and complexities with respect to the ability to monetize these credits exist.</w:t>
      </w:r>
    </w:p>
    <w:p>
      <w:pPr>
        <w:spacing w:after="0" w:line="140" w:lineRule="exact"/>
        <w:rPr>
          <w:sz w:val="20"/>
          <w:szCs w:val="20"/>
          <w:color w:val="auto"/>
        </w:rPr>
      </w:pPr>
    </w:p>
    <w:p>
      <w:pPr>
        <w:ind w:right="100" w:firstLine="300"/>
        <w:spacing w:after="0" w:line="233" w:lineRule="auto"/>
        <w:rPr>
          <w:sz w:val="20"/>
          <w:szCs w:val="20"/>
          <w:color w:val="auto"/>
        </w:rPr>
      </w:pPr>
      <w:r>
        <w:rPr>
          <w:rFonts w:ascii="Arial" w:cs="Arial" w:eastAsia="Arial" w:hAnsi="Arial"/>
          <w:sz w:val="20"/>
          <w:szCs w:val="20"/>
          <w:color w:val="auto"/>
        </w:rPr>
        <w:t>The tax credit for the capture and sequestration of CO</w:t>
      </w:r>
      <w:r>
        <w:rPr>
          <w:rFonts w:ascii="Arial" w:cs="Arial" w:eastAsia="Arial" w:hAnsi="Arial"/>
          <w:sz w:val="26"/>
          <w:szCs w:val="26"/>
          <w:color w:val="auto"/>
          <w:vertAlign w:val="subscript"/>
        </w:rPr>
        <w:t>2</w:t>
      </w:r>
      <w:r>
        <w:rPr>
          <w:rFonts w:ascii="Arial" w:cs="Arial" w:eastAsia="Arial" w:hAnsi="Arial"/>
          <w:sz w:val="20"/>
          <w:szCs w:val="20"/>
          <w:color w:val="auto"/>
        </w:rPr>
        <w:t xml:space="preserve"> requires that the captured CO</w:t>
      </w:r>
      <w:r>
        <w:rPr>
          <w:rFonts w:ascii="Arial" w:cs="Arial" w:eastAsia="Arial" w:hAnsi="Arial"/>
          <w:sz w:val="26"/>
          <w:szCs w:val="26"/>
          <w:color w:val="auto"/>
          <w:vertAlign w:val="subscript"/>
        </w:rPr>
        <w:t>2</w:t>
      </w:r>
      <w:r>
        <w:rPr>
          <w:rFonts w:ascii="Arial" w:cs="Arial" w:eastAsia="Arial" w:hAnsi="Arial"/>
          <w:sz w:val="20"/>
          <w:szCs w:val="20"/>
          <w:color w:val="auto"/>
        </w:rPr>
        <w:t xml:space="preserve"> be stored in secure geological storage for long periods of time. If we are not able to satisfy this requirement for the duration of time required, there is the risk of recapture of tax credits or LCFS credits from us (or our partners) by the government, as well as a risk of indemnification obligations to our partners, claims from landowners and potential for fines and penalties for violations of environmental requirements. Accidental releases of CO</w:t>
      </w:r>
      <w:r>
        <w:rPr>
          <w:rFonts w:ascii="Arial" w:cs="Arial" w:eastAsia="Arial" w:hAnsi="Arial"/>
          <w:sz w:val="26"/>
          <w:szCs w:val="26"/>
          <w:color w:val="auto"/>
          <w:vertAlign w:val="subscript"/>
        </w:rPr>
        <w:t>2</w:t>
      </w:r>
      <w:r>
        <w:rPr>
          <w:rFonts w:ascii="Arial" w:cs="Arial" w:eastAsia="Arial" w:hAnsi="Arial"/>
          <w:sz w:val="20"/>
          <w:szCs w:val="20"/>
          <w:color w:val="auto"/>
        </w:rPr>
        <w:t xml:space="preserve"> could also adversely impact our ability to meet our 2045 Full-Scope Net Zero goal.</w:t>
      </w:r>
    </w:p>
    <w:p>
      <w:pPr>
        <w:spacing w:after="0" w:line="179" w:lineRule="exact"/>
        <w:rPr>
          <w:sz w:val="20"/>
          <w:szCs w:val="20"/>
          <w:color w:val="auto"/>
        </w:rPr>
      </w:pPr>
    </w:p>
    <w:p>
      <w:pPr>
        <w:ind w:right="300" w:firstLine="300"/>
        <w:spacing w:after="0" w:line="247" w:lineRule="auto"/>
        <w:rPr>
          <w:sz w:val="20"/>
          <w:szCs w:val="20"/>
          <w:color w:val="auto"/>
        </w:rPr>
      </w:pPr>
      <w:r>
        <w:rPr>
          <w:rFonts w:ascii="Arial" w:cs="Arial" w:eastAsia="Arial" w:hAnsi="Arial"/>
          <w:sz w:val="20"/>
          <w:szCs w:val="20"/>
          <w:color w:val="auto"/>
        </w:rPr>
        <w:t>There can be no assurances that we (or our partners) will successfully comply with the requirements for the available tax credits or LCFS, and such failure could have an adverse effect on our liquidity, financial condition and results of operations.</w:t>
      </w:r>
    </w:p>
    <w:p>
      <w:pPr>
        <w:spacing w:after="0" w:line="165" w:lineRule="exact"/>
        <w:rPr>
          <w:sz w:val="20"/>
          <w:szCs w:val="20"/>
          <w:color w:val="auto"/>
        </w:rPr>
      </w:pPr>
    </w:p>
    <w:p>
      <w:pPr>
        <w:ind w:right="120" w:firstLine="300"/>
        <w:spacing w:after="0" w:line="250" w:lineRule="auto"/>
        <w:rPr>
          <w:sz w:val="20"/>
          <w:szCs w:val="20"/>
          <w:color w:val="auto"/>
        </w:rPr>
      </w:pPr>
      <w:r>
        <w:rPr>
          <w:rFonts w:ascii="Arial" w:cs="Arial" w:eastAsia="Arial" w:hAnsi="Arial"/>
          <w:sz w:val="20"/>
          <w:szCs w:val="20"/>
          <w:b w:val="1"/>
          <w:bCs w:val="1"/>
          <w:i w:val="1"/>
          <w:iCs w:val="1"/>
          <w:color w:val="auto"/>
        </w:rPr>
        <w:t>Our Carbon TerraVault JV with Brookfield is subject to inherent uncertainties, which could force us to delay or cancel CCS projects or seek alternative sources of capital to fund our CCS projects and thereby adversely affect our ability to implement our carbon management strategy.</w:t>
      </w:r>
    </w:p>
    <w:p>
      <w:pPr>
        <w:spacing w:after="0" w:line="167"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In August 2022, we entered into the Carbon TerraVault JV with Brookfield to pursue the development of a carbon management business in California. The management and financing of the joint venture are subject to inherent uncertainties. These uncertainties could potentially force us to delay or cancel CCS projects or to seek alternative sources of capital to fund our CCS projects, any of which could adversely affect our ability to achieve our 2045 Full-Scope Net Zero target and other goals related to our carbon management activities.</w:t>
      </w:r>
    </w:p>
    <w:p>
      <w:pPr>
        <w:sectPr>
          <w:pgSz w:w="11880" w:h="15480" w:orient="portrait"/>
          <w:cols w:equalWidth="0" w:num="1">
            <w:col w:w="9120"/>
          </w:cols>
          <w:pgMar w:left="1380" w:top="1311" w:right="1380" w:bottom="653"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1880" w:h="15480" w:orient="portrait"/>
          <w:cols w:equalWidth="0" w:num="1">
            <w:col w:w="9120"/>
          </w:cols>
          <w:pgMar w:left="1380" w:top="1311" w:right="1380" w:bottom="653" w:gutter="0" w:footer="0" w:header="0"/>
          <w:type w:val="continuous"/>
        </w:sectPr>
      </w:pPr>
    </w:p>
    <w:bookmarkStart w:id="47" w:name="page48"/>
    <w:bookmarkEnd w:id="47"/>
    <w:p>
      <w:pPr>
        <w:ind w:right="40" w:firstLine="300"/>
        <w:spacing w:after="0" w:line="249" w:lineRule="auto"/>
        <w:rPr>
          <w:sz w:val="20"/>
          <w:szCs w:val="20"/>
          <w:color w:val="auto"/>
        </w:rPr>
      </w:pPr>
      <w:r>
        <w:rPr>
          <w:rFonts w:ascii="Arial" w:cs="Arial" w:eastAsia="Arial" w:hAnsi="Arial"/>
          <w:sz w:val="20"/>
          <w:szCs w:val="20"/>
          <w:color w:val="auto"/>
        </w:rPr>
        <w:t>Brookfield has committed an initial $500 million to invest in CCS projects that are jointly approved through Carbon TerraVault JV. At the time the Carbon TerraVault JV was formed, Brookfield committed to make an initial investment of $137 million payable in three equal installments. The first $46 million installment was contributed to the joint venture in August 2022, and the next two installments are due upon completion of certain pre-agreed milestones related to the permitting process with the EPA and final investment decision. Future storage projects for Brookfield’s initial commitment are subject to approval of the joint venture, including Brookfield. There can be no assurances that any of these funding milestones will be achieved so that Brookfield will fund the rest of its commitment.</w:t>
      </w:r>
    </w:p>
    <w:p>
      <w:pPr>
        <w:spacing w:after="0" w:line="213" w:lineRule="exact"/>
        <w:rPr>
          <w:sz w:val="20"/>
          <w:szCs w:val="20"/>
          <w:color w:val="auto"/>
        </w:rPr>
      </w:pPr>
    </w:p>
    <w:p>
      <w:pPr>
        <w:ind w:right="200" w:firstLine="300"/>
        <w:spacing w:after="0" w:line="249" w:lineRule="auto"/>
        <w:rPr>
          <w:sz w:val="20"/>
          <w:szCs w:val="20"/>
          <w:color w:val="auto"/>
        </w:rPr>
      </w:pPr>
      <w:r>
        <w:rPr>
          <w:rFonts w:ascii="Arial" w:cs="Arial" w:eastAsia="Arial" w:hAnsi="Arial"/>
          <w:sz w:val="20"/>
          <w:szCs w:val="20"/>
          <w:color w:val="auto"/>
        </w:rPr>
        <w:t>Furthermore, even though we own a 51% interest in the Carbon TerraVault JV, we share decision making power with Brookfield on matters that most significantly impact the economic performance of the joint venture. Any failure to reach a decision with Brookfield could potentially prevent or delay our pursuit of CCS projects or cause such projects to be cancelled. Moreover, if Brookfield does not approve a proposed CCS project that we want to pursue, we will have to seek alternative sources of capital to fund the project and there can be no assurances that such sources of capital will be available.</w:t>
      </w:r>
    </w:p>
    <w:p>
      <w:pPr>
        <w:spacing w:after="0" w:line="205"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b w:val="1"/>
          <w:bCs w:val="1"/>
          <w:i w:val="1"/>
          <w:iCs w:val="1"/>
          <w:color w:val="auto"/>
        </w:rPr>
        <w:t>Drilling for and producing oil and natural gas carry significant operational and financial risks and uncertainty. We may not drill wells at the times we scheduled, or at all. Wells we do drill may not yield production in economic quantities or generate the expected payback.</w:t>
      </w:r>
    </w:p>
    <w:p>
      <w:pPr>
        <w:spacing w:after="0" w:line="206"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The exploration and development of oil and natural gas properties depend in part on our analysis of geophysical, geologic, engineering, production and other technical data and processes, including the interpretation of 3D seismic data. This analysis is often inconclusive or subject to varying interpretations. We also bear the risks of equipment failures, accidents, environmental hazards, unusual geological formations or unexpected pressure or irregularities within formations, adverse weather conditions, permitting or construction delays, title disputes, surface access disputes, disappointing drilling results or reservoir performance (including lack of production response to workovers or improved and enhanced recovery efforts) and other associated risks.</w:t>
      </w:r>
    </w:p>
    <w:p>
      <w:pPr>
        <w:spacing w:after="0" w:line="211" w:lineRule="exact"/>
        <w:rPr>
          <w:sz w:val="20"/>
          <w:szCs w:val="20"/>
          <w:color w:val="auto"/>
        </w:rPr>
      </w:pPr>
    </w:p>
    <w:p>
      <w:pPr>
        <w:ind w:right="280" w:firstLine="300"/>
        <w:spacing w:after="0" w:line="248" w:lineRule="auto"/>
        <w:rPr>
          <w:sz w:val="20"/>
          <w:szCs w:val="20"/>
          <w:color w:val="auto"/>
        </w:rPr>
      </w:pPr>
      <w:r>
        <w:rPr>
          <w:rFonts w:ascii="Arial" w:cs="Arial" w:eastAsia="Arial" w:hAnsi="Arial"/>
          <w:sz w:val="20"/>
          <w:szCs w:val="20"/>
          <w:color w:val="auto"/>
        </w:rPr>
        <w:t>Our decisions and ultimate profitability are also affected by commodity prices, the availability of capital, regulatory approvals, available transportation and storage capacity, the political environment and other factors. Our cost of drilling, completing, stimulating, equipping, operating, inspecting, maintaining and abandoning wells is also often uncertain.</w:t>
      </w:r>
    </w:p>
    <w:p>
      <w:pPr>
        <w:spacing w:after="0" w:line="209" w:lineRule="exact"/>
        <w:rPr>
          <w:sz w:val="20"/>
          <w:szCs w:val="20"/>
          <w:color w:val="auto"/>
        </w:rPr>
      </w:pPr>
    </w:p>
    <w:p>
      <w:pPr>
        <w:ind w:right="160" w:firstLine="300"/>
        <w:spacing w:after="0" w:line="248" w:lineRule="auto"/>
        <w:rPr>
          <w:sz w:val="20"/>
          <w:szCs w:val="20"/>
          <w:color w:val="auto"/>
        </w:rPr>
      </w:pPr>
      <w:r>
        <w:rPr>
          <w:rFonts w:ascii="Arial" w:cs="Arial" w:eastAsia="Arial" w:hAnsi="Arial"/>
          <w:sz w:val="20"/>
          <w:szCs w:val="20"/>
          <w:color w:val="auto"/>
        </w:rPr>
        <w:t>Any of the forgoing operational or financial risks could cause actual results to differ materially from the expected payback or cause a well or project to become uneconomic or less profitable than forecast.</w:t>
      </w:r>
    </w:p>
    <w:p>
      <w:pPr>
        <w:spacing w:after="0" w:line="207"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We have specifically identified locations for drilling over the next several years, which represent a significant part of our long-term growth strategy. Our actual drilling activities may materially differ from those presently identified. If future drilling results in these projects do not establish sufficient production and reserves to achieve an economic return, we may curtail drilling or development of these projects. We make assumptions about the consistency and accuracy of data when we identify these locations that may prove inaccurate. We cannot guarantee that our identified drilling locations will ever be drilled or if we will be able to produce crude oil or natural gas from these drilling locations. In addition, some of our leases could expire if we do not establish production in the leased acreage. The combined net acreage covered by leases expiring in the next three years represented 8% of our total net undeveloped acreage at December 31, 2022.</w:t>
      </w:r>
    </w:p>
    <w:p>
      <w:pPr>
        <w:sectPr>
          <w:pgSz w:w="11880" w:h="15480" w:orient="portrait"/>
          <w:cols w:equalWidth="0" w:num="1">
            <w:col w:w="9120"/>
          </w:cols>
          <w:pgMar w:left="1380" w:top="1316"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ectPr>
          <w:pgSz w:w="11880" w:h="15480" w:orient="portrait"/>
          <w:cols w:equalWidth="0" w:num="1">
            <w:col w:w="9120"/>
          </w:cols>
          <w:pgMar w:left="1380" w:top="1316" w:right="1380" w:bottom="655" w:gutter="0" w:footer="0" w:header="0"/>
          <w:type w:val="continuous"/>
        </w:sectPr>
      </w:pPr>
    </w:p>
    <w:bookmarkStart w:id="48" w:name="page49"/>
    <w:bookmarkEnd w:id="48"/>
    <w:p>
      <w:pPr>
        <w:ind w:right="60" w:firstLine="300"/>
        <w:spacing w:after="0" w:line="250" w:lineRule="auto"/>
        <w:rPr>
          <w:sz w:val="20"/>
          <w:szCs w:val="20"/>
          <w:color w:val="auto"/>
        </w:rPr>
      </w:pPr>
      <w:r>
        <w:rPr>
          <w:rFonts w:ascii="Arial" w:cs="Arial" w:eastAsia="Arial" w:hAnsi="Arial"/>
          <w:sz w:val="20"/>
          <w:szCs w:val="20"/>
          <w:b w:val="1"/>
          <w:bCs w:val="1"/>
          <w:i w:val="1"/>
          <w:iCs w:val="1"/>
          <w:color w:val="auto"/>
        </w:rPr>
        <w:t>Our business involves substantial capital investments, which may include acquisitions, partnerships or joint venture arrangements with other oil and natural gas exploration and production companies or financial investors. We may be unable to fund our capital program, or reach satisfactory terms for other future capital requirements, which could lead to a decline in our oil and natural gas reserves or production. Our capital investment program is also susceptible to risks that could materially affect its implementation.</w:t>
      </w:r>
    </w:p>
    <w:p>
      <w:pPr>
        <w:spacing w:after="0" w:line="207" w:lineRule="exact"/>
        <w:rPr>
          <w:sz w:val="20"/>
          <w:szCs w:val="20"/>
          <w:color w:val="auto"/>
        </w:rPr>
      </w:pPr>
    </w:p>
    <w:p>
      <w:pPr>
        <w:ind w:right="100" w:firstLine="300"/>
        <w:spacing w:after="0" w:line="248" w:lineRule="auto"/>
        <w:rPr>
          <w:sz w:val="20"/>
          <w:szCs w:val="20"/>
          <w:color w:val="auto"/>
        </w:rPr>
      </w:pPr>
      <w:r>
        <w:rPr>
          <w:rFonts w:ascii="Arial" w:cs="Arial" w:eastAsia="Arial" w:hAnsi="Arial"/>
          <w:sz w:val="20"/>
          <w:szCs w:val="20"/>
          <w:color w:val="auto"/>
        </w:rPr>
        <w:t>Our exploration, development and acquisition activities can involve substantial capital investments. We intend to fund our 2023 capital program using cash flow from operations. Accordingly, a reduction in projected operating cash flow could cause us to reduce our future capital investments. In general, the ability to execute our capital plan depends on a number of factors, including:</w:t>
      </w:r>
    </w:p>
    <w:p>
      <w:pPr>
        <w:spacing w:after="0" w:line="203" w:lineRule="exact"/>
        <w:rPr>
          <w:sz w:val="20"/>
          <w:szCs w:val="20"/>
          <w:color w:val="auto"/>
        </w:rPr>
      </w:pPr>
    </w:p>
    <w:p>
      <w:pPr>
        <w:ind w:left="1200" w:hanging="300"/>
        <w:spacing w:after="0"/>
        <w:tabs>
          <w:tab w:leader="none" w:pos="12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amount of oil, natural gas and NGLs we are able to produce;</w:t>
      </w:r>
    </w:p>
    <w:p>
      <w:pPr>
        <w:spacing w:after="0" w:line="10" w:lineRule="exact"/>
        <w:rPr>
          <w:rFonts w:ascii="Arial" w:cs="Arial" w:eastAsia="Arial" w:hAnsi="Arial"/>
          <w:sz w:val="20"/>
          <w:szCs w:val="20"/>
          <w:color w:val="auto"/>
        </w:rPr>
      </w:pPr>
    </w:p>
    <w:p>
      <w:pPr>
        <w:ind w:left="1200" w:hanging="300"/>
        <w:spacing w:after="0"/>
        <w:tabs>
          <w:tab w:leader="none" w:pos="12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commodity prices;</w:t>
      </w:r>
    </w:p>
    <w:p>
      <w:pPr>
        <w:spacing w:after="0" w:line="10" w:lineRule="exact"/>
        <w:rPr>
          <w:rFonts w:ascii="Arial" w:cs="Arial" w:eastAsia="Arial" w:hAnsi="Arial"/>
          <w:sz w:val="20"/>
          <w:szCs w:val="20"/>
          <w:color w:val="auto"/>
        </w:rPr>
      </w:pPr>
    </w:p>
    <w:p>
      <w:pPr>
        <w:ind w:left="1200" w:hanging="300"/>
        <w:spacing w:after="0"/>
        <w:tabs>
          <w:tab w:leader="none" w:pos="12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regulatory and third-party approvals;</w:t>
      </w:r>
    </w:p>
    <w:p>
      <w:pPr>
        <w:spacing w:after="0" w:line="10" w:lineRule="exact"/>
        <w:rPr>
          <w:rFonts w:ascii="Arial" w:cs="Arial" w:eastAsia="Arial" w:hAnsi="Arial"/>
          <w:sz w:val="20"/>
          <w:szCs w:val="20"/>
          <w:color w:val="auto"/>
        </w:rPr>
      </w:pPr>
    </w:p>
    <w:p>
      <w:pPr>
        <w:ind w:left="1200" w:hanging="300"/>
        <w:spacing w:after="0"/>
        <w:tabs>
          <w:tab w:leader="none" w:pos="12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our ability to timely drill, complete and stimulate wells;</w:t>
      </w:r>
    </w:p>
    <w:p>
      <w:pPr>
        <w:spacing w:after="0" w:line="12" w:lineRule="exact"/>
        <w:rPr>
          <w:rFonts w:ascii="Arial" w:cs="Arial" w:eastAsia="Arial" w:hAnsi="Arial"/>
          <w:sz w:val="20"/>
          <w:szCs w:val="20"/>
          <w:color w:val="auto"/>
        </w:rPr>
      </w:pPr>
    </w:p>
    <w:p>
      <w:pPr>
        <w:ind w:left="1200" w:hanging="300"/>
        <w:spacing w:after="0"/>
        <w:tabs>
          <w:tab w:leader="none" w:pos="12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our ability to secure equipment, services and personnel; and</w:t>
      </w:r>
    </w:p>
    <w:p>
      <w:pPr>
        <w:spacing w:after="0" w:line="10" w:lineRule="exact"/>
        <w:rPr>
          <w:rFonts w:ascii="Arial" w:cs="Arial" w:eastAsia="Arial" w:hAnsi="Arial"/>
          <w:sz w:val="20"/>
          <w:szCs w:val="20"/>
          <w:color w:val="auto"/>
        </w:rPr>
      </w:pPr>
    </w:p>
    <w:p>
      <w:pPr>
        <w:ind w:left="1200" w:hanging="300"/>
        <w:spacing w:after="0"/>
        <w:tabs>
          <w:tab w:leader="none" w:pos="12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our liquidity and ability fund capital expenditures.</w:t>
      </w:r>
    </w:p>
    <w:p>
      <w:pPr>
        <w:spacing w:after="0" w:line="214"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Access to future capital may be limited by our lenders, capital markets constraints, activist funds or investors, or poor stock price performance. Because of these and other potential variables, we may be unable to deploy capital in the manner planned, which may negatively impact our production levels and development activities and limit our ability to make acquisitions or enter into partnerships and farmout arrangements.</w:t>
      </w:r>
    </w:p>
    <w:p>
      <w:pPr>
        <w:spacing w:after="0" w:line="207"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color w:val="auto"/>
        </w:rPr>
        <w:t>Unless we make sufficient capital investments and conduct successful development and exploration activities or acquire properties containing proved reserves, our proved reserves will decline as those reserves are produced. Our ability to make the necessary long-term capital investments or acquisitions needed to maintain or expand our reserves may be impaired to the extent we have insufficient cash flow from operations or liquidity to fund those activities. Over the long term, a continuing decline in our production and reserves would reduce our liquidity and ability to satisfy our debt obligations by reducing our cash flow from operations and the value of our assets.</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20"/>
          <w:szCs w:val="20"/>
          <w:b w:val="1"/>
          <w:bCs w:val="1"/>
          <w:i w:val="1"/>
          <w:iCs w:val="1"/>
          <w:color w:val="auto"/>
        </w:rPr>
        <w:t>We have been negatively impacted by inflation.</w:t>
      </w:r>
    </w:p>
    <w:p>
      <w:pPr>
        <w:spacing w:after="0" w:line="215"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color w:val="auto"/>
        </w:rPr>
        <w:t>Increases in inflation have had an adverse effect on us. Current and future inflationary effects may be driven by, among other things, supply chain disruptions and governmental stimulus or fiscal policies, and geopolitical instability. In 2022, we experienced high single digit inflation for certain materials and services we procure from vendors including OCTG, fluid hauling, drilling equipment and mechanical and electrical labor services, among other items. We have taken measures to limit the effects of the inflationary market by entering into contracts for materials and services with terms of one to three years. Additionally, we continually look at productivity and performance improvements from our vendors in order to mitigate these price increases and also to reduce volumes consumed. However, there can be no assurances that such measures will be effective and we anticipate modest price increases for materials and services in the future. Continuing increases in inflation could further increase our costs of labor and other costs related to our business, which could have an adverse impact on our business, financial position, results of operations and cashflows. Inflation has also resulted in higher interest rates in the United States, which could increase the cost of our future financing efforts.</w:t>
      </w:r>
    </w:p>
    <w:p>
      <w:pPr>
        <w:sectPr>
          <w:pgSz w:w="11880" w:h="15480" w:orient="portrait"/>
          <w:cols w:equalWidth="0" w:num="1">
            <w:col w:w="9120"/>
          </w:cols>
          <w:pgMar w:left="1380" w:top="1311"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ectPr>
          <w:pgSz w:w="11880" w:h="15480" w:orient="portrait"/>
          <w:cols w:equalWidth="0" w:num="1">
            <w:col w:w="9120"/>
          </w:cols>
          <w:pgMar w:left="1380" w:top="1311" w:right="1380" w:bottom="655" w:gutter="0" w:footer="0" w:header="0"/>
          <w:type w:val="continuous"/>
        </w:sectPr>
      </w:pPr>
    </w:p>
    <w:bookmarkStart w:id="49" w:name="page50"/>
    <w:bookmarkEnd w:id="49"/>
    <w:p>
      <w:pPr>
        <w:ind w:right="140" w:firstLine="300"/>
        <w:spacing w:after="0" w:line="250" w:lineRule="auto"/>
        <w:rPr>
          <w:sz w:val="20"/>
          <w:szCs w:val="20"/>
          <w:color w:val="auto"/>
        </w:rPr>
      </w:pPr>
      <w:r>
        <w:rPr>
          <w:rFonts w:ascii="Arial" w:cs="Arial" w:eastAsia="Arial" w:hAnsi="Arial"/>
          <w:sz w:val="20"/>
          <w:szCs w:val="20"/>
          <w:b w:val="1"/>
          <w:bCs w:val="1"/>
          <w:i w:val="1"/>
          <w:iCs w:val="1"/>
          <w:color w:val="auto"/>
        </w:rPr>
        <w:t>We are subject to economic downturns and the effects of public health events, such as the COVID-19 pandemic, which may materially and adversely affect the demand and the market price for our products.</w:t>
      </w:r>
    </w:p>
    <w:p>
      <w:pPr>
        <w:spacing w:after="0" w:line="186" w:lineRule="exact"/>
        <w:rPr>
          <w:sz w:val="20"/>
          <w:szCs w:val="20"/>
          <w:color w:val="auto"/>
        </w:rPr>
      </w:pPr>
    </w:p>
    <w:p>
      <w:pPr>
        <w:ind w:right="40" w:firstLine="300"/>
        <w:spacing w:after="0" w:line="250" w:lineRule="auto"/>
        <w:rPr>
          <w:sz w:val="20"/>
          <w:szCs w:val="20"/>
          <w:color w:val="auto"/>
        </w:rPr>
      </w:pPr>
      <w:r>
        <w:rPr>
          <w:rFonts w:ascii="Arial" w:cs="Arial" w:eastAsia="Arial" w:hAnsi="Arial"/>
          <w:sz w:val="20"/>
          <w:szCs w:val="20"/>
          <w:color w:val="auto"/>
        </w:rPr>
        <w:t>The COVID-19 pandemic has adversely affected the global economy, and has resulted in, among other things, travel restrictions, business closures and the institution of quarantining and other mandated and self-imposed restrictions on movement. The severity, magnitude and duration of COVID-19 or another pandemic, the extent of actions that have been or may be taken to contain or treat their impact, and the impacts on the economy generally and oil prices in particular, are uncertain, rapidly changing and hard to predict. This uncertainty could force us to reduce costs, including by decreasing operating expenses and lowering capital expenditures, and such actions could negatively affect future production and our reserves. We may experience labor shortages if our employees are unwilling or unable to come to work because of illness, quarantines, government actions or other restrictions in connection with the pandemic. If our suppliers cannot deliver the materials, supplies and services we need, we may need to suspend operations. In addition, we are exposed to changes in commodity prices which have been and will likely remain volatile. We cannot predict the duration and extent of the pandemic’s adverse impact on our operating results.</w:t>
      </w:r>
    </w:p>
    <w:p>
      <w:pPr>
        <w:spacing w:after="0" w:line="186" w:lineRule="exact"/>
        <w:rPr>
          <w:sz w:val="20"/>
          <w:szCs w:val="20"/>
          <w:color w:val="auto"/>
        </w:rPr>
      </w:pPr>
    </w:p>
    <w:p>
      <w:pPr>
        <w:ind w:right="120" w:firstLine="300"/>
        <w:spacing w:after="0" w:line="267" w:lineRule="auto"/>
        <w:rPr>
          <w:sz w:val="20"/>
          <w:szCs w:val="20"/>
          <w:color w:val="auto"/>
        </w:rPr>
      </w:pPr>
      <w:r>
        <w:rPr>
          <w:rFonts w:ascii="Arial" w:cs="Arial" w:eastAsia="Arial" w:hAnsi="Arial"/>
          <w:sz w:val="19"/>
          <w:szCs w:val="19"/>
          <w:color w:val="auto"/>
        </w:rPr>
        <w:t xml:space="preserve">Additionally, to the extent the COVID-19 pandemic or any resulting worsening of the global business and economic environment adversely affects our business and financial results, it may also have the effect of heightening or exacerbating many of the other risks described in the </w:t>
      </w:r>
      <w:r>
        <w:rPr>
          <w:rFonts w:ascii="Arial" w:cs="Arial" w:eastAsia="Arial" w:hAnsi="Arial"/>
          <w:sz w:val="19"/>
          <w:szCs w:val="19"/>
          <w:i w:val="1"/>
          <w:iCs w:val="1"/>
          <w:color w:val="auto"/>
        </w:rPr>
        <w:t>Risk Factors</w:t>
      </w:r>
      <w:r>
        <w:rPr>
          <w:rFonts w:ascii="Arial" w:cs="Arial" w:eastAsia="Arial" w:hAnsi="Arial"/>
          <w:sz w:val="19"/>
          <w:szCs w:val="19"/>
          <w:color w:val="auto"/>
        </w:rPr>
        <w:t xml:space="preserve"> herein.</w:t>
      </w:r>
    </w:p>
    <w:p>
      <w:pPr>
        <w:spacing w:after="0" w:line="166" w:lineRule="exact"/>
        <w:rPr>
          <w:sz w:val="20"/>
          <w:szCs w:val="20"/>
          <w:color w:val="auto"/>
        </w:rPr>
      </w:pPr>
    </w:p>
    <w:p>
      <w:pPr>
        <w:ind w:right="920" w:firstLine="300"/>
        <w:spacing w:after="0" w:line="250" w:lineRule="auto"/>
        <w:rPr>
          <w:sz w:val="20"/>
          <w:szCs w:val="20"/>
          <w:color w:val="auto"/>
        </w:rPr>
      </w:pPr>
      <w:r>
        <w:rPr>
          <w:rFonts w:ascii="Arial" w:cs="Arial" w:eastAsia="Arial" w:hAnsi="Arial"/>
          <w:sz w:val="20"/>
          <w:szCs w:val="20"/>
          <w:b w:val="1"/>
          <w:bCs w:val="1"/>
          <w:i w:val="1"/>
          <w:iCs w:val="1"/>
          <w:color w:val="auto"/>
        </w:rPr>
        <w:t>The conflict in Ukraine and related price volatility and geopolitical instability could negatively impact our business.</w:t>
      </w:r>
    </w:p>
    <w:p>
      <w:pPr>
        <w:spacing w:after="0" w:line="186" w:lineRule="exact"/>
        <w:rPr>
          <w:sz w:val="20"/>
          <w:szCs w:val="20"/>
          <w:color w:val="auto"/>
        </w:rPr>
      </w:pPr>
    </w:p>
    <w:p>
      <w:pPr>
        <w:ind w:right="100" w:firstLine="300"/>
        <w:spacing w:after="0" w:line="249" w:lineRule="auto"/>
        <w:rPr>
          <w:sz w:val="20"/>
          <w:szCs w:val="20"/>
          <w:color w:val="auto"/>
        </w:rPr>
      </w:pPr>
      <w:r>
        <w:rPr>
          <w:rFonts w:ascii="Arial" w:cs="Arial" w:eastAsia="Arial" w:hAnsi="Arial"/>
          <w:sz w:val="20"/>
          <w:szCs w:val="20"/>
          <w:color w:val="auto"/>
        </w:rPr>
        <w:t>In late February 2022, Russia launched significant military action against Ukraine. The conflict has caused, and could intensify, volatility in the prices of natural gas, oil and NGLs, and the extent and duration of the military action, sanctions and resulting market disruptions have been significant and could continue to have a substantial impact on the global economy and our business for an unknown period of time.</w:t>
      </w:r>
    </w:p>
    <w:p>
      <w:pPr>
        <w:spacing w:after="0" w:line="187"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Further, in the fall of 2022, OPEC+ announced a 2 million barrel per day reduction in production quotas. This action was taken largely in response to the U.S. decision to continue releasing crude from its Strategic Petroleum Reserve. While actual OPEC+ production capabilities are difficult to discern, any return to previous targeted production levels could cause commodity prices to decline which would reduce the revenues we receive for our oil and natural gas production.</w:t>
      </w:r>
    </w:p>
    <w:p>
      <w:pPr>
        <w:spacing w:after="0" w:line="187" w:lineRule="exact"/>
        <w:rPr>
          <w:sz w:val="20"/>
          <w:szCs w:val="20"/>
          <w:color w:val="auto"/>
        </w:rPr>
      </w:pPr>
    </w:p>
    <w:p>
      <w:pPr>
        <w:ind w:right="300" w:firstLine="300"/>
        <w:spacing w:after="0" w:line="245" w:lineRule="auto"/>
        <w:rPr>
          <w:sz w:val="20"/>
          <w:szCs w:val="20"/>
          <w:color w:val="auto"/>
        </w:rPr>
      </w:pPr>
      <w:r>
        <w:rPr>
          <w:rFonts w:ascii="Arial" w:cs="Arial" w:eastAsia="Arial" w:hAnsi="Arial"/>
          <w:sz w:val="20"/>
          <w:szCs w:val="20"/>
          <w:color w:val="auto"/>
        </w:rPr>
        <w:t>Materialization of either of the events described above may also magnify the impact of the other risks described in this “</w:t>
      </w:r>
      <w:r>
        <w:rPr>
          <w:rFonts w:ascii="Arial" w:cs="Arial" w:eastAsia="Arial" w:hAnsi="Arial"/>
          <w:sz w:val="20"/>
          <w:szCs w:val="20"/>
          <w:i w:val="1"/>
          <w:iCs w:val="1"/>
          <w:color w:val="auto"/>
        </w:rPr>
        <w:t>Risk Factors</w:t>
      </w:r>
      <w:r>
        <w:rPr>
          <w:rFonts w:ascii="Arial" w:cs="Arial" w:eastAsia="Arial" w:hAnsi="Arial"/>
          <w:sz w:val="20"/>
          <w:szCs w:val="20"/>
          <w:color w:val="auto"/>
        </w:rPr>
        <w:t>” section.</w:t>
      </w:r>
    </w:p>
    <w:p>
      <w:pPr>
        <w:spacing w:after="0" w:line="186" w:lineRule="exact"/>
        <w:rPr>
          <w:sz w:val="20"/>
          <w:szCs w:val="20"/>
          <w:color w:val="auto"/>
        </w:rPr>
      </w:pPr>
    </w:p>
    <w:p>
      <w:pPr>
        <w:ind w:right="240" w:firstLine="300"/>
        <w:spacing w:after="0" w:line="250" w:lineRule="auto"/>
        <w:rPr>
          <w:sz w:val="20"/>
          <w:szCs w:val="20"/>
          <w:color w:val="auto"/>
        </w:rPr>
      </w:pPr>
      <w:r>
        <w:rPr>
          <w:rFonts w:ascii="Arial" w:cs="Arial" w:eastAsia="Arial" w:hAnsi="Arial"/>
          <w:sz w:val="20"/>
          <w:szCs w:val="20"/>
          <w:b w:val="1"/>
          <w:bCs w:val="1"/>
          <w:i w:val="1"/>
          <w:iCs w:val="1"/>
          <w:color w:val="auto"/>
        </w:rPr>
        <w:t>From time to time we may engage in step-out drilling or drilling in new or emerging plays. Our drilling results are uncertain, and the value of our undeveloped acreage may decline if drilling is unsuccessful.</w:t>
      </w:r>
    </w:p>
    <w:p>
      <w:pPr>
        <w:spacing w:after="0" w:line="186"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The risk profile for step-out drilling or drilling in new or emerging plays is higher than for other locations because we have less geologic and production data and drilling history, in particular for drilling in unconventional reservoirs, which are in unproven geologic plays. Our ability to profitably drill and develop our identified drilling locations depends on a number of variables, including crude oil and natural gas prices, capital availability, costs, drilling results, regulatory approvals, available transportation capacity and other factors. We may not find commercial amounts of oil or natural gas or the costs of drilling, completing, stimulating and operating wells in these locations may be higher than initially expected. If future drilling results in these projects do not establish sufficient reserves to achieve an economic return, we may curtail drilling or development of these projects. In either case, the value of our undeveloped acreage may decline and could be impaired.</w:t>
      </w:r>
    </w:p>
    <w:p>
      <w:pPr>
        <w:sectPr>
          <w:pgSz w:w="11880" w:h="15480" w:orient="portrait"/>
          <w:cols w:equalWidth="0" w:num="1">
            <w:col w:w="9060"/>
          </w:cols>
          <w:pgMar w:left="1380" w:top="1311" w:right="1440" w:bottom="655" w:gutter="0" w:footer="0" w:header="0"/>
        </w:sect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46</w:t>
      </w:r>
    </w:p>
    <w:p>
      <w:pPr>
        <w:sectPr>
          <w:pgSz w:w="11880" w:h="15480" w:orient="portrait"/>
          <w:cols w:equalWidth="0" w:num="1">
            <w:col w:w="9060"/>
          </w:cols>
          <w:pgMar w:left="1380" w:top="1311" w:right="1440" w:bottom="655" w:gutter="0" w:footer="0" w:header="0"/>
          <w:type w:val="continuous"/>
        </w:sectPr>
      </w:pPr>
    </w:p>
    <w:bookmarkStart w:id="50" w:name="page51"/>
    <w:bookmarkEnd w:id="50"/>
    <w:p>
      <w:pPr>
        <w:jc w:val="both"/>
        <w:ind w:right="900" w:firstLine="300"/>
        <w:spacing w:after="0" w:line="250" w:lineRule="auto"/>
        <w:rPr>
          <w:sz w:val="20"/>
          <w:szCs w:val="20"/>
          <w:color w:val="auto"/>
        </w:rPr>
      </w:pPr>
      <w:r>
        <w:rPr>
          <w:rFonts w:ascii="Arial" w:cs="Arial" w:eastAsia="Arial" w:hAnsi="Arial"/>
          <w:sz w:val="20"/>
          <w:szCs w:val="20"/>
          <w:b w:val="1"/>
          <w:bCs w:val="1"/>
          <w:i w:val="1"/>
          <w:iCs w:val="1"/>
          <w:color w:val="auto"/>
        </w:rPr>
        <w:t>Many of our current and potential competitors have or may potentially have greater resources than we have and we may not be able to successfully compete in acquiring, exploring and developing new properties.</w:t>
      </w:r>
    </w:p>
    <w:p>
      <w:pPr>
        <w:spacing w:after="0" w:line="177"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We face competition in every aspect of our business, including, but not limited to, acquiring reserves and leases, obtaining goods and services and hiring and retaining employees needed to operate and manage our business and marketing natural gas, NGLs or oil. Competitors include multinational oil companies, independent production companies and individual producers and operators. In California, our competitors are few and large, which may limit available acquisition opportunities. Many of our competitors have greater financial and other resources than we do. As a result, these competitors may be able to address such competitive factors more effectively than we can or withstand industry downturns more easily than we can.</w:t>
      </w:r>
    </w:p>
    <w:p>
      <w:pPr>
        <w:spacing w:after="0" w:line="177" w:lineRule="exact"/>
        <w:rPr>
          <w:sz w:val="20"/>
          <w:szCs w:val="20"/>
          <w:color w:val="auto"/>
        </w:rPr>
      </w:pPr>
    </w:p>
    <w:p>
      <w:pPr>
        <w:ind w:right="180" w:firstLine="300"/>
        <w:spacing w:after="0" w:line="250" w:lineRule="auto"/>
        <w:rPr>
          <w:sz w:val="20"/>
          <w:szCs w:val="20"/>
          <w:color w:val="auto"/>
        </w:rPr>
      </w:pPr>
      <w:r>
        <w:rPr>
          <w:rFonts w:ascii="Arial" w:cs="Arial" w:eastAsia="Arial" w:hAnsi="Arial"/>
          <w:sz w:val="20"/>
          <w:szCs w:val="20"/>
          <w:b w:val="1"/>
          <w:bCs w:val="1"/>
          <w:i w:val="1"/>
          <w:iCs w:val="1"/>
          <w:color w:val="auto"/>
        </w:rPr>
        <w:t>Our hedging activities limit our ability to realize the full benefits of increases in commodity prices.</w:t>
      </w:r>
    </w:p>
    <w:p>
      <w:pPr>
        <w:spacing w:after="0" w:line="177"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We enter into hedges to mitigate our economic exposure to commodity price volatility and ensure our financial strength and liquidity by protecting our cash flows. Our Revolving Credit Facility also includes a covenant that would require us to enter into a certain level of hedges if a financial metric related to our indebtedness is no longer satisfied. In addition, we have previously entered into incremental hedges above these requirements for certain time periods. These hedges expose us to the risk of financial losses depending on commodity price movements and may prevent us from realizing the full benefits of price increases. Our ability to realize the benefits of our hedges also depends in part upon the counterparties to these contracts honoring their financial obligations. If any of our counterparties are unable to perform their obligations in the future, we could be exposed to increased cash flow volatility that could affect our liquidity.</w:t>
      </w:r>
    </w:p>
    <w:p>
      <w:pPr>
        <w:spacing w:after="0" w:line="171" w:lineRule="exact"/>
        <w:rPr>
          <w:sz w:val="20"/>
          <w:szCs w:val="20"/>
          <w:color w:val="auto"/>
        </w:rPr>
      </w:pPr>
    </w:p>
    <w:p>
      <w:pPr>
        <w:ind w:right="140" w:firstLine="315"/>
        <w:spacing w:after="0" w:line="239" w:lineRule="auto"/>
        <w:rPr>
          <w:sz w:val="20"/>
          <w:szCs w:val="20"/>
          <w:color w:val="auto"/>
        </w:rPr>
      </w:pPr>
      <w:r>
        <w:rPr>
          <w:rFonts w:ascii="Arial" w:cs="Arial" w:eastAsia="Arial" w:hAnsi="Arial"/>
          <w:sz w:val="21"/>
          <w:szCs w:val="21"/>
          <w:b w:val="1"/>
          <w:bCs w:val="1"/>
          <w:i w:val="1"/>
          <w:iCs w:val="1"/>
          <w:color w:val="auto"/>
        </w:rPr>
        <w:t>Our level of hedging activities may be impacted by financial regulations that could increase our costs of hedging and/or limit the number of hedging counterparties available to us.</w:t>
      </w:r>
    </w:p>
    <w:p>
      <w:pPr>
        <w:spacing w:after="0" w:line="174" w:lineRule="exact"/>
        <w:rPr>
          <w:sz w:val="20"/>
          <w:szCs w:val="20"/>
          <w:color w:val="auto"/>
        </w:rPr>
      </w:pPr>
    </w:p>
    <w:p>
      <w:pPr>
        <w:ind w:right="80" w:firstLine="315"/>
        <w:spacing w:after="0" w:line="238" w:lineRule="auto"/>
        <w:rPr>
          <w:sz w:val="20"/>
          <w:szCs w:val="20"/>
          <w:color w:val="auto"/>
        </w:rPr>
      </w:pPr>
      <w:r>
        <w:rPr>
          <w:rFonts w:ascii="Arial" w:cs="Arial" w:eastAsia="Arial" w:hAnsi="Arial"/>
          <w:sz w:val="21"/>
          <w:szCs w:val="21"/>
          <w:color w:val="auto"/>
        </w:rPr>
        <w:t>U.S. financial regulations can impact both our level of hedging activity as well as the potential cost of entering into hedges. In particular, the Dodd-Frank Wall Street Reform and Consumer Protection Act (Dodd-Frank Act), enacted in 2010, established federal oversight and regulation of the over-the-counter (OTC) derivatives market and entities, like us, that participate in that market. Among other things, the Dodd-Frank Act required the U.S. Commodity Futures Trading Commission to promulgate a range of rules and regulations applicable to OTC derivatives transactions. These regulations can affect both the size of positions that we may enter and the ability or willingness of counterparties to trade opposite us.</w:t>
      </w:r>
    </w:p>
    <w:p>
      <w:pPr>
        <w:spacing w:after="0" w:line="175" w:lineRule="exact"/>
        <w:rPr>
          <w:sz w:val="20"/>
          <w:szCs w:val="20"/>
          <w:color w:val="auto"/>
        </w:rPr>
      </w:pPr>
    </w:p>
    <w:p>
      <w:pPr>
        <w:ind w:right="20" w:firstLine="315"/>
        <w:spacing w:after="0" w:line="238" w:lineRule="auto"/>
        <w:rPr>
          <w:sz w:val="20"/>
          <w:szCs w:val="20"/>
          <w:color w:val="auto"/>
        </w:rPr>
      </w:pPr>
      <w:r>
        <w:rPr>
          <w:rFonts w:ascii="Arial" w:cs="Arial" w:eastAsia="Arial" w:hAnsi="Arial"/>
          <w:sz w:val="21"/>
          <w:szCs w:val="21"/>
          <w:color w:val="auto"/>
        </w:rPr>
        <w:t>In addition, U.S. regulators adopted a final rule in November 2019 implementing a new approach for calculating the exposure amount of derivative contracts under the applicable agencies’ regulatory capital rules, referred to as the standardized approach for counterparty credit risk (SA-CCR). Certain financial institutions were required to comply with the new SA-CCR rules beginning on January 1, 2022. The new rules could significantly increase the capital requirements for some of our hedge counterparties in the OTC derivatives market. These increased capital requirements could result in significant additional costs being passed through to end users like us or reduce the number of participants or products available to us in the OTC derivatives market.</w:t>
      </w:r>
    </w:p>
    <w:p>
      <w:pPr>
        <w:spacing w:after="0" w:line="175" w:lineRule="exact"/>
        <w:rPr>
          <w:sz w:val="20"/>
          <w:szCs w:val="20"/>
          <w:color w:val="auto"/>
        </w:rPr>
      </w:pPr>
    </w:p>
    <w:p>
      <w:pPr>
        <w:ind w:right="100" w:firstLine="315"/>
        <w:spacing w:after="0" w:line="237" w:lineRule="auto"/>
        <w:rPr>
          <w:sz w:val="20"/>
          <w:szCs w:val="20"/>
          <w:color w:val="auto"/>
        </w:rPr>
      </w:pPr>
      <w:r>
        <w:rPr>
          <w:rFonts w:ascii="Arial" w:cs="Arial" w:eastAsia="Arial" w:hAnsi="Arial"/>
          <w:sz w:val="21"/>
          <w:szCs w:val="21"/>
          <w:color w:val="auto"/>
        </w:rPr>
        <w:t>The European Union and other non-U.S. jurisdictions may implement regulations with respect to the derivatives market. To the extent we transact with counterparties in foreign jurisdictions or counterparties with other businesses that subject them to regulation in foreign jurisdictions, we may become subject to or otherwise impacted by such regulations, which could also adversely affect our hedging opportunities.</w:t>
      </w:r>
    </w:p>
    <w:p>
      <w:pPr>
        <w:sectPr>
          <w:pgSz w:w="11880" w:h="15480" w:orient="portrait"/>
          <w:cols w:equalWidth="0" w:num="1">
            <w:col w:w="9100"/>
          </w:cols>
          <w:pgMar w:left="1380" w:top="1311" w:right="1400" w:bottom="653" w:gutter="0" w:footer="0" w:header="0"/>
        </w:sect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47</w:t>
      </w:r>
    </w:p>
    <w:p>
      <w:pPr>
        <w:sectPr>
          <w:pgSz w:w="11880" w:h="15480" w:orient="portrait"/>
          <w:cols w:equalWidth="0" w:num="1">
            <w:col w:w="9100"/>
          </w:cols>
          <w:pgMar w:left="1380" w:top="1311" w:right="1400" w:bottom="653" w:gutter="0" w:footer="0" w:header="0"/>
          <w:type w:val="continuous"/>
        </w:sectPr>
      </w:pPr>
    </w:p>
    <w:bookmarkStart w:id="51" w:name="page52"/>
    <w:bookmarkEnd w:id="51"/>
    <w:p>
      <w:pPr>
        <w:ind w:right="260" w:firstLine="315"/>
        <w:spacing w:after="0" w:line="239" w:lineRule="auto"/>
        <w:rPr>
          <w:sz w:val="20"/>
          <w:szCs w:val="20"/>
          <w:color w:val="auto"/>
        </w:rPr>
      </w:pPr>
      <w:r>
        <w:rPr>
          <w:rFonts w:ascii="Arial" w:cs="Arial" w:eastAsia="Arial" w:hAnsi="Arial"/>
          <w:sz w:val="21"/>
          <w:szCs w:val="21"/>
          <w:b w:val="1"/>
          <w:bCs w:val="1"/>
          <w:i w:val="1"/>
          <w:iCs w:val="1"/>
          <w:color w:val="auto"/>
        </w:rPr>
        <w:t>Estimates of proved reserves and related future net cash flows are not precise. The actual quantities of our proved reserves and future net cash flows may prove to be lower than estimated.</w:t>
      </w:r>
    </w:p>
    <w:p>
      <w:pPr>
        <w:spacing w:after="0" w:line="203" w:lineRule="exact"/>
        <w:rPr>
          <w:sz w:val="20"/>
          <w:szCs w:val="20"/>
          <w:color w:val="auto"/>
        </w:rPr>
      </w:pPr>
    </w:p>
    <w:p>
      <w:pPr>
        <w:ind w:firstLine="315"/>
        <w:spacing w:after="0" w:line="237" w:lineRule="auto"/>
        <w:rPr>
          <w:sz w:val="20"/>
          <w:szCs w:val="20"/>
          <w:color w:val="auto"/>
        </w:rPr>
      </w:pPr>
      <w:r>
        <w:rPr>
          <w:rFonts w:ascii="Arial" w:cs="Arial" w:eastAsia="Arial" w:hAnsi="Arial"/>
          <w:sz w:val="21"/>
          <w:szCs w:val="21"/>
          <w:color w:val="auto"/>
        </w:rPr>
        <w:t>Many uncertainties exist in estimating quantities of proved reserves and related future net cash flows. Our estimates are based on various assumptions that require significant judgment in the evaluation of available information. Our assumptions may ultimately prove to be inaccurate. Additionally, reservoir data may change over time as more information becomes available from development and appraisal activities.</w:t>
      </w:r>
    </w:p>
    <w:p>
      <w:pPr>
        <w:spacing w:after="0" w:line="208" w:lineRule="exact"/>
        <w:rPr>
          <w:sz w:val="20"/>
          <w:szCs w:val="20"/>
          <w:color w:val="auto"/>
        </w:rPr>
      </w:pPr>
    </w:p>
    <w:p>
      <w:pPr>
        <w:ind w:right="200" w:firstLine="315"/>
        <w:spacing w:after="0" w:line="237" w:lineRule="auto"/>
        <w:rPr>
          <w:sz w:val="20"/>
          <w:szCs w:val="20"/>
          <w:color w:val="auto"/>
        </w:rPr>
      </w:pPr>
      <w:r>
        <w:rPr>
          <w:rFonts w:ascii="Arial" w:cs="Arial" w:eastAsia="Arial" w:hAnsi="Arial"/>
          <w:sz w:val="21"/>
          <w:szCs w:val="21"/>
          <w:color w:val="auto"/>
        </w:rPr>
        <w:t>Our ability to add reserves, other than through acquisitions, depends on the success of improved recovery, extension and discovery projects, each of which depends on reservoir characteristics, technology improvements and oil and natural gas prices, as well as capital and operating costs. Many of these factors are outside management’s control and will affect whether the historical sources of proved reserves additions continue to provide reserves at similar levels.</w:t>
      </w:r>
    </w:p>
    <w:p>
      <w:pPr>
        <w:spacing w:after="0" w:line="208" w:lineRule="exact"/>
        <w:rPr>
          <w:sz w:val="20"/>
          <w:szCs w:val="20"/>
          <w:color w:val="auto"/>
        </w:rPr>
      </w:pPr>
    </w:p>
    <w:p>
      <w:pPr>
        <w:ind w:right="280" w:firstLine="315"/>
        <w:spacing w:after="0" w:line="237" w:lineRule="auto"/>
        <w:rPr>
          <w:sz w:val="20"/>
          <w:szCs w:val="20"/>
          <w:color w:val="auto"/>
        </w:rPr>
      </w:pPr>
      <w:r>
        <w:rPr>
          <w:rFonts w:ascii="Arial" w:cs="Arial" w:eastAsia="Arial" w:hAnsi="Arial"/>
          <w:sz w:val="21"/>
          <w:szCs w:val="21"/>
          <w:color w:val="auto"/>
        </w:rPr>
        <w:t>Generally, lower prices adversely affect the quantity of our reserves as those reserves expected to be produced in later years, which tend to be costlier on a per unit basis, become uneconomic. In addition, a portion of our proved undeveloped reserves may no longer meet the economic producibility criteria under the applicable rules or may be removed due to a lower amount of capital available to develop these projects within the SEC-mandated five-year limit.</w:t>
      </w:r>
    </w:p>
    <w:p>
      <w:pPr>
        <w:spacing w:after="0" w:line="217" w:lineRule="exact"/>
        <w:rPr>
          <w:sz w:val="20"/>
          <w:szCs w:val="20"/>
          <w:color w:val="auto"/>
        </w:rPr>
      </w:pPr>
    </w:p>
    <w:p>
      <w:pPr>
        <w:ind w:right="40" w:firstLine="300"/>
        <w:spacing w:after="0" w:line="248" w:lineRule="auto"/>
        <w:rPr>
          <w:sz w:val="20"/>
          <w:szCs w:val="20"/>
          <w:color w:val="auto"/>
        </w:rPr>
      </w:pPr>
      <w:r>
        <w:rPr>
          <w:rFonts w:ascii="Arial" w:cs="Arial" w:eastAsia="Arial" w:hAnsi="Arial"/>
          <w:sz w:val="20"/>
          <w:szCs w:val="20"/>
          <w:color w:val="auto"/>
        </w:rPr>
        <w:t>In addition, our reserves information represents estimates prepared by internal engineers. Although 85% of our estimated proved reserve volumes as of December 31, 2022 were audited by our independent petroleum engineers, Ryder Scott and NSAI, we cannot guarantee that the estimates are accurate.</w:t>
      </w:r>
    </w:p>
    <w:p>
      <w:pPr>
        <w:spacing w:after="0" w:line="209" w:lineRule="exact"/>
        <w:rPr>
          <w:sz w:val="20"/>
          <w:szCs w:val="20"/>
          <w:color w:val="auto"/>
        </w:rPr>
      </w:pPr>
    </w:p>
    <w:p>
      <w:pPr>
        <w:ind w:right="60" w:firstLine="300"/>
        <w:spacing w:after="0" w:line="264" w:lineRule="auto"/>
        <w:rPr>
          <w:sz w:val="20"/>
          <w:szCs w:val="20"/>
          <w:color w:val="auto"/>
        </w:rPr>
      </w:pPr>
      <w:r>
        <w:rPr>
          <w:rFonts w:ascii="Arial" w:cs="Arial" w:eastAsia="Arial" w:hAnsi="Arial"/>
          <w:sz w:val="19"/>
          <w:szCs w:val="19"/>
          <w:color w:val="auto"/>
        </w:rPr>
        <w:t>Reserves estimation is a partially subjective process of estimating accumulations of oil and natural gas. Estimates of economically recoverable oil and natural gas reserves and of future net cash flows from those reserves depend upon a number of variables and assumptions. Changes in these variables and assumptions could require us to make significant negative reserves revisions, which could affect our liquidity by reducing the borrowing base under our Revolving Credit Facility. In addition, factors such as the availability of capital, geology, government regulations and permits, the effectiveness of development plans and other factors could affect the source or quantity of future reserves additions.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Regulation and Government Action</w:t>
      </w:r>
    </w:p>
    <w:p>
      <w:pPr>
        <w:spacing w:after="0" w:line="210" w:lineRule="exact"/>
        <w:rPr>
          <w:sz w:val="20"/>
          <w:szCs w:val="20"/>
          <w:color w:val="auto"/>
        </w:rPr>
      </w:pPr>
    </w:p>
    <w:p>
      <w:pPr>
        <w:ind w:right="80" w:firstLine="300"/>
        <w:spacing w:after="0" w:line="250" w:lineRule="auto"/>
        <w:rPr>
          <w:sz w:val="20"/>
          <w:szCs w:val="20"/>
          <w:color w:val="auto"/>
        </w:rPr>
      </w:pPr>
      <w:r>
        <w:rPr>
          <w:rFonts w:ascii="Arial" w:cs="Arial" w:eastAsia="Arial" w:hAnsi="Arial"/>
          <w:sz w:val="20"/>
          <w:szCs w:val="20"/>
          <w:b w:val="1"/>
          <w:bCs w:val="1"/>
          <w:i w:val="1"/>
          <w:iCs w:val="1"/>
          <w:color w:val="auto"/>
        </w:rPr>
        <w:t>We may face material delays related to our ability to timely obtain permits necessary for our operations, or be unable to secure such permits on favorable terms or at all as a result of numerous California political, regulatory, and legal developments.</w:t>
      </w:r>
    </w:p>
    <w:p>
      <w:pPr>
        <w:spacing w:after="0" w:line="206"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We must obtain various governmental permits to conduct exploration and production activities, as well as other aspects of our operations. Obtaining the necessary governmental permits is often a complex and time-consuming process involving numerous federal, state and local agencies. The duration and success of each permitting effort is contingent upon many variables not within our control. In the context of obtaining permits or approvals, the Company will need to comply with known standards, existing laws (such as CEQA), and regulations that may entail greater or lesser costs and delays depending on the nature of the activity to be permitted and the interpretation of the laws and regulations implemented by the permitting authority.</w:t>
      </w:r>
    </w:p>
    <w:p>
      <w:pPr>
        <w:spacing w:after="0" w:line="211" w:lineRule="exact"/>
        <w:rPr>
          <w:sz w:val="20"/>
          <w:szCs w:val="20"/>
          <w:color w:val="auto"/>
        </w:rPr>
      </w:pPr>
    </w:p>
    <w:p>
      <w:pPr>
        <w:jc w:val="both"/>
        <w:ind w:right="140" w:firstLine="300"/>
        <w:spacing w:after="0" w:line="247" w:lineRule="auto"/>
        <w:rPr>
          <w:sz w:val="20"/>
          <w:szCs w:val="20"/>
          <w:color w:val="auto"/>
        </w:rPr>
      </w:pPr>
      <w:r>
        <w:rPr>
          <w:rFonts w:ascii="Arial" w:cs="Arial" w:eastAsia="Arial" w:hAnsi="Arial"/>
          <w:sz w:val="20"/>
          <w:szCs w:val="20"/>
          <w:color w:val="auto"/>
        </w:rPr>
        <w:t>From time to time we have experienced significant delays with respect to obtaining drilling permits for our operations. A variety of factors outside of our control can lead to such delays. CalGEM has not issued any permits for new production wells to any operators since December 2022.</w:t>
      </w:r>
    </w:p>
    <w:p>
      <w:pPr>
        <w:sectPr>
          <w:pgSz w:w="11880" w:h="15480" w:orient="portrait"/>
          <w:cols w:equalWidth="0" w:num="1">
            <w:col w:w="9120"/>
          </w:cols>
          <w:pgMar w:left="1380" w:top="1302" w:right="1380" w:bottom="655"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ectPr>
          <w:pgSz w:w="11880" w:h="15480" w:orient="portrait"/>
          <w:cols w:equalWidth="0" w:num="1">
            <w:col w:w="9120"/>
          </w:cols>
          <w:pgMar w:left="1380" w:top="1302" w:right="1380" w:bottom="655" w:gutter="0" w:footer="0" w:header="0"/>
          <w:type w:val="continuous"/>
        </w:sectPr>
      </w:pPr>
    </w:p>
    <w:bookmarkStart w:id="52" w:name="page53"/>
    <w:bookmarkEnd w:id="52"/>
    <w:p>
      <w:pPr>
        <w:ind w:firstLine="300"/>
        <w:spacing w:after="0" w:line="250" w:lineRule="auto"/>
        <w:rPr>
          <w:sz w:val="20"/>
          <w:szCs w:val="20"/>
          <w:color w:val="auto"/>
        </w:rPr>
      </w:pPr>
      <w:r>
        <w:rPr>
          <w:rFonts w:ascii="Arial" w:cs="Arial" w:eastAsia="Arial" w:hAnsi="Arial"/>
          <w:sz w:val="20"/>
          <w:szCs w:val="20"/>
          <w:color w:val="auto"/>
        </w:rPr>
        <w:t>Recently, we have experienced delays obtaining permits as a result of litigation related to the Kern County EIR. On January 26, 2023, an appellate court issued a preliminary order reinstating a suspension of Kern County’s ability to rely on an existing EIR to meet the County’s obligations under CEQA in connection with oil and gas permitting. The original suspension was put in place in October 2021 in response to a lawsuit challenging the adequacy of that EIR for CEQA purposes. The county subsequently issued a supplemental EIR and took other steps to address the issues raised by the original lawsuit and in November 2022 a trial court approved the sufficiency of the supplemental EIR and lifted the suspension on Kern County’s reliance on the EIR. On January 26, 2023, the Appellate Court issued a preliminary order on the petition reinstating a suspension of Kern County’s ability to rely on the existing SREIR to meet CEQA requirements pending the outcome of a final order determining whether oil and natural gas permitting shall remain suspended for the duration of the appeals process. That order is still pending. While we can and intend to address CEQA compliance for our oil and natural gas permitting process through alternative pathways, this would be a lengthy process and we cannot predict whether we would be able to timely obtain permits using this alternative. As a result of these issues and current lack of permits with respect to our Kern County properties, we do not currently plan to drill and complete any additional wells within Kern County until permitting is resumed in Kern County, which may be later in the 2024 calendar year. However, there is no certainty that we will obtain permits on that timeline or at all, which may further adversely affect our future development plans, proved undeveloped reserves, business, operations, cash flows, financial position, and results of operation. Approximately 71% of our proved undeveloped reserves or 9% of our total proved reserves relate to wells to be drilled in Kern County beginning in 2024 for which we would need to obtain permits.</w:t>
      </w:r>
    </w:p>
    <w:p>
      <w:pPr>
        <w:spacing w:after="0" w:line="210" w:lineRule="exact"/>
        <w:rPr>
          <w:sz w:val="20"/>
          <w:szCs w:val="20"/>
          <w:color w:val="auto"/>
        </w:rPr>
      </w:pPr>
    </w:p>
    <w:p>
      <w:pPr>
        <w:ind w:right="20" w:firstLine="300"/>
        <w:spacing w:after="0" w:line="263" w:lineRule="auto"/>
        <w:rPr>
          <w:sz w:val="20"/>
          <w:szCs w:val="20"/>
          <w:color w:val="auto"/>
        </w:rPr>
      </w:pPr>
      <w:r>
        <w:rPr>
          <w:rFonts w:ascii="Arial" w:cs="Arial" w:eastAsia="Arial" w:hAnsi="Arial"/>
          <w:sz w:val="19"/>
          <w:szCs w:val="19"/>
          <w:color w:val="auto"/>
        </w:rPr>
        <w:t>We have also experienced delays obtaining drilling permits from CalGEM since the passage of Senate Bill No. 1137, which established 3,200 feet as the minimum distance between new oil and natural gas production wells and certain sensitive receptors such as homes, schools and businesses open to the public. The law became effective January 1, 2023 and CalGEM issued emergency regulations implementing the requirements of the law on January 6, 2023. However, on February 3, 2023, the Secretary of State of California certified voter signatures collected in connection with a referendum for the November 2024 ballot to repeal Senate Bill No. 1137. As a result, any implementation of Senate Bill</w:t>
      </w:r>
    </w:p>
    <w:p>
      <w:pPr>
        <w:spacing w:after="0" w:line="4"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No. 1137 is stayed until it is put to a vote, although any stay could be delayed if there are legal challenges to the Secretary of State’s certification. In addition, even during the stay, CalGEM could attempt to initiate new rulemaking with respect to setbacks. There is significant uncertainty with respect to the ability to book proved undeveloped reserves and drill within the setback zone established by Senate Bill No. 1137 and, as a result, we have only booked proved undeveloped reserves for which we already have permits within the zone and intend to develop prior to the November 2024 ballot. As of December 31, 2022, changes in our development plans due to Senate Bill No. 1137 reduced the net present value of our proved undeveloped reserves by 24% and our overall proved reserves by 4%.</w:t>
      </w:r>
    </w:p>
    <w:p>
      <w:pPr>
        <w:spacing w:after="0" w:line="211"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auto"/>
        </w:rPr>
        <w:t>Recent changes in CalGEM management have further lead to additional permitting delays and uncertainty with respect to our ability to timely obtain permits for our operations. We cannot guarantee that these issues or new ones that may arise in the future will not continue to delay or otherwise impair our ability to obtain drilling permits. In the past we have generally been able to mitigate permitting risks by building up a reserve of drilling permits for use throughout the year, but as a result of the issues described above we have not been able to build our reserve of approved permits to the same level as we have in the past. If we cannot obtain new drilling permits in a timely manner, we have limited options to meet our drilling plans, such as the use of workovers to extend the life of existing production, that may not ultimately be sufficient to achieve our business goals. Accordingly, the failure to obtain certain permits or the adoption of more stringent permitting requirements could have a material adverse effect on our business, operations, properties, results of operations, and our financial condition.</w:t>
      </w:r>
    </w:p>
    <w:p>
      <w:pPr>
        <w:sectPr>
          <w:pgSz w:w="11880" w:h="15480" w:orient="portrait"/>
          <w:cols w:equalWidth="0" w:num="1">
            <w:col w:w="9120"/>
          </w:cols>
          <w:pgMar w:left="1380" w:top="1316" w:right="1380" w:bottom="655"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ectPr>
          <w:pgSz w:w="11880" w:h="15480" w:orient="portrait"/>
          <w:cols w:equalWidth="0" w:num="1">
            <w:col w:w="9120"/>
          </w:cols>
          <w:pgMar w:left="1380" w:top="1316" w:right="1380" w:bottom="655" w:gutter="0" w:footer="0" w:header="0"/>
          <w:type w:val="continuous"/>
        </w:sectPr>
      </w:pPr>
    </w:p>
    <w:bookmarkStart w:id="53" w:name="page54"/>
    <w:bookmarkEnd w:id="53"/>
    <w:p>
      <w:pPr>
        <w:ind w:right="240" w:firstLine="300"/>
        <w:spacing w:after="0" w:line="250" w:lineRule="auto"/>
        <w:rPr>
          <w:sz w:val="20"/>
          <w:szCs w:val="20"/>
          <w:color w:val="auto"/>
        </w:rPr>
      </w:pPr>
      <w:r>
        <w:rPr>
          <w:rFonts w:ascii="Arial" w:cs="Arial" w:eastAsia="Arial" w:hAnsi="Arial"/>
          <w:sz w:val="20"/>
          <w:szCs w:val="20"/>
          <w:b w:val="1"/>
          <w:bCs w:val="1"/>
          <w:i w:val="1"/>
          <w:iCs w:val="1"/>
          <w:color w:val="auto"/>
        </w:rPr>
        <w:t>Recent and future actions by the State of California could reduce both the demand for and supply of oil and natural gas within the state and consequently have a material and adverse effect on our business, results of operations and financial condition.</w:t>
      </w:r>
    </w:p>
    <w:p>
      <w:pPr>
        <w:spacing w:after="0" w:line="206" w:lineRule="exact"/>
        <w:rPr>
          <w:sz w:val="20"/>
          <w:szCs w:val="20"/>
          <w:color w:val="auto"/>
        </w:rPr>
      </w:pPr>
    </w:p>
    <w:p>
      <w:pPr>
        <w:ind w:right="100" w:firstLine="300"/>
        <w:spacing w:after="0" w:line="249" w:lineRule="auto"/>
        <w:rPr>
          <w:sz w:val="20"/>
          <w:szCs w:val="20"/>
          <w:color w:val="auto"/>
        </w:rPr>
      </w:pPr>
      <w:r>
        <w:rPr>
          <w:rFonts w:ascii="Arial" w:cs="Arial" w:eastAsia="Arial" w:hAnsi="Arial"/>
          <w:sz w:val="20"/>
          <w:szCs w:val="20"/>
          <w:color w:val="auto"/>
        </w:rPr>
        <w:t xml:space="preserve">In recent years, the Governor of California, the Legislature and state agencies have taken a series of actions that could materially and adversely affect the state’s oil and natural gas sector. Most recently, on September 16, 2022, the Governor of California signed Senate Bill No. 1137 into law, which establishes 3,200 feet as the minimum distance between new oil and natural gas production wells and certain sensitive receptors such as homes, schools or parks. Senate Bill No. 1137 is currently stayed pending the outcome of the California General Election in November 2024. For additional information, see </w:t>
      </w:r>
      <w:r>
        <w:rPr>
          <w:rFonts w:ascii="Arial" w:cs="Arial" w:eastAsia="Arial" w:hAnsi="Arial"/>
          <w:sz w:val="20"/>
          <w:szCs w:val="20"/>
          <w:i w:val="1"/>
          <w:iCs w:val="1"/>
          <w:color w:val="auto"/>
        </w:rPr>
        <w:t>Part I, Item 1 and 2 – Business and Properties, Regulation of the Industries</w:t>
      </w:r>
      <w:r>
        <w:rPr>
          <w:rFonts w:ascii="Arial" w:cs="Arial" w:eastAsia="Arial" w:hAnsi="Arial"/>
          <w:sz w:val="20"/>
          <w:szCs w:val="20"/>
          <w:color w:val="auto"/>
        </w:rPr>
        <w:t xml:space="preserve"> </w:t>
      </w:r>
      <w:r>
        <w:rPr>
          <w:rFonts w:ascii="Arial" w:cs="Arial" w:eastAsia="Arial" w:hAnsi="Arial"/>
          <w:sz w:val="20"/>
          <w:szCs w:val="20"/>
          <w:i w:val="1"/>
          <w:iCs w:val="1"/>
          <w:color w:val="auto"/>
        </w:rPr>
        <w:t>in Which We Operate, Regulation of Exploration and Production Activities</w:t>
      </w:r>
      <w:r>
        <w:rPr>
          <w:rFonts w:ascii="Arial" w:cs="Arial" w:eastAsia="Arial" w:hAnsi="Arial"/>
          <w:sz w:val="20"/>
          <w:szCs w:val="20"/>
          <w:color w:val="auto"/>
        </w:rPr>
        <w:t>.</w:t>
      </w:r>
    </w:p>
    <w:p>
      <w:pPr>
        <w:spacing w:after="0" w:line="211"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auto"/>
        </w:rPr>
        <w:t>The trend in California is to impose increasingly stringent restrictions on oil and natural gas activities. We cannot predict what actions the Governor of California, the Legislature or state agencies may take in the future, but we could face increased compliance costs, delays in obtaining the approvals necessary for our operations, exposure to increased liability, or other limitations as a result of future actions by these parties. Moreover, new developments resulting from the current and future actions of these parties could also materially and adversely affect our ability to operate, successfully execute drilling plans, or otherwise develop our reserves. Accordingly, recent and future actions by the Governor of California, the Legislature, and state agencies could materially and adversely affect our business, results of operations, and financial condition.</w:t>
      </w:r>
    </w:p>
    <w:p>
      <w:pPr>
        <w:spacing w:after="0" w:line="208" w:lineRule="exact"/>
        <w:rPr>
          <w:sz w:val="20"/>
          <w:szCs w:val="20"/>
          <w:color w:val="auto"/>
        </w:rPr>
      </w:pPr>
    </w:p>
    <w:p>
      <w:pPr>
        <w:ind w:right="20" w:firstLine="300"/>
        <w:spacing w:after="0" w:line="250" w:lineRule="auto"/>
        <w:rPr>
          <w:sz w:val="20"/>
          <w:szCs w:val="20"/>
          <w:color w:val="auto"/>
        </w:rPr>
      </w:pPr>
      <w:r>
        <w:rPr>
          <w:rFonts w:ascii="Arial" w:cs="Arial" w:eastAsia="Arial" w:hAnsi="Arial"/>
          <w:sz w:val="20"/>
          <w:szCs w:val="20"/>
          <w:b w:val="1"/>
          <w:bCs w:val="1"/>
          <w:i w:val="1"/>
          <w:iCs w:val="1"/>
          <w:color w:val="auto"/>
        </w:rPr>
        <w:t>Our business is highly regulated and government authorities can delay or deny permits and approvals or change requirements governing our operations, including hydraulic fracturing and other well stimulation methods, enhanced production techniques and fluid injection or disposal, that could increase costs, restrict operations and change or delay the implementation of our business plans.</w:t>
      </w:r>
    </w:p>
    <w:p>
      <w:pPr>
        <w:spacing w:after="0" w:line="207" w:lineRule="exact"/>
        <w:rPr>
          <w:sz w:val="20"/>
          <w:szCs w:val="20"/>
          <w:color w:val="auto"/>
        </w:rPr>
      </w:pPr>
    </w:p>
    <w:p>
      <w:pPr>
        <w:ind w:right="380" w:firstLine="300"/>
        <w:spacing w:after="0" w:line="248" w:lineRule="auto"/>
        <w:rPr>
          <w:sz w:val="20"/>
          <w:szCs w:val="20"/>
          <w:color w:val="auto"/>
        </w:rPr>
      </w:pPr>
      <w:r>
        <w:rPr>
          <w:rFonts w:ascii="Arial" w:cs="Arial" w:eastAsia="Arial" w:hAnsi="Arial"/>
          <w:sz w:val="20"/>
          <w:szCs w:val="20"/>
          <w:color w:val="auto"/>
        </w:rPr>
        <w:t>Our operations are subject to complex and stringent federal, state, local and other laws and regulations relating to the exploration and development of our properties, as well as the production, transportation, marketing and sale of our products.</w:t>
      </w:r>
    </w:p>
    <w:p>
      <w:pPr>
        <w:spacing w:after="0" w:line="207"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color w:val="auto"/>
        </w:rPr>
        <w:t>To operate in compliance with these laws and regulations, we must obtain and maintain permits, approvals and certificates from federal, state and local government authorities for a variety of activities including siting, drilling, completion, stimulation, operation, inspection, maintenance, transportation, storage, marketing, site remediation, decommissioning, abandonment, protection of habitat and threatened or endangered species, air emissions, disposal of solid and hazardous waste, fluid injection and disposal and water consumption, recycling and reuse. For example, our operations in the Wilmington Oil Field utilize injection wells to reinject produced water pursuant to waterflooding plans. These operations are subject to regulation by both the City of Long Beach and CalGEM. We are currently in discussions with the City of Long Beach and CalGEM with respect to what injection well pressure gradient complies with CalGEM’s requirements for the protection of underground sources of drinking water while at the same time mitigating subsidence risks. CalGEM’s local office has preliminarily indicated that the injection well pressure gradient should be reduced from the gradient that has been used for several decades. As part of our ongoing discussions, we and the City of Long Beach have provided CalGEM with technical information regarding how the historical injection well pressure gradient complies with CalGEM’s requirements and to inform them of the absence of risk of leakage. If CalGEM were to ultimately disagree and determine to reduce the injection well pressure gradient, and we were unable to reverse that decision on appeal or other legal challenge, we expect that any material reduction in injection well pressure gradient for our operations in the Wilmington Oil Field would result in a decrease in production and reserves from the field.</w:t>
      </w:r>
    </w:p>
    <w:p>
      <w:pPr>
        <w:sectPr>
          <w:pgSz w:w="11880" w:h="15480" w:orient="portrait"/>
          <w:cols w:equalWidth="0" w:num="1">
            <w:col w:w="9120"/>
          </w:cols>
          <w:pgMar w:left="1380" w:top="1311" w:right="1380" w:bottom="655"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ectPr>
          <w:pgSz w:w="11880" w:h="15480" w:orient="portrait"/>
          <w:cols w:equalWidth="0" w:num="1">
            <w:col w:w="9120"/>
          </w:cols>
          <w:pgMar w:left="1380" w:top="1311" w:right="1380" w:bottom="655" w:gutter="0" w:footer="0" w:header="0"/>
          <w:type w:val="continuous"/>
        </w:sectPr>
      </w:pPr>
    </w:p>
    <w:bookmarkStart w:id="54" w:name="page55"/>
    <w:bookmarkEnd w:id="54"/>
    <w:p>
      <w:pPr>
        <w:ind w:right="40" w:firstLine="300"/>
        <w:spacing w:after="0" w:line="249" w:lineRule="auto"/>
        <w:rPr>
          <w:sz w:val="20"/>
          <w:szCs w:val="20"/>
          <w:color w:val="auto"/>
        </w:rPr>
      </w:pPr>
      <w:r>
        <w:rPr>
          <w:rFonts w:ascii="Arial" w:cs="Arial" w:eastAsia="Arial" w:hAnsi="Arial"/>
          <w:sz w:val="20"/>
          <w:szCs w:val="20"/>
          <w:color w:val="auto"/>
        </w:rPr>
        <w:t>Failure to comply may result in the assessment of administrative, civil and/or criminal fines and penalties, liability for noncompliance, costs of corrective action, cleanup or restoration, compensation for personal injury, property damage or other losses, and the imposition of injunctive or declaratory relief restricting or prohibiting certain operations or our access to property, water, minerals or other necessary resources, and may otherwise delay or restrict our operations and cause us to incur substantial costs. Under certain environmental laws and regulations, we could be subject to strict or joint and several liability for the removal or remediation of contamination, including on properties over which we and our predecessors had no control, without regard to fault, legality of the original activities, or ownership or control by third parties.</w:t>
      </w:r>
    </w:p>
    <w:p>
      <w:pPr>
        <w:spacing w:after="0" w:line="157"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 xml:space="preserve">Our ability to timely obtain and maintain permits for our operations, including from CalGEM, has from time to time been subject to significant delays and uncertainties and is subject to factor our control. These factors include changes in agency practices, new regulations, or legal challenges to existing approvals for our operations from individual citizens and non-governmental organizations. For example, beginning in 2021, CalGEM ceased issuing new well stimulation permits and has slowed the approval of new drill permits even as it continues approving plugging and workovers. In addition, in 2020 a group of plaintiffs challenged in court the ability of Kern County to issue well permits in reliance on an existing Environmental Impact Report (EIR). See </w:t>
      </w:r>
      <w:r>
        <w:rPr>
          <w:rFonts w:ascii="Arial" w:cs="Arial" w:eastAsia="Arial" w:hAnsi="Arial"/>
          <w:sz w:val="20"/>
          <w:szCs w:val="20"/>
          <w:i w:val="1"/>
          <w:iCs w:val="1"/>
          <w:color w:val="auto"/>
        </w:rPr>
        <w:t>Part I, Item 1 and 2 – Business and Properties,</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Regulation of the Industries in Which We Operate, Regulation of Exploration and Production Activities. </w:t>
      </w:r>
      <w:r>
        <w:rPr>
          <w:rFonts w:ascii="Arial" w:cs="Arial" w:eastAsia="Arial" w:hAnsi="Arial"/>
          <w:sz w:val="20"/>
          <w:szCs w:val="20"/>
          <w:color w:val="auto"/>
        </w:rPr>
        <w:t>We can also provide no assurances that we will always be able to successfully navigate these risks and timely obtain permits or obtain them on favorable terms. While we have existing permits that will allow us to run a modified drilling program in 2023, we are unlikely to be able to offset projected oil production declines over the same period.</w:t>
      </w:r>
    </w:p>
    <w:p>
      <w:pPr>
        <w:spacing w:after="0" w:line="162" w:lineRule="exact"/>
        <w:rPr>
          <w:sz w:val="20"/>
          <w:szCs w:val="20"/>
          <w:color w:val="auto"/>
        </w:rPr>
      </w:pPr>
    </w:p>
    <w:p>
      <w:pPr>
        <w:ind w:right="100" w:firstLine="300"/>
        <w:spacing w:after="0" w:line="249" w:lineRule="auto"/>
        <w:rPr>
          <w:sz w:val="20"/>
          <w:szCs w:val="20"/>
          <w:color w:val="auto"/>
        </w:rPr>
      </w:pPr>
      <w:r>
        <w:rPr>
          <w:rFonts w:ascii="Arial" w:cs="Arial" w:eastAsia="Arial" w:hAnsi="Arial"/>
          <w:sz w:val="20"/>
          <w:szCs w:val="20"/>
          <w:color w:val="auto"/>
        </w:rPr>
        <w:t>Changes to elected or appointed officials or their priorities and policies could result in different approaches to the regulation of the oil and natural gas industry. We cannot predict the actions the Governor of California or the California legislature may take with respect to the regulation of our business, the oil and natural gas industry or the state’s economic, fiscal or environmental policies, nor can we predict what actions may be taken at the federal level with respect to health, environmental safety, climate, labor or energy laws, regulations and policies, including those that may directly or indirectly impact our operations.</w:t>
      </w:r>
    </w:p>
    <w:p>
      <w:pPr>
        <w:spacing w:after="0" w:line="149" w:lineRule="exact"/>
        <w:rPr>
          <w:sz w:val="20"/>
          <w:szCs w:val="20"/>
          <w:color w:val="auto"/>
        </w:rPr>
      </w:pPr>
    </w:p>
    <w:p>
      <w:pPr>
        <w:ind w:right="80" w:firstLine="300"/>
        <w:spacing w:after="0" w:line="236" w:lineRule="auto"/>
        <w:rPr>
          <w:sz w:val="20"/>
          <w:szCs w:val="20"/>
          <w:color w:val="auto"/>
        </w:rPr>
      </w:pPr>
      <w:r>
        <w:rPr>
          <w:rFonts w:ascii="Arial" w:cs="Arial" w:eastAsia="Arial" w:hAnsi="Arial"/>
          <w:sz w:val="20"/>
          <w:szCs w:val="20"/>
          <w:b w:val="1"/>
          <w:bCs w:val="1"/>
          <w:i w:val="1"/>
          <w:iCs w:val="1"/>
          <w:color w:val="auto"/>
        </w:rPr>
        <w:t>Our Carbon TerraVault business and our CCS projects are subject to extensive government regulation that, among other things, requires us to obtain permits for the injection and sequestration of CO</w:t>
      </w:r>
      <w:r>
        <w:rPr>
          <w:rFonts w:ascii="Arial" w:cs="Arial" w:eastAsia="Arial" w:hAnsi="Arial"/>
          <w:sz w:val="26"/>
          <w:szCs w:val="26"/>
          <w:b w:val="1"/>
          <w:bCs w:val="1"/>
          <w:i w:val="1"/>
          <w:iCs w:val="1"/>
          <w:color w:val="auto"/>
          <w:vertAlign w:val="subscript"/>
        </w:rPr>
        <w:t>2</w:t>
      </w:r>
      <w:r>
        <w:rPr>
          <w:rFonts w:ascii="Arial" w:cs="Arial" w:eastAsia="Arial" w:hAnsi="Arial"/>
          <w:sz w:val="20"/>
          <w:szCs w:val="20"/>
          <w:b w:val="1"/>
          <w:bCs w:val="1"/>
          <w:i w:val="1"/>
          <w:iCs w:val="1"/>
          <w:color w:val="auto"/>
        </w:rPr>
        <w:t>. Many of these regulations are still being developed. Failure to comply with these requirements and obtain the necessary permits, or the development of government regulations that are unfavorable to our CCS projects, could have an adverse effect on our business, results of operations and financial condition.</w:t>
      </w:r>
    </w:p>
    <w:p>
      <w:pPr>
        <w:spacing w:after="0" w:line="164" w:lineRule="exact"/>
        <w:rPr>
          <w:sz w:val="20"/>
          <w:szCs w:val="20"/>
          <w:color w:val="auto"/>
        </w:rPr>
      </w:pPr>
    </w:p>
    <w:p>
      <w:pPr>
        <w:ind w:right="60" w:firstLine="300"/>
        <w:spacing w:after="0"/>
        <w:rPr>
          <w:sz w:val="20"/>
          <w:szCs w:val="20"/>
          <w:color w:val="auto"/>
        </w:rPr>
      </w:pPr>
      <w:r>
        <w:rPr>
          <w:rFonts w:ascii="Arial" w:cs="Arial" w:eastAsia="Arial" w:hAnsi="Arial"/>
          <w:sz w:val="20"/>
          <w:szCs w:val="20"/>
          <w:color w:val="auto"/>
        </w:rPr>
        <w:t>Successful development of CCS projects in the United States require that we comply with what we anticipate will be a stringent regulatory scheme requiring that we obtain certain permits applicable to subsurface injection of CO</w:t>
      </w:r>
      <w:r>
        <w:rPr>
          <w:rFonts w:ascii="Arial" w:cs="Arial" w:eastAsia="Arial" w:hAnsi="Arial"/>
          <w:sz w:val="26"/>
          <w:szCs w:val="26"/>
          <w:color w:val="auto"/>
          <w:vertAlign w:val="subscript"/>
        </w:rPr>
        <w:t>2</w:t>
      </w:r>
      <w:r>
        <w:rPr>
          <w:rFonts w:ascii="Arial" w:cs="Arial" w:eastAsia="Arial" w:hAnsi="Arial"/>
          <w:sz w:val="20"/>
          <w:szCs w:val="20"/>
          <w:color w:val="auto"/>
        </w:rPr>
        <w:t xml:space="preserve"> for geologic sequestration. Moreover, as operator of our CCS projects, we must demonstrate and maintain levels of financial assurance sufficient to cover the cost of corrective action, injection well plugging, post injection site care and site closure, and emergency and remedial response. There is no assurances that we will be successful in obtaining or maintaining permits or adequate levels of financial assurance for one or more of our CCS projects or that permits can be obtained on a timely basis, whether due to difficulty with the technical demonstrations required to obtain such permits, public opposition, or otherwise.</w:t>
      </w:r>
    </w:p>
    <w:p>
      <w:pPr>
        <w:spacing w:after="0" w:line="165" w:lineRule="exact"/>
        <w:rPr>
          <w:sz w:val="20"/>
          <w:szCs w:val="20"/>
          <w:color w:val="auto"/>
        </w:rPr>
      </w:pPr>
    </w:p>
    <w:p>
      <w:pPr>
        <w:ind w:right="300" w:firstLine="300"/>
        <w:spacing w:after="0" w:line="248" w:lineRule="auto"/>
        <w:rPr>
          <w:sz w:val="20"/>
          <w:szCs w:val="20"/>
          <w:color w:val="auto"/>
        </w:rPr>
      </w:pPr>
      <w:r>
        <w:rPr>
          <w:rFonts w:ascii="Arial" w:cs="Arial" w:eastAsia="Arial" w:hAnsi="Arial"/>
          <w:sz w:val="20"/>
          <w:szCs w:val="20"/>
          <w:color w:val="auto"/>
        </w:rPr>
        <w:t>Separately, permitting CCS projects requires obtaining a number of other permits and approvals unrelated to subsurface injection from various U.S. federal and state agencies, such as for air emissions or impacts to environmental, natural, historic or cultural resources resulting from the construction and operation of a CCS facility. We cannot guarantee that we will be able to obtain or maintain all applicable permits for CCS activities on a timely basis or on favorable terms.</w:t>
      </w:r>
    </w:p>
    <w:p>
      <w:pPr>
        <w:sectPr>
          <w:pgSz w:w="11880" w:h="15480" w:orient="portrait"/>
          <w:cols w:equalWidth="0" w:num="1">
            <w:col w:w="9080"/>
          </w:cols>
          <w:pgMar w:left="1380" w:top="1316" w:right="1420" w:bottom="655" w:gutter="0" w:footer="0" w:header="0"/>
        </w:sect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51</w:t>
      </w:r>
    </w:p>
    <w:p>
      <w:pPr>
        <w:sectPr>
          <w:pgSz w:w="11880" w:h="15480" w:orient="portrait"/>
          <w:cols w:equalWidth="0" w:num="1">
            <w:col w:w="9080"/>
          </w:cols>
          <w:pgMar w:left="1380" w:top="1316" w:right="1420" w:bottom="655" w:gutter="0" w:footer="0" w:header="0"/>
          <w:type w:val="continuous"/>
        </w:sectPr>
      </w:pPr>
    </w:p>
    <w:bookmarkStart w:id="55" w:name="page56"/>
    <w:bookmarkEnd w:id="55"/>
    <w:p>
      <w:pPr>
        <w:ind w:right="100" w:firstLine="300"/>
        <w:spacing w:after="0" w:line="248" w:lineRule="auto"/>
        <w:rPr>
          <w:sz w:val="20"/>
          <w:szCs w:val="20"/>
          <w:color w:val="auto"/>
        </w:rPr>
      </w:pPr>
      <w:r>
        <w:rPr>
          <w:rFonts w:ascii="Arial" w:cs="Arial" w:eastAsia="Arial" w:hAnsi="Arial"/>
          <w:sz w:val="20"/>
          <w:szCs w:val="20"/>
          <w:color w:val="auto"/>
        </w:rPr>
        <w:t>As CCS and carbon management represent an emerging sector, laws and regulations may evolve rapidly, which could impact the feasibility of one or more of our anticipated projects. To the extent additional legal or regulatory requirements are imposed, are amended, or more stringently enforced, we may incur additional costs in the pursuit of one or more of our carbon capture projects, which costs may be material or may render any one or more of our projects uneconomical.</w:t>
      </w:r>
    </w:p>
    <w:p>
      <w:pPr>
        <w:spacing w:after="0" w:line="207" w:lineRule="exact"/>
        <w:rPr>
          <w:sz w:val="20"/>
          <w:szCs w:val="20"/>
          <w:color w:val="auto"/>
        </w:rPr>
      </w:pPr>
    </w:p>
    <w:p>
      <w:pPr>
        <w:ind w:right="180" w:firstLine="300"/>
        <w:spacing w:after="0" w:line="250" w:lineRule="auto"/>
        <w:rPr>
          <w:sz w:val="20"/>
          <w:szCs w:val="20"/>
          <w:color w:val="auto"/>
        </w:rPr>
      </w:pPr>
      <w:r>
        <w:rPr>
          <w:rFonts w:ascii="Arial" w:cs="Arial" w:eastAsia="Arial" w:hAnsi="Arial"/>
          <w:sz w:val="20"/>
          <w:szCs w:val="20"/>
          <w:b w:val="1"/>
          <w:bCs w:val="1"/>
          <w:i w:val="1"/>
          <w:iCs w:val="1"/>
          <w:color w:val="auto"/>
        </w:rPr>
        <w:t>Recent changes in California law may result in delays to our carbon capture, sequestration and storage projects.</w:t>
      </w:r>
    </w:p>
    <w:p>
      <w:pPr>
        <w:spacing w:after="0" w:line="206" w:lineRule="exact"/>
        <w:rPr>
          <w:sz w:val="20"/>
          <w:szCs w:val="20"/>
          <w:color w:val="auto"/>
        </w:rPr>
      </w:pPr>
    </w:p>
    <w:p>
      <w:pPr>
        <w:ind w:right="20" w:firstLine="300"/>
        <w:spacing w:after="0" w:line="247" w:lineRule="auto"/>
        <w:rPr>
          <w:sz w:val="20"/>
          <w:szCs w:val="20"/>
          <w:color w:val="auto"/>
        </w:rPr>
      </w:pPr>
      <w:r>
        <w:rPr>
          <w:rFonts w:ascii="Arial" w:cs="Arial" w:eastAsia="Arial" w:hAnsi="Arial"/>
          <w:sz w:val="19"/>
          <w:szCs w:val="19"/>
          <w:color w:val="auto"/>
        </w:rPr>
        <w:t>On September 16, 2022, the Governor of California signed Senate Bill No. 905 into law, which contemplates the development of unitization, permitting and pipeline safety regulations over a multi-year period to facilitate the development of CCS projects in California, though the legislation does not provide for compulsory unitization. Protocols to support CCS are to be adopted by January 1, 2024, and a unified permit application is to be adopted by January 1, 2025. We believe our Carbon TerraVault projects, for which permits with the EPA have been filed, will continue to be developed on a timeline consistent with our initial expectations. These initial projects are not reliant on the unitization or permitting regulations being developed. In addition, our Carbon TerraVault projects are expected to either use emitters that are directly sited above these storage facilities or rely on pipelines for transporting CO</w:t>
      </w:r>
      <w:r>
        <w:rPr>
          <w:rFonts w:ascii="Arial" w:cs="Arial" w:eastAsia="Arial" w:hAnsi="Arial"/>
          <w:sz w:val="25"/>
          <w:szCs w:val="25"/>
          <w:color w:val="auto"/>
          <w:vertAlign w:val="subscript"/>
        </w:rPr>
        <w:t>2</w:t>
      </w:r>
      <w:r>
        <w:rPr>
          <w:rFonts w:ascii="Arial" w:cs="Arial" w:eastAsia="Arial" w:hAnsi="Arial"/>
          <w:sz w:val="19"/>
          <w:szCs w:val="19"/>
          <w:color w:val="auto"/>
        </w:rPr>
        <w:t xml:space="preserve"> that will need to comply with yet to be developed CO</w:t>
      </w:r>
      <w:r>
        <w:rPr>
          <w:rFonts w:ascii="Arial" w:cs="Arial" w:eastAsia="Arial" w:hAnsi="Arial"/>
          <w:sz w:val="25"/>
          <w:szCs w:val="25"/>
          <w:color w:val="auto"/>
          <w:vertAlign w:val="subscript"/>
        </w:rPr>
        <w:t>2</w:t>
      </w:r>
      <w:r>
        <w:rPr>
          <w:rFonts w:ascii="Arial" w:cs="Arial" w:eastAsia="Arial" w:hAnsi="Arial"/>
          <w:sz w:val="19"/>
          <w:szCs w:val="19"/>
          <w:color w:val="auto"/>
        </w:rPr>
        <w:t xml:space="preserve"> pipeline safety regulations from the federal Pipeline and Hazardous Materials Safety Administration, which could take a number of years to effect. Delays in developing required pipeline safety regulations would delay projects requiring pipeline transportation of CO</w:t>
      </w:r>
      <w:r>
        <w:rPr>
          <w:rFonts w:ascii="Arial" w:cs="Arial" w:eastAsia="Arial" w:hAnsi="Arial"/>
          <w:sz w:val="25"/>
          <w:szCs w:val="25"/>
          <w:color w:val="auto"/>
          <w:vertAlign w:val="subscript"/>
        </w:rPr>
        <w:t>2</w:t>
      </w:r>
      <w:r>
        <w:rPr>
          <w:rFonts w:ascii="Arial" w:cs="Arial" w:eastAsia="Arial" w:hAnsi="Arial"/>
          <w:sz w:val="19"/>
          <w:szCs w:val="19"/>
          <w:color w:val="auto"/>
        </w:rPr>
        <w:t>. The lack of compulsory unitization could also delay project timelines.</w:t>
      </w:r>
    </w:p>
    <w:p>
      <w:pPr>
        <w:spacing w:after="0" w:line="184" w:lineRule="exact"/>
        <w:rPr>
          <w:sz w:val="20"/>
          <w:szCs w:val="20"/>
          <w:color w:val="auto"/>
        </w:rPr>
      </w:pPr>
    </w:p>
    <w:p>
      <w:pPr>
        <w:ind w:firstLine="300"/>
        <w:spacing w:after="0" w:line="265" w:lineRule="auto"/>
        <w:rPr>
          <w:sz w:val="20"/>
          <w:szCs w:val="20"/>
          <w:color w:val="auto"/>
        </w:rPr>
      </w:pPr>
      <w:r>
        <w:rPr>
          <w:rFonts w:ascii="Arial" w:cs="Arial" w:eastAsia="Arial" w:hAnsi="Arial"/>
          <w:sz w:val="19"/>
          <w:szCs w:val="19"/>
          <w:color w:val="auto"/>
        </w:rPr>
        <w:t>The unified permitting process contemplated by Senate Bill No. 905 will be optional for project applicants and is intended to simplify the permitting process for CCS projects. In the meantime, pursuant to this legislation we are permitted to proceed with our existing and future CCS Class VI permit applications with the EPA. This law also contemplates the implementation of a new regulatory program incorporating standards that are not yet defined and that could affect the timing of future CCS projects in California.</w:t>
      </w:r>
    </w:p>
    <w:p>
      <w:pPr>
        <w:spacing w:after="0" w:line="158" w:lineRule="exact"/>
        <w:rPr>
          <w:sz w:val="20"/>
          <w:szCs w:val="20"/>
          <w:color w:val="auto"/>
        </w:rPr>
      </w:pPr>
    </w:p>
    <w:p>
      <w:pPr>
        <w:ind w:right="100" w:firstLine="300"/>
        <w:spacing w:after="0" w:line="252" w:lineRule="auto"/>
        <w:rPr>
          <w:sz w:val="20"/>
          <w:szCs w:val="20"/>
          <w:color w:val="auto"/>
        </w:rPr>
      </w:pPr>
      <w:r>
        <w:rPr>
          <w:rFonts w:ascii="Arial" w:cs="Arial" w:eastAsia="Arial" w:hAnsi="Arial"/>
          <w:sz w:val="19"/>
          <w:szCs w:val="19"/>
          <w:color w:val="auto"/>
        </w:rPr>
        <w:t>Senate Bill No. 905 also prohibits CCS projects that utilize and permanently sequester CO</w:t>
      </w:r>
      <w:r>
        <w:rPr>
          <w:rFonts w:ascii="Arial" w:cs="Arial" w:eastAsia="Arial" w:hAnsi="Arial"/>
          <w:sz w:val="25"/>
          <w:szCs w:val="25"/>
          <w:color w:val="auto"/>
          <w:vertAlign w:val="subscript"/>
        </w:rPr>
        <w:t>2</w:t>
      </w:r>
      <w:r>
        <w:rPr>
          <w:rFonts w:ascii="Arial" w:cs="Arial" w:eastAsia="Arial" w:hAnsi="Arial"/>
          <w:sz w:val="19"/>
          <w:szCs w:val="19"/>
          <w:color w:val="auto"/>
        </w:rPr>
        <w:t xml:space="preserve"> in connection with EOR projects. Although we do not have any existing oil and natural gas production or proved reserves associated with EOR projects, this legislation required us to transition our CalCapture project to target CCS and may require us to make other adjustments to projects in the future.</w:t>
      </w:r>
    </w:p>
    <w:p>
      <w:pPr>
        <w:spacing w:after="0" w:line="201" w:lineRule="exact"/>
        <w:rPr>
          <w:sz w:val="20"/>
          <w:szCs w:val="20"/>
          <w:color w:val="auto"/>
        </w:rPr>
      </w:pPr>
    </w:p>
    <w:p>
      <w:pPr>
        <w:ind w:right="580" w:firstLine="300"/>
        <w:spacing w:after="0" w:line="250" w:lineRule="auto"/>
        <w:rPr>
          <w:sz w:val="20"/>
          <w:szCs w:val="20"/>
          <w:color w:val="auto"/>
        </w:rPr>
      </w:pPr>
      <w:r>
        <w:rPr>
          <w:rFonts w:ascii="Arial" w:cs="Arial" w:eastAsia="Arial" w:hAnsi="Arial"/>
          <w:sz w:val="20"/>
          <w:szCs w:val="20"/>
          <w:b w:val="1"/>
          <w:bCs w:val="1"/>
          <w:i w:val="1"/>
          <w:iCs w:val="1"/>
          <w:color w:val="auto"/>
        </w:rPr>
        <w:t>Concerns about climate change and other air quality issues may prompt governmental action that could materially affect our operations or results.</w:t>
      </w:r>
    </w:p>
    <w:p>
      <w:pPr>
        <w:spacing w:after="0" w:line="206"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auto"/>
        </w:rPr>
        <w:t>Governmental, scientific and public concern over the threat of climate change arising from GHG emissions, and regulation of GHGs and other air quality issues, may materially affect our business in many ways, including increasing the costs to provide our products and services and reducing demand for, and consumption of, our products and services, and we may be unable to recover or pass through a significant portion of our costs. In addition, legislative and regulatory responses to such issues at the federal, state and local level may increase our capital and operating costs and render certain wells or projects uneconomic, and potentially lower the value of our reserves and other assets. Both the EPA and California have implemented laws, regulations and policies that seek to reduce GHG emissions. California’s cap-and-trade program operates under a market system and the costs of such allowances per metric ton of GHG emissions are expected to increase in the future as the CARB tightens program requirements and annually increases the minimum state auction price of allowances and reduces the state’s GHG emissions cap. As the foregoing requirements become more stringent, we may be unable to implement them in a cost-effective manner, or at all.</w:t>
      </w:r>
    </w:p>
    <w:p>
      <w:pPr>
        <w:sectPr>
          <w:pgSz w:w="11880" w:h="15480" w:orient="portrait"/>
          <w:cols w:equalWidth="0" w:num="1">
            <w:col w:w="9120"/>
          </w:cols>
          <w:pgMar w:left="1380" w:top="1316"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ectPr>
          <w:pgSz w:w="11880" w:h="15480" w:orient="portrait"/>
          <w:cols w:equalWidth="0" w:num="1">
            <w:col w:w="9120"/>
          </w:cols>
          <w:pgMar w:left="1380" w:top="1316" w:right="1380" w:bottom="655" w:gutter="0" w:footer="0" w:header="0"/>
          <w:type w:val="continuous"/>
        </w:sectPr>
      </w:pPr>
    </w:p>
    <w:bookmarkStart w:id="56" w:name="page57"/>
    <w:bookmarkEnd w:id="56"/>
    <w:p>
      <w:pPr>
        <w:ind w:firstLine="300"/>
        <w:spacing w:after="0" w:line="248" w:lineRule="auto"/>
        <w:rPr>
          <w:sz w:val="20"/>
          <w:szCs w:val="20"/>
          <w:color w:val="auto"/>
        </w:rPr>
      </w:pPr>
      <w:r>
        <w:rPr>
          <w:rFonts w:ascii="Arial" w:cs="Arial" w:eastAsia="Arial" w:hAnsi="Arial"/>
          <w:sz w:val="20"/>
          <w:szCs w:val="20"/>
          <w:color w:val="auto"/>
        </w:rPr>
        <w:t>In August 2022, President Biden signed the Act into law. The Act includes a charge on methane emissions that is expected to be applicable to the reported annual methane emissions of certain oil and natural gas facilities, above specified methane intensity thresholds, starting in 2024. The full impact of future climate regulations is uncertain at this time and it is unclear what additional actions may be taken that may have an adverse effect upon our operations.</w:t>
      </w:r>
    </w:p>
    <w:p>
      <w:pPr>
        <w:spacing w:after="0" w:line="212" w:lineRule="exact"/>
        <w:rPr>
          <w:sz w:val="20"/>
          <w:szCs w:val="20"/>
          <w:color w:val="auto"/>
        </w:rPr>
      </w:pPr>
    </w:p>
    <w:p>
      <w:pPr>
        <w:ind w:right="20" w:firstLine="300"/>
        <w:spacing w:after="0" w:line="250" w:lineRule="auto"/>
        <w:rPr>
          <w:sz w:val="20"/>
          <w:szCs w:val="20"/>
          <w:color w:val="auto"/>
        </w:rPr>
      </w:pPr>
      <w:r>
        <w:rPr>
          <w:rFonts w:ascii="Arial" w:cs="Arial" w:eastAsia="Arial" w:hAnsi="Arial"/>
          <w:sz w:val="20"/>
          <w:szCs w:val="20"/>
          <w:color w:val="auto"/>
        </w:rPr>
        <w:t>To the extent financial markets view climate change and GHG or other emissions as an increasing financial risk, this could adversely impact our cost of, and access to, capital and the value of our stock and our assets. Current investors in oil and natural gas companies may elect in the future to shift some or all of their investments into other sectors, and institutional lenders may elect not to provide funding for oil and natural gas companies. There is also a risk that financial institutions will be required to adopt policies that have the effect of reducing the funding provided to the fossil fuel sector. Additionally, in March 2022, the Securities and Exchange Commission (SEC) released a proposed rule that would establish a framework for the reporting of climate risks, targets and metrics. A final rule is expected to be released in Q2 2023, but we cannot predict the final form and substance of the rule and its requirements. The ultimate impact of the rule on our business is uncertain and upon finalization may result in additional costs to comply with any such disclosure requirements, alongside increased costs of and restrictions on access to capital.</w:t>
      </w:r>
    </w:p>
    <w:p>
      <w:pPr>
        <w:spacing w:after="0" w:line="205"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auto"/>
        </w:rPr>
        <w:t>We believe, but cannot guarantee, that our local production of oil, NGLs and natural gas will remain essential to meeting California’s energy and feedstock needs for the foreseeable future. We have also established 2030 Sustainability Goals for water recycling, renewables integration, methane emission reduction and carbon capture and sequestration in our life-of-field planning in an attempt to align with the state’s long-term goals and support our ability to continue to efficiently implement federal, state and local laws, regulations and policies, including those relating to air quality and climate, in the future. However, there can be no assurances that we will be able to design, permit, fund and implement such projects in a timely and cost-effective manner or at all, or that we, our customers or end users of our products will be able to satisfy long-term environmental, air quality or climate goals if those are applied as enforceable mandates.</w:t>
      </w:r>
    </w:p>
    <w:p>
      <w:pPr>
        <w:spacing w:after="0" w:line="214"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color w:val="auto"/>
        </w:rPr>
        <w:t>The adoption and implementation of new or more stringent international, federal, state or local legislation, regulations or policies that impose more stringent standards for GHG or other emissions from our operations or otherwise restrict the areas in which we may produce oil, natural gas, NGLs or electricity or generate GHG or other emissions could result in increased costs of compliance or costs of consuming, and thereby reduce demand for or the value of our products and services. Additionally, political, litigation and financial risks may result in restricting or canceling oil and natural gas production activities, incurring liability for infrastructure damages or other losses as a result of climate change, or impairing our ability to continue to operate in an economic manner. Moreover, climate change may pose increasing risks of physical impacts to our operations and those of our suppliers, transporters and customers through damage to infrastructure and resources resulting from drought, wildfires, sea level changes, flooding and other natural disasters and other physical disruptions. One or more of these developments could have a material adverse effect on our business, financial condition and results of operations.</w:t>
      </w:r>
    </w:p>
    <w:p>
      <w:pPr>
        <w:sectPr>
          <w:pgSz w:w="11880" w:h="15480" w:orient="portrait"/>
          <w:cols w:equalWidth="0" w:num="1">
            <w:col w:w="9120"/>
          </w:cols>
          <w:pgMar w:left="1380" w:top="1316"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ectPr>
          <w:pgSz w:w="11880" w:h="15480" w:orient="portrait"/>
          <w:cols w:equalWidth="0" w:num="1">
            <w:col w:w="9120"/>
          </w:cols>
          <w:pgMar w:left="1380" w:top="1316" w:right="1380" w:bottom="655" w:gutter="0" w:footer="0" w:header="0"/>
          <w:type w:val="continuous"/>
        </w:sectPr>
      </w:pPr>
    </w:p>
    <w:bookmarkStart w:id="57" w:name="page58"/>
    <w:bookmarkEnd w:id="57"/>
    <w:p>
      <w:pPr>
        <w:ind w:right="400" w:firstLine="300"/>
        <w:spacing w:after="0" w:line="250" w:lineRule="auto"/>
        <w:rPr>
          <w:sz w:val="20"/>
          <w:szCs w:val="20"/>
          <w:color w:val="auto"/>
        </w:rPr>
      </w:pPr>
      <w:r>
        <w:rPr>
          <w:rFonts w:ascii="Arial" w:cs="Arial" w:eastAsia="Arial" w:hAnsi="Arial"/>
          <w:sz w:val="20"/>
          <w:szCs w:val="20"/>
          <w:b w:val="1"/>
          <w:bCs w:val="1"/>
          <w:i w:val="1"/>
          <w:iCs w:val="1"/>
          <w:color w:val="auto"/>
        </w:rPr>
        <w:t>The Inflation Reduction Act could accelerate the transition to a low-carbon economy and could impose new costs on our operations.</w:t>
      </w:r>
    </w:p>
    <w:p>
      <w:pPr>
        <w:spacing w:after="0" w:line="206" w:lineRule="exact"/>
        <w:rPr>
          <w:sz w:val="20"/>
          <w:szCs w:val="20"/>
          <w:color w:val="auto"/>
        </w:rPr>
      </w:pPr>
    </w:p>
    <w:p>
      <w:pPr>
        <w:ind w:right="20" w:firstLine="300"/>
        <w:spacing w:after="0" w:line="250" w:lineRule="auto"/>
        <w:rPr>
          <w:sz w:val="20"/>
          <w:szCs w:val="20"/>
          <w:color w:val="auto"/>
        </w:rPr>
      </w:pPr>
      <w:r>
        <w:rPr>
          <w:rFonts w:ascii="Arial" w:cs="Arial" w:eastAsia="Arial" w:hAnsi="Arial"/>
          <w:sz w:val="20"/>
          <w:szCs w:val="20"/>
          <w:color w:val="auto"/>
        </w:rPr>
        <w:t>In August 2022, President Biden signed the Act into law. The Act contains hundreds of billions of dollars in incentives for the development of renewable energy, clean hydrogen, clean fuels, electric vehicles and supporting infrastructure and CCS, amongst other provisions. In addition, the Act imposes the first ever federal fee on the emission of GHGs through a methane emissions charge. The Act amends the Clean Air Act to impose a fee on the emission of methane from sources required to report their GHG emissions to the EPA, including those sources in the onshore petroleum and natural gas production categories. The methane emissions charge would start in calendar year 2024 at $900 per ton of methane, increase to $1,200 in 2025, and be set at $1,500 for 2026 and each year thereafter. Calculation of the fee is based on certain thresholds established in the Act. In addition, the multiple incentives offered for various clean energy industries referenced above could further accelerate the transition of the economy away from fossil fuels towards lower- or zero-carbon emission alternatives. The methane charges and various incentives for clean energy industries could decrease demand for crude oil and natural gas, increase our compliance and operating costs and consequently materially and adversely affect our business and results of operations.</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20"/>
          <w:szCs w:val="20"/>
          <w:b w:val="1"/>
          <w:bCs w:val="1"/>
          <w:i w:val="1"/>
          <w:iCs w:val="1"/>
          <w:color w:val="auto"/>
        </w:rPr>
        <w:t>Adverse tax law changes may affect our operations.</w:t>
      </w:r>
    </w:p>
    <w:p>
      <w:pPr>
        <w:spacing w:after="0" w:line="215"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We are subject to taxation by various tax authorities at the federal, state and local levels where we do business. New legislation could be enacted by any of these government authorities that could adversely affect our business. For example, the Act includes a new excise tax on certain repurchases of corporate stock. The 1% stock buyback excise tax applies to certain publicly traded corporations that repurchase stock from their shareholders after December 31, 2022. The amount subject to the excise tax is the fair market value of stock repurchased by such corporation net of the fair market value of any stock issued by such corporation during such taxable year. Although the application of this excise tax is not entirely clear, any redemptions made after December 31, 2022 in connection with our Share Repurchase Program will be subject to this excise tax. We do not believe that the effect of this new excise tax will be significant in 2023.</w:t>
      </w:r>
    </w:p>
    <w:p>
      <w:pPr>
        <w:spacing w:after="0" w:line="214" w:lineRule="exact"/>
        <w:rPr>
          <w:sz w:val="20"/>
          <w:szCs w:val="20"/>
          <w:color w:val="auto"/>
        </w:rPr>
      </w:pPr>
    </w:p>
    <w:p>
      <w:pPr>
        <w:ind w:right="20" w:firstLine="300"/>
        <w:spacing w:after="0" w:line="250" w:lineRule="auto"/>
        <w:rPr>
          <w:sz w:val="20"/>
          <w:szCs w:val="20"/>
          <w:color w:val="auto"/>
        </w:rPr>
      </w:pPr>
      <w:r>
        <w:rPr>
          <w:rFonts w:ascii="Arial" w:cs="Arial" w:eastAsia="Arial" w:hAnsi="Arial"/>
          <w:sz w:val="20"/>
          <w:szCs w:val="20"/>
          <w:color w:val="auto"/>
        </w:rPr>
        <w:t>In addition, from time to time, legislation has been proposed that would, if enacted into law, make significant changes to U.S. federal income tax laws, including the elimination of certain U.S. federal income tax benefits currently available to oil and natural gas exploration and production companies. Such changes have included, but have not been limited to, (i) the repeal of percentage depletion allowance for oil and natural gas properties; (ii) the elimination of current deductions for intangible drilling and development costs; (iii) an extension of the amortization period for certain geological and geophysical expenditures; (iv) the elimination of certain other tax deductions and relief previously available to oil and natural gas companies; and (v) an increase in the U.S. federal income tax rate applicable to corporations such as us. However, it is unclear whether any such changes will be enacted and, if enacted, how soon any such changes would be effective. Additionally, legislation could be enacted that imposes new fees or increases the taxes on oil and natural gas extraction, which could result in increased operating costs and/or reduced demand for our products. The passage of any such legislation or any other similar change in U.S. federal income tax law could eliminate or postpone certain tax deductions that are currently available with respect to natural gas and oil exploration and development or could increase costs and any such changes could have an adverse effect on our financial condition, results of operations and cash flows.</w:t>
      </w:r>
    </w:p>
    <w:p>
      <w:pPr>
        <w:spacing w:after="0" w:line="207" w:lineRule="exact"/>
        <w:rPr>
          <w:sz w:val="20"/>
          <w:szCs w:val="20"/>
          <w:color w:val="auto"/>
        </w:rPr>
      </w:pPr>
    </w:p>
    <w:p>
      <w:pPr>
        <w:ind w:right="260" w:firstLine="300"/>
        <w:spacing w:after="0" w:line="248" w:lineRule="auto"/>
        <w:rPr>
          <w:sz w:val="20"/>
          <w:szCs w:val="20"/>
          <w:color w:val="auto"/>
        </w:rPr>
      </w:pPr>
      <w:r>
        <w:rPr>
          <w:rFonts w:ascii="Arial" w:cs="Arial" w:eastAsia="Arial" w:hAnsi="Arial"/>
          <w:sz w:val="20"/>
          <w:szCs w:val="20"/>
          <w:color w:val="auto"/>
        </w:rPr>
        <w:t>In California, there have been numerous state and local proposals for additional income, sales, excise and property taxes, including additional taxes on oil and natural gas production and a windfall profits tax on refineries. Although such proposals targeting the oil and natural gas industry have not become law, campaigns by various interest groups could lead to additional future taxes.</w:t>
      </w:r>
    </w:p>
    <w:p>
      <w:pPr>
        <w:sectPr>
          <w:pgSz w:w="11880" w:h="15480" w:orient="portrait"/>
          <w:cols w:equalWidth="0" w:num="1">
            <w:col w:w="9120"/>
          </w:cols>
          <w:pgMar w:left="1380" w:top="1311" w:right="1380" w:bottom="655"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ectPr>
          <w:pgSz w:w="11880" w:h="15480" w:orient="portrait"/>
          <w:cols w:equalWidth="0" w:num="1">
            <w:col w:w="9120"/>
          </w:cols>
          <w:pgMar w:left="1380" w:top="1311" w:right="1380" w:bottom="655" w:gutter="0" w:footer="0" w:header="0"/>
          <w:type w:val="continuous"/>
        </w:sectPr>
      </w:pPr>
    </w:p>
    <w:bookmarkStart w:id="58" w:name="page59"/>
    <w:bookmarkEnd w:id="58"/>
    <w:p>
      <w:pPr>
        <w:spacing w:after="0"/>
        <w:rPr>
          <w:sz w:val="20"/>
          <w:szCs w:val="20"/>
          <w:color w:val="auto"/>
        </w:rPr>
      </w:pPr>
      <w:r>
        <w:rPr>
          <w:rFonts w:ascii="Arial" w:cs="Arial" w:eastAsia="Arial" w:hAnsi="Arial"/>
          <w:sz w:val="20"/>
          <w:szCs w:val="20"/>
          <w:b w:val="1"/>
          <w:bCs w:val="1"/>
          <w:color w:val="auto"/>
        </w:rPr>
        <w:t>Risks Related to our Indebtedness</w:t>
      </w:r>
    </w:p>
    <w:p>
      <w:pPr>
        <w:spacing w:after="0" w:line="212" w:lineRule="exact"/>
        <w:rPr>
          <w:sz w:val="20"/>
          <w:szCs w:val="20"/>
          <w:color w:val="auto"/>
        </w:rPr>
      </w:pPr>
    </w:p>
    <w:p>
      <w:pPr>
        <w:ind w:right="320" w:firstLine="300"/>
        <w:spacing w:after="0" w:line="250" w:lineRule="auto"/>
        <w:rPr>
          <w:sz w:val="20"/>
          <w:szCs w:val="20"/>
          <w:color w:val="auto"/>
        </w:rPr>
      </w:pPr>
      <w:r>
        <w:rPr>
          <w:rFonts w:ascii="Arial" w:cs="Arial" w:eastAsia="Arial" w:hAnsi="Arial"/>
          <w:sz w:val="20"/>
          <w:szCs w:val="20"/>
          <w:b w:val="1"/>
          <w:bCs w:val="1"/>
          <w:i w:val="1"/>
          <w:iCs w:val="1"/>
          <w:color w:val="auto"/>
        </w:rPr>
        <w:t>We may not be able to amend or refinance our existing debt to create more operating and financial flexibility and to enhance shareholder returns</w:t>
      </w:r>
      <w:r>
        <w:rPr>
          <w:rFonts w:ascii="Arial" w:cs="Arial" w:eastAsia="Arial" w:hAnsi="Arial"/>
          <w:sz w:val="20"/>
          <w:szCs w:val="20"/>
          <w:color w:val="auto"/>
        </w:rPr>
        <w:t>.</w:t>
      </w:r>
    </w:p>
    <w:p>
      <w:pPr>
        <w:spacing w:after="0" w:line="206"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auto"/>
        </w:rPr>
        <w:t>In light of our strategic goals and the restrictions under our existing debt, we are evaluating options to amend and extend or replace our Revolving Credit Facility, as well as refinancing options for our Senior Notes. Our ability to refinance our debt depends on a variety of factors, including our ability to access the commercial banking and debt capital markets. Changes in interest rates could also impact our ability to refinance our debt. If interest rates increase, the interest expense burden of any refinanced debt or other variable rate debt would increase even though the amount borrowed remained the same. There can be no assurances that we will be successful in amending, replacing or refinancing our existing debt on acceptable terms or at all.</w:t>
      </w:r>
    </w:p>
    <w:p>
      <w:pPr>
        <w:spacing w:after="0" w:line="206" w:lineRule="exact"/>
        <w:rPr>
          <w:sz w:val="20"/>
          <w:szCs w:val="20"/>
          <w:color w:val="auto"/>
        </w:rPr>
      </w:pPr>
    </w:p>
    <w:p>
      <w:pPr>
        <w:ind w:right="700" w:firstLine="300"/>
        <w:spacing w:after="0" w:line="250" w:lineRule="auto"/>
        <w:rPr>
          <w:sz w:val="20"/>
          <w:szCs w:val="20"/>
          <w:color w:val="auto"/>
        </w:rPr>
      </w:pPr>
      <w:r>
        <w:rPr>
          <w:rFonts w:ascii="Arial" w:cs="Arial" w:eastAsia="Arial" w:hAnsi="Arial"/>
          <w:sz w:val="20"/>
          <w:szCs w:val="20"/>
          <w:b w:val="1"/>
          <w:bCs w:val="1"/>
          <w:i w:val="1"/>
          <w:iCs w:val="1"/>
          <w:color w:val="auto"/>
        </w:rPr>
        <w:t>Our existing and future indebtedness may adversely affect our business and limit our financial flexibility.</w:t>
      </w:r>
    </w:p>
    <w:p>
      <w:pPr>
        <w:spacing w:after="0" w:line="206"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As of December 31, 2022, we had $600 million of total long-term debt, and additional borrowing capacity of $458 million under the Revolving Credit Facility (after taking into account $144 million of outstanding letters of credit). The terms of our Revolving Credit Facility and Senior Notes permit us to incur significant additional debt, some of which may be secured. Our level of future indebtedness could affect our business in several ways, including the following:</w:t>
      </w:r>
    </w:p>
    <w:p>
      <w:pPr>
        <w:spacing w:after="0" w:line="207" w:lineRule="exact"/>
        <w:rPr>
          <w:sz w:val="20"/>
          <w:szCs w:val="20"/>
          <w:color w:val="auto"/>
        </w:rPr>
      </w:pPr>
    </w:p>
    <w:p>
      <w:pPr>
        <w:ind w:left="600" w:right="460" w:hanging="300"/>
        <w:spacing w:after="0" w:line="245" w:lineRule="auto"/>
        <w:tabs>
          <w:tab w:leader="none" w:pos="6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limit management’s discretion in operating our business and our flexibility in planning for, or reacting to, changes in our business and the industry in which we operate;</w:t>
      </w:r>
    </w:p>
    <w:p>
      <w:pPr>
        <w:spacing w:after="0" w:line="10" w:lineRule="exact"/>
        <w:rPr>
          <w:rFonts w:ascii="Arial" w:cs="Arial" w:eastAsia="Arial" w:hAnsi="Arial"/>
          <w:sz w:val="20"/>
          <w:szCs w:val="20"/>
          <w:color w:val="auto"/>
        </w:rPr>
      </w:pPr>
    </w:p>
    <w:p>
      <w:pPr>
        <w:ind w:left="600" w:right="160" w:hanging="300"/>
        <w:spacing w:after="0" w:line="248" w:lineRule="auto"/>
        <w:tabs>
          <w:tab w:leader="none" w:pos="6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require us to dedicate a portion of our cash flow from operations to service our existing debt, thereby reducing the cash available to finance our operations and other business activities due to restrictions on our ability to obtain additional financing, make investments, lease equipment, sell assets and engage in business combinations;</w:t>
      </w:r>
    </w:p>
    <w:p>
      <w:pPr>
        <w:spacing w:after="0" w:line="5" w:lineRule="exact"/>
        <w:rPr>
          <w:rFonts w:ascii="Arial" w:cs="Arial" w:eastAsia="Arial" w:hAnsi="Arial"/>
          <w:sz w:val="20"/>
          <w:szCs w:val="20"/>
          <w:color w:val="auto"/>
        </w:rPr>
      </w:pPr>
    </w:p>
    <w:p>
      <w:pPr>
        <w:ind w:left="600" w:hanging="300"/>
        <w:spacing w:after="0"/>
        <w:tabs>
          <w:tab w:leader="none" w:pos="6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limit our ability to pay dividends and repurchase shares;</w:t>
      </w:r>
    </w:p>
    <w:p>
      <w:pPr>
        <w:spacing w:after="0" w:line="14" w:lineRule="exact"/>
        <w:rPr>
          <w:rFonts w:ascii="Arial" w:cs="Arial" w:eastAsia="Arial" w:hAnsi="Arial"/>
          <w:sz w:val="20"/>
          <w:szCs w:val="20"/>
          <w:color w:val="auto"/>
        </w:rPr>
      </w:pPr>
    </w:p>
    <w:p>
      <w:pPr>
        <w:ind w:left="600" w:right="520" w:hanging="300"/>
        <w:spacing w:after="0" w:line="245" w:lineRule="auto"/>
        <w:tabs>
          <w:tab w:leader="none" w:pos="6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increase our vulnerability to downturns and adverse developments in our business and the economy generally;</w:t>
      </w:r>
    </w:p>
    <w:p>
      <w:pPr>
        <w:spacing w:after="0" w:line="10" w:lineRule="exact"/>
        <w:rPr>
          <w:rFonts w:ascii="Arial" w:cs="Arial" w:eastAsia="Arial" w:hAnsi="Arial"/>
          <w:sz w:val="20"/>
          <w:szCs w:val="20"/>
          <w:color w:val="auto"/>
        </w:rPr>
      </w:pPr>
    </w:p>
    <w:p>
      <w:pPr>
        <w:ind w:left="600" w:right="180" w:hanging="300"/>
        <w:spacing w:after="0" w:line="248" w:lineRule="auto"/>
        <w:tabs>
          <w:tab w:leader="none" w:pos="6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limit our ability to access the capital markets to raise capital on favorable terms or to obtain additional financing for working capital, capital expenditures, acquisitions, general corporate or other expenses, or to refinance existing indebtedness;</w:t>
      </w:r>
    </w:p>
    <w:p>
      <w:pPr>
        <w:spacing w:after="0" w:line="7" w:lineRule="exact"/>
        <w:rPr>
          <w:rFonts w:ascii="Arial" w:cs="Arial" w:eastAsia="Arial" w:hAnsi="Arial"/>
          <w:sz w:val="20"/>
          <w:szCs w:val="20"/>
          <w:color w:val="auto"/>
        </w:rPr>
      </w:pPr>
    </w:p>
    <w:p>
      <w:pPr>
        <w:ind w:left="600" w:right="260" w:hanging="300"/>
        <w:spacing w:after="0" w:line="263" w:lineRule="auto"/>
        <w:tabs>
          <w:tab w:leader="none" w:pos="600" w:val="left"/>
        </w:tabs>
        <w:numPr>
          <w:ilvl w:val="0"/>
          <w:numId w:val="31"/>
        </w:numPr>
        <w:rPr>
          <w:rFonts w:ascii="Arial" w:cs="Arial" w:eastAsia="Arial" w:hAnsi="Arial"/>
          <w:sz w:val="19"/>
          <w:szCs w:val="19"/>
          <w:color w:val="auto"/>
        </w:rPr>
      </w:pPr>
      <w:r>
        <w:rPr>
          <w:rFonts w:ascii="Arial" w:cs="Arial" w:eastAsia="Arial" w:hAnsi="Arial"/>
          <w:sz w:val="19"/>
          <w:szCs w:val="19"/>
          <w:color w:val="auto"/>
        </w:rPr>
        <w:t>make it more likely that a reduction in our borrowing base following a periodic redetermination could require us to repay a portion of our then-outstanding bank borrowings; and</w:t>
      </w:r>
    </w:p>
    <w:p>
      <w:pPr>
        <w:spacing w:after="0" w:line="1" w:lineRule="exact"/>
        <w:rPr>
          <w:rFonts w:ascii="Arial" w:cs="Arial" w:eastAsia="Arial" w:hAnsi="Arial"/>
          <w:sz w:val="19"/>
          <w:szCs w:val="19"/>
          <w:color w:val="auto"/>
        </w:rPr>
      </w:pPr>
    </w:p>
    <w:p>
      <w:pPr>
        <w:ind w:left="600" w:right="540" w:hanging="300"/>
        <w:spacing w:after="0" w:line="245" w:lineRule="auto"/>
        <w:tabs>
          <w:tab w:leader="none" w:pos="6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make us vulnerable to increases in interest rates as our indebtedness under the Revolving Credit Facility varies with prevailing interest rates.</w:t>
      </w:r>
    </w:p>
    <w:p>
      <w:pPr>
        <w:spacing w:after="0" w:line="210" w:lineRule="exact"/>
        <w:rPr>
          <w:sz w:val="20"/>
          <w:szCs w:val="20"/>
          <w:color w:val="auto"/>
        </w:rPr>
      </w:pPr>
    </w:p>
    <w:p>
      <w:pPr>
        <w:ind w:firstLine="300"/>
        <w:spacing w:after="0" w:line="248" w:lineRule="auto"/>
        <w:rPr>
          <w:sz w:val="20"/>
          <w:szCs w:val="20"/>
          <w:color w:val="auto"/>
        </w:rPr>
      </w:pPr>
      <w:r>
        <w:rPr>
          <w:rFonts w:ascii="Arial" w:cs="Arial" w:eastAsia="Arial" w:hAnsi="Arial"/>
          <w:sz w:val="20"/>
          <w:szCs w:val="20"/>
          <w:color w:val="auto"/>
        </w:rPr>
        <w:t>Our ability to satisfy our obligations depends on our future operating performance and on economic, financial, competitive and other factors, many of which are beyond our control. Our business may not generate sufficient cash flow, and future financings may not be available to provide sufficient net proceeds, to meet these obligations or to successfully execute our business strategy.</w:t>
      </w:r>
    </w:p>
    <w:p>
      <w:pPr>
        <w:sectPr>
          <w:pgSz w:w="11880" w:h="15480" w:orient="portrait"/>
          <w:cols w:equalWidth="0" w:num="1">
            <w:col w:w="9120"/>
          </w:cols>
          <w:pgMar w:left="1380" w:top="1310"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ectPr>
          <w:pgSz w:w="11880" w:h="15480" w:orient="portrait"/>
          <w:cols w:equalWidth="0" w:num="1">
            <w:col w:w="9120"/>
          </w:cols>
          <w:pgMar w:left="1380" w:top="1310" w:right="1380" w:bottom="655" w:gutter="0" w:footer="0" w:header="0"/>
          <w:type w:val="continuous"/>
        </w:sectPr>
      </w:pPr>
    </w:p>
    <w:bookmarkStart w:id="59" w:name="page60"/>
    <w:bookmarkEnd w:id="59"/>
    <w:p>
      <w:pPr>
        <w:ind w:right="200" w:firstLine="300"/>
        <w:spacing w:after="0" w:line="250" w:lineRule="auto"/>
        <w:rPr>
          <w:sz w:val="20"/>
          <w:szCs w:val="20"/>
          <w:color w:val="auto"/>
        </w:rPr>
      </w:pPr>
      <w:r>
        <w:rPr>
          <w:rFonts w:ascii="Arial" w:cs="Arial" w:eastAsia="Arial" w:hAnsi="Arial"/>
          <w:sz w:val="20"/>
          <w:szCs w:val="20"/>
          <w:b w:val="1"/>
          <w:bCs w:val="1"/>
          <w:i w:val="1"/>
          <w:iCs w:val="1"/>
          <w:color w:val="auto"/>
        </w:rPr>
        <w:t>We may not be able to generate sufficient cash to service all of our indebtedness, and may be forced to take other actions to satisfy the obligations under our indebtedness, which may not be successful.</w:t>
      </w:r>
    </w:p>
    <w:p>
      <w:pPr>
        <w:spacing w:after="0" w:line="206"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auto"/>
        </w:rPr>
        <w:t>Our earnings and cash flow could vary significantly from year to year due to the nature of our industry despite our commodity price risk-management activities. As a result, the amount of debt that we can manage in some periods may not be appropriate for us in other periods. Additionally, our future cash flow may be insufficient to meet our debt obligations and other commitments at that time. Any insufficiency could negatively impact our business. A range of economic, competitive, business and industry factors will affect our future financial performance, and, as a result, our ability to generate cash flow from operations and to pay our debt obligations. Many of these factors, such as oil and natural gas prices, economic and financial conditions in our industry and the global economy and initiatives of our competitors, are beyond our control as discussed in this “Risk Factors” section. We may not be able to maintain a level of cash flows from operating activities sufficient to permit us to pay the principal, premium, if any, and interest on our indebtedness.</w:t>
      </w:r>
    </w:p>
    <w:p>
      <w:pPr>
        <w:spacing w:after="0" w:line="211" w:lineRule="exact"/>
        <w:rPr>
          <w:sz w:val="20"/>
          <w:szCs w:val="20"/>
          <w:color w:val="auto"/>
        </w:rPr>
      </w:pPr>
    </w:p>
    <w:p>
      <w:pPr>
        <w:ind w:right="120" w:firstLine="300"/>
        <w:spacing w:after="0" w:line="250" w:lineRule="auto"/>
        <w:rPr>
          <w:sz w:val="20"/>
          <w:szCs w:val="20"/>
          <w:color w:val="auto"/>
        </w:rPr>
      </w:pPr>
      <w:r>
        <w:rPr>
          <w:rFonts w:ascii="Arial" w:cs="Arial" w:eastAsia="Arial" w:hAnsi="Arial"/>
          <w:sz w:val="20"/>
          <w:szCs w:val="20"/>
          <w:b w:val="1"/>
          <w:bCs w:val="1"/>
          <w:i w:val="1"/>
          <w:iCs w:val="1"/>
          <w:color w:val="auto"/>
        </w:rPr>
        <w:t>The lenders under our Revolving Credit Facility could limit our ability to borrow and restrict our use or access to capital.</w:t>
      </w:r>
    </w:p>
    <w:p>
      <w:pPr>
        <w:spacing w:after="0" w:line="206" w:lineRule="exact"/>
        <w:rPr>
          <w:sz w:val="20"/>
          <w:szCs w:val="20"/>
          <w:color w:val="auto"/>
        </w:rPr>
      </w:pPr>
    </w:p>
    <w:p>
      <w:pPr>
        <w:ind w:firstLine="300"/>
        <w:spacing w:after="0" w:line="248" w:lineRule="auto"/>
        <w:rPr>
          <w:sz w:val="20"/>
          <w:szCs w:val="20"/>
          <w:color w:val="auto"/>
        </w:rPr>
      </w:pPr>
      <w:r>
        <w:rPr>
          <w:rFonts w:ascii="Arial" w:cs="Arial" w:eastAsia="Arial" w:hAnsi="Arial"/>
          <w:sz w:val="20"/>
          <w:szCs w:val="20"/>
          <w:color w:val="auto"/>
        </w:rPr>
        <w:t>Our Revolving Credit Facility is an important source of our liquidity. Our ability to borrow under our Revolving Credit Facility is limited by our borrowing base, the size of our lenders’ commitments and our ability to comply with covenants.</w:t>
      </w:r>
    </w:p>
    <w:p>
      <w:pPr>
        <w:spacing w:after="0" w:line="207"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auto"/>
        </w:rPr>
        <w:t>The borrowing base under our Revolving Credit Facility is redetermined semi-annually by our lenders who review the value of our reserves and other factors that may be deemed appropriate. Currently, our borrowing base is set at $1.2 billion and the availability under our Revolving Credit Facility is limited by the aggregate elected commitment amount of our lenders, which as of February 1, 2023 was set at $602 million.</w:t>
      </w:r>
    </w:p>
    <w:p>
      <w:pPr>
        <w:spacing w:after="0" w:line="207" w:lineRule="exact"/>
        <w:rPr>
          <w:sz w:val="20"/>
          <w:szCs w:val="20"/>
          <w:color w:val="auto"/>
        </w:rPr>
      </w:pPr>
    </w:p>
    <w:p>
      <w:pPr>
        <w:ind w:right="240" w:firstLine="300"/>
        <w:spacing w:after="0" w:line="248" w:lineRule="auto"/>
        <w:rPr>
          <w:sz w:val="20"/>
          <w:szCs w:val="20"/>
          <w:color w:val="auto"/>
        </w:rPr>
      </w:pPr>
      <w:r>
        <w:rPr>
          <w:rFonts w:ascii="Arial" w:cs="Arial" w:eastAsia="Arial" w:hAnsi="Arial"/>
          <w:sz w:val="20"/>
          <w:szCs w:val="20"/>
          <w:color w:val="auto"/>
        </w:rPr>
        <w:t>A reduction in our borrowing base below the aggregate commitment amount of our lenders would materially and adversely affect our liquidity and may hinder our ability to execute on our business strategy.</w:t>
      </w:r>
    </w:p>
    <w:p>
      <w:pPr>
        <w:spacing w:after="0" w:line="202" w:lineRule="exact"/>
        <w:rPr>
          <w:sz w:val="20"/>
          <w:szCs w:val="20"/>
          <w:color w:val="auto"/>
        </w:rPr>
      </w:pPr>
    </w:p>
    <w:p>
      <w:pPr>
        <w:ind w:right="620" w:firstLine="300"/>
        <w:spacing w:after="0" w:line="250" w:lineRule="auto"/>
        <w:rPr>
          <w:sz w:val="20"/>
          <w:szCs w:val="20"/>
          <w:color w:val="auto"/>
        </w:rPr>
      </w:pPr>
      <w:r>
        <w:rPr>
          <w:rFonts w:ascii="Arial" w:cs="Arial" w:eastAsia="Arial" w:hAnsi="Arial"/>
          <w:sz w:val="20"/>
          <w:szCs w:val="20"/>
          <w:b w:val="1"/>
          <w:bCs w:val="1"/>
          <w:i w:val="1"/>
          <w:iCs w:val="1"/>
          <w:color w:val="auto"/>
        </w:rPr>
        <w:t>Restrictive covenants in our Revolving Credit Facility and the indenture governing our Senior Notes may limit our financial and operating flexibility.</w:t>
      </w:r>
    </w:p>
    <w:p>
      <w:pPr>
        <w:spacing w:after="0" w:line="206" w:lineRule="exact"/>
        <w:rPr>
          <w:sz w:val="20"/>
          <w:szCs w:val="20"/>
          <w:color w:val="auto"/>
        </w:rPr>
      </w:pPr>
    </w:p>
    <w:p>
      <w:pPr>
        <w:ind w:right="100" w:firstLine="300"/>
        <w:spacing w:after="0" w:line="249" w:lineRule="auto"/>
        <w:rPr>
          <w:sz w:val="20"/>
          <w:szCs w:val="20"/>
          <w:color w:val="auto"/>
        </w:rPr>
      </w:pPr>
      <w:r>
        <w:rPr>
          <w:rFonts w:ascii="Arial" w:cs="Arial" w:eastAsia="Arial" w:hAnsi="Arial"/>
          <w:sz w:val="20"/>
          <w:szCs w:val="20"/>
          <w:color w:val="auto"/>
        </w:rPr>
        <w:t>Both our Revolving Credit Facility and the indenture governing our Senior Notes contain certain restrictions, which may have adverse effects on our business, financial condition, cash flows or results of operations. These restrictions limit our ability to, among other things, (i) incur additional indebtedness; (ii) pay dividends or repurchase shares; (iii) sell properties; and (iv) make capital investments.</w:t>
      </w:r>
    </w:p>
    <w:p>
      <w:pPr>
        <w:spacing w:after="0" w:line="207" w:lineRule="exact"/>
        <w:rPr>
          <w:sz w:val="20"/>
          <w:szCs w:val="20"/>
          <w:color w:val="auto"/>
        </w:rPr>
      </w:pPr>
    </w:p>
    <w:p>
      <w:pPr>
        <w:ind w:right="480" w:firstLine="300"/>
        <w:spacing w:after="0" w:line="245" w:lineRule="auto"/>
        <w:rPr>
          <w:sz w:val="20"/>
          <w:szCs w:val="20"/>
          <w:color w:val="auto"/>
        </w:rPr>
      </w:pPr>
      <w:r>
        <w:rPr>
          <w:rFonts w:ascii="Arial" w:cs="Arial" w:eastAsia="Arial" w:hAnsi="Arial"/>
          <w:sz w:val="20"/>
          <w:szCs w:val="20"/>
          <w:color w:val="auto"/>
        </w:rPr>
        <w:t>The Revolving Credit Agreement also requires us to comply with certain financial maintenance covenants, including a leverage ratio and current ratio.</w:t>
      </w:r>
    </w:p>
    <w:p>
      <w:pPr>
        <w:spacing w:after="0" w:line="210"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A breach of any of these restrictive covenants could result in a default under the Revolving Credit Facility and/or the Senior Notes. If a default occurs under the Revolving Credit Facility, the lenders may elect to declare all borrowings thereunder outstanding, together with accrued interest and other fees, to be immediately due and payable. If we are unable to repay our indebtedness when due or declared due, the lenders under the Revolving Credit Facility will also have the right to proceed against the collateral pledged to them to secure the indebtedness. An event of default under the Senior Notes may cause all outstanding Senior Notes to become due and payable immediately or give the trustee and the holders the right to declare all outstanding Senior Notes to become due and payable immediately.</w:t>
      </w:r>
    </w:p>
    <w:p>
      <w:pPr>
        <w:sectPr>
          <w:pgSz w:w="11880" w:h="15480" w:orient="portrait"/>
          <w:cols w:equalWidth="0" w:num="1">
            <w:col w:w="9120"/>
          </w:cols>
          <w:pgMar w:left="1380" w:top="1311" w:right="1380" w:bottom="655"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ectPr>
          <w:pgSz w:w="11880" w:h="15480" w:orient="portrait"/>
          <w:cols w:equalWidth="0" w:num="1">
            <w:col w:w="9120"/>
          </w:cols>
          <w:pgMar w:left="1380" w:top="1311" w:right="1380" w:bottom="655" w:gutter="0" w:footer="0" w:header="0"/>
          <w:type w:val="continuous"/>
        </w:sectPr>
      </w:pPr>
    </w:p>
    <w:bookmarkStart w:id="60" w:name="page61"/>
    <w:bookmarkEnd w:id="60"/>
    <w:p>
      <w:pPr>
        <w:ind w:right="300" w:firstLine="300"/>
        <w:spacing w:after="0" w:line="250" w:lineRule="auto"/>
        <w:rPr>
          <w:sz w:val="20"/>
          <w:szCs w:val="20"/>
          <w:color w:val="auto"/>
        </w:rPr>
      </w:pPr>
      <w:r>
        <w:rPr>
          <w:rFonts w:ascii="Arial" w:cs="Arial" w:eastAsia="Arial" w:hAnsi="Arial"/>
          <w:sz w:val="20"/>
          <w:szCs w:val="20"/>
          <w:b w:val="1"/>
          <w:bCs w:val="1"/>
          <w:i w:val="1"/>
          <w:iCs w:val="1"/>
          <w:color w:val="auto"/>
        </w:rPr>
        <w:t>Variable rate indebtedness under our Revolving Credit Facility subjects us to interest rate risk, which could cause our debt service obligations to increase significantly.</w:t>
      </w:r>
    </w:p>
    <w:p>
      <w:pPr>
        <w:spacing w:after="0" w:line="206"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auto"/>
        </w:rPr>
        <w:t>Borrowings under our Revolving Credit Facility are at variable rates of interest and expose us to interest rate risk. As of December 31, 2022, we had no amounts borrowed under our Revolving Credit Facility. If in the future we borrow under the Revolving Credit Facility, then our results of operations would be sensitive to movements in interest rates. There are many economic factors outside our control that have in the past and may, in the future, impact rates of interest including publicly announced indices that underlie the interest obligations related to our Revolving Credit Facility. Factors that impact interest rates include governmental monetary policies, inflation, economic conditions, changes in unemployment rates, international disorder and instability in domestic and foreign financial markets. If interest rates increase, our debt service obligations on the variable rate indebtedness would increase even though the amount borrowed remained the same, and our results of operations would be adversely impacted. Such increases in interest rates could have a material adverse effect on our financial condition and results of operations if we borrow under the Revolving Credit Facility in the future.</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Common Stock</w:t>
      </w:r>
    </w:p>
    <w:p>
      <w:pPr>
        <w:spacing w:after="0" w:line="210" w:lineRule="exact"/>
        <w:rPr>
          <w:sz w:val="20"/>
          <w:szCs w:val="20"/>
          <w:color w:val="auto"/>
        </w:rPr>
      </w:pPr>
    </w:p>
    <w:p>
      <w:pPr>
        <w:ind w:right="640" w:firstLine="300"/>
        <w:spacing w:after="0" w:line="250" w:lineRule="auto"/>
        <w:rPr>
          <w:sz w:val="20"/>
          <w:szCs w:val="20"/>
          <w:color w:val="auto"/>
        </w:rPr>
      </w:pPr>
      <w:r>
        <w:rPr>
          <w:rFonts w:ascii="Arial" w:cs="Arial" w:eastAsia="Arial" w:hAnsi="Arial"/>
          <w:sz w:val="20"/>
          <w:szCs w:val="20"/>
          <w:b w:val="1"/>
          <w:bCs w:val="1"/>
          <w:i w:val="1"/>
          <w:iCs w:val="1"/>
          <w:color w:val="auto"/>
        </w:rPr>
        <w:t>Our ability to pay dividends and repurchase shares of our common stock is subject to certain risks.</w:t>
      </w:r>
    </w:p>
    <w:p>
      <w:pPr>
        <w:spacing w:after="0" w:line="206"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color w:val="auto"/>
        </w:rPr>
        <w:t>We have adopted a cash dividend policy which anticipates a total annual dividend of $1.13 per share, payable to shareholders in quarterly increments of $0.2825 per share of common stock, subject to board authorization and declaration each quarter. In addition, as of December 31, 2022, we had remaining authorization under our Share Repurchase Program to repurchase up to $389 million of shares of our common stock, before the increase of $250 million approved by our Board of Directors on February 23, 2023. Any payment of future dividends or repurchasing shares of our common stock will be at the discretion of our Board of Directors and will depend upon, among other things, our earnings, liquidity, capital requirements, financial condition and other factors deemed relevant. Our Revolving Credit Facility and Senior Notes both limit our ability to pay dividends and repurchase shares of our common stock. In addition, cash dividend payments in the future may only be made out of legally available funds and, if we experience substantial losses, such funds may not be available. We can provide no assurances that we will continue to pay dividends at the anticipated rate or repurchase shares of our common stock within the authorized amount or at all.</w:t>
      </w:r>
    </w:p>
    <w:p>
      <w:pPr>
        <w:spacing w:after="0" w:line="201" w:lineRule="exact"/>
        <w:rPr>
          <w:sz w:val="20"/>
          <w:szCs w:val="20"/>
          <w:color w:val="auto"/>
        </w:rPr>
      </w:pPr>
    </w:p>
    <w:p>
      <w:pPr>
        <w:jc w:val="both"/>
        <w:ind w:right="620" w:firstLine="300"/>
        <w:spacing w:after="0" w:line="250" w:lineRule="auto"/>
        <w:rPr>
          <w:sz w:val="20"/>
          <w:szCs w:val="20"/>
          <w:color w:val="auto"/>
        </w:rPr>
      </w:pPr>
      <w:r>
        <w:rPr>
          <w:rFonts w:ascii="Arial" w:cs="Arial" w:eastAsia="Arial" w:hAnsi="Arial"/>
          <w:sz w:val="20"/>
          <w:szCs w:val="20"/>
          <w:b w:val="1"/>
          <w:bCs w:val="1"/>
          <w:i w:val="1"/>
          <w:iCs w:val="1"/>
          <w:color w:val="auto"/>
        </w:rPr>
        <w:t>The trading price of our common stock may decline, and you may not be able to resell shares of our common stock at prices equal to or greater than the price you paid or at all.</w:t>
      </w:r>
    </w:p>
    <w:p>
      <w:pPr>
        <w:spacing w:after="0" w:line="206" w:lineRule="exact"/>
        <w:rPr>
          <w:sz w:val="20"/>
          <w:szCs w:val="20"/>
          <w:color w:val="auto"/>
        </w:rPr>
      </w:pPr>
    </w:p>
    <w:p>
      <w:pPr>
        <w:ind w:right="60" w:firstLine="300"/>
        <w:spacing w:after="0" w:line="264" w:lineRule="auto"/>
        <w:rPr>
          <w:sz w:val="20"/>
          <w:szCs w:val="20"/>
          <w:color w:val="auto"/>
        </w:rPr>
      </w:pPr>
      <w:r>
        <w:rPr>
          <w:rFonts w:ascii="Arial" w:cs="Arial" w:eastAsia="Arial" w:hAnsi="Arial"/>
          <w:sz w:val="19"/>
          <w:szCs w:val="19"/>
          <w:color w:val="auto"/>
        </w:rPr>
        <w:t xml:space="preserve">The trading price of our common stock may decline for many reasons, some of which are beyond our control. In the event of a drop in the market price of our common stock, you could lose a substantial part or all of your investment in our common stock. Numerous factors, including those referred to in this </w:t>
      </w:r>
      <w:r>
        <w:rPr>
          <w:rFonts w:ascii="Arial" w:cs="Arial" w:eastAsia="Arial" w:hAnsi="Arial"/>
          <w:sz w:val="19"/>
          <w:szCs w:val="19"/>
          <w:i w:val="1"/>
          <w:iCs w:val="1"/>
          <w:color w:val="auto"/>
        </w:rPr>
        <w:t>Risk Factors</w:t>
      </w:r>
      <w:r>
        <w:rPr>
          <w:rFonts w:ascii="Arial" w:cs="Arial" w:eastAsia="Arial" w:hAnsi="Arial"/>
          <w:sz w:val="19"/>
          <w:szCs w:val="19"/>
          <w:color w:val="auto"/>
        </w:rPr>
        <w:t xml:space="preserve"> section could affect our stock price. These factors include, among other things, changes in our results of operations and financial condition; changes in commodity prices; changes in the national and global economic outlook; changes in applicable laws and regulations; variations in our capital plan; changes in financial estimates by securities analysts or ratings agencies; changes in market valuations of comparable companies; and additions or departures of key personnel.</w:t>
      </w:r>
    </w:p>
    <w:p>
      <w:pPr>
        <w:sectPr>
          <w:pgSz w:w="11880" w:h="15480" w:orient="portrait"/>
          <w:cols w:equalWidth="0" w:num="1">
            <w:col w:w="9120"/>
          </w:cols>
          <w:pgMar w:left="1380" w:top="1311"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ectPr>
          <w:pgSz w:w="11880" w:h="15480" w:orient="portrait"/>
          <w:cols w:equalWidth="0" w:num="1">
            <w:col w:w="9120"/>
          </w:cols>
          <w:pgMar w:left="1380" w:top="1311" w:right="1380" w:bottom="655" w:gutter="0" w:footer="0" w:header="0"/>
          <w:type w:val="continuous"/>
        </w:sectPr>
      </w:pPr>
    </w:p>
    <w:bookmarkStart w:id="61" w:name="page62"/>
    <w:bookmarkEnd w:id="61"/>
    <w:p>
      <w:pPr>
        <w:ind w:right="380" w:firstLine="300"/>
        <w:spacing w:after="0" w:line="250" w:lineRule="auto"/>
        <w:rPr>
          <w:sz w:val="20"/>
          <w:szCs w:val="20"/>
          <w:color w:val="auto"/>
        </w:rPr>
      </w:pPr>
      <w:r>
        <w:rPr>
          <w:rFonts w:ascii="Arial" w:cs="Arial" w:eastAsia="Arial" w:hAnsi="Arial"/>
          <w:sz w:val="20"/>
          <w:szCs w:val="20"/>
          <w:b w:val="1"/>
          <w:bCs w:val="1"/>
          <w:i w:val="1"/>
          <w:iCs w:val="1"/>
          <w:color w:val="auto"/>
        </w:rPr>
        <w:t>Future issuances of our common stock could reduce our stock price, and any additional capital raised by us through the sale of equity or convertible securities may dilute your ownership in us.</w:t>
      </w:r>
    </w:p>
    <w:p>
      <w:pPr>
        <w:spacing w:after="0" w:line="206"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We may sell additional shares of common stock in subsequent public or private offerings. We may also issue additional shares of common stock or convertible securities. As of December 31, 2022, we had 71,949,742 outstanding shares of common stock and 4,295,434 shares of common stock issuable upon exercise of outstanding warrants. We cannot predict the size of future issuances of our common stock or securities convertible into common stock or the effect, if any, that future issuances and sales of shares of our common stock will have on the market price of our common stock. Sales of substantial amounts of our common stock (including shares issued in connection with an acquisition), or the perception that such sales could occur, may adversely affect prevailing market prices of our common stock.</w:t>
      </w:r>
    </w:p>
    <w:p>
      <w:pPr>
        <w:spacing w:after="0" w:line="208" w:lineRule="exact"/>
        <w:rPr>
          <w:sz w:val="20"/>
          <w:szCs w:val="20"/>
          <w:color w:val="auto"/>
        </w:rPr>
      </w:pPr>
    </w:p>
    <w:p>
      <w:pPr>
        <w:ind w:right="160" w:firstLine="300"/>
        <w:spacing w:after="0" w:line="250" w:lineRule="auto"/>
        <w:rPr>
          <w:sz w:val="20"/>
          <w:szCs w:val="20"/>
          <w:color w:val="auto"/>
        </w:rPr>
      </w:pPr>
      <w:r>
        <w:rPr>
          <w:rFonts w:ascii="Arial" w:cs="Arial" w:eastAsia="Arial" w:hAnsi="Arial"/>
          <w:sz w:val="20"/>
          <w:szCs w:val="20"/>
          <w:b w:val="1"/>
          <w:bCs w:val="1"/>
          <w:i w:val="1"/>
          <w:iCs w:val="1"/>
          <w:color w:val="auto"/>
        </w:rPr>
        <w:t>There is an increased potential for short sales of our common stock due to the sales of shares issued upon exercise of warrants, which could materially affect the market price of the stock.</w:t>
      </w:r>
    </w:p>
    <w:p>
      <w:pPr>
        <w:spacing w:after="0" w:line="206"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Downward pressure on the market price of our common stock that likely will result from sales of our common stock issued in connection with the exercise of warrants could encourage short sales of our common stock by market participants. Generally, short selling means selling a security, contract or commodity not owned by the seller. The seller is committed to eventually purchase the financial instrument previously sold. Short sales are used to capitalize on an expected decline in the security’s price. Such sales of our common stock could have a tendency to depress the price of the stock, which could increase the potential for short sales.</w:t>
      </w:r>
    </w:p>
    <w:p>
      <w:pPr>
        <w:spacing w:after="0" w:line="205" w:lineRule="exact"/>
        <w:rPr>
          <w:sz w:val="20"/>
          <w:szCs w:val="20"/>
          <w:color w:val="auto"/>
        </w:rPr>
      </w:pPr>
    </w:p>
    <w:p>
      <w:pPr>
        <w:ind w:right="280" w:firstLine="300"/>
        <w:spacing w:after="0" w:line="250" w:lineRule="auto"/>
        <w:rPr>
          <w:sz w:val="20"/>
          <w:szCs w:val="20"/>
          <w:color w:val="auto"/>
        </w:rPr>
      </w:pPr>
      <w:r>
        <w:rPr>
          <w:rFonts w:ascii="Arial" w:cs="Arial" w:eastAsia="Arial" w:hAnsi="Arial"/>
          <w:sz w:val="20"/>
          <w:szCs w:val="20"/>
          <w:b w:val="1"/>
          <w:bCs w:val="1"/>
          <w:i w:val="1"/>
          <w:iCs w:val="1"/>
          <w:color w:val="auto"/>
        </w:rPr>
        <w:t>The ownership position of certain of our stockholders limits other stockholders’ ability to influence corporate matters and could affect the price of our common stock.</w:t>
      </w:r>
    </w:p>
    <w:p>
      <w:pPr>
        <w:spacing w:after="0" w:line="206"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As of December 31, 2022, five of our shareholders owned at least 5% each and collectively owned approximately 40% of our common stock. As a result, each of these stockholders, or any entity to which such stockholders sell their stock, may be able to exercise significant control over matters requiring stockholder approval. Further, because of this large ownership position, if these stockholders sell their stock, the sales could depress our share price.</w:t>
      </w:r>
    </w:p>
    <w:p>
      <w:pPr>
        <w:spacing w:after="0" w:line="202" w:lineRule="exact"/>
        <w:rPr>
          <w:sz w:val="20"/>
          <w:szCs w:val="20"/>
          <w:color w:val="auto"/>
        </w:rPr>
      </w:pPr>
    </w:p>
    <w:p>
      <w:pPr>
        <w:ind w:right="120" w:firstLine="300"/>
        <w:spacing w:after="0" w:line="250" w:lineRule="auto"/>
        <w:rPr>
          <w:sz w:val="20"/>
          <w:szCs w:val="20"/>
          <w:color w:val="auto"/>
        </w:rPr>
      </w:pPr>
      <w:r>
        <w:rPr>
          <w:rFonts w:ascii="Arial" w:cs="Arial" w:eastAsia="Arial" w:hAnsi="Arial"/>
          <w:sz w:val="20"/>
          <w:szCs w:val="20"/>
          <w:b w:val="1"/>
          <w:bCs w:val="1"/>
          <w:i w:val="1"/>
          <w:iCs w:val="1"/>
          <w:color w:val="auto"/>
        </w:rPr>
        <w:t>Sales of shares of our common stock by our executive officers could negatively impact the market price for our common stock.</w:t>
      </w:r>
    </w:p>
    <w:p>
      <w:pPr>
        <w:spacing w:after="0" w:line="206"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Following our emergence from bankruptcy in October 2020, we granted our executive officers restricted stock units and performance stock units under our Long Term Incentive Plan. These units are settled in shares of our common stock and a significant portion of these grants vest in January 2024. Sales of our common stock by our executive officers may adversely impact the trading price of our common stock, even when done in compliance with our policies with respect to insider sales. Although we do not expect that the relatively small volume of such sales will itself significantly impact the trading price of our common stock, the market could react negatively to the announcement of such sales, which could in turn affect the trading price of our common stock.</w:t>
      </w:r>
    </w:p>
    <w:p>
      <w:pPr>
        <w:sectPr>
          <w:pgSz w:w="11880" w:h="15480" w:orient="portrait"/>
          <w:cols w:equalWidth="0" w:num="1">
            <w:col w:w="9080"/>
          </w:cols>
          <w:pgMar w:left="1380" w:top="1311" w:right="142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58</w:t>
      </w:r>
    </w:p>
    <w:p>
      <w:pPr>
        <w:sectPr>
          <w:pgSz w:w="11880" w:h="15480" w:orient="portrait"/>
          <w:cols w:equalWidth="0" w:num="1">
            <w:col w:w="9080"/>
          </w:cols>
          <w:pgMar w:left="1380" w:top="1311" w:right="1420" w:bottom="655" w:gutter="0" w:footer="0" w:header="0"/>
          <w:type w:val="continuous"/>
        </w:sectPr>
      </w:pPr>
    </w:p>
    <w:bookmarkStart w:id="62" w:name="page63"/>
    <w:bookmarkEnd w:id="62"/>
    <w:p>
      <w:pPr>
        <w:spacing w:after="0"/>
        <w:rPr>
          <w:sz w:val="20"/>
          <w:szCs w:val="20"/>
          <w:color w:val="auto"/>
        </w:rPr>
      </w:pPr>
      <w:r>
        <w:rPr>
          <w:rFonts w:ascii="Arial" w:cs="Arial" w:eastAsia="Arial" w:hAnsi="Arial"/>
          <w:sz w:val="20"/>
          <w:szCs w:val="20"/>
          <w:b w:val="1"/>
          <w:bCs w:val="1"/>
          <w:color w:val="auto"/>
        </w:rPr>
        <w:t>General Risk Factors</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20"/>
          <w:szCs w:val="20"/>
          <w:b w:val="1"/>
          <w:bCs w:val="1"/>
          <w:i w:val="1"/>
          <w:iCs w:val="1"/>
          <w:color w:val="auto"/>
        </w:rPr>
        <w:t>Increasing attention to ESG matters may adversely impact our business.</w:t>
      </w:r>
    </w:p>
    <w:p>
      <w:pPr>
        <w:spacing w:after="0" w:line="215"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auto"/>
        </w:rPr>
        <w:t>Organizations that provide information to investors on corporate governance and related matters have developed ratings processes for evaluating companies on their approach to ESG matters. Such ratings are used by some investors to evaluate their investment and voting decisions. Companies in the energy industry, and in particular those focused on oil or natural gas extraction, often do not score as well under ESG assessments compared to companies in other industries. Unfavorable ESG ratings may lead to increased negative investor sentiment toward us and to the diversion of their investment away from the fossil fuel industry to other industries which could have a negative impact on our stock price and our access to and costs of capital. To the extent ESG matters negatively impact our reputation, we may not be able to compete as effectively or recruit or retain employees, which may adversely affect our operations.</w:t>
      </w:r>
    </w:p>
    <w:p>
      <w:pPr>
        <w:spacing w:after="0" w:line="214"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color w:val="auto"/>
        </w:rPr>
        <w:t>Moreover, while we may create and publish voluntary disclosures regarding ESG matters from time to time, many of the statements in those voluntary disclosures will be based on expectations and assumptions that may or may not be representative of actual risks or events, including the costs associated therewith. Such expectations and assumptions are necessarily uncertain and may be prone to error or subject to misinterpretation given the long timelines involved and the lack of an established single approach to identifying, measuring, and reporting on many ESG matters. Additionally, while we may also announce various voluntary ESG targets, such targets are aspirational. We may not be able to meet such targets in the manner or on such a timeline as initially contemplated, including, but not limited to as a result of unforeseen costs or technical difficulties associated with achieving such results. To the extent we do meet such targets, they may ultimately be achieved through various contractual arrangements, including the purchase of various credits or offsets that may be deemed to mitigate our ESG impact instead of actual changes in our ESG performance. However, we cannot guarantee that there will be sufficient offsets available for purchase given the increased demand from numerous businesses implementing net zero goals, or that, notwithstanding our reliance on any reputable third-party registries, that the offsets we do purchase will successfully achieve the emissions reductions they represent. Also, despite these aspirational goals, we may receive pressure from investors, lenders, or other groups to adopt more aggressive climate or other ESG-related goals, but we cannot guarantee that we will be able to implement such goals because of potential costs or technical or operational obstacles.</w:t>
      </w:r>
    </w:p>
    <w:p>
      <w:pPr>
        <w:spacing w:after="0" w:line="208"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 xml:space="preserve">Public statements with respect to ESG matters, such as emissions reduction goals, other environmental targets, or other commitments addressing certain social issues, are becoming increasingly subject to heightened scrutiny from public and governmental authorities related to the risk of potential “greenwashing,” </w:t>
      </w:r>
      <w:r>
        <w:rPr>
          <w:rFonts w:ascii="Arial" w:cs="Arial" w:eastAsia="Arial" w:hAnsi="Arial"/>
          <w:sz w:val="20"/>
          <w:szCs w:val="20"/>
          <w:i w:val="1"/>
          <w:iCs w:val="1"/>
          <w:color w:val="auto"/>
        </w:rPr>
        <w:t>i.e.</w:t>
      </w:r>
      <w:r>
        <w:rPr>
          <w:rFonts w:ascii="Arial" w:cs="Arial" w:eastAsia="Arial" w:hAnsi="Arial"/>
          <w:sz w:val="20"/>
          <w:szCs w:val="20"/>
          <w:color w:val="auto"/>
        </w:rPr>
        <w:t>, misleading information or false claims overstating potential ESG benefits. As a result, we may face increased litigation risks from private parties and governmental authorities related to our ESG efforts. In addition, any alleged claims of greenwashing against us or others in our industry may lead to further negative sentiment and diversion of investments. Additionally, we could face increasing costs as we attempt to comply with and navigate further ESG-related focus and scrutiny.</w:t>
      </w:r>
    </w:p>
    <w:p>
      <w:pPr>
        <w:spacing w:after="0" w:line="213" w:lineRule="exact"/>
        <w:rPr>
          <w:sz w:val="20"/>
          <w:szCs w:val="20"/>
          <w:color w:val="auto"/>
        </w:rPr>
      </w:pPr>
    </w:p>
    <w:p>
      <w:pPr>
        <w:ind w:right="280" w:firstLine="300"/>
        <w:spacing w:after="0" w:line="245" w:lineRule="auto"/>
        <w:rPr>
          <w:sz w:val="20"/>
          <w:szCs w:val="20"/>
          <w:color w:val="auto"/>
        </w:rPr>
      </w:pPr>
      <w:r>
        <w:rPr>
          <w:rFonts w:ascii="Arial" w:cs="Arial" w:eastAsia="Arial" w:hAnsi="Arial"/>
          <w:sz w:val="20"/>
          <w:szCs w:val="20"/>
          <w:color w:val="auto"/>
        </w:rPr>
        <w:t>Such ESG matters may also impact our customers or suppliers, which may adversely impact our business, financial condition, or results of operations.</w:t>
      </w:r>
    </w:p>
    <w:p>
      <w:pPr>
        <w:sectPr>
          <w:pgSz w:w="11880" w:h="15480" w:orient="portrait"/>
          <w:cols w:equalWidth="0" w:num="1">
            <w:col w:w="9100"/>
          </w:cols>
          <w:pgMar w:left="1380" w:top="1310" w:right="140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59</w:t>
      </w:r>
    </w:p>
    <w:p>
      <w:pPr>
        <w:sectPr>
          <w:pgSz w:w="11880" w:h="15480" w:orient="portrait"/>
          <w:cols w:equalWidth="0" w:num="1">
            <w:col w:w="9100"/>
          </w:cols>
          <w:pgMar w:left="1380" w:top="1310" w:right="1400" w:bottom="655" w:gutter="0" w:footer="0" w:header="0"/>
          <w:type w:val="continuous"/>
        </w:sectPr>
      </w:pPr>
    </w:p>
    <w:bookmarkStart w:id="63" w:name="page64"/>
    <w:bookmarkEnd w:id="63"/>
    <w:p>
      <w:pPr>
        <w:ind w:left="300"/>
        <w:spacing w:after="0"/>
        <w:rPr>
          <w:sz w:val="20"/>
          <w:szCs w:val="20"/>
          <w:color w:val="auto"/>
        </w:rPr>
      </w:pPr>
      <w:r>
        <w:rPr>
          <w:rFonts w:ascii="Arial" w:cs="Arial" w:eastAsia="Arial" w:hAnsi="Arial"/>
          <w:sz w:val="20"/>
          <w:szCs w:val="20"/>
          <w:b w:val="1"/>
          <w:bCs w:val="1"/>
          <w:i w:val="1"/>
          <w:iCs w:val="1"/>
          <w:color w:val="auto"/>
        </w:rPr>
        <w:t>Acquisition and disposition activities involve substantial risks.</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20"/>
          <w:szCs w:val="20"/>
          <w:color w:val="auto"/>
        </w:rPr>
        <w:t>Our acquisition activities carry risks that we may:</w:t>
      </w:r>
    </w:p>
    <w:p>
      <w:pPr>
        <w:spacing w:after="0" w:line="206" w:lineRule="exact"/>
        <w:rPr>
          <w:sz w:val="20"/>
          <w:szCs w:val="20"/>
          <w:color w:val="auto"/>
        </w:rPr>
      </w:pPr>
    </w:p>
    <w:p>
      <w:pPr>
        <w:ind w:left="1200" w:right="360" w:hanging="300"/>
        <w:spacing w:after="0" w:line="243" w:lineRule="auto"/>
        <w:tabs>
          <w:tab w:leader="none" w:pos="12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not fully realize anticipated benefits due to less-than-expected reserves or production or changed circumstances;</w:t>
      </w:r>
    </w:p>
    <w:p>
      <w:pPr>
        <w:spacing w:after="0" w:line="7" w:lineRule="exact"/>
        <w:rPr>
          <w:rFonts w:ascii="Arial" w:cs="Arial" w:eastAsia="Arial" w:hAnsi="Arial"/>
          <w:sz w:val="20"/>
          <w:szCs w:val="20"/>
          <w:color w:val="auto"/>
        </w:rPr>
      </w:pPr>
    </w:p>
    <w:p>
      <w:pPr>
        <w:ind w:left="1200" w:hanging="300"/>
        <w:spacing w:after="0"/>
        <w:tabs>
          <w:tab w:leader="none" w:pos="12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bear unexpected integration costs or experience other integration difficulties;</w:t>
      </w:r>
    </w:p>
    <w:p>
      <w:pPr>
        <w:spacing w:after="0" w:line="10" w:lineRule="exact"/>
        <w:rPr>
          <w:rFonts w:ascii="Arial" w:cs="Arial" w:eastAsia="Arial" w:hAnsi="Arial"/>
          <w:sz w:val="20"/>
          <w:szCs w:val="20"/>
          <w:color w:val="auto"/>
        </w:rPr>
      </w:pPr>
    </w:p>
    <w:p>
      <w:pPr>
        <w:ind w:left="1200" w:hanging="300"/>
        <w:spacing w:after="0"/>
        <w:tabs>
          <w:tab w:leader="none" w:pos="12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assume liabilities that are greater than anticipated; and</w:t>
      </w:r>
    </w:p>
    <w:p>
      <w:pPr>
        <w:spacing w:after="0" w:line="10" w:lineRule="exact"/>
        <w:rPr>
          <w:rFonts w:ascii="Arial" w:cs="Arial" w:eastAsia="Arial" w:hAnsi="Arial"/>
          <w:sz w:val="20"/>
          <w:szCs w:val="20"/>
          <w:color w:val="auto"/>
        </w:rPr>
      </w:pPr>
    </w:p>
    <w:p>
      <w:pPr>
        <w:ind w:left="1200" w:hanging="300"/>
        <w:spacing w:after="0"/>
        <w:tabs>
          <w:tab w:leader="none" w:pos="12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be exposed to currency, political, marketing, labor and other risks.</w:t>
      </w:r>
    </w:p>
    <w:p>
      <w:pPr>
        <w:spacing w:after="0" w:line="208"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In connection with our acquisitions, we are often only able to perform limited due diligence. Successful acquisitions of oil and natural gas properties require an assessment of a number of factors, including estimates of recoverable reserves, the timing for recovering the reserves, exploration potential, future commodity prices, operating costs and potential environmental, regulatory and other liabilities. Such assessments are inexact and incomplete, and we may be unable to make these assessments with a high degree of accuracy. If we are not able to make acquisitions, we may not be able to grow our reserves or develop our properties in a timely manner or at all.</w:t>
      </w:r>
    </w:p>
    <w:p>
      <w:pPr>
        <w:spacing w:after="0" w:line="202" w:lineRule="exact"/>
        <w:rPr>
          <w:sz w:val="20"/>
          <w:szCs w:val="20"/>
          <w:color w:val="auto"/>
        </w:rPr>
      </w:pPr>
    </w:p>
    <w:p>
      <w:pPr>
        <w:ind w:right="880" w:firstLine="300"/>
        <w:spacing w:after="0" w:line="267" w:lineRule="auto"/>
        <w:rPr>
          <w:sz w:val="20"/>
          <w:szCs w:val="20"/>
          <w:color w:val="auto"/>
        </w:rPr>
      </w:pPr>
      <w:r>
        <w:rPr>
          <w:rFonts w:ascii="Arial" w:cs="Arial" w:eastAsia="Arial" w:hAnsi="Arial"/>
          <w:sz w:val="19"/>
          <w:szCs w:val="19"/>
          <w:color w:val="auto"/>
        </w:rPr>
        <w:t>We regularly review our property base for the purpose of identifying nonstrategic assets, the disposition of which would increase capital resources available for other activities and create organizational and operational efficiencies. Our disposition activities carry risks that we may:</w:t>
      </w:r>
    </w:p>
    <w:p>
      <w:pPr>
        <w:spacing w:after="0" w:line="178" w:lineRule="exact"/>
        <w:rPr>
          <w:sz w:val="20"/>
          <w:szCs w:val="20"/>
          <w:color w:val="auto"/>
        </w:rPr>
      </w:pPr>
    </w:p>
    <w:p>
      <w:pPr>
        <w:ind w:left="1200" w:hanging="300"/>
        <w:spacing w:after="0"/>
        <w:tabs>
          <w:tab w:leader="none" w:pos="12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not be able to realize reasonable prices or rates of return for assets;</w:t>
      </w:r>
    </w:p>
    <w:p>
      <w:pPr>
        <w:spacing w:after="0" w:line="10" w:lineRule="exact"/>
        <w:rPr>
          <w:rFonts w:ascii="Arial" w:cs="Arial" w:eastAsia="Arial" w:hAnsi="Arial"/>
          <w:sz w:val="20"/>
          <w:szCs w:val="20"/>
          <w:color w:val="auto"/>
        </w:rPr>
      </w:pPr>
    </w:p>
    <w:p>
      <w:pPr>
        <w:ind w:left="1200" w:hanging="300"/>
        <w:spacing w:after="0"/>
        <w:tabs>
          <w:tab w:leader="none" w:pos="12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be required to retain liabilities that are greater than desired or anticipated;</w:t>
      </w:r>
    </w:p>
    <w:p>
      <w:pPr>
        <w:spacing w:after="0" w:line="10" w:lineRule="exact"/>
        <w:rPr>
          <w:rFonts w:ascii="Arial" w:cs="Arial" w:eastAsia="Arial" w:hAnsi="Arial"/>
          <w:sz w:val="20"/>
          <w:szCs w:val="20"/>
          <w:color w:val="auto"/>
        </w:rPr>
      </w:pPr>
    </w:p>
    <w:p>
      <w:pPr>
        <w:ind w:left="1200" w:hanging="300"/>
        <w:spacing w:after="0"/>
        <w:tabs>
          <w:tab w:leader="none" w:pos="12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experience increased operating costs; and</w:t>
      </w:r>
    </w:p>
    <w:p>
      <w:pPr>
        <w:spacing w:after="0" w:line="10" w:lineRule="exact"/>
        <w:rPr>
          <w:rFonts w:ascii="Arial" w:cs="Arial" w:eastAsia="Arial" w:hAnsi="Arial"/>
          <w:sz w:val="20"/>
          <w:szCs w:val="20"/>
          <w:color w:val="auto"/>
        </w:rPr>
      </w:pPr>
    </w:p>
    <w:p>
      <w:pPr>
        <w:ind w:left="1200" w:hanging="300"/>
        <w:spacing w:after="0"/>
        <w:tabs>
          <w:tab w:leader="none" w:pos="12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reduce our cash flows if we cannot replace associated revenue.</w:t>
      </w:r>
    </w:p>
    <w:p>
      <w:pPr>
        <w:spacing w:after="0" w:line="206" w:lineRule="exact"/>
        <w:rPr>
          <w:sz w:val="20"/>
          <w:szCs w:val="20"/>
          <w:color w:val="auto"/>
        </w:rPr>
      </w:pPr>
    </w:p>
    <w:p>
      <w:pPr>
        <w:ind w:right="20" w:firstLine="300"/>
        <w:spacing w:after="0" w:line="248" w:lineRule="auto"/>
        <w:rPr>
          <w:sz w:val="20"/>
          <w:szCs w:val="20"/>
          <w:color w:val="auto"/>
        </w:rPr>
      </w:pPr>
      <w:r>
        <w:rPr>
          <w:rFonts w:ascii="Arial" w:cs="Arial" w:eastAsia="Arial" w:hAnsi="Arial"/>
          <w:sz w:val="20"/>
          <w:szCs w:val="20"/>
          <w:color w:val="auto"/>
        </w:rPr>
        <w:t>There can be no assurance that we will be able to divest assets on financially attractive terms or at all. Our ability to sell assets is also limited by the agreements governing our indebtedness. If we are not able to sell assets as needed, we may not be able to generate proceeds to support our liquidity and capital investments.</w:t>
      </w:r>
    </w:p>
    <w:p>
      <w:pPr>
        <w:spacing w:after="0" w:line="197" w:lineRule="exact"/>
        <w:rPr>
          <w:sz w:val="20"/>
          <w:szCs w:val="20"/>
          <w:color w:val="auto"/>
        </w:rPr>
      </w:pPr>
    </w:p>
    <w:p>
      <w:pPr>
        <w:jc w:val="both"/>
        <w:ind w:right="380" w:firstLine="300"/>
        <w:spacing w:after="0" w:line="250" w:lineRule="auto"/>
        <w:rPr>
          <w:sz w:val="20"/>
          <w:szCs w:val="20"/>
          <w:color w:val="auto"/>
        </w:rPr>
      </w:pPr>
      <w:r>
        <w:rPr>
          <w:rFonts w:ascii="Arial" w:cs="Arial" w:eastAsia="Arial" w:hAnsi="Arial"/>
          <w:sz w:val="20"/>
          <w:szCs w:val="20"/>
          <w:b w:val="1"/>
          <w:bCs w:val="1"/>
          <w:i w:val="1"/>
          <w:iCs w:val="1"/>
          <w:color w:val="auto"/>
        </w:rPr>
        <w:t>We may incur substantial losses and be subject to substantial liability claims as a result of pollution, environmental conditions or catastrophic events. We may not be insured for, or our insurance may be inadequate to protect us against, these risks.</w:t>
      </w:r>
    </w:p>
    <w:p>
      <w:pPr>
        <w:spacing w:after="0" w:line="198"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color w:val="auto"/>
        </w:rPr>
        <w:t>We are not fully insured against all risks. Our business and assets are subject to risks from natural disasters and operating risks associated with oil and natural gas exploration and production activities. Pollution or environmental conditions with respect to our operations or on or from our properties, whether arising from our operations or those of our predecessors or third parties, could expose us to substantial costs and liabilities. Such events may cause operations to cease or be curtailed and could adversely affect our business, workforce and the communities in which we operate. The cost and availability of obtain insurance for natural disasters has increased in recent years. We may be unable to obtain, or may elect not to obtain, insurance for certain risks if we believe that the cost of available insurance is excessive relative to the risks presented.</w:t>
      </w:r>
    </w:p>
    <w:p>
      <w:pPr>
        <w:spacing w:after="0" w:line="200" w:lineRule="exact"/>
        <w:rPr>
          <w:sz w:val="20"/>
          <w:szCs w:val="20"/>
          <w:color w:val="auto"/>
        </w:rPr>
      </w:pPr>
    </w:p>
    <w:p>
      <w:pPr>
        <w:ind w:left="300"/>
        <w:spacing w:after="0"/>
        <w:rPr>
          <w:sz w:val="20"/>
          <w:szCs w:val="20"/>
          <w:color w:val="auto"/>
        </w:rPr>
      </w:pPr>
      <w:r>
        <w:rPr>
          <w:rFonts w:ascii="Arial" w:cs="Arial" w:eastAsia="Arial" w:hAnsi="Arial"/>
          <w:sz w:val="20"/>
          <w:szCs w:val="20"/>
          <w:b w:val="1"/>
          <w:bCs w:val="1"/>
          <w:i w:val="1"/>
          <w:iCs w:val="1"/>
          <w:color w:val="auto"/>
        </w:rPr>
        <w:t>Cybersecurity attacks, systems failures, and other disruptions could adversely affect us.</w:t>
      </w:r>
    </w:p>
    <w:p>
      <w:pPr>
        <w:spacing w:after="0" w:line="207"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We rely on electronic systems and networks to communicate, control and manage our exploration, development and production activities. We also use these systems and networks to prepare our financial management and reporting information, to analyze and store data and to communicate internally and with third parties, including our service providers and customers. If we record inaccurate data or experience infrastructure outages, our ability to communicate and control and manage our business could be adversely affected.</w:t>
      </w:r>
    </w:p>
    <w:p>
      <w:pPr>
        <w:sectPr>
          <w:pgSz w:w="11880" w:h="15480" w:orient="portrait"/>
          <w:cols w:equalWidth="0" w:num="1">
            <w:col w:w="9120"/>
          </w:cols>
          <w:pgMar w:left="1380" w:top="1311" w:right="1380" w:bottom="655" w:gutter="0" w:footer="0" w:header="0"/>
        </w:sect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ectPr>
          <w:pgSz w:w="11880" w:h="15480" w:orient="portrait"/>
          <w:cols w:equalWidth="0" w:num="1">
            <w:col w:w="9120"/>
          </w:cols>
          <w:pgMar w:left="1380" w:top="1311" w:right="1380" w:bottom="655" w:gutter="0" w:footer="0" w:header="0"/>
          <w:type w:val="continuous"/>
        </w:sectPr>
      </w:pPr>
    </w:p>
    <w:bookmarkStart w:id="64" w:name="page65"/>
    <w:bookmarkEnd w:id="64"/>
    <w:p>
      <w:pPr>
        <w:ind w:firstLine="300"/>
        <w:spacing w:after="0" w:line="249" w:lineRule="auto"/>
        <w:rPr>
          <w:sz w:val="20"/>
          <w:szCs w:val="20"/>
          <w:color w:val="auto"/>
        </w:rPr>
      </w:pPr>
      <w:r>
        <w:rPr>
          <w:rFonts w:ascii="Arial" w:cs="Arial" w:eastAsia="Arial" w:hAnsi="Arial"/>
          <w:sz w:val="20"/>
          <w:szCs w:val="20"/>
          <w:color w:val="auto"/>
        </w:rPr>
        <w:t>Cybersecurity attacks on businesses have escalated and become more sophisticated. If we or the third parties with whom we interact were to experience a successful attack, the potential consequences to our business, workforce and the communities in which we operate could be significant, including financial losses, loss of business, litigation risks and damage to reputation. We utilize various technologies, controls and procedures, as well as internal staff and external specialists to protect our systems and data, to identify and remediate vulnerabilities and to monitor and respond to threats. However, there can be no assurance that such measures will be sufficient to prevent security breaches from occurring. If a breach occurs, it may remain undetected for an extended period of time. If we or third parties with whom we interact were to experience a cybersecurity attack or a successful breach, the potential consequences could be significant, including loss of data, loss of business, damage to our reputation, potential financial or legal liability requiring us to incur significant costs, disruptions related to investigations and costs related to remediation.</w:t>
      </w:r>
    </w:p>
    <w:p>
      <w:pPr>
        <w:spacing w:after="0" w:line="217"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auto"/>
        </w:rPr>
        <w:t>Energy-related assets may be at a greater risk of strategic terrorist attacks or cybersecurity attacks than other targets. A cybersecurity attack on the digital technology that controls most oil and natural gas refining and distribution necessary to transport and market our products could impact critical distribution and storage assets or the environment, disrupt energy markets by delaying or preventing product delivery, or make it difficult or impossible to accurately account for production and settle transactions.</w:t>
      </w:r>
    </w:p>
    <w:p>
      <w:pPr>
        <w:spacing w:after="0" w:line="208"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As cybersecurity threats continue to evolve in sophistication and magnitude, we may be required to expend significant additional resources to continue to modify or enhance our protective measures or to investigate and remediate any cybersecurity vulnerabilities. Further, state and federal cybersecurity and data privacy legislation could result in complex new requirements that increase our cost of doing business.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ITEM 3</w:t>
        <w:tab/>
        <w:t>LEGAL PROCEEDINGS</w:t>
      </w:r>
    </w:p>
    <w:p>
      <w:pPr>
        <w:spacing w:after="0" w:line="212" w:lineRule="exact"/>
        <w:rPr>
          <w:sz w:val="20"/>
          <w:szCs w:val="20"/>
          <w:color w:val="auto"/>
        </w:rPr>
      </w:pPr>
    </w:p>
    <w:p>
      <w:pPr>
        <w:ind w:right="120" w:firstLine="300"/>
        <w:spacing w:after="0" w:line="249" w:lineRule="auto"/>
        <w:rPr>
          <w:sz w:val="20"/>
          <w:szCs w:val="20"/>
          <w:color w:val="auto"/>
        </w:rPr>
      </w:pPr>
      <w:r>
        <w:rPr>
          <w:rFonts w:ascii="Arial" w:cs="Arial" w:eastAsia="Arial" w:hAnsi="Arial"/>
          <w:sz w:val="20"/>
          <w:szCs w:val="20"/>
          <w:color w:val="auto"/>
        </w:rPr>
        <w:t xml:space="preserve">For information regarding legal proceedings, see </w:t>
      </w:r>
      <w:r>
        <w:rPr>
          <w:rFonts w:ascii="Arial" w:cs="Arial" w:eastAsia="Arial" w:hAnsi="Arial"/>
          <w:sz w:val="20"/>
          <w:szCs w:val="20"/>
          <w:i w:val="1"/>
          <w:iCs w:val="1"/>
          <w:color w:val="auto"/>
        </w:rPr>
        <w:t>Part II, Item 7 – Management’s Discussion and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Analysis of Financial Condition and Results of Operations – Lawsuits, Claims, Commitments and Contingencies </w:t>
      </w:r>
      <w:r>
        <w:rPr>
          <w:rFonts w:ascii="Arial" w:cs="Arial" w:eastAsia="Arial" w:hAnsi="Arial"/>
          <w:sz w:val="20"/>
          <w:szCs w:val="20"/>
          <w:color w:val="auto"/>
        </w:rPr>
        <w:t>and</w:t>
      </w:r>
      <w:r>
        <w:rPr>
          <w:rFonts w:ascii="Arial" w:cs="Arial" w:eastAsia="Arial" w:hAnsi="Arial"/>
          <w:sz w:val="20"/>
          <w:szCs w:val="20"/>
          <w:i w:val="1"/>
          <w:iCs w:val="1"/>
          <w:color w:val="auto"/>
        </w:rPr>
        <w:t xml:space="preserve"> Part II, Item 8 – Financial Statements and Supplementary Data – Note 6 Lawsuits, Claims, Commitments and Contingencies</w:t>
      </w:r>
      <w:r>
        <w:rPr>
          <w:rFonts w:ascii="Arial" w:cs="Arial" w:eastAsia="Arial" w:hAnsi="Arial"/>
          <w:sz w:val="20"/>
          <w:szCs w:val="20"/>
          <w:color w:val="auto"/>
        </w:rPr>
        <w:t>.</w:t>
      </w:r>
    </w:p>
    <w:p>
      <w:pPr>
        <w:spacing w:after="0" w:line="203"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Not applicable.</w:t>
      </w:r>
    </w:p>
    <w:p>
      <w:pPr>
        <w:sectPr>
          <w:pgSz w:w="11880" w:h="15480" w:orient="portrait"/>
          <w:cols w:equalWidth="0" w:num="1">
            <w:col w:w="9100"/>
          </w:cols>
          <w:pgMar w:left="1380" w:top="1316" w:right="140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61</w:t>
      </w:r>
    </w:p>
    <w:p>
      <w:pPr>
        <w:sectPr>
          <w:pgSz w:w="11880" w:h="15480" w:orient="portrait"/>
          <w:cols w:equalWidth="0" w:num="1">
            <w:col w:w="9100"/>
          </w:cols>
          <w:pgMar w:left="1380" w:top="1316" w:right="1400" w:bottom="655" w:gutter="0" w:footer="0" w:header="0"/>
          <w:type w:val="continuous"/>
        </w:sectPr>
      </w:pPr>
    </w:p>
    <w:bookmarkStart w:id="65" w:name="page66"/>
    <w:bookmarkEnd w:id="65"/>
    <w:p>
      <w:pPr>
        <w:spacing w:after="0"/>
        <w:rPr>
          <w:sz w:val="20"/>
          <w:szCs w:val="20"/>
          <w:color w:val="auto"/>
        </w:rPr>
      </w:pPr>
      <w:r>
        <w:rPr>
          <w:rFonts w:ascii="Arial" w:cs="Arial" w:eastAsia="Arial" w:hAnsi="Arial"/>
          <w:sz w:val="20"/>
          <w:szCs w:val="20"/>
          <w:b w:val="1"/>
          <w:bCs w:val="1"/>
          <w:color w:val="auto"/>
        </w:rPr>
        <w:t>PART II</w:t>
      </w:r>
    </w:p>
    <w:p>
      <w:pPr>
        <w:spacing w:after="0" w:line="172" w:lineRule="exact"/>
        <w:rPr>
          <w:sz w:val="20"/>
          <w:szCs w:val="20"/>
          <w:color w:val="auto"/>
        </w:rPr>
      </w:pPr>
    </w:p>
    <w:p>
      <w:pPr>
        <w:ind w:left="900" w:right="900" w:hanging="899"/>
        <w:spacing w:after="0" w:line="273" w:lineRule="auto"/>
        <w:tabs>
          <w:tab w:leader="none" w:pos="8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MARKET FOR REGISTRANT’S COMMON EQUITY, RELATED STOCKHOLDER MATTERS AND ISSUER PURCHASES OF EQUITY SECURITIES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Information for Common Stock</w:t>
      </w:r>
    </w:p>
    <w:p>
      <w:pPr>
        <w:spacing w:after="0" w:line="216" w:lineRule="exact"/>
        <w:rPr>
          <w:sz w:val="20"/>
          <w:szCs w:val="20"/>
          <w:color w:val="auto"/>
        </w:rPr>
      </w:pPr>
    </w:p>
    <w:p>
      <w:pPr>
        <w:ind w:right="140" w:firstLine="300"/>
        <w:spacing w:after="0" w:line="248" w:lineRule="auto"/>
        <w:rPr>
          <w:sz w:val="20"/>
          <w:szCs w:val="20"/>
          <w:color w:val="auto"/>
        </w:rPr>
      </w:pPr>
      <w:r>
        <w:rPr>
          <w:rFonts w:ascii="Arial" w:cs="Arial" w:eastAsia="Arial" w:hAnsi="Arial"/>
          <w:sz w:val="20"/>
          <w:szCs w:val="20"/>
          <w:color w:val="auto"/>
        </w:rPr>
        <w:t>Since our emergence from bankruptcy on October 27, 2020, our common stock has been listed under the symbol “CRC” on the New York Stock Exchange (NYSE). During the period from July 16, 2020 through October 26, 2020, the Predecessor company’s common stock was quoted on the OTC Pink Market under the symbol “CRCQQ”. Prior to July 16, 2020, the Predecessor company’s common stock was listed on the NYSE under the symbol “CRC”.</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Holders of Record</w:t>
      </w:r>
    </w:p>
    <w:p>
      <w:pPr>
        <w:spacing w:after="0" w:line="216" w:lineRule="exact"/>
        <w:rPr>
          <w:sz w:val="20"/>
          <w:szCs w:val="20"/>
          <w:color w:val="auto"/>
        </w:rPr>
      </w:pPr>
    </w:p>
    <w:p>
      <w:pPr>
        <w:ind w:right="560" w:firstLine="300"/>
        <w:spacing w:after="0" w:line="243" w:lineRule="auto"/>
        <w:rPr>
          <w:sz w:val="20"/>
          <w:szCs w:val="20"/>
          <w:color w:val="auto"/>
        </w:rPr>
      </w:pPr>
      <w:r>
        <w:rPr>
          <w:rFonts w:ascii="Arial" w:cs="Arial" w:eastAsia="Arial" w:hAnsi="Arial"/>
          <w:sz w:val="20"/>
          <w:szCs w:val="20"/>
          <w:color w:val="auto"/>
        </w:rPr>
        <w:t>Our common stock was held by 4 stockholders of record at January 31, 2023, which does not include the beneficial owners for whom Cede and Co. or others act as nominees.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Policy</w:t>
      </w:r>
    </w:p>
    <w:p>
      <w:pPr>
        <w:spacing w:after="0" w:line="214" w:lineRule="exact"/>
        <w:rPr>
          <w:sz w:val="20"/>
          <w:szCs w:val="20"/>
          <w:color w:val="auto"/>
        </w:rPr>
      </w:pPr>
    </w:p>
    <w:p>
      <w:pPr>
        <w:ind w:right="180" w:firstLine="300"/>
        <w:spacing w:after="0" w:line="249" w:lineRule="auto"/>
        <w:rPr>
          <w:sz w:val="20"/>
          <w:szCs w:val="20"/>
          <w:color w:val="auto"/>
        </w:rPr>
      </w:pPr>
      <w:r>
        <w:rPr>
          <w:rFonts w:ascii="Arial" w:cs="Arial" w:eastAsia="Arial" w:hAnsi="Arial"/>
          <w:sz w:val="20"/>
          <w:szCs w:val="20"/>
          <w:color w:val="auto"/>
        </w:rPr>
        <w:t>Our Board of Directors has approved a cash dividend policy that contemplates a total annual dividend of $1.13 per share of common stock, payable to stockholders in quarterly increments of $0.2825 per share. This includes a recent amendment in the fourth quarter of 2022 to our prior dividend policy that contemplated a total quarterly dividend of $0.17 per share of common stock approved. All dividends are subject to quarterly approval by our Board of Directors and will be determined based on conditions including, our earnings, financial condition, restrictions from our Revolving Credit Facility, Senior Notes, business conditions and other factors. Based on current conditions and subject to Board approval, we expect to continue paying regular quarterly dividends of $0.2825 per share throughout 2023.</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 Repurchases</w:t>
      </w:r>
    </w:p>
    <w:p>
      <w:pPr>
        <w:spacing w:after="0" w:line="214"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color w:val="auto"/>
        </w:rPr>
        <w:t xml:space="preserve">Our Board of Directors has authorized a Share Repurchase Program to acquire up to $1.1 billion of our common stock through June 30, 2024. This includes a recent increase of $250 million to our Share Repurchase Program and extension through June 30, 2024 approved by our Board of Directors on February 23, 2023. Our Share Repurchase Program does not obligate us to acquire any number of shares and may be discontinued at any time. For further information regarding our Share Repurchase Program, see </w:t>
      </w:r>
      <w:r>
        <w:rPr>
          <w:rFonts w:ascii="Arial" w:cs="Arial" w:eastAsia="Arial" w:hAnsi="Arial"/>
          <w:sz w:val="20"/>
          <w:szCs w:val="20"/>
          <w:i w:val="1"/>
          <w:iCs w:val="1"/>
          <w:color w:val="auto"/>
        </w:rPr>
        <w:t>Part II, Item 7 – Management’s Discussion and Analysis of Financial Results of</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Operations, Share Repurchase Program. </w:t>
      </w:r>
      <w:r>
        <w:rPr>
          <w:rFonts w:ascii="Arial" w:cs="Arial" w:eastAsia="Arial" w:hAnsi="Arial"/>
          <w:sz w:val="20"/>
          <w:szCs w:val="20"/>
          <w:color w:val="auto"/>
        </w:rPr>
        <w:t>Our share repurchase activity for the year ended</w:t>
      </w:r>
      <w:r>
        <w:rPr>
          <w:rFonts w:ascii="Arial" w:cs="Arial" w:eastAsia="Arial" w:hAnsi="Arial"/>
          <w:sz w:val="20"/>
          <w:szCs w:val="20"/>
          <w:i w:val="1"/>
          <w:iCs w:val="1"/>
          <w:color w:val="auto"/>
        </w:rPr>
        <w:t xml:space="preserve"> </w:t>
      </w:r>
      <w:r>
        <w:rPr>
          <w:rFonts w:ascii="Arial" w:cs="Arial" w:eastAsia="Arial" w:hAnsi="Arial"/>
          <w:sz w:val="20"/>
          <w:szCs w:val="20"/>
          <w:color w:val="auto"/>
        </w:rPr>
        <w:t>December 31, 2022 was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9"/>
              </w:rPr>
              <w:t>Total Number of</w:t>
            </w:r>
          </w:p>
        </w:tc>
        <w:tc>
          <w:tcPr>
            <w:tcW w:w="160" w:type="dxa"/>
            <w:vAlign w:val="bottom"/>
          </w:tcPr>
          <w:p>
            <w:pPr>
              <w:spacing w:after="0"/>
              <w:rPr>
                <w:sz w:val="18"/>
                <w:szCs w:val="18"/>
                <w:color w:val="auto"/>
              </w:rPr>
            </w:pPr>
          </w:p>
        </w:tc>
        <w:tc>
          <w:tcPr>
            <w:tcW w:w="170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Maximum Dollar</w:t>
            </w:r>
          </w:p>
        </w:tc>
      </w:tr>
      <w:tr>
        <w:trPr>
          <w:trHeight w:val="180"/>
        </w:trPr>
        <w:tc>
          <w:tcPr>
            <w:tcW w:w="3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15"/>
                <w:szCs w:val="15"/>
                <w:color w:val="auto"/>
              </w:rPr>
            </w:pPr>
          </w:p>
        </w:tc>
        <w:tc>
          <w:tcPr>
            <w:tcW w:w="2460" w:type="dxa"/>
            <w:vAlign w:val="bottom"/>
            <w:gridSpan w:val="5"/>
          </w:tcPr>
          <w:p>
            <w:pPr>
              <w:ind w:left="20"/>
              <w:spacing w:after="0" w:line="180" w:lineRule="exact"/>
              <w:rPr>
                <w:sz w:val="20"/>
                <w:szCs w:val="20"/>
                <w:color w:val="auto"/>
              </w:rPr>
            </w:pPr>
            <w:r>
              <w:rPr>
                <w:rFonts w:ascii="Arial" w:cs="Arial" w:eastAsia="Arial" w:hAnsi="Arial"/>
                <w:sz w:val="18"/>
                <w:szCs w:val="18"/>
                <w:b w:val="1"/>
                <w:bCs w:val="1"/>
                <w:color w:val="auto"/>
              </w:rPr>
              <w:t>Average Shares Purchased</w:t>
            </w:r>
          </w:p>
        </w:tc>
        <w:tc>
          <w:tcPr>
            <w:tcW w:w="1860" w:type="dxa"/>
            <w:vAlign w:val="bottom"/>
            <w:gridSpan w:val="2"/>
          </w:tcPr>
          <w:p>
            <w:pPr>
              <w:jc w:val="center"/>
              <w:spacing w:after="0" w:line="180" w:lineRule="exact"/>
              <w:rPr>
                <w:sz w:val="20"/>
                <w:szCs w:val="20"/>
                <w:color w:val="auto"/>
              </w:rPr>
            </w:pPr>
            <w:r>
              <w:rPr>
                <w:rFonts w:ascii="Arial" w:cs="Arial" w:eastAsia="Arial" w:hAnsi="Arial"/>
                <w:sz w:val="18"/>
                <w:szCs w:val="18"/>
                <w:b w:val="1"/>
                <w:bCs w:val="1"/>
                <w:color w:val="auto"/>
              </w:rPr>
              <w:t>Value of Shares that</w:t>
            </w:r>
          </w:p>
        </w:tc>
      </w:tr>
      <w:tr>
        <w:trPr>
          <w:trHeight w:val="180"/>
        </w:trPr>
        <w:tc>
          <w:tcPr>
            <w:tcW w:w="3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9"/>
              </w:rPr>
              <w:t>Number of</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10"/>
              <w:spacing w:after="0" w:line="180" w:lineRule="exact"/>
              <w:rPr>
                <w:sz w:val="20"/>
                <w:szCs w:val="20"/>
                <w:color w:val="auto"/>
              </w:rPr>
            </w:pPr>
            <w:r>
              <w:rPr>
                <w:rFonts w:ascii="Arial" w:cs="Arial" w:eastAsia="Arial" w:hAnsi="Arial"/>
                <w:sz w:val="18"/>
                <w:szCs w:val="18"/>
                <w:b w:val="1"/>
                <w:bCs w:val="1"/>
                <w:color w:val="auto"/>
                <w:w w:val="99"/>
              </w:rPr>
              <w:t>Price</w:t>
            </w:r>
          </w:p>
        </w:tc>
        <w:tc>
          <w:tcPr>
            <w:tcW w:w="60" w:type="dxa"/>
            <w:vAlign w:val="bottom"/>
          </w:tcPr>
          <w:p>
            <w:pPr>
              <w:spacing w:after="0"/>
              <w:rPr>
                <w:sz w:val="15"/>
                <w:szCs w:val="15"/>
                <w:color w:val="auto"/>
              </w:rPr>
            </w:pPr>
          </w:p>
        </w:tc>
        <w:tc>
          <w:tcPr>
            <w:tcW w:w="1640" w:type="dxa"/>
            <w:vAlign w:val="bottom"/>
            <w:gridSpan w:val="2"/>
          </w:tcPr>
          <w:p>
            <w:pPr>
              <w:jc w:val="center"/>
              <w:ind w:right="40"/>
              <w:spacing w:after="0" w:line="180" w:lineRule="exact"/>
              <w:rPr>
                <w:sz w:val="20"/>
                <w:szCs w:val="20"/>
                <w:color w:val="auto"/>
              </w:rPr>
            </w:pPr>
            <w:r>
              <w:rPr>
                <w:rFonts w:ascii="Arial" w:cs="Arial" w:eastAsia="Arial" w:hAnsi="Arial"/>
                <w:sz w:val="18"/>
                <w:szCs w:val="18"/>
                <w:b w:val="1"/>
                <w:bCs w:val="1"/>
                <w:color w:val="auto"/>
                <w:w w:val="99"/>
              </w:rPr>
              <w:t>as Part of Publicly</w:t>
            </w:r>
          </w:p>
        </w:tc>
        <w:tc>
          <w:tcPr>
            <w:tcW w:w="160" w:type="dxa"/>
            <w:vAlign w:val="bottom"/>
          </w:tcPr>
          <w:p>
            <w:pPr>
              <w:spacing w:after="0"/>
              <w:rPr>
                <w:sz w:val="15"/>
                <w:szCs w:val="15"/>
                <w:color w:val="auto"/>
              </w:rPr>
            </w:pPr>
          </w:p>
        </w:tc>
        <w:tc>
          <w:tcPr>
            <w:tcW w:w="1700" w:type="dxa"/>
            <w:vAlign w:val="bottom"/>
          </w:tcPr>
          <w:p>
            <w:pPr>
              <w:jc w:val="center"/>
              <w:ind w:right="70"/>
              <w:spacing w:after="0" w:line="180" w:lineRule="exact"/>
              <w:rPr>
                <w:sz w:val="20"/>
                <w:szCs w:val="20"/>
                <w:color w:val="auto"/>
              </w:rPr>
            </w:pPr>
            <w:r>
              <w:rPr>
                <w:rFonts w:ascii="Arial" w:cs="Arial" w:eastAsia="Arial" w:hAnsi="Arial"/>
                <w:sz w:val="18"/>
                <w:szCs w:val="18"/>
                <w:b w:val="1"/>
                <w:bCs w:val="1"/>
                <w:color w:val="auto"/>
                <w:w w:val="99"/>
              </w:rPr>
              <w:t>May Yet be</w:t>
            </w:r>
          </w:p>
        </w:tc>
      </w:tr>
      <w:tr>
        <w:trPr>
          <w:trHeight w:val="180"/>
        </w:trPr>
        <w:tc>
          <w:tcPr>
            <w:tcW w:w="3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9"/>
              </w:rPr>
              <w:t>Shares</w:t>
            </w:r>
          </w:p>
        </w:tc>
        <w:tc>
          <w:tcPr>
            <w:tcW w:w="60" w:type="dxa"/>
            <w:vAlign w:val="bottom"/>
          </w:tcPr>
          <w:p>
            <w:pPr>
              <w:spacing w:after="0"/>
              <w:rPr>
                <w:sz w:val="15"/>
                <w:szCs w:val="15"/>
                <w:color w:val="auto"/>
              </w:rPr>
            </w:pPr>
          </w:p>
        </w:tc>
        <w:tc>
          <w:tcPr>
            <w:tcW w:w="760" w:type="dxa"/>
            <w:vAlign w:val="bottom"/>
            <w:gridSpan w:val="2"/>
          </w:tcPr>
          <w:p>
            <w:pPr>
              <w:jc w:val="center"/>
              <w:spacing w:after="0" w:line="180" w:lineRule="exact"/>
              <w:rPr>
                <w:sz w:val="20"/>
                <w:szCs w:val="20"/>
                <w:color w:val="auto"/>
              </w:rPr>
            </w:pPr>
            <w:r>
              <w:rPr>
                <w:rFonts w:ascii="Arial" w:cs="Arial" w:eastAsia="Arial" w:hAnsi="Arial"/>
                <w:sz w:val="18"/>
                <w:szCs w:val="18"/>
                <w:b w:val="1"/>
                <w:bCs w:val="1"/>
                <w:color w:val="auto"/>
              </w:rPr>
              <w:t>Paid per</w:t>
            </w:r>
          </w:p>
        </w:tc>
        <w:tc>
          <w:tcPr>
            <w:tcW w:w="60" w:type="dxa"/>
            <w:vAlign w:val="bottom"/>
          </w:tcPr>
          <w:p>
            <w:pPr>
              <w:spacing w:after="0"/>
              <w:rPr>
                <w:sz w:val="15"/>
                <w:szCs w:val="15"/>
                <w:color w:val="auto"/>
              </w:rPr>
            </w:pPr>
          </w:p>
        </w:tc>
        <w:tc>
          <w:tcPr>
            <w:tcW w:w="1640" w:type="dxa"/>
            <w:vAlign w:val="bottom"/>
            <w:gridSpan w:val="2"/>
          </w:tcPr>
          <w:p>
            <w:pPr>
              <w:jc w:val="center"/>
              <w:ind w:right="40"/>
              <w:spacing w:after="0" w:line="180" w:lineRule="exact"/>
              <w:rPr>
                <w:sz w:val="20"/>
                <w:szCs w:val="20"/>
                <w:color w:val="auto"/>
              </w:rPr>
            </w:pPr>
            <w:r>
              <w:rPr>
                <w:rFonts w:ascii="Arial" w:cs="Arial" w:eastAsia="Arial" w:hAnsi="Arial"/>
                <w:sz w:val="18"/>
                <w:szCs w:val="18"/>
                <w:b w:val="1"/>
                <w:bCs w:val="1"/>
                <w:color w:val="auto"/>
                <w:w w:val="99"/>
              </w:rPr>
              <w:t>Announced Plans</w:t>
            </w:r>
          </w:p>
        </w:tc>
        <w:tc>
          <w:tcPr>
            <w:tcW w:w="1860" w:type="dxa"/>
            <w:vAlign w:val="bottom"/>
            <w:gridSpan w:val="2"/>
          </w:tcPr>
          <w:p>
            <w:pPr>
              <w:jc w:val="center"/>
              <w:spacing w:after="0" w:line="180" w:lineRule="exact"/>
              <w:rPr>
                <w:sz w:val="20"/>
                <w:szCs w:val="20"/>
                <w:color w:val="auto"/>
              </w:rPr>
            </w:pPr>
            <w:r>
              <w:rPr>
                <w:rFonts w:ascii="Arial" w:cs="Arial" w:eastAsia="Arial" w:hAnsi="Arial"/>
                <w:sz w:val="18"/>
                <w:szCs w:val="18"/>
                <w:b w:val="1"/>
                <w:bCs w:val="1"/>
                <w:color w:val="auto"/>
              </w:rPr>
              <w:t>Purchased Under the</w:t>
            </w:r>
          </w:p>
        </w:tc>
      </w:tr>
      <w:tr>
        <w:trPr>
          <w:trHeight w:val="227"/>
        </w:trPr>
        <w:tc>
          <w:tcPr>
            <w:tcW w:w="3640" w:type="dxa"/>
            <w:vAlign w:val="bottom"/>
            <w:tcBorders>
              <w:bottom w:val="single" w:sz="8" w:color="auto"/>
            </w:tcBorders>
          </w:tcPr>
          <w:p>
            <w:pPr>
              <w:jc w:val="right"/>
              <w:ind w:right="1450"/>
              <w:spacing w:after="0" w:line="203" w:lineRule="exact"/>
              <w:rPr>
                <w:sz w:val="20"/>
                <w:szCs w:val="20"/>
                <w:color w:val="auto"/>
              </w:rPr>
            </w:pPr>
            <w:r>
              <w:rPr>
                <w:rFonts w:ascii="Arial" w:cs="Arial" w:eastAsia="Arial" w:hAnsi="Arial"/>
                <w:sz w:val="18"/>
                <w:szCs w:val="18"/>
                <w:b w:val="1"/>
                <w:bCs w:val="1"/>
                <w:color w:val="auto"/>
              </w:rPr>
              <w:t>Period</w:t>
            </w:r>
          </w:p>
        </w:tc>
        <w:tc>
          <w:tcPr>
            <w:tcW w:w="60" w:type="dxa"/>
            <w:vAlign w:val="bottom"/>
          </w:tcPr>
          <w:p>
            <w:pPr>
              <w:spacing w:after="0"/>
              <w:rPr>
                <w:sz w:val="19"/>
                <w:szCs w:val="19"/>
                <w:color w:val="auto"/>
              </w:rPr>
            </w:pPr>
          </w:p>
        </w:tc>
        <w:tc>
          <w:tcPr>
            <w:tcW w:w="104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b w:val="1"/>
                <w:bCs w:val="1"/>
                <w:color w:val="auto"/>
                <w:w w:val="99"/>
              </w:rPr>
              <w:t>Purchased</w:t>
            </w: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right="30"/>
              <w:spacing w:after="0" w:line="203" w:lineRule="exact"/>
              <w:rPr>
                <w:sz w:val="20"/>
                <w:szCs w:val="20"/>
                <w:color w:val="auto"/>
              </w:rPr>
            </w:pPr>
            <w:r>
              <w:rPr>
                <w:rFonts w:ascii="Arial" w:cs="Arial" w:eastAsia="Arial" w:hAnsi="Arial"/>
                <w:sz w:val="18"/>
                <w:szCs w:val="18"/>
                <w:b w:val="1"/>
                <w:bCs w:val="1"/>
                <w:color w:val="auto"/>
                <w:w w:val="99"/>
              </w:rPr>
              <w:t>Share</w:t>
            </w:r>
          </w:p>
        </w:tc>
        <w:tc>
          <w:tcPr>
            <w:tcW w:w="60" w:type="dxa"/>
            <w:vAlign w:val="bottom"/>
          </w:tcPr>
          <w:p>
            <w:pPr>
              <w:spacing w:after="0"/>
              <w:rPr>
                <w:sz w:val="19"/>
                <w:szCs w:val="19"/>
                <w:color w:val="auto"/>
              </w:rPr>
            </w:pPr>
          </w:p>
        </w:tc>
        <w:tc>
          <w:tcPr>
            <w:tcW w:w="158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b w:val="1"/>
                <w:bCs w:val="1"/>
                <w:color w:val="auto"/>
                <w:w w:val="98"/>
              </w:rPr>
              <w:t>or Programs</w:t>
            </w:r>
          </w:p>
        </w:tc>
        <w:tc>
          <w:tcPr>
            <w:tcW w:w="60" w:type="dxa"/>
            <w:vAlign w:val="bottom"/>
          </w:tcPr>
          <w:p>
            <w:pPr>
              <w:spacing w:after="0"/>
              <w:rPr>
                <w:sz w:val="19"/>
                <w:szCs w:val="19"/>
                <w:color w:val="auto"/>
              </w:rPr>
            </w:pPr>
          </w:p>
        </w:tc>
        <w:tc>
          <w:tcPr>
            <w:tcW w:w="1860" w:type="dxa"/>
            <w:vAlign w:val="bottom"/>
            <w:tcBorders>
              <w:bottom w:val="single" w:sz="8" w:color="auto"/>
            </w:tcBorders>
            <w:gridSpan w:val="2"/>
          </w:tcPr>
          <w:p>
            <w:pPr>
              <w:jc w:val="center"/>
              <w:spacing w:after="0" w:line="228" w:lineRule="exact"/>
              <w:rPr>
                <w:sz w:val="20"/>
                <w:szCs w:val="20"/>
                <w:color w:val="auto"/>
              </w:rPr>
            </w:pPr>
            <w:r>
              <w:rPr>
                <w:rFonts w:ascii="Arial" w:cs="Arial" w:eastAsia="Arial" w:hAnsi="Arial"/>
                <w:sz w:val="18"/>
                <w:szCs w:val="18"/>
                <w:b w:val="1"/>
                <w:bCs w:val="1"/>
                <w:color w:val="auto"/>
                <w:w w:val="97"/>
              </w:rPr>
              <w:t>Plans or Programs</w:t>
            </w:r>
            <w:r>
              <w:rPr>
                <w:rFonts w:ascii="Arial" w:cs="Arial" w:eastAsia="Arial" w:hAnsi="Arial"/>
                <w:sz w:val="23"/>
                <w:szCs w:val="23"/>
                <w:b w:val="1"/>
                <w:bCs w:val="1"/>
                <w:color w:val="auto"/>
                <w:w w:val="97"/>
                <w:vertAlign w:val="superscript"/>
              </w:rPr>
              <w:t>(a)</w:t>
            </w:r>
          </w:p>
        </w:tc>
      </w:tr>
      <w:tr>
        <w:trPr>
          <w:trHeight w:val="227"/>
        </w:trPr>
        <w:tc>
          <w:tcPr>
            <w:tcW w:w="3640" w:type="dxa"/>
            <w:vAlign w:val="bottom"/>
          </w:tcPr>
          <w:p>
            <w:pPr>
              <w:jc w:val="right"/>
              <w:spacing w:after="0"/>
              <w:rPr>
                <w:sz w:val="20"/>
                <w:szCs w:val="20"/>
                <w:color w:val="auto"/>
              </w:rPr>
            </w:pPr>
            <w:r>
              <w:rPr>
                <w:rFonts w:ascii="Arial" w:cs="Arial" w:eastAsia="Arial" w:hAnsi="Arial"/>
                <w:sz w:val="18"/>
                <w:szCs w:val="18"/>
                <w:color w:val="auto"/>
                <w:w w:val="99"/>
              </w:rPr>
              <w:t>January 1, 2022 - March 31, 2022  . . . . . . . . .</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1,668,456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42.52</w:t>
            </w:r>
          </w:p>
        </w:tc>
        <w:tc>
          <w:tcPr>
            <w:tcW w:w="1640" w:type="dxa"/>
            <w:vAlign w:val="bottom"/>
            <w:gridSpan w:val="2"/>
          </w:tcPr>
          <w:p>
            <w:pPr>
              <w:jc w:val="right"/>
              <w:ind w:right="30"/>
              <w:spacing w:after="0"/>
              <w:rPr>
                <w:sz w:val="20"/>
                <w:szCs w:val="20"/>
                <w:color w:val="auto"/>
              </w:rPr>
            </w:pPr>
            <w:r>
              <w:rPr>
                <w:rFonts w:ascii="Arial" w:cs="Arial" w:eastAsia="Arial" w:hAnsi="Arial"/>
                <w:sz w:val="18"/>
                <w:szCs w:val="18"/>
                <w:color w:val="auto"/>
              </w:rPr>
              <w:t>1,668,456</w:t>
            </w: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ind w:left="1480"/>
              <w:spacing w:after="0"/>
              <w:rPr>
                <w:sz w:val="20"/>
                <w:szCs w:val="20"/>
                <w:color w:val="auto"/>
              </w:rPr>
            </w:pPr>
            <w:r>
              <w:rPr>
                <w:rFonts w:ascii="Arial" w:cs="Arial" w:eastAsia="Arial" w:hAnsi="Arial"/>
                <w:sz w:val="18"/>
                <w:szCs w:val="18"/>
                <w:color w:val="auto"/>
              </w:rPr>
              <w:t>—</w:t>
            </w:r>
          </w:p>
        </w:tc>
      </w:tr>
      <w:tr>
        <w:trPr>
          <w:trHeight w:val="196"/>
        </w:trPr>
        <w:tc>
          <w:tcPr>
            <w:tcW w:w="3640" w:type="dxa"/>
            <w:vAlign w:val="bottom"/>
          </w:tcPr>
          <w:p>
            <w:pPr>
              <w:jc w:val="right"/>
              <w:spacing w:after="0" w:line="196" w:lineRule="exact"/>
              <w:rPr>
                <w:sz w:val="20"/>
                <w:szCs w:val="20"/>
                <w:color w:val="auto"/>
              </w:rPr>
            </w:pPr>
            <w:r>
              <w:rPr>
                <w:rFonts w:ascii="Arial" w:cs="Arial" w:eastAsia="Arial" w:hAnsi="Arial"/>
                <w:sz w:val="18"/>
                <w:szCs w:val="18"/>
                <w:color w:val="auto"/>
                <w:w w:val="97"/>
              </w:rPr>
              <w:t>April 1, 2022 - June 30, 2022 . . . . . . . . . . . . . .</w:t>
            </w:r>
          </w:p>
        </w:tc>
        <w:tc>
          <w:tcPr>
            <w:tcW w:w="1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2,255,445</w:t>
            </w:r>
          </w:p>
        </w:tc>
        <w:tc>
          <w:tcPr>
            <w:tcW w:w="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42.57</w:t>
            </w:r>
          </w:p>
        </w:tc>
        <w:tc>
          <w:tcPr>
            <w:tcW w:w="164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2,255,445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ind w:left="1480"/>
              <w:spacing w:after="0" w:line="196" w:lineRule="exact"/>
              <w:rPr>
                <w:sz w:val="20"/>
                <w:szCs w:val="20"/>
                <w:color w:val="auto"/>
              </w:rPr>
            </w:pPr>
            <w:r>
              <w:rPr>
                <w:rFonts w:ascii="Arial" w:cs="Arial" w:eastAsia="Arial" w:hAnsi="Arial"/>
                <w:sz w:val="18"/>
                <w:szCs w:val="18"/>
                <w:color w:val="auto"/>
              </w:rPr>
              <w:t>—</w:t>
            </w:r>
          </w:p>
        </w:tc>
      </w:tr>
      <w:tr>
        <w:trPr>
          <w:trHeight w:val="196"/>
        </w:trPr>
        <w:tc>
          <w:tcPr>
            <w:tcW w:w="3640" w:type="dxa"/>
            <w:vAlign w:val="bottom"/>
          </w:tcPr>
          <w:p>
            <w:pPr>
              <w:jc w:val="right"/>
              <w:spacing w:after="0" w:line="196" w:lineRule="exact"/>
              <w:rPr>
                <w:sz w:val="20"/>
                <w:szCs w:val="20"/>
                <w:color w:val="auto"/>
              </w:rPr>
            </w:pPr>
            <w:r>
              <w:rPr>
                <w:rFonts w:ascii="Arial" w:cs="Arial" w:eastAsia="Arial" w:hAnsi="Arial"/>
                <w:sz w:val="18"/>
                <w:szCs w:val="18"/>
                <w:color w:val="auto"/>
                <w:w w:val="98"/>
              </w:rPr>
              <w:t>July 1, 2022 - September 30, 2022 . . . . . . . . .</w:t>
            </w:r>
          </w:p>
        </w:tc>
        <w:tc>
          <w:tcPr>
            <w:tcW w:w="1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1,921,181</w:t>
            </w:r>
          </w:p>
        </w:tc>
        <w:tc>
          <w:tcPr>
            <w:tcW w:w="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41.78</w:t>
            </w:r>
          </w:p>
        </w:tc>
        <w:tc>
          <w:tcPr>
            <w:tcW w:w="164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1,921,181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ind w:left="1480"/>
              <w:spacing w:after="0" w:line="196" w:lineRule="exact"/>
              <w:rPr>
                <w:sz w:val="20"/>
                <w:szCs w:val="20"/>
                <w:color w:val="auto"/>
              </w:rPr>
            </w:pPr>
            <w:r>
              <w:rPr>
                <w:rFonts w:ascii="Arial" w:cs="Arial" w:eastAsia="Arial" w:hAnsi="Arial"/>
                <w:sz w:val="18"/>
                <w:szCs w:val="18"/>
                <w:color w:val="auto"/>
              </w:rPr>
              <w:t>—</w:t>
            </w:r>
          </w:p>
        </w:tc>
      </w:tr>
      <w:tr>
        <w:trPr>
          <w:trHeight w:val="196"/>
        </w:trPr>
        <w:tc>
          <w:tcPr>
            <w:tcW w:w="3640" w:type="dxa"/>
            <w:vAlign w:val="bottom"/>
          </w:tcPr>
          <w:p>
            <w:pPr>
              <w:jc w:val="right"/>
              <w:spacing w:after="0" w:line="196" w:lineRule="exact"/>
              <w:rPr>
                <w:sz w:val="20"/>
                <w:szCs w:val="20"/>
                <w:color w:val="auto"/>
              </w:rPr>
            </w:pPr>
            <w:r>
              <w:rPr>
                <w:rFonts w:ascii="Arial" w:cs="Arial" w:eastAsia="Arial" w:hAnsi="Arial"/>
                <w:sz w:val="18"/>
                <w:szCs w:val="18"/>
                <w:color w:val="auto"/>
                <w:w w:val="99"/>
              </w:rPr>
              <w:t>October 1, 2022 - October 31, 2022 . . . . . . . .</w:t>
            </w:r>
          </w:p>
        </w:tc>
        <w:tc>
          <w:tcPr>
            <w:tcW w:w="1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682,792</w:t>
            </w:r>
          </w:p>
        </w:tc>
        <w:tc>
          <w:tcPr>
            <w:tcW w:w="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42.19</w:t>
            </w:r>
          </w:p>
        </w:tc>
        <w:tc>
          <w:tcPr>
            <w:tcW w:w="164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682,792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ind w:left="1480"/>
              <w:spacing w:after="0" w:line="196" w:lineRule="exact"/>
              <w:rPr>
                <w:sz w:val="20"/>
                <w:szCs w:val="20"/>
                <w:color w:val="auto"/>
              </w:rPr>
            </w:pPr>
            <w:r>
              <w:rPr>
                <w:rFonts w:ascii="Arial" w:cs="Arial" w:eastAsia="Arial" w:hAnsi="Arial"/>
                <w:sz w:val="18"/>
                <w:szCs w:val="18"/>
                <w:color w:val="auto"/>
              </w:rPr>
              <w:t>—</w:t>
            </w:r>
          </w:p>
        </w:tc>
      </w:tr>
      <w:tr>
        <w:trPr>
          <w:trHeight w:val="196"/>
        </w:trPr>
        <w:tc>
          <w:tcPr>
            <w:tcW w:w="3640" w:type="dxa"/>
            <w:vAlign w:val="bottom"/>
          </w:tcPr>
          <w:p>
            <w:pPr>
              <w:jc w:val="right"/>
              <w:spacing w:after="0" w:line="196" w:lineRule="exact"/>
              <w:rPr>
                <w:sz w:val="20"/>
                <w:szCs w:val="20"/>
                <w:color w:val="auto"/>
              </w:rPr>
            </w:pPr>
            <w:r>
              <w:rPr>
                <w:rFonts w:ascii="Arial" w:cs="Arial" w:eastAsia="Arial" w:hAnsi="Arial"/>
                <w:sz w:val="18"/>
                <w:szCs w:val="18"/>
                <w:color w:val="auto"/>
                <w:w w:val="99"/>
              </w:rPr>
              <w:t>November 1, 2022 - November 30, 2022 . . . .</w:t>
            </w:r>
          </w:p>
        </w:tc>
        <w:tc>
          <w:tcPr>
            <w:tcW w:w="1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306,006</w:t>
            </w:r>
          </w:p>
        </w:tc>
        <w:tc>
          <w:tcPr>
            <w:tcW w:w="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45.77</w:t>
            </w:r>
          </w:p>
        </w:tc>
        <w:tc>
          <w:tcPr>
            <w:tcW w:w="164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306,006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ind w:left="1480"/>
              <w:spacing w:after="0" w:line="196" w:lineRule="exact"/>
              <w:rPr>
                <w:sz w:val="20"/>
                <w:szCs w:val="20"/>
                <w:color w:val="auto"/>
              </w:rPr>
            </w:pPr>
            <w:r>
              <w:rPr>
                <w:rFonts w:ascii="Arial" w:cs="Arial" w:eastAsia="Arial" w:hAnsi="Arial"/>
                <w:sz w:val="18"/>
                <w:szCs w:val="18"/>
                <w:color w:val="auto"/>
              </w:rPr>
              <w:t>—</w:t>
            </w:r>
          </w:p>
        </w:tc>
      </w:tr>
      <w:tr>
        <w:trPr>
          <w:trHeight w:val="201"/>
        </w:trPr>
        <w:tc>
          <w:tcPr>
            <w:tcW w:w="3640" w:type="dxa"/>
            <w:vAlign w:val="bottom"/>
          </w:tcPr>
          <w:p>
            <w:pPr>
              <w:jc w:val="right"/>
              <w:spacing w:after="0" w:line="201" w:lineRule="exact"/>
              <w:rPr>
                <w:sz w:val="20"/>
                <w:szCs w:val="20"/>
                <w:color w:val="auto"/>
              </w:rPr>
            </w:pPr>
            <w:r>
              <w:rPr>
                <w:rFonts w:ascii="Arial" w:cs="Arial" w:eastAsia="Arial" w:hAnsi="Arial"/>
                <w:sz w:val="18"/>
                <w:szCs w:val="18"/>
                <w:color w:val="auto"/>
                <w:w w:val="99"/>
              </w:rPr>
              <w:t>December 1, 2022 - December 31, 2022 . . . .</w:t>
            </w:r>
          </w:p>
        </w:tc>
        <w:tc>
          <w:tcPr>
            <w:tcW w:w="11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532,392</w:t>
            </w:r>
          </w:p>
        </w:tc>
        <w:tc>
          <w:tcPr>
            <w:tcW w:w="1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rPr>
              <w:t>42.92</w:t>
            </w:r>
          </w:p>
        </w:tc>
        <w:tc>
          <w:tcPr>
            <w:tcW w:w="164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rPr>
              <w:t>532,392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ind w:left="1480"/>
              <w:spacing w:after="0" w:line="201" w:lineRule="exact"/>
              <w:rPr>
                <w:sz w:val="20"/>
                <w:szCs w:val="20"/>
                <w:color w:val="auto"/>
              </w:rPr>
            </w:pPr>
            <w:r>
              <w:rPr>
                <w:rFonts w:ascii="Arial" w:cs="Arial" w:eastAsia="Arial" w:hAnsi="Arial"/>
                <w:sz w:val="18"/>
                <w:szCs w:val="18"/>
                <w:color w:val="auto"/>
              </w:rPr>
              <w:t>—</w:t>
            </w:r>
          </w:p>
        </w:tc>
      </w:tr>
      <w:tr>
        <w:trPr>
          <w:trHeight w:val="34"/>
        </w:trPr>
        <w:tc>
          <w:tcPr>
            <w:tcW w:w="3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2"/>
        </w:trPr>
        <w:tc>
          <w:tcPr>
            <w:tcW w:w="3640" w:type="dxa"/>
            <w:vAlign w:val="bottom"/>
          </w:tcPr>
          <w:p>
            <w:pPr>
              <w:jc w:val="right"/>
              <w:spacing w:after="0"/>
              <w:rPr>
                <w:sz w:val="20"/>
                <w:szCs w:val="20"/>
                <w:color w:val="auto"/>
              </w:rPr>
            </w:pPr>
            <w:r>
              <w:rPr>
                <w:rFonts w:ascii="Arial" w:cs="Arial" w:eastAsia="Arial" w:hAnsi="Arial"/>
                <w:sz w:val="18"/>
                <w:szCs w:val="18"/>
                <w:color w:val="auto"/>
              </w:rPr>
              <w:t>Total 2022 . . . . . . . . . . . . . . . . . . . . . . . . . . .</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7,366,272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42.47</w:t>
            </w:r>
          </w:p>
        </w:tc>
        <w:tc>
          <w:tcPr>
            <w:tcW w:w="1640" w:type="dxa"/>
            <w:vAlign w:val="bottom"/>
            <w:gridSpan w:val="2"/>
          </w:tcPr>
          <w:p>
            <w:pPr>
              <w:jc w:val="right"/>
              <w:ind w:right="30"/>
              <w:spacing w:after="0"/>
              <w:rPr>
                <w:sz w:val="20"/>
                <w:szCs w:val="20"/>
                <w:color w:val="auto"/>
              </w:rPr>
            </w:pPr>
            <w:r>
              <w:rPr>
                <w:rFonts w:ascii="Arial" w:cs="Arial" w:eastAsia="Arial" w:hAnsi="Arial"/>
                <w:sz w:val="18"/>
                <w:szCs w:val="18"/>
                <w:color w:val="auto"/>
              </w:rPr>
              <w:t>7,366,272</w:t>
            </w: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ind w:left="1480"/>
              <w:spacing w:after="0"/>
              <w:rPr>
                <w:sz w:val="20"/>
                <w:szCs w:val="20"/>
                <w:color w:val="auto"/>
              </w:rPr>
            </w:pPr>
            <w:r>
              <w:rPr>
                <w:rFonts w:ascii="Arial" w:cs="Arial" w:eastAsia="Arial" w:hAnsi="Arial"/>
                <w:sz w:val="18"/>
                <w:szCs w:val="18"/>
                <w:color w:val="auto"/>
              </w:rPr>
              <w:t>—</w:t>
            </w:r>
          </w:p>
        </w:tc>
      </w:tr>
      <w:tr>
        <w:trPr>
          <w:trHeight w:val="34"/>
        </w:trPr>
        <w:tc>
          <w:tcPr>
            <w:tcW w:w="3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
        </w:trPr>
        <w:tc>
          <w:tcPr>
            <w:tcW w:w="3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left="320" w:right="480" w:hanging="320"/>
        <w:spacing w:after="0" w:line="254" w:lineRule="auto"/>
        <w:tabs>
          <w:tab w:leader="none" w:pos="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remaining capacity for shares that may be acquired under our Share Repurchase Program was $389 million as of December 31, 2022.</w:t>
      </w:r>
    </w:p>
    <w:p>
      <w:pPr>
        <w:sectPr>
          <w:pgSz w:w="11880" w:h="15480" w:orient="portrait"/>
          <w:cols w:equalWidth="0" w:num="1">
            <w:col w:w="9120"/>
          </w:cols>
          <w:pgMar w:left="1380" w:top="1310" w:right="1380" w:bottom="653" w:gutter="0" w:footer="0" w:header="0"/>
        </w:sect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ectPr>
          <w:pgSz w:w="11880" w:h="15480" w:orient="portrait"/>
          <w:cols w:equalWidth="0" w:num="1">
            <w:col w:w="9120"/>
          </w:cols>
          <w:pgMar w:left="1380" w:top="1310" w:right="1380" w:bottom="653" w:gutter="0" w:footer="0" w:header="0"/>
          <w:type w:val="continuous"/>
        </w:sectPr>
      </w:pPr>
    </w:p>
    <w:bookmarkStart w:id="66" w:name="page67"/>
    <w:bookmarkEnd w:id="66"/>
    <w:p>
      <w:pPr>
        <w:spacing w:after="0"/>
        <w:rPr>
          <w:sz w:val="20"/>
          <w:szCs w:val="20"/>
          <w:color w:val="auto"/>
        </w:rPr>
      </w:pPr>
      <w:r>
        <w:rPr>
          <w:rFonts w:ascii="Arial" w:cs="Arial" w:eastAsia="Arial" w:hAnsi="Arial"/>
          <w:sz w:val="20"/>
          <w:szCs w:val="20"/>
          <w:b w:val="1"/>
          <w:bCs w:val="1"/>
          <w:color w:val="auto"/>
        </w:rPr>
        <w:t>Securities Authorized for Issuance Under Equity Compensation Plans</w:t>
      </w:r>
    </w:p>
    <w:p>
      <w:pPr>
        <w:spacing w:after="0" w:line="216" w:lineRule="exact"/>
        <w:rPr>
          <w:sz w:val="20"/>
          <w:szCs w:val="20"/>
          <w:color w:val="auto"/>
        </w:rPr>
      </w:pPr>
    </w:p>
    <w:p>
      <w:pPr>
        <w:ind w:right="120" w:firstLine="300"/>
        <w:spacing w:after="0" w:line="262" w:lineRule="auto"/>
        <w:rPr>
          <w:sz w:val="20"/>
          <w:szCs w:val="20"/>
          <w:color w:val="auto"/>
        </w:rPr>
      </w:pPr>
      <w:r>
        <w:rPr>
          <w:rFonts w:ascii="Arial" w:cs="Arial" w:eastAsia="Arial" w:hAnsi="Arial"/>
          <w:sz w:val="19"/>
          <w:szCs w:val="19"/>
          <w:color w:val="auto"/>
        </w:rPr>
        <w:t>The following table summarizes the securities available for issuance under equity compensation plans as of December 31, 2022. A description of our stock-based compensation plans can be found in</w:t>
      </w:r>
    </w:p>
    <w:p>
      <w:pPr>
        <w:spacing w:after="0" w:line="236" w:lineRule="auto"/>
        <w:rPr>
          <w:sz w:val="20"/>
          <w:szCs w:val="20"/>
          <w:color w:val="auto"/>
        </w:rPr>
      </w:pPr>
      <w:r>
        <w:rPr>
          <w:rFonts w:ascii="Arial" w:cs="Arial" w:eastAsia="Arial" w:hAnsi="Arial"/>
          <w:sz w:val="20"/>
          <w:szCs w:val="20"/>
          <w:i w:val="1"/>
          <w:iCs w:val="1"/>
          <w:color w:val="auto"/>
        </w:rPr>
        <w:t>Part II, Item 8 – Financial Statements and Supplementary Data, Note 10 Stock-Based Compensation</w:t>
      </w:r>
      <w:r>
        <w:rPr>
          <w:rFonts w:ascii="Arial" w:cs="Arial" w:eastAsia="Arial" w:hAnsi="Arial"/>
          <w:sz w:val="20"/>
          <w:szCs w:val="20"/>
          <w:color w:val="auto"/>
        </w:rPr>
        <w: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Arial" w:cs="Arial" w:eastAsia="Arial" w:hAnsi="Arial"/>
                <w:sz w:val="20"/>
                <w:szCs w:val="20"/>
                <w:color w:val="auto"/>
              </w:rPr>
              <w:t>Number of</w:t>
            </w:r>
          </w:p>
        </w:tc>
        <w:tc>
          <w:tcPr>
            <w:tcW w:w="200" w:type="dxa"/>
            <w:vAlign w:val="bottom"/>
          </w:tcPr>
          <w:p>
            <w:pPr>
              <w:spacing w:after="0"/>
              <w:rPr>
                <w:sz w:val="19"/>
                <w:szCs w:val="19"/>
                <w:color w:val="auto"/>
              </w:rPr>
            </w:pPr>
          </w:p>
        </w:tc>
        <w:tc>
          <w:tcPr>
            <w:tcW w:w="1460" w:type="dxa"/>
            <w:vAlign w:val="bottom"/>
            <w:gridSpan w:val="2"/>
          </w:tcPr>
          <w:p>
            <w:pPr>
              <w:ind w:left="200"/>
              <w:spacing w:after="0"/>
              <w:rPr>
                <w:sz w:val="20"/>
                <w:szCs w:val="20"/>
                <w:color w:val="auto"/>
              </w:rPr>
            </w:pPr>
            <w:r>
              <w:rPr>
                <w:rFonts w:ascii="Arial" w:cs="Arial" w:eastAsia="Arial" w:hAnsi="Arial"/>
                <w:sz w:val="20"/>
                <w:szCs w:val="20"/>
                <w:color w:val="auto"/>
              </w:rPr>
              <w:t>Weighted-</w:t>
            </w:r>
          </w:p>
        </w:tc>
        <w:tc>
          <w:tcPr>
            <w:tcW w:w="2000" w:type="dxa"/>
            <w:vAlign w:val="bottom"/>
          </w:tcPr>
          <w:p>
            <w:pPr>
              <w:jc w:val="center"/>
              <w:spacing w:after="0"/>
              <w:rPr>
                <w:sz w:val="20"/>
                <w:szCs w:val="20"/>
                <w:color w:val="auto"/>
              </w:rPr>
            </w:pPr>
            <w:r>
              <w:rPr>
                <w:rFonts w:ascii="Arial" w:cs="Arial" w:eastAsia="Arial" w:hAnsi="Arial"/>
                <w:sz w:val="20"/>
                <w:szCs w:val="20"/>
                <w:color w:val="auto"/>
              </w:rPr>
              <w:t>Number of securities</w:t>
            </w:r>
          </w:p>
        </w:tc>
        <w:tc>
          <w:tcPr>
            <w:tcW w:w="0" w:type="dxa"/>
            <w:vAlign w:val="bottom"/>
          </w:tcPr>
          <w:p>
            <w:pPr>
              <w:spacing w:after="0"/>
              <w:rPr>
                <w:sz w:val="1"/>
                <w:szCs w:val="1"/>
                <w:color w:val="auto"/>
              </w:rPr>
            </w:pPr>
          </w:p>
        </w:tc>
      </w:tr>
      <w:tr>
        <w:trPr>
          <w:trHeight w:val="200"/>
        </w:trPr>
        <w:tc>
          <w:tcPr>
            <w:tcW w:w="3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tcPr>
          <w:p>
            <w:pPr>
              <w:jc w:val="center"/>
              <w:spacing w:after="0" w:line="200" w:lineRule="exact"/>
              <w:rPr>
                <w:sz w:val="20"/>
                <w:szCs w:val="20"/>
                <w:color w:val="auto"/>
              </w:rPr>
            </w:pPr>
            <w:r>
              <w:rPr>
                <w:rFonts w:ascii="Arial" w:cs="Arial" w:eastAsia="Arial" w:hAnsi="Arial"/>
                <w:sz w:val="20"/>
                <w:szCs w:val="20"/>
                <w:color w:val="auto"/>
                <w:w w:val="99"/>
              </w:rPr>
              <w:t>securities to be</w:t>
            </w:r>
          </w:p>
        </w:tc>
        <w:tc>
          <w:tcPr>
            <w:tcW w:w="200" w:type="dxa"/>
            <w:vAlign w:val="bottom"/>
          </w:tcPr>
          <w:p>
            <w:pPr>
              <w:spacing w:after="0"/>
              <w:rPr>
                <w:sz w:val="17"/>
                <w:szCs w:val="17"/>
                <w:color w:val="auto"/>
              </w:rPr>
            </w:pPr>
          </w:p>
        </w:tc>
        <w:tc>
          <w:tcPr>
            <w:tcW w:w="1460" w:type="dxa"/>
            <w:vAlign w:val="bottom"/>
            <w:gridSpan w:val="2"/>
          </w:tcPr>
          <w:p>
            <w:pPr>
              <w:jc w:val="center"/>
              <w:ind w:right="220"/>
              <w:spacing w:after="0" w:line="200" w:lineRule="exact"/>
              <w:rPr>
                <w:sz w:val="20"/>
                <w:szCs w:val="20"/>
                <w:color w:val="auto"/>
              </w:rPr>
            </w:pPr>
            <w:r>
              <w:rPr>
                <w:rFonts w:ascii="Arial" w:cs="Arial" w:eastAsia="Arial" w:hAnsi="Arial"/>
                <w:sz w:val="20"/>
                <w:szCs w:val="20"/>
                <w:color w:val="auto"/>
                <w:w w:val="99"/>
              </w:rPr>
              <w:t>average</w:t>
            </w:r>
          </w:p>
        </w:tc>
        <w:tc>
          <w:tcPr>
            <w:tcW w:w="2000" w:type="dxa"/>
            <w:vAlign w:val="bottom"/>
          </w:tcPr>
          <w:p>
            <w:pPr>
              <w:jc w:val="center"/>
              <w:spacing w:after="0" w:line="200" w:lineRule="exact"/>
              <w:rPr>
                <w:sz w:val="20"/>
                <w:szCs w:val="20"/>
                <w:color w:val="auto"/>
              </w:rPr>
            </w:pPr>
            <w:r>
              <w:rPr>
                <w:rFonts w:ascii="Arial" w:cs="Arial" w:eastAsia="Arial" w:hAnsi="Arial"/>
                <w:sz w:val="20"/>
                <w:szCs w:val="20"/>
                <w:color w:val="auto"/>
                <w:w w:val="99"/>
              </w:rPr>
              <w:t>remaining available for</w:t>
            </w:r>
          </w:p>
        </w:tc>
        <w:tc>
          <w:tcPr>
            <w:tcW w:w="0" w:type="dxa"/>
            <w:vAlign w:val="bottom"/>
          </w:tcPr>
          <w:p>
            <w:pPr>
              <w:spacing w:after="0"/>
              <w:rPr>
                <w:sz w:val="1"/>
                <w:szCs w:val="1"/>
                <w:color w:val="auto"/>
              </w:rPr>
            </w:pPr>
          </w:p>
        </w:tc>
      </w:tr>
      <w:tr>
        <w:trPr>
          <w:trHeight w:val="200"/>
        </w:trPr>
        <w:tc>
          <w:tcPr>
            <w:tcW w:w="3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tcPr>
          <w:p>
            <w:pPr>
              <w:jc w:val="center"/>
              <w:spacing w:after="0" w:line="200" w:lineRule="exact"/>
              <w:rPr>
                <w:sz w:val="20"/>
                <w:szCs w:val="20"/>
                <w:color w:val="auto"/>
              </w:rPr>
            </w:pPr>
            <w:r>
              <w:rPr>
                <w:rFonts w:ascii="Arial" w:cs="Arial" w:eastAsia="Arial" w:hAnsi="Arial"/>
                <w:sz w:val="20"/>
                <w:szCs w:val="20"/>
                <w:color w:val="auto"/>
              </w:rPr>
              <w:t>issued upon</w:t>
            </w:r>
          </w:p>
        </w:tc>
        <w:tc>
          <w:tcPr>
            <w:tcW w:w="200" w:type="dxa"/>
            <w:vAlign w:val="bottom"/>
          </w:tcPr>
          <w:p>
            <w:pPr>
              <w:spacing w:after="0"/>
              <w:rPr>
                <w:sz w:val="17"/>
                <w:szCs w:val="17"/>
                <w:color w:val="auto"/>
              </w:rPr>
            </w:pPr>
          </w:p>
        </w:tc>
        <w:tc>
          <w:tcPr>
            <w:tcW w:w="1460" w:type="dxa"/>
            <w:vAlign w:val="bottom"/>
            <w:gridSpan w:val="2"/>
          </w:tcPr>
          <w:p>
            <w:pPr>
              <w:jc w:val="center"/>
              <w:ind w:right="220"/>
              <w:spacing w:after="0" w:line="200" w:lineRule="exact"/>
              <w:rPr>
                <w:sz w:val="20"/>
                <w:szCs w:val="20"/>
                <w:color w:val="auto"/>
              </w:rPr>
            </w:pPr>
            <w:r>
              <w:rPr>
                <w:rFonts w:ascii="Arial" w:cs="Arial" w:eastAsia="Arial" w:hAnsi="Arial"/>
                <w:sz w:val="20"/>
                <w:szCs w:val="20"/>
                <w:color w:val="auto"/>
              </w:rPr>
              <w:t>exercise price</w:t>
            </w:r>
          </w:p>
        </w:tc>
        <w:tc>
          <w:tcPr>
            <w:tcW w:w="2000" w:type="dxa"/>
            <w:vAlign w:val="bottom"/>
          </w:tcPr>
          <w:p>
            <w:pPr>
              <w:jc w:val="center"/>
              <w:spacing w:after="0" w:line="200" w:lineRule="exact"/>
              <w:rPr>
                <w:sz w:val="20"/>
                <w:szCs w:val="20"/>
                <w:color w:val="auto"/>
              </w:rPr>
            </w:pPr>
            <w:r>
              <w:rPr>
                <w:rFonts w:ascii="Arial" w:cs="Arial" w:eastAsia="Arial" w:hAnsi="Arial"/>
                <w:sz w:val="20"/>
                <w:szCs w:val="20"/>
                <w:color w:val="auto"/>
                <w:w w:val="99"/>
              </w:rPr>
              <w:t>future issuance under</w:t>
            </w:r>
          </w:p>
        </w:tc>
        <w:tc>
          <w:tcPr>
            <w:tcW w:w="0" w:type="dxa"/>
            <w:vAlign w:val="bottom"/>
          </w:tcPr>
          <w:p>
            <w:pPr>
              <w:spacing w:after="0"/>
              <w:rPr>
                <w:sz w:val="1"/>
                <w:szCs w:val="1"/>
                <w:color w:val="auto"/>
              </w:rPr>
            </w:pPr>
          </w:p>
        </w:tc>
      </w:tr>
      <w:tr>
        <w:trPr>
          <w:trHeight w:val="200"/>
        </w:trPr>
        <w:tc>
          <w:tcPr>
            <w:tcW w:w="3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tcPr>
          <w:p>
            <w:pPr>
              <w:jc w:val="center"/>
              <w:spacing w:after="0" w:line="200" w:lineRule="exact"/>
              <w:rPr>
                <w:sz w:val="20"/>
                <w:szCs w:val="20"/>
                <w:color w:val="auto"/>
              </w:rPr>
            </w:pPr>
            <w:r>
              <w:rPr>
                <w:rFonts w:ascii="Arial" w:cs="Arial" w:eastAsia="Arial" w:hAnsi="Arial"/>
                <w:sz w:val="20"/>
                <w:szCs w:val="20"/>
                <w:color w:val="auto"/>
                <w:w w:val="99"/>
              </w:rPr>
              <w:t>exercise of</w:t>
            </w:r>
          </w:p>
        </w:tc>
        <w:tc>
          <w:tcPr>
            <w:tcW w:w="200" w:type="dxa"/>
            <w:vAlign w:val="bottom"/>
          </w:tcPr>
          <w:p>
            <w:pPr>
              <w:spacing w:after="0"/>
              <w:rPr>
                <w:sz w:val="17"/>
                <w:szCs w:val="17"/>
                <w:color w:val="auto"/>
              </w:rPr>
            </w:pPr>
          </w:p>
        </w:tc>
        <w:tc>
          <w:tcPr>
            <w:tcW w:w="1460" w:type="dxa"/>
            <w:vAlign w:val="bottom"/>
            <w:gridSpan w:val="2"/>
          </w:tcPr>
          <w:p>
            <w:pPr>
              <w:jc w:val="center"/>
              <w:ind w:right="200"/>
              <w:spacing w:after="0" w:line="200" w:lineRule="exact"/>
              <w:rPr>
                <w:sz w:val="20"/>
                <w:szCs w:val="20"/>
                <w:color w:val="auto"/>
              </w:rPr>
            </w:pPr>
            <w:r>
              <w:rPr>
                <w:rFonts w:ascii="Arial" w:cs="Arial" w:eastAsia="Arial" w:hAnsi="Arial"/>
                <w:sz w:val="20"/>
                <w:szCs w:val="20"/>
                <w:color w:val="auto"/>
              </w:rPr>
              <w:t>of outstanding</w:t>
            </w:r>
          </w:p>
        </w:tc>
        <w:tc>
          <w:tcPr>
            <w:tcW w:w="2000" w:type="dxa"/>
            <w:vAlign w:val="bottom"/>
          </w:tcPr>
          <w:p>
            <w:pPr>
              <w:jc w:val="center"/>
              <w:spacing w:after="0" w:line="200" w:lineRule="exact"/>
              <w:rPr>
                <w:sz w:val="20"/>
                <w:szCs w:val="20"/>
                <w:color w:val="auto"/>
              </w:rPr>
            </w:pPr>
            <w:r>
              <w:rPr>
                <w:rFonts w:ascii="Arial" w:cs="Arial" w:eastAsia="Arial" w:hAnsi="Arial"/>
                <w:sz w:val="20"/>
                <w:szCs w:val="20"/>
                <w:color w:val="auto"/>
              </w:rPr>
              <w:t>equity compensation</w:t>
            </w:r>
          </w:p>
        </w:tc>
        <w:tc>
          <w:tcPr>
            <w:tcW w:w="0" w:type="dxa"/>
            <w:vAlign w:val="bottom"/>
          </w:tcPr>
          <w:p>
            <w:pPr>
              <w:spacing w:after="0"/>
              <w:rPr>
                <w:sz w:val="1"/>
                <w:szCs w:val="1"/>
                <w:color w:val="auto"/>
              </w:rPr>
            </w:pPr>
          </w:p>
        </w:tc>
      </w:tr>
      <w:tr>
        <w:trPr>
          <w:trHeight w:val="200"/>
        </w:trPr>
        <w:tc>
          <w:tcPr>
            <w:tcW w:w="3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tcPr>
          <w:p>
            <w:pPr>
              <w:jc w:val="center"/>
              <w:spacing w:after="0" w:line="200" w:lineRule="exact"/>
              <w:rPr>
                <w:sz w:val="20"/>
                <w:szCs w:val="20"/>
                <w:color w:val="auto"/>
              </w:rPr>
            </w:pPr>
            <w:r>
              <w:rPr>
                <w:rFonts w:ascii="Arial" w:cs="Arial" w:eastAsia="Arial" w:hAnsi="Arial"/>
                <w:sz w:val="20"/>
                <w:szCs w:val="20"/>
                <w:color w:val="auto"/>
              </w:rPr>
              <w:t>outstanding</w:t>
            </w:r>
          </w:p>
        </w:tc>
        <w:tc>
          <w:tcPr>
            <w:tcW w:w="200" w:type="dxa"/>
            <w:vAlign w:val="bottom"/>
          </w:tcPr>
          <w:p>
            <w:pPr>
              <w:spacing w:after="0"/>
              <w:rPr>
                <w:sz w:val="17"/>
                <w:szCs w:val="17"/>
                <w:color w:val="auto"/>
              </w:rPr>
            </w:pPr>
          </w:p>
        </w:tc>
        <w:tc>
          <w:tcPr>
            <w:tcW w:w="1460" w:type="dxa"/>
            <w:vAlign w:val="bottom"/>
            <w:gridSpan w:val="2"/>
          </w:tcPr>
          <w:p>
            <w:pPr>
              <w:jc w:val="center"/>
              <w:ind w:right="200"/>
              <w:spacing w:after="0" w:line="200" w:lineRule="exact"/>
              <w:rPr>
                <w:sz w:val="20"/>
                <w:szCs w:val="20"/>
                <w:color w:val="auto"/>
              </w:rPr>
            </w:pPr>
            <w:r>
              <w:rPr>
                <w:rFonts w:ascii="Arial" w:cs="Arial" w:eastAsia="Arial" w:hAnsi="Arial"/>
                <w:sz w:val="20"/>
                <w:szCs w:val="20"/>
                <w:color w:val="auto"/>
                <w:w w:val="99"/>
              </w:rPr>
              <w:t>options,</w:t>
            </w:r>
          </w:p>
        </w:tc>
        <w:tc>
          <w:tcPr>
            <w:tcW w:w="2000" w:type="dxa"/>
            <w:vAlign w:val="bottom"/>
          </w:tcPr>
          <w:p>
            <w:pPr>
              <w:jc w:val="center"/>
              <w:spacing w:after="0" w:line="200" w:lineRule="exact"/>
              <w:rPr>
                <w:sz w:val="20"/>
                <w:szCs w:val="20"/>
                <w:color w:val="auto"/>
              </w:rPr>
            </w:pPr>
            <w:r>
              <w:rPr>
                <w:rFonts w:ascii="Arial" w:cs="Arial" w:eastAsia="Arial" w:hAnsi="Arial"/>
                <w:sz w:val="20"/>
                <w:szCs w:val="20"/>
                <w:color w:val="auto"/>
                <w:w w:val="99"/>
              </w:rPr>
              <w:t>plans (excluding</w:t>
            </w:r>
          </w:p>
        </w:tc>
        <w:tc>
          <w:tcPr>
            <w:tcW w:w="0" w:type="dxa"/>
            <w:vAlign w:val="bottom"/>
          </w:tcPr>
          <w:p>
            <w:pPr>
              <w:spacing w:after="0"/>
              <w:rPr>
                <w:sz w:val="1"/>
                <w:szCs w:val="1"/>
                <w:color w:val="auto"/>
              </w:rPr>
            </w:pPr>
          </w:p>
        </w:tc>
      </w:tr>
      <w:tr>
        <w:trPr>
          <w:trHeight w:val="200"/>
        </w:trPr>
        <w:tc>
          <w:tcPr>
            <w:tcW w:w="3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tcPr>
          <w:p>
            <w:pPr>
              <w:jc w:val="center"/>
              <w:spacing w:after="0" w:line="200" w:lineRule="exact"/>
              <w:rPr>
                <w:sz w:val="20"/>
                <w:szCs w:val="20"/>
                <w:color w:val="auto"/>
              </w:rPr>
            </w:pPr>
            <w:r>
              <w:rPr>
                <w:rFonts w:ascii="Arial" w:cs="Arial" w:eastAsia="Arial" w:hAnsi="Arial"/>
                <w:sz w:val="20"/>
                <w:szCs w:val="20"/>
                <w:color w:val="auto"/>
                <w:w w:val="99"/>
              </w:rPr>
              <w:t>options, warrants</w:t>
            </w:r>
          </w:p>
        </w:tc>
        <w:tc>
          <w:tcPr>
            <w:tcW w:w="200" w:type="dxa"/>
            <w:vAlign w:val="bottom"/>
          </w:tcPr>
          <w:p>
            <w:pPr>
              <w:spacing w:after="0"/>
              <w:rPr>
                <w:sz w:val="17"/>
                <w:szCs w:val="17"/>
                <w:color w:val="auto"/>
              </w:rPr>
            </w:pPr>
          </w:p>
        </w:tc>
        <w:tc>
          <w:tcPr>
            <w:tcW w:w="1460" w:type="dxa"/>
            <w:vAlign w:val="bottom"/>
            <w:gridSpan w:val="2"/>
          </w:tcPr>
          <w:p>
            <w:pPr>
              <w:jc w:val="center"/>
              <w:ind w:right="220"/>
              <w:spacing w:after="0" w:line="200" w:lineRule="exact"/>
              <w:rPr>
                <w:sz w:val="20"/>
                <w:szCs w:val="20"/>
                <w:color w:val="auto"/>
              </w:rPr>
            </w:pPr>
            <w:r>
              <w:rPr>
                <w:rFonts w:ascii="Arial" w:cs="Arial" w:eastAsia="Arial" w:hAnsi="Arial"/>
                <w:sz w:val="20"/>
                <w:szCs w:val="20"/>
                <w:color w:val="auto"/>
              </w:rPr>
              <w:t>warrants and</w:t>
            </w:r>
          </w:p>
        </w:tc>
        <w:tc>
          <w:tcPr>
            <w:tcW w:w="2000" w:type="dxa"/>
            <w:vAlign w:val="bottom"/>
          </w:tcPr>
          <w:p>
            <w:pPr>
              <w:jc w:val="center"/>
              <w:spacing w:after="0" w:line="200" w:lineRule="exact"/>
              <w:rPr>
                <w:sz w:val="20"/>
                <w:szCs w:val="20"/>
                <w:color w:val="auto"/>
              </w:rPr>
            </w:pPr>
            <w:r>
              <w:rPr>
                <w:rFonts w:ascii="Arial" w:cs="Arial" w:eastAsia="Arial" w:hAnsi="Arial"/>
                <w:sz w:val="20"/>
                <w:szCs w:val="20"/>
                <w:color w:val="auto"/>
              </w:rPr>
              <w:t>securities in column</w:t>
            </w:r>
          </w:p>
        </w:tc>
        <w:tc>
          <w:tcPr>
            <w:tcW w:w="0" w:type="dxa"/>
            <w:vAlign w:val="bottom"/>
          </w:tcPr>
          <w:p>
            <w:pPr>
              <w:spacing w:after="0"/>
              <w:rPr>
                <w:sz w:val="1"/>
                <w:szCs w:val="1"/>
                <w:color w:val="auto"/>
              </w:rPr>
            </w:pPr>
          </w:p>
        </w:tc>
      </w:tr>
      <w:tr>
        <w:trPr>
          <w:trHeight w:val="224"/>
        </w:trPr>
        <w:tc>
          <w:tcPr>
            <w:tcW w:w="3220" w:type="dxa"/>
            <w:vAlign w:val="bottom"/>
          </w:tcPr>
          <w:p>
            <w:pPr>
              <w:ind w:left="980"/>
              <w:spacing w:after="0" w:line="224" w:lineRule="exact"/>
              <w:rPr>
                <w:sz w:val="20"/>
                <w:szCs w:val="20"/>
                <w:color w:val="auto"/>
              </w:rPr>
            </w:pPr>
            <w:r>
              <w:rPr>
                <w:rFonts w:ascii="Arial" w:cs="Arial" w:eastAsia="Arial" w:hAnsi="Arial"/>
                <w:sz w:val="20"/>
                <w:szCs w:val="20"/>
                <w:color w:val="auto"/>
              </w:rPr>
              <w:t>Plan Category</w:t>
            </w:r>
          </w:p>
        </w:tc>
        <w:tc>
          <w:tcPr>
            <w:tcW w:w="200" w:type="dxa"/>
            <w:vAlign w:val="bottom"/>
          </w:tcPr>
          <w:p>
            <w:pPr>
              <w:spacing w:after="0"/>
              <w:rPr>
                <w:sz w:val="19"/>
                <w:szCs w:val="19"/>
                <w:color w:val="auto"/>
              </w:rPr>
            </w:pPr>
          </w:p>
        </w:tc>
        <w:tc>
          <w:tcPr>
            <w:tcW w:w="2040" w:type="dxa"/>
            <w:vAlign w:val="bottom"/>
          </w:tcPr>
          <w:p>
            <w:pPr>
              <w:jc w:val="center"/>
              <w:spacing w:after="0" w:line="224" w:lineRule="exact"/>
              <w:rPr>
                <w:sz w:val="20"/>
                <w:szCs w:val="20"/>
                <w:color w:val="auto"/>
              </w:rPr>
            </w:pPr>
            <w:r>
              <w:rPr>
                <w:rFonts w:ascii="Arial" w:cs="Arial" w:eastAsia="Arial" w:hAnsi="Arial"/>
                <w:sz w:val="20"/>
                <w:szCs w:val="20"/>
                <w:color w:val="auto"/>
              </w:rPr>
              <w:t>and rights</w:t>
            </w:r>
          </w:p>
        </w:tc>
        <w:tc>
          <w:tcPr>
            <w:tcW w:w="200" w:type="dxa"/>
            <w:vAlign w:val="bottom"/>
          </w:tcPr>
          <w:p>
            <w:pPr>
              <w:spacing w:after="0"/>
              <w:rPr>
                <w:sz w:val="19"/>
                <w:szCs w:val="19"/>
                <w:color w:val="auto"/>
              </w:rPr>
            </w:pPr>
          </w:p>
        </w:tc>
        <w:tc>
          <w:tcPr>
            <w:tcW w:w="1460" w:type="dxa"/>
            <w:vAlign w:val="bottom"/>
            <w:gridSpan w:val="2"/>
          </w:tcPr>
          <w:p>
            <w:pPr>
              <w:jc w:val="center"/>
              <w:ind w:right="220"/>
              <w:spacing w:after="0" w:line="224" w:lineRule="exact"/>
              <w:rPr>
                <w:sz w:val="20"/>
                <w:szCs w:val="20"/>
                <w:color w:val="auto"/>
              </w:rPr>
            </w:pPr>
            <w:r>
              <w:rPr>
                <w:rFonts w:ascii="Arial" w:cs="Arial" w:eastAsia="Arial" w:hAnsi="Arial"/>
                <w:sz w:val="20"/>
                <w:szCs w:val="20"/>
                <w:color w:val="auto"/>
                <w:w w:val="98"/>
              </w:rPr>
              <w:t>rights</w:t>
            </w:r>
          </w:p>
        </w:tc>
        <w:tc>
          <w:tcPr>
            <w:tcW w:w="2000" w:type="dxa"/>
            <w:vAlign w:val="bottom"/>
          </w:tcPr>
          <w:p>
            <w:pPr>
              <w:jc w:val="center"/>
              <w:spacing w:after="0" w:line="224" w:lineRule="exact"/>
              <w:rPr>
                <w:sz w:val="20"/>
                <w:szCs w:val="20"/>
                <w:color w:val="auto"/>
              </w:rPr>
            </w:pPr>
            <w:r>
              <w:rPr>
                <w:rFonts w:ascii="Arial" w:cs="Arial" w:eastAsia="Arial" w:hAnsi="Arial"/>
                <w:sz w:val="20"/>
                <w:szCs w:val="20"/>
                <w:color w:val="auto"/>
              </w:rPr>
              <w:t>(a))</w:t>
            </w:r>
          </w:p>
        </w:tc>
        <w:tc>
          <w:tcPr>
            <w:tcW w:w="0" w:type="dxa"/>
            <w:vAlign w:val="bottom"/>
          </w:tcPr>
          <w:p>
            <w:pPr>
              <w:spacing w:after="0"/>
              <w:rPr>
                <w:sz w:val="1"/>
                <w:szCs w:val="1"/>
                <w:color w:val="auto"/>
              </w:rPr>
            </w:pPr>
          </w:p>
        </w:tc>
      </w:tr>
      <w:tr>
        <w:trPr>
          <w:trHeight w:val="20"/>
        </w:trPr>
        <w:tc>
          <w:tcPr>
            <w:tcW w:w="3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auto"/>
              </w:rPr>
              <w:t>(a)</w:t>
            </w:r>
          </w:p>
        </w:tc>
        <w:tc>
          <w:tcPr>
            <w:tcW w:w="20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color w:val="auto"/>
              </w:rPr>
              <w:t>(b)</w:t>
            </w:r>
          </w:p>
        </w:tc>
        <w:tc>
          <w:tcPr>
            <w:tcW w:w="2000" w:type="dxa"/>
            <w:vAlign w:val="bottom"/>
          </w:tcPr>
          <w:p>
            <w:pPr>
              <w:jc w:val="center"/>
              <w:spacing w:after="0"/>
              <w:rPr>
                <w:sz w:val="20"/>
                <w:szCs w:val="20"/>
                <w:color w:val="auto"/>
              </w:rPr>
            </w:pPr>
            <w:r>
              <w:rPr>
                <w:rFonts w:ascii="Arial" w:cs="Arial" w:eastAsia="Arial" w:hAnsi="Arial"/>
                <w:sz w:val="16"/>
                <w:szCs w:val="16"/>
                <w:color w:val="auto"/>
                <w:w w:val="96"/>
              </w:rPr>
              <w:t>(c)</w:t>
            </w:r>
          </w:p>
        </w:tc>
        <w:tc>
          <w:tcPr>
            <w:tcW w:w="0" w:type="dxa"/>
            <w:vAlign w:val="bottom"/>
          </w:tcPr>
          <w:p>
            <w:pPr>
              <w:spacing w:after="0"/>
              <w:rPr>
                <w:sz w:val="1"/>
                <w:szCs w:val="1"/>
                <w:color w:val="auto"/>
              </w:rPr>
            </w:pPr>
          </w:p>
        </w:tc>
      </w:tr>
      <w:tr>
        <w:trPr>
          <w:trHeight w:val="28"/>
        </w:trPr>
        <w:tc>
          <w:tcPr>
            <w:tcW w:w="3220" w:type="dxa"/>
            <w:vAlign w:val="bottom"/>
            <w:vMerge w:val="restart"/>
          </w:tcPr>
          <w:p>
            <w:pPr>
              <w:spacing w:after="0"/>
              <w:rPr>
                <w:sz w:val="20"/>
                <w:szCs w:val="20"/>
                <w:color w:val="auto"/>
              </w:rPr>
            </w:pPr>
            <w:r>
              <w:rPr>
                <w:rFonts w:ascii="Arial" w:cs="Arial" w:eastAsia="Arial" w:hAnsi="Arial"/>
                <w:sz w:val="20"/>
                <w:szCs w:val="20"/>
                <w:color w:val="auto"/>
              </w:rPr>
              <w:t>Equity compensation plans</w:t>
            </w:r>
          </w:p>
        </w:tc>
        <w:tc>
          <w:tcPr>
            <w:tcW w:w="2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0"/>
        </w:trPr>
        <w:tc>
          <w:tcPr>
            <w:tcW w:w="32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220" w:type="dxa"/>
            <w:vAlign w:val="bottom"/>
          </w:tcPr>
          <w:p>
            <w:pPr>
              <w:spacing w:after="0" w:line="256" w:lineRule="exact"/>
              <w:rPr>
                <w:sz w:val="20"/>
                <w:szCs w:val="20"/>
                <w:color w:val="auto"/>
              </w:rPr>
            </w:pPr>
            <w:r>
              <w:rPr>
                <w:rFonts w:ascii="Arial" w:cs="Arial" w:eastAsia="Arial" w:hAnsi="Arial"/>
                <w:sz w:val="20"/>
                <w:szCs w:val="20"/>
                <w:color w:val="auto"/>
                <w:w w:val="97"/>
              </w:rPr>
              <w:t>approved by security holders</w:t>
            </w:r>
            <w:r>
              <w:rPr>
                <w:rFonts w:ascii="Arial" w:cs="Arial" w:eastAsia="Arial" w:hAnsi="Arial"/>
                <w:sz w:val="26"/>
                <w:szCs w:val="26"/>
                <w:color w:val="auto"/>
                <w:w w:val="97"/>
                <w:vertAlign w:val="superscript"/>
              </w:rPr>
              <w:t>(1)</w:t>
            </w:r>
            <w:r>
              <w:rPr>
                <w:rFonts w:ascii="Arial" w:cs="Arial" w:eastAsia="Arial" w:hAnsi="Arial"/>
                <w:sz w:val="20"/>
                <w:szCs w:val="20"/>
                <w:color w:val="auto"/>
                <w:w w:val="97"/>
              </w:rPr>
              <w:t xml:space="preserve">  . . . .</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1,250,000</w:t>
            </w:r>
          </w:p>
        </w:tc>
        <w:tc>
          <w:tcPr>
            <w:tcW w:w="200" w:type="dxa"/>
            <w:vAlign w:val="bottom"/>
          </w:tcPr>
          <w:p>
            <w:pPr>
              <w:spacing w:after="0"/>
              <w:rPr>
                <w:sz w:val="22"/>
                <w:szCs w:val="22"/>
                <w:color w:val="auto"/>
              </w:rPr>
            </w:pPr>
          </w:p>
        </w:tc>
        <w:tc>
          <w:tcPr>
            <w:tcW w:w="1460" w:type="dxa"/>
            <w:vAlign w:val="bottom"/>
            <w:gridSpan w:val="2"/>
          </w:tcPr>
          <w:p>
            <w:pPr>
              <w:ind w:left="980"/>
              <w:spacing w:after="0"/>
              <w:rPr>
                <w:sz w:val="20"/>
                <w:szCs w:val="20"/>
                <w:color w:val="auto"/>
              </w:rPr>
            </w:pPr>
            <w:r>
              <w:rPr>
                <w:rFonts w:ascii="Arial" w:cs="Arial" w:eastAsia="Arial" w:hAnsi="Arial"/>
                <w:sz w:val="20"/>
                <w:szCs w:val="20"/>
                <w:color w:val="auto"/>
              </w:rPr>
              <w:t>—</w:t>
            </w:r>
          </w:p>
        </w:tc>
        <w:tc>
          <w:tcPr>
            <w:tcW w:w="2000" w:type="dxa"/>
            <w:vAlign w:val="bottom"/>
          </w:tcPr>
          <w:p>
            <w:pPr>
              <w:jc w:val="right"/>
              <w:spacing w:after="0"/>
              <w:rPr>
                <w:sz w:val="20"/>
                <w:szCs w:val="20"/>
                <w:color w:val="auto"/>
              </w:rPr>
            </w:pPr>
            <w:r>
              <w:rPr>
                <w:rFonts w:ascii="Arial" w:cs="Arial" w:eastAsia="Arial" w:hAnsi="Arial"/>
                <w:sz w:val="20"/>
                <w:szCs w:val="20"/>
                <w:color w:val="auto"/>
              </w:rPr>
              <w:t>1,223,781</w:t>
            </w:r>
          </w:p>
        </w:tc>
        <w:tc>
          <w:tcPr>
            <w:tcW w:w="0" w:type="dxa"/>
            <w:vAlign w:val="bottom"/>
          </w:tcPr>
          <w:p>
            <w:pPr>
              <w:spacing w:after="0"/>
              <w:rPr>
                <w:sz w:val="1"/>
                <w:szCs w:val="1"/>
                <w:color w:val="auto"/>
              </w:rPr>
            </w:pPr>
          </w:p>
        </w:tc>
      </w:tr>
      <w:tr>
        <w:trPr>
          <w:trHeight w:val="224"/>
        </w:trPr>
        <w:tc>
          <w:tcPr>
            <w:tcW w:w="3220" w:type="dxa"/>
            <w:vAlign w:val="bottom"/>
          </w:tcPr>
          <w:p>
            <w:pPr>
              <w:spacing w:after="0" w:line="224" w:lineRule="exact"/>
              <w:rPr>
                <w:sz w:val="20"/>
                <w:szCs w:val="20"/>
                <w:color w:val="auto"/>
              </w:rPr>
            </w:pPr>
            <w:r>
              <w:rPr>
                <w:rFonts w:ascii="Arial" w:cs="Arial" w:eastAsia="Arial" w:hAnsi="Arial"/>
                <w:sz w:val="20"/>
                <w:szCs w:val="20"/>
                <w:color w:val="auto"/>
              </w:rPr>
              <w:t>Equity compensation plan not</w:t>
            </w:r>
          </w:p>
        </w:tc>
        <w:tc>
          <w:tcPr>
            <w:tcW w:w="2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220" w:type="dxa"/>
            <w:vAlign w:val="bottom"/>
          </w:tcPr>
          <w:p>
            <w:pPr>
              <w:spacing w:after="0" w:line="270" w:lineRule="exact"/>
              <w:rPr>
                <w:sz w:val="20"/>
                <w:szCs w:val="20"/>
                <w:color w:val="auto"/>
              </w:rPr>
            </w:pPr>
            <w:r>
              <w:rPr>
                <w:rFonts w:ascii="Arial" w:cs="Arial" w:eastAsia="Arial" w:hAnsi="Arial"/>
                <w:sz w:val="20"/>
                <w:szCs w:val="20"/>
                <w:color w:val="auto"/>
                <w:w w:val="97"/>
              </w:rPr>
              <w:t>approved by security holders</w:t>
            </w:r>
            <w:r>
              <w:rPr>
                <w:rFonts w:ascii="Arial" w:cs="Arial" w:eastAsia="Arial" w:hAnsi="Arial"/>
                <w:sz w:val="26"/>
                <w:szCs w:val="26"/>
                <w:color w:val="auto"/>
                <w:w w:val="97"/>
                <w:vertAlign w:val="superscript"/>
              </w:rPr>
              <w:t>(2)</w:t>
            </w:r>
            <w:r>
              <w:rPr>
                <w:rFonts w:ascii="Arial" w:cs="Arial" w:eastAsia="Arial" w:hAnsi="Arial"/>
                <w:sz w:val="20"/>
                <w:szCs w:val="20"/>
                <w:color w:val="auto"/>
                <w:w w:val="97"/>
              </w:rPr>
              <w:t xml:space="preserve">  . . . .</w:t>
            </w:r>
          </w:p>
        </w:tc>
        <w:tc>
          <w:tcPr>
            <w:tcW w:w="200" w:type="dxa"/>
            <w:vAlign w:val="bottom"/>
          </w:tcPr>
          <w:p>
            <w:pPr>
              <w:spacing w:after="0"/>
              <w:rPr>
                <w:sz w:val="23"/>
                <w:szCs w:val="23"/>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2,098,436</w:t>
            </w:r>
          </w:p>
        </w:tc>
        <w:tc>
          <w:tcPr>
            <w:tcW w:w="200" w:type="dxa"/>
            <w:vAlign w:val="bottom"/>
          </w:tcPr>
          <w:p>
            <w:pPr>
              <w:spacing w:after="0"/>
              <w:rPr>
                <w:sz w:val="23"/>
                <w:szCs w:val="23"/>
                <w:color w:val="auto"/>
              </w:rPr>
            </w:pPr>
          </w:p>
        </w:tc>
        <w:tc>
          <w:tcPr>
            <w:tcW w:w="1460" w:type="dxa"/>
            <w:vAlign w:val="bottom"/>
            <w:gridSpan w:val="2"/>
          </w:tcPr>
          <w:p>
            <w:pPr>
              <w:ind w:left="980"/>
              <w:spacing w:after="0"/>
              <w:rPr>
                <w:sz w:val="20"/>
                <w:szCs w:val="20"/>
                <w:color w:val="auto"/>
              </w:rPr>
            </w:pPr>
            <w:r>
              <w:rPr>
                <w:rFonts w:ascii="Arial" w:cs="Arial" w:eastAsia="Arial" w:hAnsi="Arial"/>
                <w:sz w:val="20"/>
                <w:szCs w:val="20"/>
                <w:color w:val="auto"/>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7,159,304</w:t>
            </w:r>
          </w:p>
        </w:tc>
        <w:tc>
          <w:tcPr>
            <w:tcW w:w="0" w:type="dxa"/>
            <w:vAlign w:val="bottom"/>
          </w:tcPr>
          <w:p>
            <w:pPr>
              <w:spacing w:after="0"/>
              <w:rPr>
                <w:sz w:val="1"/>
                <w:szCs w:val="1"/>
                <w:color w:val="auto"/>
              </w:rPr>
            </w:pPr>
          </w:p>
        </w:tc>
      </w:tr>
      <w:tr>
        <w:trPr>
          <w:trHeight w:val="272"/>
        </w:trPr>
        <w:tc>
          <w:tcPr>
            <w:tcW w:w="3220" w:type="dxa"/>
            <w:vAlign w:val="bottom"/>
          </w:tcPr>
          <w:p>
            <w:pPr>
              <w:spacing w:after="0"/>
              <w:rPr>
                <w:sz w:val="20"/>
                <w:szCs w:val="20"/>
                <w:color w:val="auto"/>
              </w:rPr>
            </w:pPr>
            <w:r>
              <w:rPr>
                <w:rFonts w:ascii="Arial" w:cs="Arial" w:eastAsia="Arial" w:hAnsi="Arial"/>
                <w:sz w:val="20"/>
                <w:szCs w:val="20"/>
                <w:color w:val="auto"/>
                <w:w w:val="95"/>
              </w:rPr>
              <w:t>Total . . . . . . . . . . . . . . . . . . . . . . . . . .</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3,348,436</w:t>
            </w: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8,383,085</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20" w:right="120" w:hanging="320"/>
        <w:spacing w:after="0" w:line="254" w:lineRule="auto"/>
        <w:tabs>
          <w:tab w:leader="none" w:pos="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Reflects shares available under our Employee Stock Purchase Plan for purchase at 85% of the lower of the market price at either (i) the beginning of a quarter or (ii) the end of a quarter.</w:t>
      </w:r>
    </w:p>
    <w:p>
      <w:pPr>
        <w:spacing w:after="0" w:line="10" w:lineRule="exact"/>
        <w:rPr>
          <w:rFonts w:ascii="Arial" w:cs="Arial" w:eastAsia="Arial" w:hAnsi="Arial"/>
          <w:sz w:val="16"/>
          <w:szCs w:val="16"/>
          <w:color w:val="auto"/>
        </w:rPr>
      </w:pPr>
    </w:p>
    <w:p>
      <w:pPr>
        <w:ind w:left="320" w:right="100" w:hanging="320"/>
        <w:spacing w:after="0" w:line="259" w:lineRule="auto"/>
        <w:tabs>
          <w:tab w:leader="none" w:pos="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The aggregate number of 9,257,740 shares of our common stock authorized for issuance under our Long-Term Incentive Plan were approved by the Bankruptcy Court as part of the joint plan of reorganization upon our emergence from bankruptcy. See </w:t>
      </w:r>
      <w:r>
        <w:rPr>
          <w:rFonts w:ascii="Arial" w:cs="Arial" w:eastAsia="Arial" w:hAnsi="Arial"/>
          <w:sz w:val="16"/>
          <w:szCs w:val="16"/>
          <w:i w:val="1"/>
          <w:iCs w:val="1"/>
          <w:color w:val="auto"/>
        </w:rPr>
        <w:t>Part II, Item 8 – Financial Statements and Supplementary Data, Note 15 Chapter 11 Proceedings</w:t>
      </w:r>
      <w:r>
        <w:rPr>
          <w:rFonts w:ascii="Arial" w:cs="Arial" w:eastAsia="Arial" w:hAnsi="Arial"/>
          <w:sz w:val="16"/>
          <w:szCs w:val="16"/>
          <w:color w:val="auto"/>
        </w:rPr>
        <w:t xml:space="preserve"> for more information on the joint plan of reorganization. The number of securities to be issued upon vesting of performance stock units assumes all units are earned upon achieving the specified 60-trading day volume weighted average prices for shares of our common stock. See </w:t>
      </w:r>
      <w:r>
        <w:rPr>
          <w:rFonts w:ascii="Arial" w:cs="Arial" w:eastAsia="Arial" w:hAnsi="Arial"/>
          <w:sz w:val="16"/>
          <w:szCs w:val="16"/>
          <w:i w:val="1"/>
          <w:iCs w:val="1"/>
          <w:color w:val="auto"/>
        </w:rPr>
        <w:t>Part II, Item 8 – Financial Statements and Supplementary Data, Note 10 Stock-Based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for more information on these awards.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Graph</w:t>
      </w:r>
    </w:p>
    <w:p>
      <w:pPr>
        <w:spacing w:after="0" w:line="214" w:lineRule="exact"/>
        <w:rPr>
          <w:sz w:val="20"/>
          <w:szCs w:val="20"/>
          <w:color w:val="auto"/>
        </w:rPr>
      </w:pPr>
    </w:p>
    <w:p>
      <w:pPr>
        <w:ind w:right="20" w:firstLine="300"/>
        <w:spacing w:after="0" w:line="265" w:lineRule="auto"/>
        <w:rPr>
          <w:sz w:val="20"/>
          <w:szCs w:val="20"/>
          <w:color w:val="auto"/>
        </w:rPr>
      </w:pPr>
      <w:r>
        <w:rPr>
          <w:rFonts w:ascii="Arial" w:cs="Arial" w:eastAsia="Arial" w:hAnsi="Arial"/>
          <w:sz w:val="19"/>
          <w:szCs w:val="19"/>
          <w:color w:val="auto"/>
        </w:rPr>
        <w:t>The following graph compares the cumulative total return to stockholders on our common stock relative to the cumulative total returns of the S&amp;P 500 and Dow Jones U.S. Exploration and Production indexes and our peer group. The graph assumes that on October 28, 2020, $100 was invested in our common stock and in each of the peer group companies’ common stock weighted by their relative market capitalization, or invested on October 31, 2020 in an index, and that all dividends were reinvested. The results shown are based on historical results and are not intended to suggest future performance.</w:t>
      </w:r>
    </w:p>
    <w:p>
      <w:pPr>
        <w:spacing w:after="0" w:line="193" w:lineRule="exact"/>
        <w:rPr>
          <w:sz w:val="20"/>
          <w:szCs w:val="20"/>
          <w:color w:val="auto"/>
        </w:rPr>
      </w:pPr>
    </w:p>
    <w:p>
      <w:pPr>
        <w:ind w:right="120" w:firstLine="300"/>
        <w:spacing w:after="0" w:line="249" w:lineRule="auto"/>
        <w:rPr>
          <w:sz w:val="20"/>
          <w:szCs w:val="20"/>
          <w:color w:val="auto"/>
        </w:rPr>
      </w:pPr>
      <w:r>
        <w:rPr>
          <w:rFonts w:ascii="Arial" w:cs="Arial" w:eastAsia="Arial" w:hAnsi="Arial"/>
          <w:sz w:val="20"/>
          <w:szCs w:val="20"/>
          <w:color w:val="auto"/>
        </w:rPr>
        <w:t>Our 2021 peer group consisted of Antero Resources Corporation; Berry Corporation; Callon Petroleum Company; Chord Energy Corp (the combination of Oasis Petroleum Inc and Whiting Petroleum Corporation which merged in 2022); Comstock Resources Inc.; Coterra Energy Inc.; Denbury Inc.; Kosmos Energy Ltd.; Magnolia Oil &amp; Gas Corp; Matador Resources Company; Murphy Oil Corporation; PDC Energy, Inc.; Range Resources Corporation; SM Energy Company; Southwestern Energy Company; and Vermilion Energy Inc.</w:t>
      </w:r>
    </w:p>
    <w:p>
      <w:pPr>
        <w:spacing w:after="0" w:line="208" w:lineRule="exact"/>
        <w:rPr>
          <w:sz w:val="20"/>
          <w:szCs w:val="20"/>
          <w:color w:val="auto"/>
        </w:rPr>
      </w:pPr>
    </w:p>
    <w:p>
      <w:pPr>
        <w:ind w:right="380" w:firstLine="300"/>
        <w:spacing w:after="0" w:line="265" w:lineRule="auto"/>
        <w:rPr>
          <w:sz w:val="20"/>
          <w:szCs w:val="20"/>
          <w:color w:val="auto"/>
        </w:rPr>
      </w:pPr>
      <w:r>
        <w:rPr>
          <w:rFonts w:ascii="Arial" w:cs="Arial" w:eastAsia="Arial" w:hAnsi="Arial"/>
          <w:sz w:val="19"/>
          <w:szCs w:val="19"/>
          <w:color w:val="auto"/>
        </w:rPr>
        <w:t>Our 2022 peer group consisted of Antero Resources Corporation; Berry Corporation; Callon Petroleum Company; Chord Energy Corporation; Comstock Resources Inc.; Coterra Energy Inc.; Crescent Energy Company; Denbury Inc.; Kosmos Energy Ltd.; Magnolia Oil &amp; Gas Corp; Matador Resources Company; Murphy Oil Corporation; PDC Energy, Inc.; Range Resources Corporation; SM Energy Company; Southwestern Energy Company; Talos Energy Inc.; and Vermilion Energy Inc.</w:t>
      </w:r>
    </w:p>
    <w:p>
      <w:pPr>
        <w:sectPr>
          <w:pgSz w:w="11880" w:h="15480" w:orient="portrait"/>
          <w:cols w:equalWidth="0" w:num="1">
            <w:col w:w="9120"/>
          </w:cols>
          <w:pgMar w:left="1380" w:top="1310"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ectPr>
          <w:pgSz w:w="11880" w:h="15480" w:orient="portrait"/>
          <w:cols w:equalWidth="0" w:num="1">
            <w:col w:w="9120"/>
          </w:cols>
          <w:pgMar w:left="1380" w:top="1310" w:right="1380" w:bottom="655" w:gutter="0" w:footer="0" w:header="0"/>
          <w:type w:val="continuous"/>
        </w:sectPr>
      </w:pPr>
    </w:p>
    <w:bookmarkStart w:id="67" w:name="page68"/>
    <w:bookmarkEnd w:id="67"/>
    <w:p>
      <w:pPr>
        <w:ind w:right="120" w:firstLine="300"/>
        <w:spacing w:after="0" w:line="248" w:lineRule="auto"/>
        <w:rPr>
          <w:sz w:val="20"/>
          <w:szCs w:val="20"/>
          <w:color w:val="auto"/>
        </w:rPr>
      </w:pPr>
      <w:r>
        <w:rPr>
          <w:rFonts w:ascii="Arial" w:cs="Arial" w:eastAsia="Arial" w:hAnsi="Arial"/>
          <w:sz w:val="20"/>
          <w:szCs w:val="20"/>
          <w:color w:val="auto"/>
        </w:rPr>
        <w:t>Our peer group changed from the prior year. We added Crescent Energy Company which is a newly formed company with similar market capitalization and operations. We also added Talos Energy Inc. to our peer group due to its similar financial, operational and strategic metrics as well as its presence in the carbon sequestration sector in the United States.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PERFORMANCE GRAPH*</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Among California Resources Corp, the S&amp;P 500 Index,</w:t>
      </w:r>
    </w:p>
    <w:p>
      <w:pPr>
        <w:jc w:val="center"/>
        <w:ind w:right="-19"/>
        <w:spacing w:after="0"/>
        <w:rPr>
          <w:sz w:val="20"/>
          <w:szCs w:val="20"/>
          <w:color w:val="auto"/>
        </w:rPr>
      </w:pPr>
      <w:r>
        <w:rPr>
          <w:rFonts w:ascii="Arial" w:cs="Arial" w:eastAsia="Arial" w:hAnsi="Arial"/>
          <w:sz w:val="18"/>
          <w:szCs w:val="18"/>
          <w:color w:val="auto"/>
        </w:rPr>
        <w:t>the Dow Jones US Exploration &amp; Production Index,</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2021 Peer Group and 2022 Peer Group</w:t>
      </w:r>
    </w:p>
    <w:p>
      <w:pPr>
        <w:spacing w:after="0" w:line="335" w:lineRule="exact"/>
        <w:rPr>
          <w:sz w:val="20"/>
          <w:szCs w:val="20"/>
          <w:color w:val="auto"/>
        </w:rPr>
      </w:pPr>
    </w:p>
    <w:p>
      <w:pPr>
        <w:jc w:val="center"/>
        <w:ind w:right="8280"/>
        <w:spacing w:after="0"/>
        <w:rPr>
          <w:sz w:val="20"/>
          <w:szCs w:val="20"/>
          <w:color w:val="auto"/>
        </w:rPr>
      </w:pPr>
      <w:r>
        <w:rPr>
          <w:rFonts w:ascii="Arial" w:cs="Arial" w:eastAsia="Arial" w:hAnsi="Arial"/>
          <w:sz w:val="18"/>
          <w:szCs w:val="18"/>
          <w:color w:val="auto"/>
        </w:rPr>
        <w:t>$450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496570</wp:posOffset>
            </wp:positionH>
            <wp:positionV relativeFrom="paragraph">
              <wp:posOffset>-56515</wp:posOffset>
            </wp:positionV>
            <wp:extent cx="4933950" cy="2972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extLst>
                    </a:blip>
                    <a:srcRect/>
                    <a:stretch>
                      <a:fillRect/>
                    </a:stretch>
                  </pic:blipFill>
                  <pic:spPr bwMode="auto">
                    <a:xfrm>
                      <a:off x="0" y="0"/>
                      <a:ext cx="4933950" cy="2972435"/>
                    </a:xfrm>
                    <a:prstGeom prst="rect">
                      <a:avLst/>
                    </a:prstGeom>
                    <a:noFill/>
                  </pic:spPr>
                </pic:pic>
              </a:graphicData>
            </a:graphic>
          </wp:anchor>
        </w:drawing>
      </w:r>
    </w:p>
    <w:p>
      <w:pPr>
        <w:spacing w:after="0" w:line="202" w:lineRule="exact"/>
        <w:rPr>
          <w:sz w:val="20"/>
          <w:szCs w:val="20"/>
          <w:color w:val="auto"/>
        </w:rPr>
      </w:pPr>
    </w:p>
    <w:p>
      <w:pPr>
        <w:jc w:val="center"/>
        <w:ind w:right="8280"/>
        <w:spacing w:after="0"/>
        <w:rPr>
          <w:sz w:val="20"/>
          <w:szCs w:val="20"/>
          <w:color w:val="auto"/>
        </w:rPr>
      </w:pPr>
      <w:r>
        <w:rPr>
          <w:rFonts w:ascii="Arial" w:cs="Arial" w:eastAsia="Arial" w:hAnsi="Arial"/>
          <w:sz w:val="18"/>
          <w:szCs w:val="18"/>
          <w:color w:val="auto"/>
        </w:rPr>
        <w:t>$400</w:t>
      </w:r>
    </w:p>
    <w:p>
      <w:pPr>
        <w:spacing w:after="0" w:line="222" w:lineRule="exact"/>
        <w:rPr>
          <w:sz w:val="20"/>
          <w:szCs w:val="20"/>
          <w:color w:val="auto"/>
        </w:rPr>
      </w:pPr>
    </w:p>
    <w:p>
      <w:pPr>
        <w:jc w:val="center"/>
        <w:ind w:right="8280"/>
        <w:spacing w:after="0"/>
        <w:rPr>
          <w:sz w:val="20"/>
          <w:szCs w:val="20"/>
          <w:color w:val="auto"/>
        </w:rPr>
      </w:pPr>
      <w:r>
        <w:rPr>
          <w:rFonts w:ascii="Arial" w:cs="Arial" w:eastAsia="Arial" w:hAnsi="Arial"/>
          <w:sz w:val="18"/>
          <w:szCs w:val="18"/>
          <w:color w:val="auto"/>
        </w:rPr>
        <w:t>$350</w:t>
      </w:r>
    </w:p>
    <w:p>
      <w:pPr>
        <w:spacing w:after="0" w:line="222" w:lineRule="exact"/>
        <w:rPr>
          <w:sz w:val="20"/>
          <w:szCs w:val="20"/>
          <w:color w:val="auto"/>
        </w:rPr>
      </w:pPr>
    </w:p>
    <w:p>
      <w:pPr>
        <w:jc w:val="center"/>
        <w:ind w:right="8280"/>
        <w:spacing w:after="0"/>
        <w:rPr>
          <w:sz w:val="20"/>
          <w:szCs w:val="20"/>
          <w:color w:val="auto"/>
        </w:rPr>
      </w:pPr>
      <w:r>
        <w:rPr>
          <w:rFonts w:ascii="Arial" w:cs="Arial" w:eastAsia="Arial" w:hAnsi="Arial"/>
          <w:sz w:val="18"/>
          <w:szCs w:val="18"/>
          <w:color w:val="auto"/>
        </w:rPr>
        <w:t>$300</w:t>
      </w:r>
    </w:p>
    <w:p>
      <w:pPr>
        <w:spacing w:after="0" w:line="222" w:lineRule="exact"/>
        <w:rPr>
          <w:sz w:val="20"/>
          <w:szCs w:val="20"/>
          <w:color w:val="auto"/>
        </w:rPr>
      </w:pPr>
    </w:p>
    <w:p>
      <w:pPr>
        <w:jc w:val="center"/>
        <w:ind w:right="8280"/>
        <w:spacing w:after="0"/>
        <w:rPr>
          <w:sz w:val="20"/>
          <w:szCs w:val="20"/>
          <w:color w:val="auto"/>
        </w:rPr>
      </w:pPr>
      <w:r>
        <w:rPr>
          <w:rFonts w:ascii="Arial" w:cs="Arial" w:eastAsia="Arial" w:hAnsi="Arial"/>
          <w:sz w:val="18"/>
          <w:szCs w:val="18"/>
          <w:color w:val="auto"/>
        </w:rPr>
        <w:t>$250</w:t>
      </w:r>
    </w:p>
    <w:p>
      <w:pPr>
        <w:spacing w:after="0" w:line="222" w:lineRule="exact"/>
        <w:rPr>
          <w:sz w:val="20"/>
          <w:szCs w:val="20"/>
          <w:color w:val="auto"/>
        </w:rPr>
      </w:pPr>
    </w:p>
    <w:p>
      <w:pPr>
        <w:jc w:val="center"/>
        <w:ind w:right="8280"/>
        <w:spacing w:after="0"/>
        <w:rPr>
          <w:sz w:val="20"/>
          <w:szCs w:val="20"/>
          <w:color w:val="auto"/>
        </w:rPr>
      </w:pPr>
      <w:r>
        <w:rPr>
          <w:rFonts w:ascii="Arial" w:cs="Arial" w:eastAsia="Arial" w:hAnsi="Arial"/>
          <w:sz w:val="18"/>
          <w:szCs w:val="18"/>
          <w:color w:val="auto"/>
        </w:rPr>
        <w:t>$200</w:t>
      </w:r>
    </w:p>
    <w:p>
      <w:pPr>
        <w:spacing w:after="0" w:line="222" w:lineRule="exact"/>
        <w:rPr>
          <w:sz w:val="20"/>
          <w:szCs w:val="20"/>
          <w:color w:val="auto"/>
        </w:rPr>
      </w:pPr>
    </w:p>
    <w:p>
      <w:pPr>
        <w:jc w:val="center"/>
        <w:ind w:right="8280"/>
        <w:spacing w:after="0"/>
        <w:rPr>
          <w:sz w:val="20"/>
          <w:szCs w:val="20"/>
          <w:color w:val="auto"/>
        </w:rPr>
      </w:pPr>
      <w:r>
        <w:rPr>
          <w:rFonts w:ascii="Arial" w:cs="Arial" w:eastAsia="Arial" w:hAnsi="Arial"/>
          <w:sz w:val="18"/>
          <w:szCs w:val="18"/>
          <w:color w:val="auto"/>
        </w:rPr>
        <w:t>$150</w:t>
      </w:r>
    </w:p>
    <w:p>
      <w:pPr>
        <w:spacing w:after="0" w:line="222" w:lineRule="exact"/>
        <w:rPr>
          <w:sz w:val="20"/>
          <w:szCs w:val="20"/>
          <w:color w:val="auto"/>
        </w:rPr>
      </w:pPr>
    </w:p>
    <w:p>
      <w:pPr>
        <w:jc w:val="center"/>
        <w:ind w:right="8280"/>
        <w:spacing w:after="0"/>
        <w:rPr>
          <w:sz w:val="20"/>
          <w:szCs w:val="20"/>
          <w:color w:val="auto"/>
        </w:rPr>
      </w:pPr>
      <w:r>
        <w:rPr>
          <w:rFonts w:ascii="Arial" w:cs="Arial" w:eastAsia="Arial" w:hAnsi="Arial"/>
          <w:sz w:val="18"/>
          <w:szCs w:val="18"/>
          <w:color w:val="auto"/>
        </w:rPr>
        <w:t>$100</w:t>
      </w:r>
    </w:p>
    <w:p>
      <w:pPr>
        <w:spacing w:after="0" w:line="222" w:lineRule="exact"/>
        <w:rPr>
          <w:sz w:val="20"/>
          <w:szCs w:val="20"/>
          <w:color w:val="auto"/>
        </w:rPr>
      </w:pPr>
    </w:p>
    <w:p>
      <w:pPr>
        <w:jc w:val="center"/>
        <w:ind w:right="8280"/>
        <w:spacing w:after="0"/>
        <w:rPr>
          <w:sz w:val="20"/>
          <w:szCs w:val="20"/>
          <w:color w:val="auto"/>
        </w:rPr>
      </w:pPr>
      <w:r>
        <w:rPr>
          <w:rFonts w:ascii="Arial" w:cs="Arial" w:eastAsia="Arial" w:hAnsi="Arial"/>
          <w:sz w:val="18"/>
          <w:szCs w:val="18"/>
          <w:color w:val="auto"/>
        </w:rPr>
        <w:t>$50</w:t>
      </w:r>
    </w:p>
    <w:p>
      <w:pPr>
        <w:spacing w:after="0" w:line="222" w:lineRule="exact"/>
        <w:rPr>
          <w:sz w:val="20"/>
          <w:szCs w:val="20"/>
          <w:color w:val="auto"/>
        </w:rPr>
      </w:pPr>
    </w:p>
    <w:p>
      <w:pPr>
        <w:jc w:val="center"/>
        <w:ind w:right="8280"/>
        <w:spacing w:after="0"/>
        <w:rPr>
          <w:sz w:val="20"/>
          <w:szCs w:val="20"/>
          <w:color w:val="auto"/>
        </w:rPr>
      </w:pPr>
      <w:r>
        <w:rPr>
          <w:rFonts w:ascii="Arial" w:cs="Arial" w:eastAsia="Arial" w:hAnsi="Arial"/>
          <w:sz w:val="18"/>
          <w:szCs w:val="18"/>
          <w:color w:val="auto"/>
        </w:rPr>
        <w:t>$0</w:t>
      </w:r>
    </w:p>
    <w:p>
      <w:pPr>
        <w:spacing w:after="0" w:line="30" w:lineRule="exact"/>
        <w:rPr>
          <w:sz w:val="20"/>
          <w:szCs w:val="20"/>
          <w:color w:val="auto"/>
        </w:rPr>
      </w:pPr>
    </w:p>
    <w:p>
      <w:pPr>
        <w:ind w:left="520"/>
        <w:spacing w:after="0"/>
        <w:tabs>
          <w:tab w:leader="none" w:pos="1340" w:val="left"/>
          <w:tab w:leader="none" w:pos="2260" w:val="left"/>
          <w:tab w:leader="none" w:pos="3100" w:val="left"/>
          <w:tab w:leader="none" w:pos="3940" w:val="left"/>
          <w:tab w:leader="none" w:pos="4720" w:val="left"/>
          <w:tab w:leader="none" w:pos="5600" w:val="left"/>
          <w:tab w:leader="none" w:pos="6480" w:val="left"/>
          <w:tab w:leader="none" w:pos="7320" w:val="left"/>
          <w:tab w:leader="none" w:pos="8120" w:val="left"/>
        </w:tabs>
        <w:rPr>
          <w:sz w:val="20"/>
          <w:szCs w:val="20"/>
          <w:color w:val="auto"/>
        </w:rPr>
      </w:pPr>
      <w:r>
        <w:rPr>
          <w:rFonts w:ascii="Arial" w:cs="Arial" w:eastAsia="Arial" w:hAnsi="Arial"/>
          <w:sz w:val="17"/>
          <w:szCs w:val="17"/>
          <w:color w:val="auto"/>
        </w:rPr>
        <w:t>10/28/20</w:t>
        <w:tab/>
        <w:t>12/31/20</w:t>
        <w:tab/>
        <w:t>3/31/21</w:t>
        <w:tab/>
        <w:t>6/30/21</w:t>
        <w:tab/>
        <w:t>9/30/21</w:t>
        <w:tab/>
        <w:t>12/31/21</w:t>
        <w:tab/>
        <w:t>3/31/22</w:t>
        <w:tab/>
        <w:t>6/30/22</w:t>
        <w:tab/>
        <w:t>9/30/22</w:t>
      </w:r>
      <w:r>
        <w:rPr>
          <w:sz w:val="20"/>
          <w:szCs w:val="20"/>
          <w:color w:val="auto"/>
        </w:rPr>
        <w:tab/>
      </w:r>
      <w:r>
        <w:rPr>
          <w:rFonts w:ascii="Arial" w:cs="Arial" w:eastAsia="Arial" w:hAnsi="Arial"/>
          <w:sz w:val="16"/>
          <w:szCs w:val="16"/>
          <w:color w:val="auto"/>
        </w:rPr>
        <w:t>12/31/22</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8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000" w:type="dxa"/>
            <w:vAlign w:val="bottom"/>
            <w:gridSpan w:val="4"/>
            <w:vMerge w:val="restart"/>
          </w:tcPr>
          <w:p>
            <w:pPr>
              <w:ind w:left="40"/>
              <w:spacing w:after="0"/>
              <w:rPr>
                <w:sz w:val="20"/>
                <w:szCs w:val="20"/>
                <w:color w:val="auto"/>
              </w:rPr>
            </w:pPr>
            <w:r>
              <w:rPr>
                <w:rFonts w:ascii="Arial" w:cs="Arial" w:eastAsia="Arial" w:hAnsi="Arial"/>
                <w:sz w:val="19"/>
                <w:szCs w:val="19"/>
                <w:b w:val="1"/>
                <w:bCs w:val="1"/>
                <w:color w:val="auto"/>
              </w:rPr>
              <w:t>California Resources Corp</w:t>
            </w: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vMerge w:val="restart"/>
          </w:tcPr>
          <w:p>
            <w:pPr>
              <w:spacing w:after="0"/>
              <w:rPr>
                <w:sz w:val="12"/>
                <w:szCs w:val="12"/>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9"/>
                <w:szCs w:val="19"/>
                <w:b w:val="1"/>
                <w:bCs w:val="1"/>
                <w:color w:val="auto"/>
              </w:rPr>
              <w:t>S&amp;P 500</w:t>
            </w: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0" w:type="dxa"/>
            <w:vAlign w:val="bottom"/>
            <w:gridSpan w:val="4"/>
            <w:vMerge w:val="continue"/>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5"/>
        </w:trPr>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6"/>
          </w:tcPr>
          <w:p>
            <w:pPr>
              <w:ind w:left="40"/>
              <w:spacing w:after="0"/>
              <w:rPr>
                <w:sz w:val="20"/>
                <w:szCs w:val="20"/>
                <w:color w:val="auto"/>
              </w:rPr>
            </w:pPr>
            <w:r>
              <w:rPr>
                <w:rFonts w:ascii="Arial" w:cs="Arial" w:eastAsia="Arial" w:hAnsi="Arial"/>
                <w:sz w:val="19"/>
                <w:szCs w:val="19"/>
                <w:b w:val="1"/>
                <w:bCs w:val="1"/>
                <w:color w:val="auto"/>
              </w:rPr>
              <w:t>Dow Jones US Exploration &amp; Production</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00" w:type="dxa"/>
            <w:vAlign w:val="bottom"/>
            <w:gridSpan w:val="3"/>
          </w:tcPr>
          <w:p>
            <w:pPr>
              <w:ind w:left="120"/>
              <w:spacing w:after="0"/>
              <w:rPr>
                <w:sz w:val="20"/>
                <w:szCs w:val="20"/>
                <w:color w:val="auto"/>
              </w:rPr>
            </w:pPr>
            <w:r>
              <w:rPr>
                <w:rFonts w:ascii="Arial" w:cs="Arial" w:eastAsia="Arial" w:hAnsi="Arial"/>
                <w:sz w:val="19"/>
                <w:szCs w:val="19"/>
                <w:b w:val="1"/>
                <w:bCs w:val="1"/>
                <w:color w:val="auto"/>
              </w:rPr>
              <w:t>2021 Peer Group</w:t>
            </w: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20" w:type="dxa"/>
            <w:vAlign w:val="bottom"/>
            <w:gridSpan w:val="2"/>
          </w:tcPr>
          <w:p>
            <w:pPr>
              <w:ind w:left="40"/>
              <w:spacing w:after="0"/>
              <w:rPr>
                <w:sz w:val="20"/>
                <w:szCs w:val="20"/>
                <w:color w:val="auto"/>
              </w:rPr>
            </w:pPr>
            <w:r>
              <w:rPr>
                <w:rFonts w:ascii="Arial" w:cs="Arial" w:eastAsia="Arial" w:hAnsi="Arial"/>
                <w:sz w:val="19"/>
                <w:szCs w:val="19"/>
                <w:b w:val="1"/>
                <w:bCs w:val="1"/>
                <w:color w:val="auto"/>
              </w:rPr>
              <w:t>2022 Peer Group</w:t>
            </w: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840" w:type="dxa"/>
            <w:vAlign w:val="bottom"/>
          </w:tcPr>
          <w:p>
            <w:pPr>
              <w:spacing w:after="0"/>
              <w:rPr>
                <w:sz w:val="24"/>
                <w:szCs w:val="24"/>
                <w:color w:val="auto"/>
              </w:rPr>
            </w:pPr>
          </w:p>
        </w:tc>
        <w:tc>
          <w:tcPr>
            <w:tcW w:w="6960" w:type="dxa"/>
            <w:vAlign w:val="bottom"/>
            <w:gridSpan w:val="16"/>
          </w:tcPr>
          <w:p>
            <w:pPr>
              <w:ind w:left="60"/>
              <w:spacing w:after="0"/>
              <w:rPr>
                <w:sz w:val="20"/>
                <w:szCs w:val="20"/>
                <w:color w:val="auto"/>
              </w:rPr>
            </w:pPr>
            <w:r>
              <w:rPr>
                <w:rFonts w:ascii="Arial" w:cs="Arial" w:eastAsia="Arial" w:hAnsi="Arial"/>
                <w:sz w:val="16"/>
                <w:szCs w:val="16"/>
                <w:color w:val="auto"/>
              </w:rPr>
              <w:t>*$100 invested on 10/28/20 in stock or 10/31/20 in index, including reinvestment of dividends.</w:t>
            </w: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40" w:type="dxa"/>
            <w:vAlign w:val="bottom"/>
          </w:tcPr>
          <w:p>
            <w:pPr>
              <w:spacing w:after="0"/>
              <w:rPr>
                <w:sz w:val="19"/>
                <w:szCs w:val="19"/>
                <w:color w:val="auto"/>
              </w:rPr>
            </w:pPr>
          </w:p>
        </w:tc>
        <w:tc>
          <w:tcPr>
            <w:tcW w:w="2940" w:type="dxa"/>
            <w:vAlign w:val="bottom"/>
            <w:gridSpan w:val="6"/>
          </w:tcPr>
          <w:p>
            <w:pPr>
              <w:ind w:left="60"/>
              <w:spacing w:after="0"/>
              <w:rPr>
                <w:sz w:val="20"/>
                <w:szCs w:val="20"/>
                <w:color w:val="auto"/>
              </w:rPr>
            </w:pPr>
            <w:r>
              <w:rPr>
                <w:rFonts w:ascii="Arial" w:cs="Arial" w:eastAsia="Arial" w:hAnsi="Arial"/>
                <w:sz w:val="16"/>
                <w:szCs w:val="16"/>
                <w:color w:val="auto"/>
              </w:rPr>
              <w:t>Fiscal year ending December 31.</w:t>
            </w: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8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spacing w:after="0"/>
              <w:rPr>
                <w:sz w:val="17"/>
                <w:szCs w:val="17"/>
                <w:color w:val="auto"/>
              </w:rPr>
            </w:pPr>
          </w:p>
        </w:tc>
        <w:tc>
          <w:tcPr>
            <w:tcW w:w="740" w:type="dxa"/>
            <w:vAlign w:val="bottom"/>
            <w:tcBorders>
              <w:bottom w:val="single" w:sz="8" w:color="auto"/>
            </w:tcBorders>
            <w:gridSpan w:val="4"/>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9"/>
              </w:rPr>
              <w:t>10/28/20</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99"/>
              </w:rPr>
              <w:t>12/31/20</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rPr>
              <w:t>3/31/21</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w w:val="97"/>
              </w:rPr>
              <w:t>6/30/21</w:t>
            </w:r>
          </w:p>
        </w:tc>
        <w:tc>
          <w:tcPr>
            <w:tcW w:w="660" w:type="dxa"/>
            <w:vAlign w:val="bottom"/>
            <w:gridSpan w:val="2"/>
          </w:tcPr>
          <w:p>
            <w:pPr>
              <w:jc w:val="center"/>
              <w:spacing w:after="0"/>
              <w:rPr>
                <w:sz w:val="20"/>
                <w:szCs w:val="20"/>
                <w:color w:val="auto"/>
              </w:rPr>
            </w:pPr>
            <w:r>
              <w:rPr>
                <w:rFonts w:ascii="Arial" w:cs="Arial" w:eastAsia="Arial" w:hAnsi="Arial"/>
                <w:sz w:val="16"/>
                <w:szCs w:val="16"/>
                <w:b w:val="1"/>
                <w:bCs w:val="1"/>
                <w:color w:val="auto"/>
              </w:rPr>
              <w:t>9/30/21</w:t>
            </w:r>
          </w:p>
        </w:tc>
        <w:tc>
          <w:tcPr>
            <w:tcW w:w="7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9"/>
              </w:rPr>
              <w:t>12/31/21</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rPr>
              <w:t>3/31/22</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7"/>
              </w:rPr>
              <w:t>6/30/22</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rPr>
              <w:t>9/30/22</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9"/>
              </w:rPr>
              <w:t>12/31/22</w:t>
            </w:r>
          </w:p>
        </w:tc>
        <w:tc>
          <w:tcPr>
            <w:tcW w:w="0" w:type="dxa"/>
            <w:vAlign w:val="bottom"/>
          </w:tcPr>
          <w:p>
            <w:pPr>
              <w:spacing w:after="0"/>
              <w:rPr>
                <w:sz w:val="1"/>
                <w:szCs w:val="1"/>
                <w:color w:val="auto"/>
              </w:rPr>
            </w:pPr>
          </w:p>
        </w:tc>
      </w:tr>
      <w:tr>
        <w:trPr>
          <w:trHeight w:val="38"/>
        </w:trPr>
        <w:tc>
          <w:tcPr>
            <w:tcW w:w="2280" w:type="dxa"/>
            <w:vAlign w:val="bottom"/>
            <w:tcBorders>
              <w:bottom w:val="single" w:sz="8" w:color="auto"/>
            </w:tcBorders>
            <w:gridSpan w:val="5"/>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gridSpan w:val="2"/>
          </w:tcPr>
          <w:p>
            <w:pPr>
              <w:spacing w:after="0"/>
              <w:rPr>
                <w:sz w:val="3"/>
                <w:szCs w:val="3"/>
                <w:color w:val="auto"/>
              </w:rPr>
            </w:pPr>
          </w:p>
        </w:tc>
        <w:tc>
          <w:tcPr>
            <w:tcW w:w="740" w:type="dxa"/>
            <w:vAlign w:val="bottom"/>
            <w:tcBorders>
              <w:bottom w:val="single" w:sz="8" w:color="auto"/>
            </w:tcBorders>
            <w:gridSpan w:val="4"/>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2"/>
        </w:trPr>
        <w:tc>
          <w:tcPr>
            <w:tcW w:w="2280" w:type="dxa"/>
            <w:vAlign w:val="bottom"/>
            <w:gridSpan w:val="5"/>
          </w:tcPr>
          <w:p>
            <w:pPr>
              <w:spacing w:after="0"/>
              <w:rPr>
                <w:sz w:val="20"/>
                <w:szCs w:val="20"/>
                <w:color w:val="auto"/>
              </w:rPr>
            </w:pPr>
            <w:r>
              <w:rPr>
                <w:rFonts w:ascii="Arial" w:cs="Arial" w:eastAsia="Arial" w:hAnsi="Arial"/>
                <w:sz w:val="16"/>
                <w:szCs w:val="16"/>
                <w:b w:val="1"/>
                <w:bCs w:val="1"/>
                <w:color w:val="auto"/>
              </w:rPr>
              <w:t>California Resources Corp</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100.00</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rPr>
              <w:t>157.27</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8"/>
              </w:rPr>
              <w:t>160.40</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w w:val="98"/>
              </w:rPr>
              <w:t>200.93</w:t>
            </w:r>
          </w:p>
        </w:tc>
        <w:tc>
          <w:tcPr>
            <w:tcW w:w="660" w:type="dxa"/>
            <w:vAlign w:val="bottom"/>
            <w:gridSpan w:val="2"/>
          </w:tcPr>
          <w:p>
            <w:pPr>
              <w:jc w:val="center"/>
              <w:spacing w:after="0"/>
              <w:rPr>
                <w:sz w:val="20"/>
                <w:szCs w:val="20"/>
                <w:color w:val="auto"/>
              </w:rPr>
            </w:pPr>
            <w:r>
              <w:rPr>
                <w:rFonts w:ascii="Arial" w:cs="Arial" w:eastAsia="Arial" w:hAnsi="Arial"/>
                <w:sz w:val="16"/>
                <w:szCs w:val="16"/>
                <w:b w:val="1"/>
                <w:bCs w:val="1"/>
                <w:color w:val="auto"/>
              </w:rPr>
              <w:t>273.33</w:t>
            </w:r>
          </w:p>
        </w:tc>
        <w:tc>
          <w:tcPr>
            <w:tcW w:w="740" w:type="dxa"/>
            <w:vAlign w:val="bottom"/>
            <w:gridSpan w:val="4"/>
          </w:tcPr>
          <w:p>
            <w:pPr>
              <w:jc w:val="center"/>
              <w:spacing w:after="0"/>
              <w:rPr>
                <w:sz w:val="20"/>
                <w:szCs w:val="20"/>
                <w:color w:val="auto"/>
              </w:rPr>
            </w:pPr>
            <w:r>
              <w:rPr>
                <w:rFonts w:ascii="Arial" w:cs="Arial" w:eastAsia="Arial" w:hAnsi="Arial"/>
                <w:sz w:val="16"/>
                <w:szCs w:val="16"/>
                <w:b w:val="1"/>
                <w:bCs w:val="1"/>
                <w:color w:val="auto"/>
              </w:rPr>
              <w:t>285.97</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rPr>
              <w:t>300.68</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8"/>
              </w:rPr>
              <w:t>259.81</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rPr>
              <w:t>260.22</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296.45</w:t>
            </w:r>
          </w:p>
        </w:tc>
        <w:tc>
          <w:tcPr>
            <w:tcW w:w="0" w:type="dxa"/>
            <w:vAlign w:val="bottom"/>
          </w:tcPr>
          <w:p>
            <w:pPr>
              <w:spacing w:after="0"/>
              <w:rPr>
                <w:sz w:val="1"/>
                <w:szCs w:val="1"/>
                <w:color w:val="auto"/>
              </w:rPr>
            </w:pPr>
          </w:p>
        </w:tc>
      </w:tr>
      <w:tr>
        <w:trPr>
          <w:trHeight w:val="200"/>
        </w:trPr>
        <w:tc>
          <w:tcPr>
            <w:tcW w:w="2280" w:type="dxa"/>
            <w:vAlign w:val="bottom"/>
            <w:gridSpan w:val="5"/>
          </w:tcPr>
          <w:p>
            <w:pPr>
              <w:spacing w:after="0"/>
              <w:rPr>
                <w:sz w:val="20"/>
                <w:szCs w:val="20"/>
                <w:color w:val="auto"/>
              </w:rPr>
            </w:pPr>
            <w:r>
              <w:rPr>
                <w:rFonts w:ascii="Arial" w:cs="Arial" w:eastAsia="Arial" w:hAnsi="Arial"/>
                <w:sz w:val="16"/>
                <w:szCs w:val="16"/>
                <w:b w:val="1"/>
                <w:bCs w:val="1"/>
                <w:color w:val="auto"/>
              </w:rPr>
              <w:t>S&amp;P 500</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100.00</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rPr>
              <w:t>115.21</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8"/>
              </w:rPr>
              <w:t>122.33</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w w:val="98"/>
              </w:rPr>
              <w:t>132.78</w:t>
            </w:r>
          </w:p>
        </w:tc>
        <w:tc>
          <w:tcPr>
            <w:tcW w:w="660" w:type="dxa"/>
            <w:vAlign w:val="bottom"/>
            <w:gridSpan w:val="2"/>
          </w:tcPr>
          <w:p>
            <w:pPr>
              <w:jc w:val="center"/>
              <w:spacing w:after="0"/>
              <w:rPr>
                <w:sz w:val="20"/>
                <w:szCs w:val="20"/>
                <w:color w:val="auto"/>
              </w:rPr>
            </w:pPr>
            <w:r>
              <w:rPr>
                <w:rFonts w:ascii="Arial" w:cs="Arial" w:eastAsia="Arial" w:hAnsi="Arial"/>
                <w:sz w:val="16"/>
                <w:szCs w:val="16"/>
                <w:b w:val="1"/>
                <w:bCs w:val="1"/>
                <w:color w:val="auto"/>
              </w:rPr>
              <w:t>133.56</w:t>
            </w:r>
          </w:p>
        </w:tc>
        <w:tc>
          <w:tcPr>
            <w:tcW w:w="740" w:type="dxa"/>
            <w:vAlign w:val="bottom"/>
            <w:gridSpan w:val="4"/>
          </w:tcPr>
          <w:p>
            <w:pPr>
              <w:jc w:val="center"/>
              <w:spacing w:after="0"/>
              <w:rPr>
                <w:sz w:val="20"/>
                <w:szCs w:val="20"/>
                <w:color w:val="auto"/>
              </w:rPr>
            </w:pPr>
            <w:r>
              <w:rPr>
                <w:rFonts w:ascii="Arial" w:cs="Arial" w:eastAsia="Arial" w:hAnsi="Arial"/>
                <w:sz w:val="16"/>
                <w:szCs w:val="16"/>
                <w:b w:val="1"/>
                <w:bCs w:val="1"/>
                <w:color w:val="auto"/>
              </w:rPr>
              <w:t>148.28</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rPr>
              <w:t>141.47</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8"/>
              </w:rPr>
              <w:t>118.69</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rPr>
              <w:t>112.89</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121.43</w:t>
            </w:r>
          </w:p>
        </w:tc>
        <w:tc>
          <w:tcPr>
            <w:tcW w:w="0" w:type="dxa"/>
            <w:vAlign w:val="bottom"/>
          </w:tcPr>
          <w:p>
            <w:pPr>
              <w:spacing w:after="0"/>
              <w:rPr>
                <w:sz w:val="1"/>
                <w:szCs w:val="1"/>
                <w:color w:val="auto"/>
              </w:rPr>
            </w:pPr>
          </w:p>
        </w:tc>
      </w:tr>
      <w:tr>
        <w:trPr>
          <w:trHeight w:val="200"/>
        </w:trPr>
        <w:tc>
          <w:tcPr>
            <w:tcW w:w="2280" w:type="dxa"/>
            <w:vAlign w:val="bottom"/>
            <w:gridSpan w:val="5"/>
          </w:tcPr>
          <w:p>
            <w:pPr>
              <w:spacing w:after="0"/>
              <w:rPr>
                <w:sz w:val="20"/>
                <w:szCs w:val="20"/>
                <w:color w:val="auto"/>
              </w:rPr>
            </w:pPr>
            <w:r>
              <w:rPr>
                <w:rFonts w:ascii="Arial" w:cs="Arial" w:eastAsia="Arial" w:hAnsi="Arial"/>
                <w:sz w:val="16"/>
                <w:szCs w:val="16"/>
                <w:b w:val="1"/>
                <w:bCs w:val="1"/>
                <w:color w:val="auto"/>
              </w:rPr>
              <w:t>Dow Jones US Exploration &amp;</w:t>
            </w: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80" w:type="dxa"/>
            <w:vAlign w:val="bottom"/>
            <w:gridSpan w:val="5"/>
          </w:tcPr>
          <w:p>
            <w:pPr>
              <w:ind w:left="160"/>
              <w:spacing w:after="0"/>
              <w:rPr>
                <w:sz w:val="20"/>
                <w:szCs w:val="20"/>
                <w:color w:val="auto"/>
              </w:rPr>
            </w:pPr>
            <w:r>
              <w:rPr>
                <w:rFonts w:ascii="Arial" w:cs="Arial" w:eastAsia="Arial" w:hAnsi="Arial"/>
                <w:sz w:val="16"/>
                <w:szCs w:val="16"/>
                <w:b w:val="1"/>
                <w:bCs w:val="1"/>
                <w:color w:val="auto"/>
              </w:rPr>
              <w:t>Production</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100.00</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rPr>
              <w:t>143.37</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8"/>
              </w:rPr>
              <w:t>192.09</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w w:val="98"/>
              </w:rPr>
              <w:t>221.97</w:t>
            </w:r>
          </w:p>
        </w:tc>
        <w:tc>
          <w:tcPr>
            <w:tcW w:w="660" w:type="dxa"/>
            <w:vAlign w:val="bottom"/>
            <w:gridSpan w:val="2"/>
          </w:tcPr>
          <w:p>
            <w:pPr>
              <w:jc w:val="center"/>
              <w:spacing w:after="0"/>
              <w:rPr>
                <w:sz w:val="20"/>
                <w:szCs w:val="20"/>
                <w:color w:val="auto"/>
              </w:rPr>
            </w:pPr>
            <w:r>
              <w:rPr>
                <w:rFonts w:ascii="Arial" w:cs="Arial" w:eastAsia="Arial" w:hAnsi="Arial"/>
                <w:sz w:val="16"/>
                <w:szCs w:val="16"/>
                <w:b w:val="1"/>
                <w:bCs w:val="1"/>
                <w:color w:val="auto"/>
              </w:rPr>
              <w:t>226.75</w:t>
            </w:r>
          </w:p>
        </w:tc>
        <w:tc>
          <w:tcPr>
            <w:tcW w:w="740" w:type="dxa"/>
            <w:vAlign w:val="bottom"/>
            <w:gridSpan w:val="4"/>
          </w:tcPr>
          <w:p>
            <w:pPr>
              <w:jc w:val="center"/>
              <w:spacing w:after="0"/>
              <w:rPr>
                <w:sz w:val="20"/>
                <w:szCs w:val="20"/>
                <w:color w:val="auto"/>
              </w:rPr>
            </w:pPr>
            <w:r>
              <w:rPr>
                <w:rFonts w:ascii="Arial" w:cs="Arial" w:eastAsia="Arial" w:hAnsi="Arial"/>
                <w:sz w:val="16"/>
                <w:szCs w:val="16"/>
                <w:b w:val="1"/>
                <w:bCs w:val="1"/>
                <w:color w:val="auto"/>
              </w:rPr>
              <w:t>245.05</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rPr>
              <w:t>337.58</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8"/>
              </w:rPr>
              <w:t>318.37</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rPr>
              <w:t>344.37</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391.02</w:t>
            </w:r>
          </w:p>
        </w:tc>
        <w:tc>
          <w:tcPr>
            <w:tcW w:w="0" w:type="dxa"/>
            <w:vAlign w:val="bottom"/>
          </w:tcPr>
          <w:p>
            <w:pPr>
              <w:spacing w:after="0"/>
              <w:rPr>
                <w:sz w:val="1"/>
                <w:szCs w:val="1"/>
                <w:color w:val="auto"/>
              </w:rPr>
            </w:pPr>
          </w:p>
        </w:tc>
      </w:tr>
      <w:tr>
        <w:trPr>
          <w:trHeight w:val="200"/>
        </w:trPr>
        <w:tc>
          <w:tcPr>
            <w:tcW w:w="2280" w:type="dxa"/>
            <w:vAlign w:val="bottom"/>
            <w:gridSpan w:val="5"/>
          </w:tcPr>
          <w:p>
            <w:pPr>
              <w:spacing w:after="0"/>
              <w:rPr>
                <w:sz w:val="20"/>
                <w:szCs w:val="20"/>
                <w:color w:val="auto"/>
              </w:rPr>
            </w:pPr>
            <w:r>
              <w:rPr>
                <w:rFonts w:ascii="Arial" w:cs="Arial" w:eastAsia="Arial" w:hAnsi="Arial"/>
                <w:sz w:val="16"/>
                <w:szCs w:val="16"/>
                <w:b w:val="1"/>
                <w:bCs w:val="1"/>
                <w:color w:val="auto"/>
              </w:rPr>
              <w:t>2021 Peer Group</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100.00</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rPr>
              <w:t>123.79</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8"/>
              </w:rPr>
              <w:t>192.31</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w w:val="98"/>
              </w:rPr>
              <w:t>255.22</w:t>
            </w:r>
          </w:p>
        </w:tc>
        <w:tc>
          <w:tcPr>
            <w:tcW w:w="660" w:type="dxa"/>
            <w:vAlign w:val="bottom"/>
            <w:gridSpan w:val="2"/>
          </w:tcPr>
          <w:p>
            <w:pPr>
              <w:jc w:val="center"/>
              <w:spacing w:after="0"/>
              <w:rPr>
                <w:sz w:val="20"/>
                <w:szCs w:val="20"/>
                <w:color w:val="auto"/>
              </w:rPr>
            </w:pPr>
            <w:r>
              <w:rPr>
                <w:rFonts w:ascii="Arial" w:cs="Arial" w:eastAsia="Arial" w:hAnsi="Arial"/>
                <w:sz w:val="16"/>
                <w:szCs w:val="16"/>
                <w:b w:val="1"/>
                <w:bCs w:val="1"/>
                <w:color w:val="auto"/>
              </w:rPr>
              <w:t>285.49</w:t>
            </w:r>
          </w:p>
        </w:tc>
        <w:tc>
          <w:tcPr>
            <w:tcW w:w="740" w:type="dxa"/>
            <w:vAlign w:val="bottom"/>
            <w:gridSpan w:val="4"/>
          </w:tcPr>
          <w:p>
            <w:pPr>
              <w:jc w:val="center"/>
              <w:spacing w:after="0"/>
              <w:rPr>
                <w:sz w:val="20"/>
                <w:szCs w:val="20"/>
                <w:color w:val="auto"/>
              </w:rPr>
            </w:pPr>
            <w:r>
              <w:rPr>
                <w:rFonts w:ascii="Arial" w:cs="Arial" w:eastAsia="Arial" w:hAnsi="Arial"/>
                <w:sz w:val="16"/>
                <w:szCs w:val="16"/>
                <w:b w:val="1"/>
                <w:bCs w:val="1"/>
                <w:color w:val="auto"/>
              </w:rPr>
              <w:t>279.94</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rPr>
              <w:t>411.95</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8"/>
              </w:rPr>
              <w:t>365.19</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rPr>
              <w:t>387.84</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394.74</w:t>
            </w:r>
          </w:p>
        </w:tc>
        <w:tc>
          <w:tcPr>
            <w:tcW w:w="0" w:type="dxa"/>
            <w:vAlign w:val="bottom"/>
          </w:tcPr>
          <w:p>
            <w:pPr>
              <w:spacing w:after="0"/>
              <w:rPr>
                <w:sz w:val="1"/>
                <w:szCs w:val="1"/>
                <w:color w:val="auto"/>
              </w:rPr>
            </w:pPr>
          </w:p>
        </w:tc>
      </w:tr>
      <w:tr>
        <w:trPr>
          <w:trHeight w:val="200"/>
        </w:trPr>
        <w:tc>
          <w:tcPr>
            <w:tcW w:w="2280" w:type="dxa"/>
            <w:vAlign w:val="bottom"/>
            <w:gridSpan w:val="5"/>
          </w:tcPr>
          <w:p>
            <w:pPr>
              <w:spacing w:after="0"/>
              <w:rPr>
                <w:sz w:val="20"/>
                <w:szCs w:val="20"/>
                <w:color w:val="auto"/>
              </w:rPr>
            </w:pPr>
            <w:r>
              <w:rPr>
                <w:rFonts w:ascii="Arial" w:cs="Arial" w:eastAsia="Arial" w:hAnsi="Arial"/>
                <w:sz w:val="16"/>
                <w:szCs w:val="16"/>
                <w:b w:val="1"/>
                <w:bCs w:val="1"/>
                <w:color w:val="auto"/>
              </w:rPr>
              <w:t>2022 Peer Group</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100.00</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rPr>
              <w:t>123.98</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8"/>
              </w:rPr>
              <w:t>192.30</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w w:val="98"/>
              </w:rPr>
              <w:t>255.07</w:t>
            </w:r>
          </w:p>
        </w:tc>
        <w:tc>
          <w:tcPr>
            <w:tcW w:w="660" w:type="dxa"/>
            <w:vAlign w:val="bottom"/>
            <w:gridSpan w:val="2"/>
          </w:tcPr>
          <w:p>
            <w:pPr>
              <w:jc w:val="center"/>
              <w:spacing w:after="0"/>
              <w:rPr>
                <w:sz w:val="20"/>
                <w:szCs w:val="20"/>
                <w:color w:val="auto"/>
              </w:rPr>
            </w:pPr>
            <w:r>
              <w:rPr>
                <w:rFonts w:ascii="Arial" w:cs="Arial" w:eastAsia="Arial" w:hAnsi="Arial"/>
                <w:sz w:val="16"/>
                <w:szCs w:val="16"/>
                <w:b w:val="1"/>
                <w:bCs w:val="1"/>
                <w:color w:val="auto"/>
              </w:rPr>
              <w:t>283.86</w:t>
            </w:r>
          </w:p>
        </w:tc>
        <w:tc>
          <w:tcPr>
            <w:tcW w:w="740" w:type="dxa"/>
            <w:vAlign w:val="bottom"/>
            <w:gridSpan w:val="4"/>
          </w:tcPr>
          <w:p>
            <w:pPr>
              <w:jc w:val="center"/>
              <w:spacing w:after="0"/>
              <w:rPr>
                <w:sz w:val="20"/>
                <w:szCs w:val="20"/>
                <w:color w:val="auto"/>
              </w:rPr>
            </w:pPr>
            <w:r>
              <w:rPr>
                <w:rFonts w:ascii="Arial" w:cs="Arial" w:eastAsia="Arial" w:hAnsi="Arial"/>
                <w:sz w:val="16"/>
                <w:szCs w:val="16"/>
                <w:b w:val="1"/>
                <w:bCs w:val="1"/>
                <w:color w:val="auto"/>
              </w:rPr>
              <w:t>276.93</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rPr>
              <w:t>407.17</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8"/>
              </w:rPr>
              <w:t>359.56</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rPr>
              <w:t>382.17</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388.55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-1921510</wp:posOffset>
            </wp:positionV>
            <wp:extent cx="67310" cy="673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extLst>
                    </a:blip>
                    <a:srcRect/>
                    <a:stretch>
                      <a:fillRect/>
                    </a:stretch>
                  </pic:blipFill>
                  <pic:spPr bwMode="auto">
                    <a:xfrm>
                      <a:off x="0" y="0"/>
                      <a:ext cx="67310" cy="67310"/>
                    </a:xfrm>
                    <a:prstGeom prst="rect">
                      <a:avLst/>
                    </a:prstGeom>
                    <a:noFill/>
                  </pic:spPr>
                </pic:pic>
              </a:graphicData>
            </a:graphic>
          </wp:anchor>
        </w:drawing>
        <w:drawing>
          <wp:anchor simplePos="0" relativeHeight="251657728" behindDoc="1" locked="0" layoutInCell="0" allowOverlap="1">
            <wp:simplePos x="0" y="0"/>
            <wp:positionH relativeFrom="column">
              <wp:posOffset>539115</wp:posOffset>
            </wp:positionH>
            <wp:positionV relativeFrom="paragraph">
              <wp:posOffset>-1932305</wp:posOffset>
            </wp:positionV>
            <wp:extent cx="372110" cy="87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extLst>
                    </a:blip>
                    <a:srcRect/>
                    <a:stretch>
                      <a:fillRect/>
                    </a:stretch>
                  </pic:blipFill>
                  <pic:spPr bwMode="auto">
                    <a:xfrm>
                      <a:off x="0" y="0"/>
                      <a:ext cx="372110" cy="87630"/>
                    </a:xfrm>
                    <a:prstGeom prst="rect">
                      <a:avLst/>
                    </a:prstGeom>
                    <a:noFill/>
                  </pic:spPr>
                </pic:pic>
              </a:graphicData>
            </a:graphic>
          </wp:anchor>
        </w:drawing>
      </w:r>
    </w:p>
    <w:p>
      <w:pPr>
        <w:spacing w:after="0" w:line="351" w:lineRule="exact"/>
        <w:rPr>
          <w:sz w:val="20"/>
          <w:szCs w:val="20"/>
          <w:color w:val="auto"/>
        </w:rPr>
      </w:pPr>
    </w:p>
    <w:p>
      <w:pPr>
        <w:ind w:right="40"/>
        <w:spacing w:after="0" w:line="246" w:lineRule="auto"/>
        <w:tabs>
          <w:tab w:leader="none" w:pos="106"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This performance graph shall not be deemed “soliciting material” or to be “filed” with the SEC for purposes of Section 18 of the Securities Exchange Act of 1934, as amended (Exchange Act), or otherwise subject to the liabilities under that Section, and shall not be deemed to be incorporated by reference into any filing of CRC under the Securities Act of 1933, as amended, or the Exchange Act except to the extent that we specifically request it be treated as soliciting material or specifically incorporate it by reference.</w:t>
      </w:r>
    </w:p>
    <w:p>
      <w:pPr>
        <w:sectPr>
          <w:pgSz w:w="11880" w:h="15480" w:orient="portrait"/>
          <w:cols w:equalWidth="0" w:num="1">
            <w:col w:w="9120"/>
          </w:cols>
          <w:pgMar w:left="1380" w:top="1316" w:right="138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ectPr>
          <w:pgSz w:w="11880" w:h="15480" w:orient="portrait"/>
          <w:cols w:equalWidth="0" w:num="1">
            <w:col w:w="9120"/>
          </w:cols>
          <w:pgMar w:left="1380" w:top="1316" w:right="1380" w:bottom="653" w:gutter="0" w:footer="0" w:header="0"/>
          <w:type w:val="continuous"/>
        </w:sectPr>
      </w:pPr>
    </w:p>
    <w:bookmarkStart w:id="68" w:name="page69"/>
    <w:bookmarkEnd w:id="68"/>
    <w:p>
      <w:pPr>
        <w:spacing w:after="0"/>
        <w:tabs>
          <w:tab w:leader="none" w:pos="8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RESERVED</w:t>
      </w:r>
    </w:p>
    <w:p>
      <w:pPr>
        <w:sectPr>
          <w:pgSz w:w="11880" w:h="15480" w:orient="portrait"/>
          <w:cols w:equalWidth="0" w:num="1">
            <w:col w:w="9060"/>
          </w:cols>
          <w:pgMar w:left="1380" w:top="1310" w:right="144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65</w:t>
      </w:r>
    </w:p>
    <w:p>
      <w:pPr>
        <w:sectPr>
          <w:pgSz w:w="11880" w:h="15480" w:orient="portrait"/>
          <w:cols w:equalWidth="0" w:num="1">
            <w:col w:w="9060"/>
          </w:cols>
          <w:pgMar w:left="1380" w:top="1310" w:right="1440" w:bottom="655" w:gutter="0" w:footer="0" w:header="0"/>
          <w:type w:val="continuous"/>
        </w:sectPr>
      </w:pPr>
    </w:p>
    <w:bookmarkStart w:id="69" w:name="page70"/>
    <w:bookmarkEnd w:id="69"/>
    <w:p>
      <w:pPr>
        <w:ind w:left="900" w:right="680" w:hanging="899"/>
        <w:spacing w:after="0" w:line="248" w:lineRule="auto"/>
        <w:tabs>
          <w:tab w:leader="none" w:pos="880" w:val="left"/>
        </w:tabs>
        <w:rPr>
          <w:sz w:val="20"/>
          <w:szCs w:val="20"/>
          <w:color w:val="auto"/>
        </w:rPr>
      </w:pPr>
      <w:r>
        <w:rPr>
          <w:rFonts w:ascii="Arial" w:cs="Arial" w:eastAsia="Arial" w:hAnsi="Arial"/>
          <w:sz w:val="20"/>
          <w:szCs w:val="20"/>
          <w:b w:val="1"/>
          <w:bCs w:val="1"/>
          <w:color w:val="auto"/>
        </w:rPr>
        <w:t>ITEM 7</w:t>
        <w:tab/>
        <w:t>MANAGEMENT’S DISCUSSION AND ANALYSIS OF FINANCIAL CONDITION AND RESULTS OF OPERATIONS</w:t>
      </w:r>
    </w:p>
    <w:p>
      <w:pPr>
        <w:spacing w:after="0" w:line="209" w:lineRule="exact"/>
        <w:rPr>
          <w:sz w:val="20"/>
          <w:szCs w:val="20"/>
          <w:color w:val="auto"/>
        </w:rPr>
      </w:pPr>
    </w:p>
    <w:p>
      <w:pPr>
        <w:ind w:right="60" w:firstLine="300"/>
        <w:spacing w:after="0" w:line="247" w:lineRule="auto"/>
        <w:rPr>
          <w:sz w:val="20"/>
          <w:szCs w:val="20"/>
          <w:color w:val="auto"/>
        </w:rPr>
      </w:pPr>
      <w:r>
        <w:rPr>
          <w:rFonts w:ascii="Arial" w:cs="Arial" w:eastAsia="Arial" w:hAnsi="Arial"/>
          <w:sz w:val="20"/>
          <w:szCs w:val="20"/>
          <w:color w:val="auto"/>
        </w:rPr>
        <w:t xml:space="preserve">The following discussion should be read in conjunction with other sections of this report, including but not limited to, </w:t>
      </w:r>
      <w:r>
        <w:rPr>
          <w:rFonts w:ascii="Arial" w:cs="Arial" w:eastAsia="Arial" w:hAnsi="Arial"/>
          <w:sz w:val="20"/>
          <w:szCs w:val="20"/>
          <w:i w:val="1"/>
          <w:iCs w:val="1"/>
          <w:color w:val="auto"/>
        </w:rPr>
        <w:t>Part I, Item 1 and 2 – Business and Properties</w:t>
      </w:r>
      <w:r>
        <w:rPr>
          <w:rFonts w:ascii="Arial" w:cs="Arial" w:eastAsia="Arial" w:hAnsi="Arial"/>
          <w:sz w:val="20"/>
          <w:szCs w:val="20"/>
          <w:color w:val="auto"/>
        </w:rPr>
        <w:t xml:space="preserve"> and </w:t>
      </w:r>
      <w:r>
        <w:rPr>
          <w:rFonts w:ascii="Arial" w:cs="Arial" w:eastAsia="Arial" w:hAnsi="Arial"/>
          <w:sz w:val="20"/>
          <w:szCs w:val="20"/>
          <w:i w:val="1"/>
          <w:iCs w:val="1"/>
          <w:color w:val="auto"/>
        </w:rPr>
        <w:t>Part II, Item 8 – Financial Statements</w:t>
      </w:r>
      <w:r>
        <w:rPr>
          <w:rFonts w:ascii="Arial" w:cs="Arial" w:eastAsia="Arial" w:hAnsi="Arial"/>
          <w:sz w:val="20"/>
          <w:szCs w:val="20"/>
          <w:color w:val="auto"/>
        </w:rPr>
        <w:t xml:space="preserve"> </w:t>
      </w:r>
      <w:r>
        <w:rPr>
          <w:rFonts w:ascii="Arial" w:cs="Arial" w:eastAsia="Arial" w:hAnsi="Arial"/>
          <w:sz w:val="20"/>
          <w:szCs w:val="20"/>
          <w:i w:val="1"/>
          <w:iCs w:val="1"/>
          <w:color w:val="auto"/>
        </w:rPr>
        <w:t>and Supplementary Data.</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Presentation</w:t>
      </w:r>
    </w:p>
    <w:p>
      <w:pPr>
        <w:spacing w:after="0" w:line="216" w:lineRule="exact"/>
        <w:rPr>
          <w:sz w:val="20"/>
          <w:szCs w:val="20"/>
          <w:color w:val="auto"/>
        </w:rPr>
      </w:pPr>
    </w:p>
    <w:p>
      <w:pPr>
        <w:ind w:right="300" w:firstLine="300"/>
        <w:spacing w:after="0" w:line="249" w:lineRule="auto"/>
        <w:rPr>
          <w:sz w:val="20"/>
          <w:szCs w:val="20"/>
          <w:color w:val="auto"/>
        </w:rPr>
      </w:pPr>
      <w:r>
        <w:rPr>
          <w:rFonts w:ascii="Arial" w:cs="Arial" w:eastAsia="Arial" w:hAnsi="Arial"/>
          <w:sz w:val="20"/>
          <w:szCs w:val="20"/>
          <w:color w:val="auto"/>
        </w:rPr>
        <w:t>All financial information presented consists of our consolidated results of operations, financial position and cash flows unless otherwise indicated. We have eliminated all significant intercompany transactions and accounts. We account for our share of oil and natural gas production activities, in which we have a direct working interest by reporting our proportionate share of assets, liabilities, revenues, costs and cash flows within the relevant lines on our balance sheets and statements of operations and cash flows.</w:t>
      </w:r>
    </w:p>
    <w:p>
      <w:pPr>
        <w:spacing w:after="0" w:line="208" w:lineRule="exact"/>
        <w:rPr>
          <w:sz w:val="20"/>
          <w:szCs w:val="20"/>
          <w:color w:val="auto"/>
        </w:rPr>
      </w:pPr>
    </w:p>
    <w:p>
      <w:pPr>
        <w:ind w:right="20" w:firstLine="300"/>
        <w:spacing w:after="0" w:line="248" w:lineRule="auto"/>
        <w:rPr>
          <w:sz w:val="20"/>
          <w:szCs w:val="20"/>
          <w:color w:val="auto"/>
        </w:rPr>
      </w:pPr>
      <w:r>
        <w:rPr>
          <w:rFonts w:ascii="Arial" w:cs="Arial" w:eastAsia="Arial" w:hAnsi="Arial"/>
          <w:sz w:val="20"/>
          <w:szCs w:val="20"/>
          <w:color w:val="auto"/>
        </w:rPr>
        <w:t>On July 15, 2020, we filed voluntary petitions for relief under Chapter 11 of Title 11 of the Bankruptcy Code. On October 13, 2020, the Bankruptcy Court confirmed our joint plan of reorganization (the Plan) and we subsequently emerged from Chapter 11 on October 27, 2020 with a new Board of Directors, new equity owners and a significantly improved financial position.</w:t>
      </w:r>
    </w:p>
    <w:p>
      <w:pPr>
        <w:spacing w:after="0" w:line="209"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 xml:space="preserve">We qualified for and adopted fresh start accounting upon emergence from bankruptcy at which point we became a new entity for financial reporting purposes. We adopted an accounting convenience date of October 31, 2020 for the application of fresh start accounting. As a result of the application of fresh start accounting and the effects of the implementation of the Plan, the financial statements after October 31, 2020 may not be comparable to the financial statements prior to that date. References to “Predecessor” refer to the Company for periods ended on or prior to October 31, 2020 and references to “Successor” refer to the Company for periods subsequent to October 31, 2020. See </w:t>
      </w:r>
      <w:r>
        <w:rPr>
          <w:rFonts w:ascii="Arial" w:cs="Arial" w:eastAsia="Arial" w:hAnsi="Arial"/>
          <w:sz w:val="20"/>
          <w:szCs w:val="20"/>
          <w:i w:val="1"/>
          <w:iCs w:val="1"/>
          <w:color w:val="auto"/>
        </w:rPr>
        <w:t>Part II, Item 8 – Financial</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Statements and Supplementary Data, Note 15 Chapter 11 Proceedings </w:t>
      </w:r>
      <w:r>
        <w:rPr>
          <w:rFonts w:ascii="Arial" w:cs="Arial" w:eastAsia="Arial" w:hAnsi="Arial"/>
          <w:sz w:val="20"/>
          <w:szCs w:val="20"/>
          <w:color w:val="auto"/>
        </w:rPr>
        <w:t>and</w:t>
      </w:r>
      <w:r>
        <w:rPr>
          <w:rFonts w:ascii="Arial" w:cs="Arial" w:eastAsia="Arial" w:hAnsi="Arial"/>
          <w:sz w:val="20"/>
          <w:szCs w:val="20"/>
          <w:i w:val="1"/>
          <w:iCs w:val="1"/>
          <w:color w:val="auto"/>
        </w:rPr>
        <w:t xml:space="preserve"> Note 16 Fresh Start Accounting </w:t>
      </w:r>
      <w:r>
        <w:rPr>
          <w:rFonts w:ascii="Arial" w:cs="Arial" w:eastAsia="Arial" w:hAnsi="Arial"/>
          <w:sz w:val="20"/>
          <w:szCs w:val="20"/>
          <w:color w:val="auto"/>
        </w:rPr>
        <w:t>for more information.</w:t>
      </w:r>
    </w:p>
    <w:p>
      <w:pPr>
        <w:spacing w:after="0" w:line="213" w:lineRule="exact"/>
        <w:rPr>
          <w:sz w:val="20"/>
          <w:szCs w:val="20"/>
          <w:color w:val="auto"/>
        </w:rPr>
      </w:pPr>
    </w:p>
    <w:p>
      <w:pPr>
        <w:ind w:right="40" w:firstLine="300"/>
        <w:spacing w:after="0" w:line="250" w:lineRule="auto"/>
        <w:rPr>
          <w:sz w:val="20"/>
          <w:szCs w:val="20"/>
          <w:color w:val="auto"/>
        </w:rPr>
      </w:pPr>
      <w:r>
        <w:rPr>
          <w:rFonts w:ascii="Arial" w:cs="Arial" w:eastAsia="Arial" w:hAnsi="Arial"/>
          <w:sz w:val="20"/>
          <w:szCs w:val="20"/>
          <w:color w:val="auto"/>
        </w:rPr>
        <w:t>The periods November 1, 2020 through December 31, 2020 (Successor period) and January 1, 2020 through October 31, 2020 (Predecessor period) are distinct reporting periods as a result of the adoption of fresh start accounting. Certain operating results and performance measures were not significantly impacted by the reorganization. Accordingly, we believe that discussing the combined results for the two periods in 2020 is relevant and useful when making comparisons between periods for certain items such as production, realized prices, production costs and general and administrative expenses. While this combined presentation is not in accordance with generally accepted accounting principles in the United States (GAAP) and no comparable GAAP measures are presented, management believes that providing this information supplements the discussion of our results. For items that are not comparable (for example depreciation, depletion and amortization, interest expense and noncontrolling interest), our discussion addresses Predecessor and Successor results separately.</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Supply Chain Constraints and Inflation</w:t>
      </w:r>
    </w:p>
    <w:p>
      <w:pPr>
        <w:spacing w:after="0" w:line="214"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The Russia-Ukraine conflict negatively impacted the supply of steel-based raw materials which are utilized in manufacturing products used in our business. Additionally, the COVID-19 pandemic has continued to create challenges including disrupting global supply chains. These global events caused intermittent disruptions in our ability to acquire certain tools, pipe and other oilfield equipment. These disruptions resulted in cost increases but did not materially affected our development plans or operations. The continued impact on our supply chains and prices for goods is likely to continue for the foreseeable future.</w:t>
      </w:r>
    </w:p>
    <w:p>
      <w:pPr>
        <w:sectPr>
          <w:pgSz w:w="11880" w:h="15480" w:orient="portrait"/>
          <w:cols w:equalWidth="0" w:num="1">
            <w:col w:w="9080"/>
          </w:cols>
          <w:pgMar w:left="1380" w:top="1312" w:right="1420" w:bottom="655"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66</w:t>
      </w:r>
    </w:p>
    <w:p>
      <w:pPr>
        <w:sectPr>
          <w:pgSz w:w="11880" w:h="15480" w:orient="portrait"/>
          <w:cols w:equalWidth="0" w:num="1">
            <w:col w:w="9080"/>
          </w:cols>
          <w:pgMar w:left="1380" w:top="1312" w:right="1420" w:bottom="655" w:gutter="0" w:footer="0" w:header="0"/>
          <w:type w:val="continuous"/>
        </w:sectPr>
      </w:pPr>
    </w:p>
    <w:bookmarkStart w:id="70" w:name="page71"/>
    <w:bookmarkEnd w:id="70"/>
    <w:p>
      <w:pPr>
        <w:ind w:right="60" w:firstLine="300"/>
        <w:spacing w:after="0" w:line="249" w:lineRule="auto"/>
        <w:rPr>
          <w:sz w:val="20"/>
          <w:szCs w:val="20"/>
          <w:color w:val="auto"/>
        </w:rPr>
      </w:pPr>
      <w:r>
        <w:rPr>
          <w:rFonts w:ascii="Arial" w:cs="Arial" w:eastAsia="Arial" w:hAnsi="Arial"/>
          <w:sz w:val="20"/>
          <w:szCs w:val="20"/>
          <w:color w:val="auto"/>
        </w:rPr>
        <w:t>Operating and capital costs in the oil and natural gas industry are heavily influenced by commodity prices. Typically, suppliers will negotiate price increases for drilling and completion services, oilfield services, equipment and materials as prices rise for energy-related commodities and raw materials (such as steel, metals and chemicals). In 2022, we experienced high single digit inflation for certain materials and services we procure from vendors including OCTG, fluid hauling, drilling equipment and mechanical and electrical labor services, among other items. We also experienced higher natural gas and electricity prices as well as increased compensation-related expenses in 2022.</w:t>
      </w:r>
    </w:p>
    <w:p>
      <w:pPr>
        <w:spacing w:after="0" w:line="210" w:lineRule="exact"/>
        <w:rPr>
          <w:sz w:val="20"/>
          <w:szCs w:val="20"/>
          <w:color w:val="auto"/>
        </w:rPr>
      </w:pPr>
    </w:p>
    <w:p>
      <w:pPr>
        <w:ind w:right="240" w:firstLine="300"/>
        <w:spacing w:after="0" w:line="248" w:lineRule="auto"/>
        <w:rPr>
          <w:sz w:val="20"/>
          <w:szCs w:val="20"/>
          <w:color w:val="auto"/>
        </w:rPr>
      </w:pPr>
      <w:r>
        <w:rPr>
          <w:rFonts w:ascii="Arial" w:cs="Arial" w:eastAsia="Arial" w:hAnsi="Arial"/>
          <w:sz w:val="20"/>
          <w:szCs w:val="20"/>
          <w:color w:val="auto"/>
        </w:rPr>
        <w:t>We have taken measures to limit the effects of the inflationary market by entering into contracts for materials and services with terms of one to three years. Additionally, we continually look at productivity and performance improvements from our vendors in order to mitigate these price increases and also to reduce volumes consumed. We anticipate moderate price increases for certain purchased goods and services in 2023.</w:t>
      </w:r>
    </w:p>
    <w:p>
      <w:pPr>
        <w:spacing w:after="0" w:line="212" w:lineRule="exact"/>
        <w:rPr>
          <w:sz w:val="20"/>
          <w:szCs w:val="20"/>
          <w:color w:val="auto"/>
        </w:rPr>
      </w:pPr>
    </w:p>
    <w:p>
      <w:pPr>
        <w:ind w:right="60" w:firstLine="300"/>
        <w:spacing w:after="0" w:line="248" w:lineRule="auto"/>
        <w:rPr>
          <w:sz w:val="20"/>
          <w:szCs w:val="20"/>
          <w:color w:val="auto"/>
        </w:rPr>
      </w:pPr>
      <w:r>
        <w:rPr>
          <w:rFonts w:ascii="Arial" w:cs="Arial" w:eastAsia="Arial" w:hAnsi="Arial"/>
          <w:sz w:val="20"/>
          <w:szCs w:val="20"/>
          <w:color w:val="auto"/>
        </w:rPr>
        <w:t>We continue to implement state and local county guidelines to protect the health of our workforce and to support the prevention of COVID-19 at our plants, rigs, fields and administrative offices. We have not experienced any operational slowdowns due to COVID-19 among our workforce.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Production, Prices and Realizations</w:t>
      </w:r>
    </w:p>
    <w:p>
      <w:pPr>
        <w:spacing w:after="0" w:line="214" w:lineRule="exact"/>
        <w:rPr>
          <w:sz w:val="20"/>
          <w:szCs w:val="20"/>
          <w:color w:val="auto"/>
        </w:rPr>
      </w:pPr>
    </w:p>
    <w:p>
      <w:pPr>
        <w:jc w:val="both"/>
        <w:ind w:right="140" w:firstLine="300"/>
        <w:spacing w:after="0" w:line="248" w:lineRule="auto"/>
        <w:rPr>
          <w:sz w:val="20"/>
          <w:szCs w:val="20"/>
          <w:color w:val="auto"/>
        </w:rPr>
      </w:pPr>
      <w:r>
        <w:rPr>
          <w:rFonts w:ascii="Arial" w:cs="Arial" w:eastAsia="Arial" w:hAnsi="Arial"/>
          <w:sz w:val="20"/>
          <w:szCs w:val="20"/>
          <w:color w:val="auto"/>
        </w:rPr>
        <w:t>The following table sets forth our average net production volumes of oil, NGLs and natural gas per day for the years ended December 31, 2022 and 2021, the Successor period from November 1, 2020 through December 31, 2020, the Predecessor period from January 1, 2020 through October 31, 2020 and the combined year ended December 31, 2020: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32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gridSpan w:val="3"/>
          </w:tcPr>
          <w:p>
            <w:pPr>
              <w:jc w:val="right"/>
              <w:ind w:right="1400"/>
              <w:spacing w:after="0"/>
              <w:rPr>
                <w:sz w:val="20"/>
                <w:szCs w:val="20"/>
                <w:color w:val="auto"/>
              </w:rPr>
            </w:pPr>
            <w:r>
              <w:rPr>
                <w:rFonts w:ascii="Arial" w:cs="Arial" w:eastAsia="Arial" w:hAnsi="Arial"/>
                <w:sz w:val="20"/>
                <w:szCs w:val="20"/>
                <w:b w:val="1"/>
                <w:bCs w:val="1"/>
                <w:color w:val="auto"/>
              </w:rPr>
              <w:t>Successor</w:t>
            </w:r>
          </w:p>
        </w:tc>
        <w:tc>
          <w:tcPr>
            <w:tcW w:w="10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620" w:type="dxa"/>
            <w:vAlign w:val="bottom"/>
            <w:tcBorders>
              <w:bottom w:val="single" w:sz="8" w:color="auto"/>
            </w:tcBorders>
          </w:tcPr>
          <w:p>
            <w:pPr>
              <w:jc w:val="right"/>
              <w:ind w:right="100"/>
              <w:spacing w:after="0"/>
              <w:rPr>
                <w:sz w:val="20"/>
                <w:szCs w:val="20"/>
                <w:color w:val="auto"/>
              </w:rPr>
            </w:pPr>
            <w:r>
              <w:rPr>
                <w:rFonts w:ascii="Arial" w:cs="Arial" w:eastAsia="Arial" w:hAnsi="Arial"/>
                <w:sz w:val="20"/>
                <w:szCs w:val="20"/>
                <w:b w:val="1"/>
                <w:bCs w:val="1"/>
                <w:color w:val="auto"/>
              </w:rPr>
              <w:t>Predecessor</w:t>
            </w:r>
          </w:p>
        </w:tc>
        <w:tc>
          <w:tcPr>
            <w:tcW w:w="4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Combined</w:t>
            </w:r>
          </w:p>
        </w:tc>
        <w:tc>
          <w:tcPr>
            <w:tcW w:w="0" w:type="dxa"/>
            <w:vAlign w:val="bottom"/>
          </w:tcPr>
          <w:p>
            <w:pPr>
              <w:spacing w:after="0"/>
              <w:rPr>
                <w:sz w:val="1"/>
                <w:szCs w:val="1"/>
                <w:color w:val="auto"/>
              </w:rPr>
            </w:pPr>
          </w:p>
        </w:tc>
      </w:tr>
      <w:tr>
        <w:trPr>
          <w:trHeight w:val="212"/>
        </w:trPr>
        <w:tc>
          <w:tcPr>
            <w:tcW w:w="2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Borders>
              <w:right w:val="single" w:sz="8" w:color="auto"/>
            </w:tcBorders>
            <w:gridSpan w:val="2"/>
          </w:tcPr>
          <w:p>
            <w:pPr>
              <w:spacing w:after="0" w:line="212" w:lineRule="exact"/>
              <w:rPr>
                <w:sz w:val="20"/>
                <w:szCs w:val="20"/>
                <w:color w:val="auto"/>
              </w:rPr>
            </w:pPr>
            <w:r>
              <w:rPr>
                <w:rFonts w:ascii="Arial" w:cs="Arial" w:eastAsia="Arial" w:hAnsi="Arial"/>
                <w:sz w:val="20"/>
                <w:szCs w:val="20"/>
                <w:b w:val="1"/>
                <w:bCs w:val="1"/>
                <w:color w:val="auto"/>
              </w:rPr>
              <w:t>November 1, 2020 -</w:t>
            </w:r>
          </w:p>
        </w:tc>
        <w:tc>
          <w:tcPr>
            <w:tcW w:w="20" w:type="dxa"/>
            <w:vAlign w:val="bottom"/>
          </w:tcPr>
          <w:p>
            <w:pPr>
              <w:spacing w:after="0"/>
              <w:rPr>
                <w:sz w:val="18"/>
                <w:szCs w:val="18"/>
                <w:color w:val="auto"/>
              </w:rPr>
            </w:pPr>
          </w:p>
        </w:tc>
        <w:tc>
          <w:tcPr>
            <w:tcW w:w="1620" w:type="dxa"/>
            <w:vAlign w:val="bottom"/>
          </w:tcPr>
          <w:p>
            <w:pPr>
              <w:jc w:val="right"/>
              <w:spacing w:after="0" w:line="212" w:lineRule="exact"/>
              <w:rPr>
                <w:sz w:val="20"/>
                <w:szCs w:val="20"/>
                <w:color w:val="auto"/>
              </w:rPr>
            </w:pPr>
            <w:r>
              <w:rPr>
                <w:rFonts w:ascii="Arial" w:cs="Arial" w:eastAsia="Arial" w:hAnsi="Arial"/>
                <w:sz w:val="20"/>
                <w:szCs w:val="20"/>
                <w:b w:val="1"/>
                <w:bCs w:val="1"/>
                <w:color w:val="auto"/>
                <w:w w:val="99"/>
              </w:rPr>
              <w:t>January 1, 2020 -</w:t>
            </w: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320" w:type="dxa"/>
            <w:vAlign w:val="bottom"/>
          </w:tcPr>
          <w:p>
            <w:pPr>
              <w:spacing w:after="0"/>
              <w:rPr>
                <w:sz w:val="21"/>
                <w:szCs w:val="21"/>
                <w:color w:val="auto"/>
              </w:rPr>
            </w:pPr>
          </w:p>
        </w:tc>
        <w:tc>
          <w:tcPr>
            <w:tcW w:w="1040" w:type="dxa"/>
            <w:vAlign w:val="bottom"/>
          </w:tcPr>
          <w:p>
            <w:pPr>
              <w:jc w:val="right"/>
              <w:ind w:right="200"/>
              <w:spacing w:after="0"/>
              <w:rPr>
                <w:sz w:val="20"/>
                <w:szCs w:val="20"/>
                <w:color w:val="auto"/>
              </w:rPr>
            </w:pPr>
            <w:r>
              <w:rPr>
                <w:rFonts w:ascii="Arial" w:cs="Arial" w:eastAsia="Arial" w:hAnsi="Arial"/>
                <w:sz w:val="20"/>
                <w:szCs w:val="20"/>
                <w:b w:val="1"/>
                <w:bCs w:val="1"/>
                <w:color w:val="auto"/>
              </w:rPr>
              <w:t>2022</w:t>
            </w:r>
          </w:p>
        </w:tc>
        <w:tc>
          <w:tcPr>
            <w:tcW w:w="110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2021</w:t>
            </w:r>
          </w:p>
        </w:tc>
        <w:tc>
          <w:tcPr>
            <w:tcW w:w="40" w:type="dxa"/>
            <w:vAlign w:val="bottom"/>
          </w:tcPr>
          <w:p>
            <w:pPr>
              <w:spacing w:after="0"/>
              <w:rPr>
                <w:sz w:val="21"/>
                <w:szCs w:val="21"/>
                <w:color w:val="auto"/>
              </w:rPr>
            </w:pPr>
          </w:p>
        </w:tc>
        <w:tc>
          <w:tcPr>
            <w:tcW w:w="1920" w:type="dxa"/>
            <w:vAlign w:val="bottom"/>
            <w:tcBorders>
              <w:right w:val="single" w:sz="8" w:color="auto"/>
            </w:tcBorders>
            <w:gridSpan w:val="2"/>
          </w:tcPr>
          <w:p>
            <w:pPr>
              <w:spacing w:after="0"/>
              <w:rPr>
                <w:sz w:val="20"/>
                <w:szCs w:val="20"/>
                <w:color w:val="auto"/>
              </w:rPr>
            </w:pPr>
            <w:r>
              <w:rPr>
                <w:rFonts w:ascii="Arial" w:cs="Arial" w:eastAsia="Arial" w:hAnsi="Arial"/>
                <w:sz w:val="20"/>
                <w:szCs w:val="20"/>
                <w:b w:val="1"/>
                <w:bCs w:val="1"/>
                <w:color w:val="auto"/>
              </w:rPr>
              <w:t>December 31, 2020</w:t>
            </w:r>
          </w:p>
        </w:tc>
        <w:tc>
          <w:tcPr>
            <w:tcW w:w="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20"/>
                <w:szCs w:val="20"/>
                <w:b w:val="1"/>
                <w:bCs w:val="1"/>
                <w:color w:val="auto"/>
                <w:w w:val="99"/>
              </w:rPr>
              <w:t>October 31, 2020</w:t>
            </w:r>
          </w:p>
        </w:tc>
        <w:tc>
          <w:tcPr>
            <w:tcW w:w="1060" w:type="dxa"/>
            <w:vAlign w:val="bottom"/>
            <w:gridSpan w:val="2"/>
          </w:tcPr>
          <w:p>
            <w:pPr>
              <w:jc w:val="right"/>
              <w:ind w:right="180"/>
              <w:spacing w:after="0"/>
              <w:rPr>
                <w:sz w:val="20"/>
                <w:szCs w:val="20"/>
                <w:color w:val="auto"/>
              </w:rPr>
            </w:pPr>
            <w:r>
              <w:rPr>
                <w:rFonts w:ascii="Arial" w:cs="Arial" w:eastAsia="Arial" w:hAnsi="Arial"/>
                <w:sz w:val="20"/>
                <w:szCs w:val="20"/>
                <w:b w:val="1"/>
                <w:bCs w:val="1"/>
                <w:color w:val="auto"/>
              </w:rPr>
              <w:t>2020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0"/>
                <w:szCs w:val="20"/>
                <w:color w:val="auto"/>
              </w:rPr>
            </w:pPr>
            <w:r>
              <w:rPr>
                <w:rFonts w:ascii="Arial" w:cs="Arial" w:eastAsia="Arial" w:hAnsi="Arial"/>
                <w:sz w:val="20"/>
                <w:szCs w:val="20"/>
                <w:b w:val="1"/>
                <w:bCs w:val="1"/>
                <w:i w:val="1"/>
                <w:iCs w:val="1"/>
                <w:color w:val="auto"/>
              </w:rPr>
              <w:t>Oil (MBbl/d)</w:t>
            </w:r>
          </w:p>
        </w:tc>
        <w:tc>
          <w:tcPr>
            <w:tcW w:w="10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320" w:type="dxa"/>
            <w:vAlign w:val="bottom"/>
          </w:tcPr>
          <w:p>
            <w:pPr>
              <w:jc w:val="right"/>
              <w:spacing w:after="0"/>
              <w:rPr>
                <w:sz w:val="20"/>
                <w:szCs w:val="20"/>
                <w:color w:val="auto"/>
              </w:rPr>
            </w:pPr>
            <w:r>
              <w:rPr>
                <w:rFonts w:ascii="Arial" w:cs="Arial" w:eastAsia="Arial" w:hAnsi="Arial"/>
                <w:sz w:val="20"/>
                <w:szCs w:val="20"/>
                <w:color w:val="auto"/>
              </w:rPr>
              <w:t>San Joaquin Basin  . . .</w:t>
            </w:r>
          </w:p>
        </w:tc>
        <w:tc>
          <w:tcPr>
            <w:tcW w:w="1040" w:type="dxa"/>
            <w:vAlign w:val="bottom"/>
          </w:tcPr>
          <w:p>
            <w:pPr>
              <w:jc w:val="right"/>
              <w:spacing w:after="0"/>
              <w:rPr>
                <w:sz w:val="20"/>
                <w:szCs w:val="20"/>
                <w:color w:val="auto"/>
              </w:rPr>
            </w:pPr>
            <w:r>
              <w:rPr>
                <w:rFonts w:ascii="Arial" w:cs="Arial" w:eastAsia="Arial" w:hAnsi="Arial"/>
                <w:sz w:val="20"/>
                <w:szCs w:val="20"/>
                <w:color w:val="auto"/>
              </w:rPr>
              <w:t>37</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39</w:t>
            </w:r>
          </w:p>
        </w:tc>
        <w:tc>
          <w:tcPr>
            <w:tcW w:w="1860" w:type="dxa"/>
            <w:vAlign w:val="bottom"/>
            <w:gridSpan w:val="2"/>
          </w:tcPr>
          <w:p>
            <w:pPr>
              <w:jc w:val="right"/>
              <w:ind w:right="200"/>
              <w:spacing w:after="0"/>
              <w:rPr>
                <w:sz w:val="20"/>
                <w:szCs w:val="20"/>
                <w:color w:val="auto"/>
              </w:rPr>
            </w:pPr>
            <w:r>
              <w:rPr>
                <w:rFonts w:ascii="Arial" w:cs="Arial" w:eastAsia="Arial" w:hAnsi="Arial"/>
                <w:sz w:val="20"/>
                <w:szCs w:val="20"/>
                <w:color w:val="auto"/>
              </w:rPr>
              <w:t>38</w:t>
            </w:r>
          </w:p>
        </w:tc>
        <w:tc>
          <w:tcPr>
            <w:tcW w:w="100" w:type="dxa"/>
            <w:vAlign w:val="bottom"/>
            <w:tcBorders>
              <w:right w:val="single" w:sz="8" w:color="auto"/>
            </w:tcBorders>
          </w:tcPr>
          <w:p>
            <w:pPr>
              <w:spacing w:after="0"/>
              <w:rPr>
                <w:sz w:val="20"/>
                <w:szCs w:val="20"/>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20"/>
                <w:szCs w:val="20"/>
                <w:color w:val="auto"/>
              </w:rPr>
              <w:t>42</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240"/>
        </w:trPr>
        <w:tc>
          <w:tcPr>
            <w:tcW w:w="2320" w:type="dxa"/>
            <w:vAlign w:val="bottom"/>
          </w:tcPr>
          <w:p>
            <w:pPr>
              <w:jc w:val="right"/>
              <w:spacing w:after="0"/>
              <w:rPr>
                <w:sz w:val="20"/>
                <w:szCs w:val="20"/>
                <w:color w:val="auto"/>
              </w:rPr>
            </w:pPr>
            <w:r>
              <w:rPr>
                <w:rFonts w:ascii="Arial" w:cs="Arial" w:eastAsia="Arial" w:hAnsi="Arial"/>
                <w:sz w:val="20"/>
                <w:szCs w:val="20"/>
                <w:color w:val="auto"/>
              </w:rPr>
              <w:t>Los Angeles Basin . . . .</w:t>
            </w:r>
          </w:p>
        </w:tc>
        <w:tc>
          <w:tcPr>
            <w:tcW w:w="1040" w:type="dxa"/>
            <w:vAlign w:val="bottom"/>
          </w:tcPr>
          <w:p>
            <w:pPr>
              <w:jc w:val="right"/>
              <w:spacing w:after="0"/>
              <w:rPr>
                <w:sz w:val="20"/>
                <w:szCs w:val="20"/>
                <w:color w:val="auto"/>
              </w:rPr>
            </w:pPr>
            <w:r>
              <w:rPr>
                <w:rFonts w:ascii="Arial" w:cs="Arial" w:eastAsia="Arial" w:hAnsi="Arial"/>
                <w:sz w:val="20"/>
                <w:szCs w:val="20"/>
                <w:color w:val="auto"/>
              </w:rPr>
              <w:t>18</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19</w:t>
            </w:r>
          </w:p>
        </w:tc>
        <w:tc>
          <w:tcPr>
            <w:tcW w:w="1860" w:type="dxa"/>
            <w:vAlign w:val="bottom"/>
            <w:gridSpan w:val="2"/>
          </w:tcPr>
          <w:p>
            <w:pPr>
              <w:jc w:val="right"/>
              <w:ind w:right="200"/>
              <w:spacing w:after="0"/>
              <w:rPr>
                <w:sz w:val="20"/>
                <w:szCs w:val="20"/>
                <w:color w:val="auto"/>
              </w:rPr>
            </w:pPr>
            <w:r>
              <w:rPr>
                <w:rFonts w:ascii="Arial" w:cs="Arial" w:eastAsia="Arial" w:hAnsi="Arial"/>
                <w:sz w:val="20"/>
                <w:szCs w:val="20"/>
                <w:color w:val="auto"/>
              </w:rPr>
              <w:t>23</w:t>
            </w:r>
          </w:p>
        </w:tc>
        <w:tc>
          <w:tcPr>
            <w:tcW w:w="100" w:type="dxa"/>
            <w:vAlign w:val="bottom"/>
            <w:tcBorders>
              <w:right w:val="single" w:sz="8" w:color="auto"/>
            </w:tcBorders>
          </w:tcPr>
          <w:p>
            <w:pPr>
              <w:spacing w:after="0"/>
              <w:rPr>
                <w:sz w:val="20"/>
                <w:szCs w:val="20"/>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20"/>
                <w:szCs w:val="20"/>
                <w:color w:val="auto"/>
              </w:rPr>
              <w:t>25</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24</w:t>
            </w:r>
          </w:p>
        </w:tc>
        <w:tc>
          <w:tcPr>
            <w:tcW w:w="0" w:type="dxa"/>
            <w:vAlign w:val="bottom"/>
          </w:tcPr>
          <w:p>
            <w:pPr>
              <w:spacing w:after="0"/>
              <w:rPr>
                <w:sz w:val="1"/>
                <w:szCs w:val="1"/>
                <w:color w:val="auto"/>
              </w:rPr>
            </w:pPr>
          </w:p>
        </w:tc>
      </w:tr>
      <w:tr>
        <w:trPr>
          <w:trHeight w:val="240"/>
        </w:trPr>
        <w:tc>
          <w:tcPr>
            <w:tcW w:w="2320" w:type="dxa"/>
            <w:vAlign w:val="bottom"/>
          </w:tcPr>
          <w:p>
            <w:pPr>
              <w:jc w:val="right"/>
              <w:spacing w:after="0"/>
              <w:rPr>
                <w:sz w:val="20"/>
                <w:szCs w:val="20"/>
                <w:color w:val="auto"/>
              </w:rPr>
            </w:pPr>
            <w:r>
              <w:rPr>
                <w:rFonts w:ascii="Arial" w:cs="Arial" w:eastAsia="Arial" w:hAnsi="Arial"/>
                <w:sz w:val="20"/>
                <w:szCs w:val="20"/>
                <w:color w:val="auto"/>
              </w:rPr>
              <w:t>Ventura Basin  . . . . . . .</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2</w:t>
            </w:r>
          </w:p>
        </w:tc>
        <w:tc>
          <w:tcPr>
            <w:tcW w:w="1860" w:type="dxa"/>
            <w:vAlign w:val="bottom"/>
            <w:gridSpan w:val="2"/>
          </w:tcPr>
          <w:p>
            <w:pPr>
              <w:jc w:val="right"/>
              <w:ind w:right="200"/>
              <w:spacing w:after="0"/>
              <w:rPr>
                <w:sz w:val="20"/>
                <w:szCs w:val="20"/>
                <w:color w:val="auto"/>
              </w:rPr>
            </w:pPr>
            <w:r>
              <w:rPr>
                <w:rFonts w:ascii="Arial" w:cs="Arial" w:eastAsia="Arial" w:hAnsi="Arial"/>
                <w:sz w:val="20"/>
                <w:szCs w:val="20"/>
                <w:color w:val="auto"/>
              </w:rPr>
              <w:t>2</w:t>
            </w:r>
          </w:p>
        </w:tc>
        <w:tc>
          <w:tcPr>
            <w:tcW w:w="100" w:type="dxa"/>
            <w:vAlign w:val="bottom"/>
            <w:tcBorders>
              <w:right w:val="single" w:sz="8" w:color="auto"/>
            </w:tcBorders>
          </w:tcPr>
          <w:p>
            <w:pPr>
              <w:spacing w:after="0"/>
              <w:rPr>
                <w:sz w:val="20"/>
                <w:szCs w:val="20"/>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20"/>
                <w:szCs w:val="20"/>
                <w:color w:val="auto"/>
              </w:rPr>
              <w:t>3</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8"/>
        </w:trPr>
        <w:tc>
          <w:tcPr>
            <w:tcW w:w="23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320" w:type="dxa"/>
            <w:vAlign w:val="bottom"/>
          </w:tcPr>
          <w:p>
            <w:pPr>
              <w:jc w:val="right"/>
              <w:spacing w:after="0"/>
              <w:rPr>
                <w:sz w:val="20"/>
                <w:szCs w:val="20"/>
                <w:color w:val="auto"/>
              </w:rPr>
            </w:pPr>
            <w:r>
              <w:rPr>
                <w:rFonts w:ascii="Arial" w:cs="Arial" w:eastAsia="Arial" w:hAnsi="Arial"/>
                <w:sz w:val="20"/>
                <w:szCs w:val="20"/>
                <w:color w:val="auto"/>
              </w:rPr>
              <w:t>Total  . . . . . . . . . . . . .</w:t>
            </w:r>
          </w:p>
        </w:tc>
        <w:tc>
          <w:tcPr>
            <w:tcW w:w="1040" w:type="dxa"/>
            <w:vAlign w:val="bottom"/>
          </w:tcPr>
          <w:p>
            <w:pPr>
              <w:jc w:val="right"/>
              <w:spacing w:after="0"/>
              <w:rPr>
                <w:sz w:val="20"/>
                <w:szCs w:val="20"/>
                <w:color w:val="auto"/>
              </w:rPr>
            </w:pPr>
            <w:r>
              <w:rPr>
                <w:rFonts w:ascii="Arial" w:cs="Arial" w:eastAsia="Arial" w:hAnsi="Arial"/>
                <w:sz w:val="20"/>
                <w:szCs w:val="20"/>
                <w:color w:val="auto"/>
              </w:rPr>
              <w:t>55</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60</w:t>
            </w:r>
          </w:p>
        </w:tc>
        <w:tc>
          <w:tcPr>
            <w:tcW w:w="1860" w:type="dxa"/>
            <w:vAlign w:val="bottom"/>
            <w:gridSpan w:val="2"/>
          </w:tcPr>
          <w:p>
            <w:pPr>
              <w:jc w:val="right"/>
              <w:ind w:right="200"/>
              <w:spacing w:after="0"/>
              <w:rPr>
                <w:sz w:val="20"/>
                <w:szCs w:val="20"/>
                <w:color w:val="auto"/>
              </w:rPr>
            </w:pPr>
            <w:r>
              <w:rPr>
                <w:rFonts w:ascii="Arial" w:cs="Arial" w:eastAsia="Arial" w:hAnsi="Arial"/>
                <w:sz w:val="20"/>
                <w:szCs w:val="20"/>
                <w:color w:val="auto"/>
              </w:rPr>
              <w:t>63</w:t>
            </w:r>
          </w:p>
        </w:tc>
        <w:tc>
          <w:tcPr>
            <w:tcW w:w="100" w:type="dxa"/>
            <w:vAlign w:val="bottom"/>
            <w:tcBorders>
              <w:right w:val="single" w:sz="8" w:color="auto"/>
            </w:tcBorders>
          </w:tcPr>
          <w:p>
            <w:pPr>
              <w:spacing w:after="0"/>
              <w:rPr>
                <w:sz w:val="23"/>
                <w:szCs w:val="23"/>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20"/>
                <w:szCs w:val="20"/>
                <w:color w:val="auto"/>
              </w:rPr>
              <w:t>70</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69</w:t>
            </w:r>
          </w:p>
        </w:tc>
        <w:tc>
          <w:tcPr>
            <w:tcW w:w="0" w:type="dxa"/>
            <w:vAlign w:val="bottom"/>
          </w:tcPr>
          <w:p>
            <w:pPr>
              <w:spacing w:after="0"/>
              <w:rPr>
                <w:sz w:val="1"/>
                <w:szCs w:val="1"/>
                <w:color w:val="auto"/>
              </w:rPr>
            </w:pPr>
          </w:p>
        </w:tc>
      </w:tr>
      <w:tr>
        <w:trPr>
          <w:trHeight w:val="480"/>
        </w:trPr>
        <w:tc>
          <w:tcPr>
            <w:tcW w:w="2320" w:type="dxa"/>
            <w:vAlign w:val="bottom"/>
          </w:tcPr>
          <w:p>
            <w:pPr>
              <w:spacing w:after="0"/>
              <w:rPr>
                <w:sz w:val="20"/>
                <w:szCs w:val="20"/>
                <w:color w:val="auto"/>
              </w:rPr>
            </w:pPr>
            <w:r>
              <w:rPr>
                <w:rFonts w:ascii="Arial" w:cs="Arial" w:eastAsia="Arial" w:hAnsi="Arial"/>
                <w:sz w:val="20"/>
                <w:szCs w:val="20"/>
                <w:b w:val="1"/>
                <w:bCs w:val="1"/>
                <w:i w:val="1"/>
                <w:iCs w:val="1"/>
                <w:color w:val="auto"/>
              </w:rPr>
              <w:t>NGLs (MBbl/d)</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320" w:type="dxa"/>
            <w:vAlign w:val="bottom"/>
          </w:tcPr>
          <w:p>
            <w:pPr>
              <w:jc w:val="right"/>
              <w:spacing w:after="0"/>
              <w:rPr>
                <w:sz w:val="20"/>
                <w:szCs w:val="20"/>
                <w:color w:val="auto"/>
              </w:rPr>
            </w:pPr>
            <w:r>
              <w:rPr>
                <w:rFonts w:ascii="Arial" w:cs="Arial" w:eastAsia="Arial" w:hAnsi="Arial"/>
                <w:sz w:val="20"/>
                <w:szCs w:val="20"/>
                <w:color w:val="auto"/>
              </w:rPr>
              <w:t>San Joaquin Basin  . . .</w:t>
            </w:r>
          </w:p>
        </w:tc>
        <w:tc>
          <w:tcPr>
            <w:tcW w:w="1040" w:type="dxa"/>
            <w:vAlign w:val="bottom"/>
          </w:tcPr>
          <w:p>
            <w:pPr>
              <w:jc w:val="right"/>
              <w:spacing w:after="0"/>
              <w:rPr>
                <w:sz w:val="20"/>
                <w:szCs w:val="20"/>
                <w:color w:val="auto"/>
              </w:rPr>
            </w:pPr>
            <w:r>
              <w:rPr>
                <w:rFonts w:ascii="Arial" w:cs="Arial" w:eastAsia="Arial" w:hAnsi="Arial"/>
                <w:sz w:val="20"/>
                <w:szCs w:val="20"/>
                <w:color w:val="auto"/>
              </w:rPr>
              <w:t>11</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13</w:t>
            </w:r>
          </w:p>
        </w:tc>
        <w:tc>
          <w:tcPr>
            <w:tcW w:w="1860" w:type="dxa"/>
            <w:vAlign w:val="bottom"/>
            <w:gridSpan w:val="2"/>
          </w:tcPr>
          <w:p>
            <w:pPr>
              <w:jc w:val="right"/>
              <w:ind w:right="200"/>
              <w:spacing w:after="0"/>
              <w:rPr>
                <w:sz w:val="20"/>
                <w:szCs w:val="20"/>
                <w:color w:val="auto"/>
              </w:rPr>
            </w:pPr>
            <w:r>
              <w:rPr>
                <w:rFonts w:ascii="Arial" w:cs="Arial" w:eastAsia="Arial" w:hAnsi="Arial"/>
                <w:sz w:val="20"/>
                <w:szCs w:val="20"/>
                <w:color w:val="auto"/>
              </w:rPr>
              <w:t>12</w:t>
            </w:r>
          </w:p>
        </w:tc>
        <w:tc>
          <w:tcPr>
            <w:tcW w:w="100" w:type="dxa"/>
            <w:vAlign w:val="bottom"/>
            <w:tcBorders>
              <w:right w:val="single" w:sz="8" w:color="auto"/>
            </w:tcBorders>
          </w:tcPr>
          <w:p>
            <w:pPr>
              <w:spacing w:after="0"/>
              <w:rPr>
                <w:sz w:val="20"/>
                <w:szCs w:val="20"/>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20"/>
                <w:szCs w:val="20"/>
                <w:color w:val="auto"/>
              </w:rPr>
              <w:t>13</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8"/>
        </w:trPr>
        <w:tc>
          <w:tcPr>
            <w:tcW w:w="23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320" w:type="dxa"/>
            <w:vAlign w:val="bottom"/>
          </w:tcPr>
          <w:p>
            <w:pPr>
              <w:jc w:val="right"/>
              <w:spacing w:after="0"/>
              <w:rPr>
                <w:sz w:val="20"/>
                <w:szCs w:val="20"/>
                <w:color w:val="auto"/>
              </w:rPr>
            </w:pPr>
            <w:r>
              <w:rPr>
                <w:rFonts w:ascii="Arial" w:cs="Arial" w:eastAsia="Arial" w:hAnsi="Arial"/>
                <w:sz w:val="20"/>
                <w:szCs w:val="20"/>
                <w:color w:val="auto"/>
              </w:rPr>
              <w:t>Total  . . . . . . . . . . . . .</w:t>
            </w:r>
          </w:p>
        </w:tc>
        <w:tc>
          <w:tcPr>
            <w:tcW w:w="1040" w:type="dxa"/>
            <w:vAlign w:val="bottom"/>
          </w:tcPr>
          <w:p>
            <w:pPr>
              <w:jc w:val="right"/>
              <w:spacing w:after="0"/>
              <w:rPr>
                <w:sz w:val="20"/>
                <w:szCs w:val="20"/>
                <w:color w:val="auto"/>
              </w:rPr>
            </w:pPr>
            <w:r>
              <w:rPr>
                <w:rFonts w:ascii="Arial" w:cs="Arial" w:eastAsia="Arial" w:hAnsi="Arial"/>
                <w:sz w:val="20"/>
                <w:szCs w:val="20"/>
                <w:color w:val="auto"/>
              </w:rPr>
              <w:t>11</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13</w:t>
            </w:r>
          </w:p>
        </w:tc>
        <w:tc>
          <w:tcPr>
            <w:tcW w:w="1860" w:type="dxa"/>
            <w:vAlign w:val="bottom"/>
            <w:gridSpan w:val="2"/>
          </w:tcPr>
          <w:p>
            <w:pPr>
              <w:jc w:val="right"/>
              <w:ind w:right="200"/>
              <w:spacing w:after="0"/>
              <w:rPr>
                <w:sz w:val="20"/>
                <w:szCs w:val="20"/>
                <w:color w:val="auto"/>
              </w:rPr>
            </w:pPr>
            <w:r>
              <w:rPr>
                <w:rFonts w:ascii="Arial" w:cs="Arial" w:eastAsia="Arial" w:hAnsi="Arial"/>
                <w:sz w:val="20"/>
                <w:szCs w:val="20"/>
                <w:color w:val="auto"/>
              </w:rPr>
              <w:t>12</w:t>
            </w:r>
          </w:p>
        </w:tc>
        <w:tc>
          <w:tcPr>
            <w:tcW w:w="100" w:type="dxa"/>
            <w:vAlign w:val="bottom"/>
            <w:tcBorders>
              <w:right w:val="single" w:sz="8" w:color="auto"/>
            </w:tcBorders>
          </w:tcPr>
          <w:p>
            <w:pPr>
              <w:spacing w:after="0"/>
              <w:rPr>
                <w:sz w:val="23"/>
                <w:szCs w:val="23"/>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20"/>
                <w:szCs w:val="20"/>
                <w:color w:val="auto"/>
              </w:rPr>
              <w:t>13</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480"/>
        </w:trPr>
        <w:tc>
          <w:tcPr>
            <w:tcW w:w="2320" w:type="dxa"/>
            <w:vAlign w:val="bottom"/>
          </w:tcPr>
          <w:p>
            <w:pPr>
              <w:spacing w:after="0"/>
              <w:rPr>
                <w:sz w:val="20"/>
                <w:szCs w:val="20"/>
                <w:color w:val="auto"/>
              </w:rPr>
            </w:pPr>
            <w:r>
              <w:rPr>
                <w:rFonts w:ascii="Arial" w:cs="Arial" w:eastAsia="Arial" w:hAnsi="Arial"/>
                <w:sz w:val="20"/>
                <w:szCs w:val="20"/>
                <w:b w:val="1"/>
                <w:bCs w:val="1"/>
                <w:i w:val="1"/>
                <w:iCs w:val="1"/>
                <w:color w:val="auto"/>
              </w:rPr>
              <w:t>Natural gas (MMcf/d)</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320" w:type="dxa"/>
            <w:vAlign w:val="bottom"/>
          </w:tcPr>
          <w:p>
            <w:pPr>
              <w:jc w:val="right"/>
              <w:spacing w:after="0"/>
              <w:rPr>
                <w:sz w:val="20"/>
                <w:szCs w:val="20"/>
                <w:color w:val="auto"/>
              </w:rPr>
            </w:pPr>
            <w:r>
              <w:rPr>
                <w:rFonts w:ascii="Arial" w:cs="Arial" w:eastAsia="Arial" w:hAnsi="Arial"/>
                <w:sz w:val="20"/>
                <w:szCs w:val="20"/>
                <w:color w:val="auto"/>
              </w:rPr>
              <w:t>San Joaquin Basin  . . .</w:t>
            </w:r>
          </w:p>
        </w:tc>
        <w:tc>
          <w:tcPr>
            <w:tcW w:w="1040" w:type="dxa"/>
            <w:vAlign w:val="bottom"/>
          </w:tcPr>
          <w:p>
            <w:pPr>
              <w:jc w:val="right"/>
              <w:spacing w:after="0"/>
              <w:rPr>
                <w:sz w:val="20"/>
                <w:szCs w:val="20"/>
                <w:color w:val="auto"/>
              </w:rPr>
            </w:pPr>
            <w:r>
              <w:rPr>
                <w:rFonts w:ascii="Arial" w:cs="Arial" w:eastAsia="Arial" w:hAnsi="Arial"/>
                <w:sz w:val="20"/>
                <w:szCs w:val="20"/>
                <w:color w:val="auto"/>
              </w:rPr>
              <w:t>129</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135</w:t>
            </w:r>
          </w:p>
        </w:tc>
        <w:tc>
          <w:tcPr>
            <w:tcW w:w="1860" w:type="dxa"/>
            <w:vAlign w:val="bottom"/>
            <w:gridSpan w:val="2"/>
          </w:tcPr>
          <w:p>
            <w:pPr>
              <w:jc w:val="right"/>
              <w:ind w:right="200"/>
              <w:spacing w:after="0"/>
              <w:rPr>
                <w:sz w:val="20"/>
                <w:szCs w:val="20"/>
                <w:color w:val="auto"/>
              </w:rPr>
            </w:pPr>
            <w:r>
              <w:rPr>
                <w:rFonts w:ascii="Arial" w:cs="Arial" w:eastAsia="Arial" w:hAnsi="Arial"/>
                <w:sz w:val="20"/>
                <w:szCs w:val="20"/>
                <w:color w:val="auto"/>
              </w:rPr>
              <w:t>138</w:t>
            </w:r>
          </w:p>
        </w:tc>
        <w:tc>
          <w:tcPr>
            <w:tcW w:w="100" w:type="dxa"/>
            <w:vAlign w:val="bottom"/>
            <w:tcBorders>
              <w:right w:val="single" w:sz="8" w:color="auto"/>
            </w:tcBorders>
          </w:tcPr>
          <w:p>
            <w:pPr>
              <w:spacing w:after="0"/>
              <w:rPr>
                <w:sz w:val="20"/>
                <w:szCs w:val="20"/>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20"/>
                <w:szCs w:val="20"/>
                <w:color w:val="auto"/>
              </w:rPr>
              <w:t>147</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145</w:t>
            </w:r>
          </w:p>
        </w:tc>
        <w:tc>
          <w:tcPr>
            <w:tcW w:w="0" w:type="dxa"/>
            <w:vAlign w:val="bottom"/>
          </w:tcPr>
          <w:p>
            <w:pPr>
              <w:spacing w:after="0"/>
              <w:rPr>
                <w:sz w:val="1"/>
                <w:szCs w:val="1"/>
                <w:color w:val="auto"/>
              </w:rPr>
            </w:pPr>
          </w:p>
        </w:tc>
      </w:tr>
      <w:tr>
        <w:trPr>
          <w:trHeight w:val="240"/>
        </w:trPr>
        <w:tc>
          <w:tcPr>
            <w:tcW w:w="2320" w:type="dxa"/>
            <w:vAlign w:val="bottom"/>
          </w:tcPr>
          <w:p>
            <w:pPr>
              <w:jc w:val="right"/>
              <w:spacing w:after="0"/>
              <w:rPr>
                <w:sz w:val="20"/>
                <w:szCs w:val="20"/>
                <w:color w:val="auto"/>
              </w:rPr>
            </w:pPr>
            <w:r>
              <w:rPr>
                <w:rFonts w:ascii="Arial" w:cs="Arial" w:eastAsia="Arial" w:hAnsi="Arial"/>
                <w:sz w:val="20"/>
                <w:szCs w:val="20"/>
                <w:color w:val="auto"/>
              </w:rPr>
              <w:t>Los Angeles Basin . . . .</w:t>
            </w:r>
          </w:p>
        </w:tc>
        <w:tc>
          <w:tcPr>
            <w:tcW w:w="1040" w:type="dxa"/>
            <w:vAlign w:val="bottom"/>
          </w:tcPr>
          <w:p>
            <w:pPr>
              <w:jc w:val="right"/>
              <w:spacing w:after="0"/>
              <w:rPr>
                <w:sz w:val="20"/>
                <w:szCs w:val="20"/>
                <w:color w:val="auto"/>
              </w:rPr>
            </w:pPr>
            <w:r>
              <w:rPr>
                <w:rFonts w:ascii="Arial" w:cs="Arial" w:eastAsia="Arial" w:hAnsi="Arial"/>
                <w:sz w:val="20"/>
                <w:szCs w:val="20"/>
                <w:color w:val="auto"/>
              </w:rPr>
              <w:t>1</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1</w:t>
            </w:r>
          </w:p>
        </w:tc>
        <w:tc>
          <w:tcPr>
            <w:tcW w:w="1860" w:type="dxa"/>
            <w:vAlign w:val="bottom"/>
            <w:gridSpan w:val="2"/>
          </w:tcPr>
          <w:p>
            <w:pPr>
              <w:jc w:val="right"/>
              <w:ind w:right="200"/>
              <w:spacing w:after="0"/>
              <w:rPr>
                <w:sz w:val="20"/>
                <w:szCs w:val="20"/>
                <w:color w:val="auto"/>
              </w:rPr>
            </w:pPr>
            <w:r>
              <w:rPr>
                <w:rFonts w:ascii="Arial" w:cs="Arial" w:eastAsia="Arial" w:hAnsi="Arial"/>
                <w:sz w:val="20"/>
                <w:szCs w:val="20"/>
                <w:color w:val="auto"/>
              </w:rPr>
              <w:t>1</w:t>
            </w:r>
          </w:p>
        </w:tc>
        <w:tc>
          <w:tcPr>
            <w:tcW w:w="100" w:type="dxa"/>
            <w:vAlign w:val="bottom"/>
            <w:tcBorders>
              <w:right w:val="single" w:sz="8" w:color="auto"/>
            </w:tcBorders>
          </w:tcPr>
          <w:p>
            <w:pPr>
              <w:spacing w:after="0"/>
              <w:rPr>
                <w:sz w:val="20"/>
                <w:szCs w:val="20"/>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20"/>
                <w:szCs w:val="20"/>
                <w:color w:val="auto"/>
              </w:rPr>
              <w:t>2</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40"/>
        </w:trPr>
        <w:tc>
          <w:tcPr>
            <w:tcW w:w="2320" w:type="dxa"/>
            <w:vAlign w:val="bottom"/>
          </w:tcPr>
          <w:p>
            <w:pPr>
              <w:jc w:val="right"/>
              <w:spacing w:after="0"/>
              <w:rPr>
                <w:sz w:val="20"/>
                <w:szCs w:val="20"/>
                <w:color w:val="auto"/>
              </w:rPr>
            </w:pPr>
            <w:r>
              <w:rPr>
                <w:rFonts w:ascii="Arial" w:cs="Arial" w:eastAsia="Arial" w:hAnsi="Arial"/>
                <w:sz w:val="20"/>
                <w:szCs w:val="20"/>
                <w:color w:val="auto"/>
              </w:rPr>
              <w:t>Ventura Basin  . . . . . . .</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4</w:t>
            </w:r>
          </w:p>
        </w:tc>
        <w:tc>
          <w:tcPr>
            <w:tcW w:w="1860" w:type="dxa"/>
            <w:vAlign w:val="bottom"/>
            <w:gridSpan w:val="2"/>
          </w:tcPr>
          <w:p>
            <w:pPr>
              <w:jc w:val="right"/>
              <w:ind w:right="200"/>
              <w:spacing w:after="0"/>
              <w:rPr>
                <w:sz w:val="20"/>
                <w:szCs w:val="20"/>
                <w:color w:val="auto"/>
              </w:rPr>
            </w:pPr>
            <w:r>
              <w:rPr>
                <w:rFonts w:ascii="Arial" w:cs="Arial" w:eastAsia="Arial" w:hAnsi="Arial"/>
                <w:sz w:val="20"/>
                <w:szCs w:val="20"/>
                <w:color w:val="auto"/>
              </w:rPr>
              <w:t>3</w:t>
            </w:r>
          </w:p>
        </w:tc>
        <w:tc>
          <w:tcPr>
            <w:tcW w:w="100" w:type="dxa"/>
            <w:vAlign w:val="bottom"/>
            <w:tcBorders>
              <w:right w:val="single" w:sz="8" w:color="auto"/>
            </w:tcBorders>
          </w:tcPr>
          <w:p>
            <w:pPr>
              <w:spacing w:after="0"/>
              <w:rPr>
                <w:sz w:val="20"/>
                <w:szCs w:val="20"/>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20"/>
                <w:szCs w:val="20"/>
                <w:color w:val="auto"/>
              </w:rPr>
              <w:t>4</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40"/>
        </w:trPr>
        <w:tc>
          <w:tcPr>
            <w:tcW w:w="2320" w:type="dxa"/>
            <w:vAlign w:val="bottom"/>
          </w:tcPr>
          <w:p>
            <w:pPr>
              <w:jc w:val="right"/>
              <w:spacing w:after="0"/>
              <w:rPr>
                <w:sz w:val="20"/>
                <w:szCs w:val="20"/>
                <w:color w:val="auto"/>
              </w:rPr>
            </w:pPr>
            <w:r>
              <w:rPr>
                <w:rFonts w:ascii="Arial" w:cs="Arial" w:eastAsia="Arial" w:hAnsi="Arial"/>
                <w:sz w:val="20"/>
                <w:szCs w:val="20"/>
                <w:color w:val="auto"/>
              </w:rPr>
              <w:t>Sacramento Basin . . . .</w:t>
            </w:r>
          </w:p>
        </w:tc>
        <w:tc>
          <w:tcPr>
            <w:tcW w:w="1040" w:type="dxa"/>
            <w:vAlign w:val="bottom"/>
          </w:tcPr>
          <w:p>
            <w:pPr>
              <w:jc w:val="right"/>
              <w:spacing w:after="0"/>
              <w:rPr>
                <w:sz w:val="20"/>
                <w:szCs w:val="20"/>
                <w:color w:val="auto"/>
              </w:rPr>
            </w:pPr>
            <w:r>
              <w:rPr>
                <w:rFonts w:ascii="Arial" w:cs="Arial" w:eastAsia="Arial" w:hAnsi="Arial"/>
                <w:sz w:val="20"/>
                <w:szCs w:val="20"/>
                <w:color w:val="auto"/>
              </w:rPr>
              <w:t>17</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19</w:t>
            </w:r>
          </w:p>
        </w:tc>
        <w:tc>
          <w:tcPr>
            <w:tcW w:w="1860" w:type="dxa"/>
            <w:vAlign w:val="bottom"/>
            <w:gridSpan w:val="2"/>
          </w:tcPr>
          <w:p>
            <w:pPr>
              <w:jc w:val="right"/>
              <w:ind w:right="200"/>
              <w:spacing w:after="0"/>
              <w:rPr>
                <w:sz w:val="20"/>
                <w:szCs w:val="20"/>
                <w:color w:val="auto"/>
              </w:rPr>
            </w:pPr>
            <w:r>
              <w:rPr>
                <w:rFonts w:ascii="Arial" w:cs="Arial" w:eastAsia="Arial" w:hAnsi="Arial"/>
                <w:sz w:val="20"/>
                <w:szCs w:val="20"/>
                <w:color w:val="auto"/>
              </w:rPr>
              <w:t>23</w:t>
            </w:r>
          </w:p>
        </w:tc>
        <w:tc>
          <w:tcPr>
            <w:tcW w:w="100" w:type="dxa"/>
            <w:vAlign w:val="bottom"/>
            <w:tcBorders>
              <w:right w:val="single" w:sz="8" w:color="auto"/>
            </w:tcBorders>
          </w:tcPr>
          <w:p>
            <w:pPr>
              <w:spacing w:after="0"/>
              <w:rPr>
                <w:sz w:val="20"/>
                <w:szCs w:val="20"/>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20"/>
                <w:szCs w:val="20"/>
                <w:color w:val="auto"/>
              </w:rPr>
              <w:t>21</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30"/>
        </w:trPr>
        <w:tc>
          <w:tcPr>
            <w:tcW w:w="23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320" w:type="dxa"/>
            <w:vAlign w:val="bottom"/>
          </w:tcPr>
          <w:p>
            <w:pPr>
              <w:jc w:val="right"/>
              <w:spacing w:after="0"/>
              <w:rPr>
                <w:sz w:val="20"/>
                <w:szCs w:val="20"/>
                <w:color w:val="auto"/>
              </w:rPr>
            </w:pPr>
            <w:r>
              <w:rPr>
                <w:rFonts w:ascii="Arial" w:cs="Arial" w:eastAsia="Arial" w:hAnsi="Arial"/>
                <w:sz w:val="20"/>
                <w:szCs w:val="20"/>
                <w:color w:val="auto"/>
              </w:rPr>
              <w:t>Total  . . . . . . . . . . . . .</w:t>
            </w:r>
          </w:p>
        </w:tc>
        <w:tc>
          <w:tcPr>
            <w:tcW w:w="1040" w:type="dxa"/>
            <w:vAlign w:val="bottom"/>
          </w:tcPr>
          <w:p>
            <w:pPr>
              <w:jc w:val="right"/>
              <w:spacing w:after="0"/>
              <w:rPr>
                <w:sz w:val="20"/>
                <w:szCs w:val="20"/>
                <w:color w:val="auto"/>
              </w:rPr>
            </w:pPr>
            <w:r>
              <w:rPr>
                <w:rFonts w:ascii="Arial" w:cs="Arial" w:eastAsia="Arial" w:hAnsi="Arial"/>
                <w:sz w:val="20"/>
                <w:szCs w:val="20"/>
                <w:color w:val="auto"/>
              </w:rPr>
              <w:t>147</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159</w:t>
            </w:r>
          </w:p>
        </w:tc>
        <w:tc>
          <w:tcPr>
            <w:tcW w:w="1860" w:type="dxa"/>
            <w:vAlign w:val="bottom"/>
            <w:gridSpan w:val="2"/>
          </w:tcPr>
          <w:p>
            <w:pPr>
              <w:jc w:val="right"/>
              <w:ind w:right="200"/>
              <w:spacing w:after="0"/>
              <w:rPr>
                <w:sz w:val="20"/>
                <w:szCs w:val="20"/>
                <w:color w:val="auto"/>
              </w:rPr>
            </w:pPr>
            <w:r>
              <w:rPr>
                <w:rFonts w:ascii="Arial" w:cs="Arial" w:eastAsia="Arial" w:hAnsi="Arial"/>
                <w:sz w:val="20"/>
                <w:szCs w:val="20"/>
                <w:color w:val="auto"/>
              </w:rPr>
              <w:t>165</w:t>
            </w:r>
          </w:p>
        </w:tc>
        <w:tc>
          <w:tcPr>
            <w:tcW w:w="100" w:type="dxa"/>
            <w:vAlign w:val="bottom"/>
            <w:tcBorders>
              <w:right w:val="single" w:sz="8" w:color="auto"/>
            </w:tcBorders>
          </w:tcPr>
          <w:p>
            <w:pPr>
              <w:spacing w:after="0"/>
              <w:rPr>
                <w:sz w:val="23"/>
                <w:szCs w:val="23"/>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20"/>
                <w:szCs w:val="20"/>
                <w:color w:val="auto"/>
              </w:rPr>
              <w:t>174</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172</w:t>
            </w:r>
          </w:p>
        </w:tc>
        <w:tc>
          <w:tcPr>
            <w:tcW w:w="0" w:type="dxa"/>
            <w:vAlign w:val="bottom"/>
          </w:tcPr>
          <w:p>
            <w:pPr>
              <w:spacing w:after="0"/>
              <w:rPr>
                <w:sz w:val="1"/>
                <w:szCs w:val="1"/>
                <w:color w:val="auto"/>
              </w:rPr>
            </w:pPr>
          </w:p>
        </w:tc>
      </w:tr>
      <w:tr>
        <w:trPr>
          <w:trHeight w:val="188"/>
        </w:trPr>
        <w:tc>
          <w:tcPr>
            <w:tcW w:w="2320" w:type="dxa"/>
            <w:vAlign w:val="bottom"/>
            <w:vMerge w:val="restart"/>
          </w:tcPr>
          <w:p>
            <w:pPr>
              <w:spacing w:after="0"/>
              <w:rPr>
                <w:sz w:val="20"/>
                <w:szCs w:val="20"/>
                <w:color w:val="auto"/>
              </w:rPr>
            </w:pPr>
            <w:r>
              <w:rPr>
                <w:rFonts w:ascii="Arial" w:cs="Arial" w:eastAsia="Arial" w:hAnsi="Arial"/>
                <w:sz w:val="20"/>
                <w:szCs w:val="20"/>
                <w:b w:val="1"/>
                <w:bCs w:val="1"/>
                <w:color w:val="auto"/>
              </w:rPr>
              <w:t>Total Daily Net</w:t>
            </w:r>
          </w:p>
        </w:tc>
        <w:tc>
          <w:tcPr>
            <w:tcW w:w="10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2320" w:type="dxa"/>
            <w:vAlign w:val="bottom"/>
            <w:vMerge w:val="continue"/>
          </w:tcPr>
          <w:p>
            <w:pPr>
              <w:spacing w:after="0"/>
              <w:rPr>
                <w:sz w:val="23"/>
                <w:szCs w:val="23"/>
                <w:color w:val="auto"/>
              </w:rPr>
            </w:pPr>
          </w:p>
        </w:tc>
        <w:tc>
          <w:tcPr>
            <w:tcW w:w="10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320" w:type="dxa"/>
            <w:vAlign w:val="bottom"/>
          </w:tcPr>
          <w:p>
            <w:pPr>
              <w:jc w:val="right"/>
              <w:spacing w:after="0"/>
              <w:rPr>
                <w:sz w:val="20"/>
                <w:szCs w:val="20"/>
                <w:color w:val="auto"/>
              </w:rPr>
            </w:pPr>
            <w:r>
              <w:rPr>
                <w:rFonts w:ascii="Arial" w:cs="Arial" w:eastAsia="Arial" w:hAnsi="Arial"/>
                <w:sz w:val="20"/>
                <w:szCs w:val="20"/>
                <w:b w:val="1"/>
                <w:bCs w:val="1"/>
                <w:color w:val="auto"/>
                <w:w w:val="98"/>
              </w:rPr>
              <w:t xml:space="preserve">Production (MBoe/d) </w:t>
            </w:r>
            <w:r>
              <w:rPr>
                <w:rFonts w:ascii="Arial" w:cs="Arial" w:eastAsia="Arial" w:hAnsi="Arial"/>
                <w:sz w:val="20"/>
                <w:szCs w:val="20"/>
                <w:color w:val="auto"/>
                <w:w w:val="98"/>
              </w:rPr>
              <w:t>. . .</w:t>
            </w:r>
          </w:p>
        </w:tc>
        <w:tc>
          <w:tcPr>
            <w:tcW w:w="1040" w:type="dxa"/>
            <w:vAlign w:val="bottom"/>
          </w:tcPr>
          <w:p>
            <w:pPr>
              <w:jc w:val="right"/>
              <w:spacing w:after="0"/>
              <w:rPr>
                <w:sz w:val="20"/>
                <w:szCs w:val="20"/>
                <w:color w:val="auto"/>
              </w:rPr>
            </w:pPr>
            <w:r>
              <w:rPr>
                <w:rFonts w:ascii="Arial" w:cs="Arial" w:eastAsia="Arial" w:hAnsi="Arial"/>
                <w:sz w:val="20"/>
                <w:szCs w:val="20"/>
                <w:color w:val="auto"/>
              </w:rPr>
              <w:t>91</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100</w:t>
            </w:r>
          </w:p>
        </w:tc>
        <w:tc>
          <w:tcPr>
            <w:tcW w:w="1860" w:type="dxa"/>
            <w:vAlign w:val="bottom"/>
            <w:gridSpan w:val="2"/>
          </w:tcPr>
          <w:p>
            <w:pPr>
              <w:jc w:val="right"/>
              <w:ind w:right="200"/>
              <w:spacing w:after="0"/>
              <w:rPr>
                <w:sz w:val="20"/>
                <w:szCs w:val="20"/>
                <w:color w:val="auto"/>
              </w:rPr>
            </w:pPr>
            <w:r>
              <w:rPr>
                <w:rFonts w:ascii="Arial" w:cs="Arial" w:eastAsia="Arial" w:hAnsi="Arial"/>
                <w:sz w:val="20"/>
                <w:szCs w:val="20"/>
                <w:color w:val="auto"/>
              </w:rPr>
              <w:t>103</w:t>
            </w:r>
          </w:p>
        </w:tc>
        <w:tc>
          <w:tcPr>
            <w:tcW w:w="100" w:type="dxa"/>
            <w:vAlign w:val="bottom"/>
            <w:tcBorders>
              <w:right w:val="single" w:sz="8" w:color="auto"/>
            </w:tcBorders>
          </w:tcPr>
          <w:p>
            <w:pPr>
              <w:spacing w:after="0"/>
              <w:rPr>
                <w:sz w:val="20"/>
                <w:szCs w:val="20"/>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20"/>
                <w:szCs w:val="20"/>
                <w:color w:val="auto"/>
              </w:rPr>
              <w:t>112</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111</w:t>
            </w:r>
          </w:p>
        </w:tc>
        <w:tc>
          <w:tcPr>
            <w:tcW w:w="0" w:type="dxa"/>
            <w:vAlign w:val="bottom"/>
          </w:tcPr>
          <w:p>
            <w:pPr>
              <w:spacing w:after="0"/>
              <w:rPr>
                <w:sz w:val="1"/>
                <w:szCs w:val="1"/>
                <w:color w:val="auto"/>
              </w:rPr>
            </w:pPr>
          </w:p>
        </w:tc>
      </w:tr>
      <w:tr>
        <w:trPr>
          <w:trHeight w:val="28"/>
        </w:trPr>
        <w:tc>
          <w:tcPr>
            <w:tcW w:w="23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316" w:right="138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ectPr>
          <w:pgSz w:w="11880" w:h="15480" w:orient="portrait"/>
          <w:cols w:equalWidth="0" w:num="1">
            <w:col w:w="9120"/>
          </w:cols>
          <w:pgMar w:left="1380" w:top="1316" w:right="1380" w:bottom="653" w:gutter="0" w:footer="0" w:header="0"/>
          <w:type w:val="continuous"/>
        </w:sectPr>
      </w:pPr>
    </w:p>
    <w:bookmarkStart w:id="71" w:name="page72"/>
    <w:bookmarkEnd w:id="71"/>
    <w:p>
      <w:pPr>
        <w:ind w:right="740" w:firstLine="300"/>
        <w:spacing w:after="0" w:line="243" w:lineRule="auto"/>
        <w:rPr>
          <w:sz w:val="20"/>
          <w:szCs w:val="20"/>
          <w:color w:val="auto"/>
        </w:rPr>
      </w:pPr>
      <w:r>
        <w:rPr>
          <w:rFonts w:ascii="Arial" w:cs="Arial" w:eastAsia="Arial" w:hAnsi="Arial"/>
          <w:sz w:val="20"/>
          <w:szCs w:val="20"/>
          <w:color w:val="auto"/>
        </w:rPr>
        <w:t>The following table summarizes the changes to our total daily net production for each period presented: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60" w:type="dxa"/>
            <w:vAlign w:val="bottom"/>
            <w:gridSpan w:val="3"/>
          </w:tcPr>
          <w:p>
            <w:pPr>
              <w:jc w:val="right"/>
              <w:ind w:right="560"/>
              <w:spacing w:after="0"/>
              <w:rPr>
                <w:sz w:val="20"/>
                <w:szCs w:val="20"/>
                <w:color w:val="auto"/>
              </w:rPr>
            </w:pPr>
            <w:r>
              <w:rPr>
                <w:rFonts w:ascii="Arial" w:cs="Arial" w:eastAsia="Arial" w:hAnsi="Arial"/>
                <w:sz w:val="20"/>
                <w:szCs w:val="20"/>
                <w:b w:val="1"/>
                <w:bCs w:val="1"/>
                <w:color w:val="auto"/>
              </w:rPr>
              <w:t>Year ended</w:t>
            </w:r>
          </w:p>
        </w:tc>
        <w:tc>
          <w:tcPr>
            <w:tcW w:w="40" w:type="dxa"/>
            <w:vAlign w:val="bottom"/>
          </w:tcPr>
          <w:p>
            <w:pPr>
              <w:spacing w:after="0"/>
              <w:rPr>
                <w:sz w:val="19"/>
                <w:szCs w:val="19"/>
                <w:color w:val="auto"/>
              </w:rPr>
            </w:pPr>
          </w:p>
        </w:tc>
        <w:tc>
          <w:tcPr>
            <w:tcW w:w="1800" w:type="dxa"/>
            <w:vAlign w:val="bottom"/>
            <w:gridSpan w:val="3"/>
          </w:tcPr>
          <w:p>
            <w:pPr>
              <w:jc w:val="right"/>
              <w:ind w:right="400"/>
              <w:spacing w:after="0"/>
              <w:rPr>
                <w:sz w:val="20"/>
                <w:szCs w:val="20"/>
                <w:color w:val="auto"/>
              </w:rPr>
            </w:pPr>
            <w:r>
              <w:rPr>
                <w:rFonts w:ascii="Arial" w:cs="Arial" w:eastAsia="Arial" w:hAnsi="Arial"/>
                <w:sz w:val="20"/>
                <w:szCs w:val="20"/>
                <w:b w:val="1"/>
                <w:bCs w:val="1"/>
                <w:color w:val="auto"/>
              </w:rPr>
              <w:t>Year ended</w:t>
            </w:r>
          </w:p>
        </w:tc>
      </w:tr>
      <w:tr>
        <w:trPr>
          <w:trHeight w:val="228"/>
        </w:trPr>
        <w:tc>
          <w:tcPr>
            <w:tcW w:w="5320" w:type="dxa"/>
            <w:vAlign w:val="bottom"/>
          </w:tcPr>
          <w:p>
            <w:pPr>
              <w:spacing w:after="0"/>
              <w:rPr>
                <w:sz w:val="19"/>
                <w:szCs w:val="19"/>
                <w:color w:val="auto"/>
              </w:rPr>
            </w:pPr>
          </w:p>
        </w:tc>
        <w:tc>
          <w:tcPr>
            <w:tcW w:w="2000" w:type="dxa"/>
            <w:vAlign w:val="bottom"/>
            <w:gridSpan w:val="4"/>
          </w:tcPr>
          <w:p>
            <w:pPr>
              <w:jc w:val="right"/>
              <w:ind w:right="200"/>
              <w:spacing w:after="0" w:line="228" w:lineRule="exact"/>
              <w:rPr>
                <w:sz w:val="20"/>
                <w:szCs w:val="20"/>
                <w:color w:val="auto"/>
              </w:rPr>
            </w:pPr>
            <w:r>
              <w:rPr>
                <w:rFonts w:ascii="Arial" w:cs="Arial" w:eastAsia="Arial" w:hAnsi="Arial"/>
                <w:sz w:val="20"/>
                <w:szCs w:val="20"/>
                <w:b w:val="1"/>
                <w:bCs w:val="1"/>
                <w:color w:val="auto"/>
                <w:w w:val="98"/>
              </w:rPr>
              <w:t>December 31, 2022</w:t>
            </w:r>
          </w:p>
        </w:tc>
        <w:tc>
          <w:tcPr>
            <w:tcW w:w="1840" w:type="dxa"/>
            <w:vAlign w:val="bottom"/>
            <w:gridSpan w:val="4"/>
          </w:tcPr>
          <w:p>
            <w:pPr>
              <w:jc w:val="right"/>
              <w:ind w:right="40"/>
              <w:spacing w:after="0" w:line="228" w:lineRule="exact"/>
              <w:rPr>
                <w:sz w:val="20"/>
                <w:szCs w:val="20"/>
                <w:color w:val="auto"/>
              </w:rPr>
            </w:pPr>
            <w:r>
              <w:rPr>
                <w:rFonts w:ascii="Arial" w:cs="Arial" w:eastAsia="Arial" w:hAnsi="Arial"/>
                <w:sz w:val="20"/>
                <w:szCs w:val="20"/>
                <w:b w:val="1"/>
                <w:bCs w:val="1"/>
                <w:color w:val="auto"/>
                <w:w w:val="98"/>
              </w:rPr>
              <w:t>December 31, 2021</w:t>
            </w:r>
          </w:p>
        </w:tc>
      </w:tr>
      <w:tr>
        <w:trPr>
          <w:trHeight w:val="20"/>
        </w:trPr>
        <w:tc>
          <w:tcPr>
            <w:tcW w:w="53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5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0" w:type="dxa"/>
            <w:vAlign w:val="bottom"/>
            <w:gridSpan w:val="7"/>
          </w:tcPr>
          <w:p>
            <w:pPr>
              <w:jc w:val="right"/>
              <w:ind w:right="1520"/>
              <w:spacing w:after="0"/>
              <w:rPr>
                <w:sz w:val="20"/>
                <w:szCs w:val="20"/>
                <w:color w:val="auto"/>
              </w:rPr>
            </w:pPr>
            <w:r>
              <w:rPr>
                <w:rFonts w:ascii="Arial" w:cs="Arial" w:eastAsia="Arial" w:hAnsi="Arial"/>
                <w:sz w:val="16"/>
                <w:szCs w:val="16"/>
                <w:color w:val="auto"/>
              </w:rPr>
              <w:t>(in MBoe/d)</w:t>
            </w:r>
          </w:p>
        </w:tc>
      </w:tr>
      <w:tr>
        <w:trPr>
          <w:trHeight w:val="248"/>
        </w:trPr>
        <w:tc>
          <w:tcPr>
            <w:tcW w:w="5320" w:type="dxa"/>
            <w:vAlign w:val="bottom"/>
          </w:tcPr>
          <w:p>
            <w:pPr>
              <w:jc w:val="right"/>
              <w:ind w:right="100"/>
              <w:spacing w:after="0"/>
              <w:rPr>
                <w:sz w:val="20"/>
                <w:szCs w:val="20"/>
                <w:color w:val="auto"/>
              </w:rPr>
            </w:pPr>
            <w:r>
              <w:rPr>
                <w:rFonts w:ascii="Arial" w:cs="Arial" w:eastAsia="Arial" w:hAnsi="Arial"/>
                <w:sz w:val="20"/>
                <w:szCs w:val="20"/>
                <w:color w:val="auto"/>
                <w:w w:val="97"/>
              </w:rPr>
              <w:t>Beginning of the year . . . . . . . . . . . . . . . . . . . . . . . . . . . . . .</w:t>
            </w:r>
          </w:p>
        </w:tc>
        <w:tc>
          <w:tcPr>
            <w:tcW w:w="1800" w:type="dxa"/>
            <w:vAlign w:val="bottom"/>
            <w:gridSpan w:val="3"/>
          </w:tcPr>
          <w:p>
            <w:pPr>
              <w:jc w:val="right"/>
              <w:ind w:right="40"/>
              <w:spacing w:after="0"/>
              <w:rPr>
                <w:sz w:val="20"/>
                <w:szCs w:val="20"/>
                <w:color w:val="auto"/>
              </w:rPr>
            </w:pPr>
            <w:r>
              <w:rPr>
                <w:rFonts w:ascii="Arial" w:cs="Arial" w:eastAsia="Arial" w:hAnsi="Arial"/>
                <w:sz w:val="20"/>
                <w:szCs w:val="20"/>
                <w:color w:val="auto"/>
              </w:rPr>
              <w:t>100</w:t>
            </w:r>
          </w:p>
        </w:tc>
        <w:tc>
          <w:tcPr>
            <w:tcW w:w="200" w:type="dxa"/>
            <w:vAlign w:val="bottom"/>
          </w:tcPr>
          <w:p>
            <w:pPr>
              <w:spacing w:after="0"/>
              <w:rPr>
                <w:sz w:val="21"/>
                <w:szCs w:val="21"/>
                <w:color w:val="auto"/>
              </w:rPr>
            </w:pPr>
          </w:p>
        </w:tc>
        <w:tc>
          <w:tcPr>
            <w:tcW w:w="1800" w:type="dxa"/>
            <w:vAlign w:val="bottom"/>
            <w:gridSpan w:val="3"/>
          </w:tcPr>
          <w:p>
            <w:pPr>
              <w:jc w:val="right"/>
              <w:ind w:right="40"/>
              <w:spacing w:after="0"/>
              <w:rPr>
                <w:sz w:val="20"/>
                <w:szCs w:val="20"/>
                <w:color w:val="auto"/>
              </w:rPr>
            </w:pPr>
            <w:r>
              <w:rPr>
                <w:rFonts w:ascii="Arial" w:cs="Arial" w:eastAsia="Arial" w:hAnsi="Arial"/>
                <w:sz w:val="20"/>
                <w:szCs w:val="20"/>
                <w:color w:val="auto"/>
              </w:rPr>
              <w:t>111</w:t>
            </w:r>
          </w:p>
        </w:tc>
        <w:tc>
          <w:tcPr>
            <w:tcW w:w="40" w:type="dxa"/>
            <w:vAlign w:val="bottom"/>
          </w:tcPr>
          <w:p>
            <w:pPr>
              <w:spacing w:after="0"/>
              <w:rPr>
                <w:sz w:val="21"/>
                <w:szCs w:val="21"/>
                <w:color w:val="auto"/>
              </w:rPr>
            </w:pPr>
          </w:p>
        </w:tc>
      </w:tr>
      <w:tr>
        <w:trPr>
          <w:trHeight w:val="256"/>
        </w:trPr>
        <w:tc>
          <w:tcPr>
            <w:tcW w:w="5320" w:type="dxa"/>
            <w:vAlign w:val="bottom"/>
          </w:tcPr>
          <w:p>
            <w:pPr>
              <w:jc w:val="right"/>
              <w:ind w:right="100"/>
              <w:spacing w:after="0" w:line="256" w:lineRule="exact"/>
              <w:rPr>
                <w:sz w:val="20"/>
                <w:szCs w:val="20"/>
                <w:color w:val="auto"/>
              </w:rPr>
            </w:pPr>
            <w:r>
              <w:rPr>
                <w:rFonts w:ascii="Arial" w:cs="Arial" w:eastAsia="Arial" w:hAnsi="Arial"/>
                <w:sz w:val="20"/>
                <w:szCs w:val="20"/>
                <w:color w:val="auto"/>
                <w:w w:val="94"/>
              </w:rPr>
              <w:t>Divestitures</w:t>
            </w:r>
            <w:r>
              <w:rPr>
                <w:rFonts w:ascii="Arial" w:cs="Arial" w:eastAsia="Arial" w:hAnsi="Arial"/>
                <w:sz w:val="26"/>
                <w:szCs w:val="26"/>
                <w:color w:val="auto"/>
                <w:w w:val="94"/>
                <w:vertAlign w:val="superscript"/>
              </w:rPr>
              <w:t>(a)</w:t>
            </w:r>
            <w:r>
              <w:rPr>
                <w:rFonts w:ascii="Arial" w:cs="Arial" w:eastAsia="Arial" w:hAnsi="Arial"/>
                <w:sz w:val="20"/>
                <w:szCs w:val="20"/>
                <w:color w:val="auto"/>
                <w:w w:val="94"/>
              </w:rPr>
              <w:t xml:space="preserve">   . . . . . . . . . . . . . . . . . . . . . . . . . . . . . . . . . . . .</w:t>
            </w:r>
          </w:p>
        </w:tc>
        <w:tc>
          <w:tcPr>
            <w:tcW w:w="2000" w:type="dxa"/>
            <w:vAlign w:val="bottom"/>
            <w:gridSpan w:val="4"/>
          </w:tcPr>
          <w:p>
            <w:pPr>
              <w:jc w:val="right"/>
              <w:ind w:right="160"/>
              <w:spacing w:after="0"/>
              <w:rPr>
                <w:sz w:val="20"/>
                <w:szCs w:val="20"/>
                <w:color w:val="auto"/>
              </w:rPr>
            </w:pPr>
            <w:r>
              <w:rPr>
                <w:rFonts w:ascii="Arial" w:cs="Arial" w:eastAsia="Arial" w:hAnsi="Arial"/>
                <w:sz w:val="20"/>
                <w:szCs w:val="20"/>
                <w:color w:val="auto"/>
              </w:rPr>
              <w:t>(5)</w:t>
            </w:r>
          </w:p>
        </w:tc>
        <w:tc>
          <w:tcPr>
            <w:tcW w:w="1840" w:type="dxa"/>
            <w:vAlign w:val="bottom"/>
            <w:gridSpan w:val="4"/>
          </w:tcPr>
          <w:p>
            <w:pPr>
              <w:jc w:val="right"/>
              <w:spacing w:after="0"/>
              <w:rPr>
                <w:sz w:val="20"/>
                <w:szCs w:val="20"/>
                <w:color w:val="auto"/>
              </w:rPr>
            </w:pPr>
            <w:r>
              <w:rPr>
                <w:rFonts w:ascii="Arial" w:cs="Arial" w:eastAsia="Arial" w:hAnsi="Arial"/>
                <w:sz w:val="20"/>
                <w:szCs w:val="20"/>
                <w:color w:val="auto"/>
              </w:rPr>
              <w:t>(1)</w:t>
            </w:r>
          </w:p>
        </w:tc>
      </w:tr>
      <w:tr>
        <w:trPr>
          <w:trHeight w:val="240"/>
        </w:trPr>
        <w:tc>
          <w:tcPr>
            <w:tcW w:w="5320" w:type="dxa"/>
            <w:vAlign w:val="bottom"/>
          </w:tcPr>
          <w:p>
            <w:pPr>
              <w:jc w:val="right"/>
              <w:ind w:right="100"/>
              <w:spacing w:after="0" w:line="240" w:lineRule="exact"/>
              <w:rPr>
                <w:sz w:val="20"/>
                <w:szCs w:val="20"/>
                <w:color w:val="auto"/>
              </w:rPr>
            </w:pPr>
            <w:r>
              <w:rPr>
                <w:rFonts w:ascii="Arial" w:cs="Arial" w:eastAsia="Arial" w:hAnsi="Arial"/>
                <w:sz w:val="20"/>
                <w:szCs w:val="20"/>
                <w:color w:val="auto"/>
                <w:w w:val="95"/>
              </w:rPr>
              <w:t>Plant downtime</w:t>
            </w:r>
            <w:r>
              <w:rPr>
                <w:rFonts w:ascii="Arial" w:cs="Arial" w:eastAsia="Arial" w:hAnsi="Arial"/>
                <w:sz w:val="26"/>
                <w:szCs w:val="26"/>
                <w:color w:val="auto"/>
                <w:w w:val="95"/>
                <w:vertAlign w:val="superscript"/>
              </w:rPr>
              <w:t>(b)</w:t>
            </w:r>
            <w:r>
              <w:rPr>
                <w:rFonts w:ascii="Arial" w:cs="Arial" w:eastAsia="Arial" w:hAnsi="Arial"/>
                <w:sz w:val="20"/>
                <w:szCs w:val="20"/>
                <w:color w:val="auto"/>
                <w:w w:val="95"/>
              </w:rPr>
              <w:t xml:space="preserve">   . . . . . . . . . . . . . . . . . . . . . . . . . . . . . . . . .</w:t>
            </w:r>
          </w:p>
        </w:tc>
        <w:tc>
          <w:tcPr>
            <w:tcW w:w="2000" w:type="dxa"/>
            <w:vAlign w:val="bottom"/>
            <w:gridSpan w:val="4"/>
          </w:tcPr>
          <w:p>
            <w:pPr>
              <w:jc w:val="right"/>
              <w:ind w:right="160"/>
              <w:spacing w:after="0" w:line="224" w:lineRule="exact"/>
              <w:rPr>
                <w:sz w:val="20"/>
                <w:szCs w:val="20"/>
                <w:color w:val="auto"/>
              </w:rPr>
            </w:pPr>
            <w:r>
              <w:rPr>
                <w:rFonts w:ascii="Arial" w:cs="Arial" w:eastAsia="Arial" w:hAnsi="Arial"/>
                <w:sz w:val="20"/>
                <w:szCs w:val="20"/>
                <w:color w:val="auto"/>
              </w:rPr>
              <w:t>(1)</w:t>
            </w:r>
          </w:p>
        </w:tc>
        <w:tc>
          <w:tcPr>
            <w:tcW w:w="40" w:type="dxa"/>
            <w:vAlign w:val="bottom"/>
          </w:tcPr>
          <w:p>
            <w:pPr>
              <w:spacing w:after="0"/>
              <w:rPr>
                <w:sz w:val="20"/>
                <w:szCs w:val="20"/>
                <w:color w:val="auto"/>
              </w:rPr>
            </w:pPr>
          </w:p>
        </w:tc>
        <w:tc>
          <w:tcPr>
            <w:tcW w:w="1800" w:type="dxa"/>
            <w:vAlign w:val="bottom"/>
            <w:gridSpan w:val="3"/>
          </w:tcPr>
          <w:p>
            <w:pPr>
              <w:jc w:val="right"/>
              <w:ind w:right="80"/>
              <w:spacing w:after="0" w:line="224" w:lineRule="exact"/>
              <w:rPr>
                <w:sz w:val="20"/>
                <w:szCs w:val="20"/>
                <w:color w:val="auto"/>
              </w:rPr>
            </w:pPr>
            <w:r>
              <w:rPr>
                <w:rFonts w:ascii="Arial" w:cs="Arial" w:eastAsia="Arial" w:hAnsi="Arial"/>
                <w:sz w:val="20"/>
                <w:szCs w:val="20"/>
                <w:color w:val="auto"/>
              </w:rPr>
              <w:t>—</w:t>
            </w:r>
          </w:p>
        </w:tc>
      </w:tr>
      <w:tr>
        <w:trPr>
          <w:trHeight w:val="240"/>
        </w:trPr>
        <w:tc>
          <w:tcPr>
            <w:tcW w:w="5320" w:type="dxa"/>
            <w:vAlign w:val="bottom"/>
          </w:tcPr>
          <w:p>
            <w:pPr>
              <w:jc w:val="right"/>
              <w:ind w:right="100"/>
              <w:spacing w:after="0" w:line="240" w:lineRule="exact"/>
              <w:rPr>
                <w:sz w:val="20"/>
                <w:szCs w:val="20"/>
                <w:color w:val="auto"/>
              </w:rPr>
            </w:pPr>
            <w:r>
              <w:rPr>
                <w:rFonts w:ascii="Arial" w:cs="Arial" w:eastAsia="Arial" w:hAnsi="Arial"/>
                <w:sz w:val="20"/>
                <w:szCs w:val="20"/>
                <w:color w:val="auto"/>
                <w:w w:val="95"/>
              </w:rPr>
              <w:t>Acquisitions</w:t>
            </w:r>
            <w:r>
              <w:rPr>
                <w:rFonts w:ascii="Arial" w:cs="Arial" w:eastAsia="Arial" w:hAnsi="Arial"/>
                <w:sz w:val="26"/>
                <w:szCs w:val="26"/>
                <w:color w:val="auto"/>
                <w:w w:val="95"/>
                <w:vertAlign w:val="superscript"/>
              </w:rPr>
              <w:t>(a)</w:t>
            </w:r>
            <w:r>
              <w:rPr>
                <w:rFonts w:ascii="Arial" w:cs="Arial" w:eastAsia="Arial" w:hAnsi="Arial"/>
                <w:sz w:val="20"/>
                <w:szCs w:val="20"/>
                <w:color w:val="auto"/>
                <w:w w:val="95"/>
              </w:rPr>
              <w:t xml:space="preserve">  . . . . . . . . . . . . . . . . . . . . . . . . . . . . . . . . . . . .</w:t>
            </w:r>
          </w:p>
        </w:tc>
        <w:tc>
          <w:tcPr>
            <w:tcW w:w="1760" w:type="dxa"/>
            <w:vAlign w:val="bottom"/>
            <w:gridSpan w:val="2"/>
          </w:tcPr>
          <w:p>
            <w:pPr>
              <w:jc w:val="right"/>
              <w:spacing w:after="0" w:line="224" w:lineRule="exact"/>
              <w:rPr>
                <w:sz w:val="20"/>
                <w:szCs w:val="20"/>
                <w:color w:val="auto"/>
              </w:rPr>
            </w:pPr>
            <w:r>
              <w:rPr>
                <w:rFonts w:ascii="Arial" w:cs="Arial" w:eastAsia="Arial" w:hAnsi="Arial"/>
                <w:sz w:val="20"/>
                <w:szCs w:val="20"/>
                <w:color w:val="auto"/>
              </w:rPr>
              <w:t>1</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gridSpan w:val="3"/>
          </w:tcPr>
          <w:p>
            <w:pPr>
              <w:jc w:val="right"/>
              <w:ind w:right="40"/>
              <w:spacing w:after="0" w:line="224" w:lineRule="exact"/>
              <w:rPr>
                <w:sz w:val="20"/>
                <w:szCs w:val="20"/>
                <w:color w:val="auto"/>
              </w:rPr>
            </w:pPr>
            <w:r>
              <w:rPr>
                <w:rFonts w:ascii="Arial" w:cs="Arial" w:eastAsia="Arial" w:hAnsi="Arial"/>
                <w:sz w:val="20"/>
                <w:szCs w:val="20"/>
                <w:color w:val="auto"/>
              </w:rPr>
              <w:t>1</w:t>
            </w:r>
          </w:p>
        </w:tc>
        <w:tc>
          <w:tcPr>
            <w:tcW w:w="40" w:type="dxa"/>
            <w:vAlign w:val="bottom"/>
          </w:tcPr>
          <w:p>
            <w:pPr>
              <w:spacing w:after="0"/>
              <w:rPr>
                <w:sz w:val="20"/>
                <w:szCs w:val="20"/>
                <w:color w:val="auto"/>
              </w:rPr>
            </w:pPr>
          </w:p>
        </w:tc>
      </w:tr>
      <w:tr>
        <w:trPr>
          <w:trHeight w:val="224"/>
        </w:trPr>
        <w:tc>
          <w:tcPr>
            <w:tcW w:w="5320" w:type="dxa"/>
            <w:vAlign w:val="bottom"/>
          </w:tcPr>
          <w:p>
            <w:pPr>
              <w:jc w:val="right"/>
              <w:ind w:right="100"/>
              <w:spacing w:after="0" w:line="224" w:lineRule="exact"/>
              <w:rPr>
                <w:sz w:val="20"/>
                <w:szCs w:val="20"/>
                <w:color w:val="auto"/>
              </w:rPr>
            </w:pPr>
            <w:r>
              <w:rPr>
                <w:rFonts w:ascii="Arial" w:cs="Arial" w:eastAsia="Arial" w:hAnsi="Arial"/>
                <w:sz w:val="20"/>
                <w:szCs w:val="20"/>
                <w:color w:val="auto"/>
                <w:w w:val="96"/>
              </w:rPr>
              <w:t>PSC effect . . . . . . . . . . . . . . . . . . . . . . . . . . . . . . . . . . . . . . .</w:t>
            </w:r>
          </w:p>
        </w:tc>
        <w:tc>
          <w:tcPr>
            <w:tcW w:w="40" w:type="dxa"/>
            <w:vAlign w:val="bottom"/>
          </w:tcPr>
          <w:p>
            <w:pPr>
              <w:spacing w:after="0"/>
              <w:rPr>
                <w:sz w:val="19"/>
                <w:szCs w:val="19"/>
                <w:color w:val="auto"/>
              </w:rPr>
            </w:pPr>
          </w:p>
        </w:tc>
        <w:tc>
          <w:tcPr>
            <w:tcW w:w="1960" w:type="dxa"/>
            <w:vAlign w:val="bottom"/>
            <w:gridSpan w:val="3"/>
          </w:tcPr>
          <w:p>
            <w:pPr>
              <w:jc w:val="right"/>
              <w:ind w:right="240"/>
              <w:spacing w:after="0" w:line="224" w:lineRule="exact"/>
              <w:rPr>
                <w:sz w:val="20"/>
                <w:szCs w:val="20"/>
                <w:color w:val="auto"/>
              </w:rPr>
            </w:pPr>
            <w:r>
              <w:rPr>
                <w:rFonts w:ascii="Arial" w:cs="Arial" w:eastAsia="Arial" w:hAnsi="Arial"/>
                <w:sz w:val="20"/>
                <w:szCs w:val="20"/>
                <w:color w:val="auto"/>
              </w:rPr>
              <w:t>—</w:t>
            </w:r>
          </w:p>
        </w:tc>
        <w:tc>
          <w:tcPr>
            <w:tcW w:w="1840" w:type="dxa"/>
            <w:vAlign w:val="bottom"/>
            <w:gridSpan w:val="4"/>
          </w:tcPr>
          <w:p>
            <w:pPr>
              <w:jc w:val="right"/>
              <w:spacing w:after="0" w:line="224" w:lineRule="exact"/>
              <w:rPr>
                <w:sz w:val="20"/>
                <w:szCs w:val="20"/>
                <w:color w:val="auto"/>
              </w:rPr>
            </w:pPr>
            <w:r>
              <w:rPr>
                <w:rFonts w:ascii="Arial" w:cs="Arial" w:eastAsia="Arial" w:hAnsi="Arial"/>
                <w:sz w:val="20"/>
                <w:szCs w:val="20"/>
                <w:color w:val="auto"/>
              </w:rPr>
              <w:t>(3)</w:t>
            </w:r>
          </w:p>
        </w:tc>
      </w:tr>
      <w:tr>
        <w:trPr>
          <w:trHeight w:val="240"/>
        </w:trPr>
        <w:tc>
          <w:tcPr>
            <w:tcW w:w="5320" w:type="dxa"/>
            <w:vAlign w:val="bottom"/>
          </w:tcPr>
          <w:p>
            <w:pPr>
              <w:jc w:val="right"/>
              <w:ind w:right="100"/>
              <w:spacing w:after="0"/>
              <w:rPr>
                <w:sz w:val="20"/>
                <w:szCs w:val="20"/>
                <w:color w:val="auto"/>
              </w:rPr>
            </w:pPr>
            <w:r>
              <w:rPr>
                <w:rFonts w:ascii="Arial" w:cs="Arial" w:eastAsia="Arial" w:hAnsi="Arial"/>
                <w:sz w:val="20"/>
                <w:szCs w:val="20"/>
                <w:color w:val="auto"/>
                <w:w w:val="97"/>
              </w:rPr>
              <w:t>Natural decline and other . . . . . . . . . . . . . . . . . . . . . . . . . . .</w:t>
            </w:r>
          </w:p>
        </w:tc>
        <w:tc>
          <w:tcPr>
            <w:tcW w:w="2000" w:type="dxa"/>
            <w:vAlign w:val="bottom"/>
            <w:gridSpan w:val="4"/>
          </w:tcPr>
          <w:p>
            <w:pPr>
              <w:jc w:val="right"/>
              <w:ind w:right="160"/>
              <w:spacing w:after="0"/>
              <w:rPr>
                <w:sz w:val="20"/>
                <w:szCs w:val="20"/>
                <w:color w:val="auto"/>
              </w:rPr>
            </w:pPr>
            <w:r>
              <w:rPr>
                <w:rFonts w:ascii="Arial" w:cs="Arial" w:eastAsia="Arial" w:hAnsi="Arial"/>
                <w:sz w:val="20"/>
                <w:szCs w:val="20"/>
                <w:color w:val="auto"/>
              </w:rPr>
              <w:t>(4)</w:t>
            </w:r>
          </w:p>
        </w:tc>
        <w:tc>
          <w:tcPr>
            <w:tcW w:w="1840" w:type="dxa"/>
            <w:vAlign w:val="bottom"/>
            <w:gridSpan w:val="4"/>
          </w:tcPr>
          <w:p>
            <w:pPr>
              <w:jc w:val="right"/>
              <w:spacing w:after="0"/>
              <w:rPr>
                <w:sz w:val="20"/>
                <w:szCs w:val="20"/>
                <w:color w:val="auto"/>
              </w:rPr>
            </w:pPr>
            <w:r>
              <w:rPr>
                <w:rFonts w:ascii="Arial" w:cs="Arial" w:eastAsia="Arial" w:hAnsi="Arial"/>
                <w:sz w:val="20"/>
                <w:szCs w:val="20"/>
                <w:color w:val="auto"/>
              </w:rPr>
              <w:t>(8)</w:t>
            </w:r>
          </w:p>
        </w:tc>
      </w:tr>
      <w:tr>
        <w:trPr>
          <w:trHeight w:val="30"/>
        </w:trPr>
        <w:tc>
          <w:tcPr>
            <w:tcW w:w="5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gridSpan w:val="2"/>
          </w:tcPr>
          <w:p>
            <w:pPr>
              <w:spacing w:after="0"/>
              <w:rPr>
                <w:sz w:val="2"/>
                <w:szCs w:val="2"/>
                <w:color w:val="auto"/>
              </w:rPr>
            </w:pPr>
          </w:p>
        </w:tc>
      </w:tr>
      <w:tr>
        <w:trPr>
          <w:trHeight w:val="270"/>
        </w:trPr>
        <w:tc>
          <w:tcPr>
            <w:tcW w:w="5320" w:type="dxa"/>
            <w:vAlign w:val="bottom"/>
          </w:tcPr>
          <w:p>
            <w:pPr>
              <w:jc w:val="right"/>
              <w:ind w:right="100"/>
              <w:spacing w:after="0"/>
              <w:rPr>
                <w:sz w:val="20"/>
                <w:szCs w:val="20"/>
                <w:color w:val="auto"/>
              </w:rPr>
            </w:pPr>
            <w:r>
              <w:rPr>
                <w:rFonts w:ascii="Arial" w:cs="Arial" w:eastAsia="Arial" w:hAnsi="Arial"/>
                <w:sz w:val="20"/>
                <w:szCs w:val="20"/>
                <w:color w:val="auto"/>
              </w:rPr>
              <w:t>Total change  . . . . . . . . . . . . . . . . . . . . . . . . . . . . . . . . .</w:t>
            </w:r>
          </w:p>
        </w:tc>
        <w:tc>
          <w:tcPr>
            <w:tcW w:w="2000" w:type="dxa"/>
            <w:vAlign w:val="bottom"/>
            <w:gridSpan w:val="4"/>
          </w:tcPr>
          <w:p>
            <w:pPr>
              <w:jc w:val="right"/>
              <w:ind w:right="160"/>
              <w:spacing w:after="0"/>
              <w:rPr>
                <w:sz w:val="20"/>
                <w:szCs w:val="20"/>
                <w:color w:val="auto"/>
              </w:rPr>
            </w:pPr>
            <w:r>
              <w:rPr>
                <w:rFonts w:ascii="Arial" w:cs="Arial" w:eastAsia="Arial" w:hAnsi="Arial"/>
                <w:sz w:val="20"/>
                <w:szCs w:val="20"/>
                <w:color w:val="auto"/>
              </w:rPr>
              <w:t>(9)</w:t>
            </w:r>
          </w:p>
        </w:tc>
        <w:tc>
          <w:tcPr>
            <w:tcW w:w="1840" w:type="dxa"/>
            <w:vAlign w:val="bottom"/>
            <w:gridSpan w:val="4"/>
          </w:tcPr>
          <w:p>
            <w:pPr>
              <w:jc w:val="right"/>
              <w:spacing w:after="0"/>
              <w:rPr>
                <w:sz w:val="20"/>
                <w:szCs w:val="20"/>
                <w:color w:val="auto"/>
              </w:rPr>
            </w:pPr>
            <w:r>
              <w:rPr>
                <w:rFonts w:ascii="Arial" w:cs="Arial" w:eastAsia="Arial" w:hAnsi="Arial"/>
                <w:sz w:val="20"/>
                <w:szCs w:val="20"/>
                <w:color w:val="auto"/>
              </w:rPr>
              <w:t>(11)</w:t>
            </w:r>
          </w:p>
        </w:tc>
      </w:tr>
      <w:tr>
        <w:trPr>
          <w:trHeight w:val="30"/>
        </w:trPr>
        <w:tc>
          <w:tcPr>
            <w:tcW w:w="5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5320" w:type="dxa"/>
            <w:vAlign w:val="bottom"/>
          </w:tcPr>
          <w:p>
            <w:pPr>
              <w:jc w:val="right"/>
              <w:ind w:right="100"/>
              <w:spacing w:after="0"/>
              <w:rPr>
                <w:sz w:val="20"/>
                <w:szCs w:val="20"/>
                <w:color w:val="auto"/>
              </w:rPr>
            </w:pPr>
            <w:r>
              <w:rPr>
                <w:rFonts w:ascii="Arial" w:cs="Arial" w:eastAsia="Arial" w:hAnsi="Arial"/>
                <w:sz w:val="20"/>
                <w:szCs w:val="20"/>
                <w:color w:val="auto"/>
                <w:w w:val="97"/>
              </w:rPr>
              <w:t>End of the year . . . . . . . . . . . . . . . . . . . . . . . . . . . . . . . . . . .</w:t>
            </w:r>
          </w:p>
        </w:tc>
        <w:tc>
          <w:tcPr>
            <w:tcW w:w="1760" w:type="dxa"/>
            <w:vAlign w:val="bottom"/>
            <w:gridSpan w:val="2"/>
          </w:tcPr>
          <w:p>
            <w:pPr>
              <w:jc w:val="right"/>
              <w:spacing w:after="0"/>
              <w:rPr>
                <w:sz w:val="20"/>
                <w:szCs w:val="20"/>
                <w:color w:val="auto"/>
              </w:rPr>
            </w:pPr>
            <w:r>
              <w:rPr>
                <w:rFonts w:ascii="Arial" w:cs="Arial" w:eastAsia="Arial" w:hAnsi="Arial"/>
                <w:sz w:val="20"/>
                <w:szCs w:val="20"/>
                <w:color w:val="auto"/>
              </w:rPr>
              <w:t>91</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gridSpan w:val="3"/>
          </w:tcPr>
          <w:p>
            <w:pPr>
              <w:jc w:val="right"/>
              <w:ind w:right="40"/>
              <w:spacing w:after="0"/>
              <w:rPr>
                <w:sz w:val="20"/>
                <w:szCs w:val="20"/>
                <w:color w:val="auto"/>
              </w:rPr>
            </w:pPr>
            <w:r>
              <w:rPr>
                <w:rFonts w:ascii="Arial" w:cs="Arial" w:eastAsia="Arial" w:hAnsi="Arial"/>
                <w:sz w:val="20"/>
                <w:szCs w:val="20"/>
                <w:color w:val="auto"/>
              </w:rPr>
              <w:t>100</w:t>
            </w:r>
          </w:p>
        </w:tc>
        <w:tc>
          <w:tcPr>
            <w:tcW w:w="40" w:type="dxa"/>
            <w:vAlign w:val="bottom"/>
          </w:tcPr>
          <w:p>
            <w:pPr>
              <w:spacing w:after="0"/>
              <w:rPr>
                <w:sz w:val="23"/>
                <w:szCs w:val="23"/>
                <w:color w:val="auto"/>
              </w:rPr>
            </w:pPr>
          </w:p>
        </w:tc>
      </w:tr>
      <w:tr>
        <w:trPr>
          <w:trHeight w:val="30"/>
        </w:trPr>
        <w:tc>
          <w:tcPr>
            <w:tcW w:w="5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
        </w:trPr>
        <w:tc>
          <w:tcPr>
            <w:tcW w:w="5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53" w:lineRule="exact"/>
        <w:rPr>
          <w:sz w:val="20"/>
          <w:szCs w:val="20"/>
          <w:color w:val="auto"/>
        </w:rPr>
      </w:pPr>
    </w:p>
    <w:p>
      <w:pPr>
        <w:ind w:right="860"/>
        <w:spacing w:after="0" w:line="254" w:lineRule="auto"/>
        <w:tabs>
          <w:tab w:leader="none" w:pos="239" w:val="left"/>
        </w:tabs>
        <w:numPr>
          <w:ilvl w:val="0"/>
          <w:numId w:val="37"/>
        </w:numPr>
        <w:rPr>
          <w:rFonts w:ascii="Arial" w:cs="Arial" w:eastAsia="Arial" w:hAnsi="Arial"/>
          <w:sz w:val="16"/>
          <w:szCs w:val="16"/>
          <w:color w:val="auto"/>
        </w:rPr>
      </w:pPr>
      <w:r>
        <w:rPr>
          <w:rFonts w:ascii="Arial" w:cs="Arial" w:eastAsia="Arial" w:hAnsi="Arial"/>
          <w:sz w:val="16"/>
          <w:szCs w:val="16"/>
          <w:color w:val="auto"/>
        </w:rPr>
        <w:t>See Part II, Item 8 – Financial Statements and Supplementary Data, Note 3 Divestitures and Acquisitions for more information.</w:t>
      </w:r>
    </w:p>
    <w:p>
      <w:pPr>
        <w:spacing w:after="0" w:line="5" w:lineRule="exact"/>
        <w:rPr>
          <w:rFonts w:ascii="Arial" w:cs="Arial" w:eastAsia="Arial" w:hAnsi="Arial"/>
          <w:sz w:val="16"/>
          <w:szCs w:val="16"/>
          <w:color w:val="auto"/>
        </w:rPr>
      </w:pPr>
    </w:p>
    <w:p>
      <w:pPr>
        <w:ind w:left="240" w:hanging="240"/>
        <w:spacing w:after="0"/>
        <w:tabs>
          <w:tab w:leader="none" w:pos="2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the first quarter of 2022, we conducted routine maintenance at one of our gas processing facilities.</w:t>
      </w:r>
    </w:p>
    <w:p>
      <w:pPr>
        <w:spacing w:after="0" w:line="224"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Our operating results and those of the oil and natural gas industry as a whole are heavily influenced by commodity prices. Global commodity prices increased during 2021 and continued in 2022 amid strong demand recovery from the economic impacts of COVID-19, among other factors. Oil and natural gas prices and differentials may fluctuate significantly as a result of numerous market-related variables. These and other factors make it impossible to predict realized prices reliably. The following tables set</w:t>
      </w:r>
    </w:p>
    <w:p>
      <w:pPr>
        <w:sectPr>
          <w:pgSz w:w="11880" w:h="15480" w:orient="portrait"/>
          <w:cols w:equalWidth="0" w:num="1">
            <w:col w:w="9160"/>
          </w:cols>
          <w:pgMar w:left="1380" w:top="1316" w:right="134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68</w:t>
      </w:r>
    </w:p>
    <w:p>
      <w:pPr>
        <w:sectPr>
          <w:pgSz w:w="11880" w:h="15480" w:orient="portrait"/>
          <w:cols w:equalWidth="0" w:num="1">
            <w:col w:w="9160"/>
          </w:cols>
          <w:pgMar w:left="1380" w:top="1316" w:right="1340" w:bottom="655" w:gutter="0" w:footer="0" w:header="0"/>
          <w:type w:val="continuous"/>
        </w:sectPr>
      </w:pPr>
    </w:p>
    <w:bookmarkStart w:id="72" w:name="page73"/>
    <w:bookmarkEnd w:id="72"/>
    <w:p>
      <w:pPr>
        <w:ind w:right="480"/>
        <w:spacing w:after="0" w:line="243" w:lineRule="auto"/>
        <w:rPr>
          <w:sz w:val="20"/>
          <w:szCs w:val="20"/>
          <w:color w:val="auto"/>
        </w:rPr>
      </w:pPr>
      <w:r>
        <w:rPr>
          <w:rFonts w:ascii="Arial" w:cs="Arial" w:eastAsia="Arial" w:hAnsi="Arial"/>
          <w:sz w:val="20"/>
          <w:szCs w:val="20"/>
          <w:color w:val="auto"/>
        </w:rPr>
        <w:t>forth average benchmark prices, average realized prices and price realizations as a percentage of average benchmark prices for our products for the periods indicated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5"/>
          </w:tcPr>
          <w:p>
            <w:pPr>
              <w:jc w:val="right"/>
              <w:ind w:right="660"/>
              <w:spacing w:after="0"/>
              <w:rPr>
                <w:sz w:val="20"/>
                <w:szCs w:val="20"/>
                <w:color w:val="auto"/>
              </w:rPr>
            </w:pPr>
            <w:r>
              <w:rPr>
                <w:rFonts w:ascii="Arial" w:cs="Arial" w:eastAsia="Arial" w:hAnsi="Arial"/>
                <w:sz w:val="19"/>
                <w:szCs w:val="19"/>
                <w:b w:val="1"/>
                <w:bCs w:val="1"/>
                <w:color w:val="auto"/>
              </w:rPr>
              <w:t>Successor</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4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4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80" w:type="dxa"/>
            <w:vAlign w:val="bottom"/>
            <w:gridSpan w:val="3"/>
          </w:tcPr>
          <w:p>
            <w:pPr>
              <w:jc w:val="right"/>
              <w:ind w:right="745"/>
              <w:spacing w:after="0"/>
              <w:rPr>
                <w:sz w:val="20"/>
                <w:szCs w:val="20"/>
                <w:color w:val="auto"/>
              </w:rPr>
            </w:pPr>
            <w:r>
              <w:rPr>
                <w:rFonts w:ascii="Arial" w:cs="Arial" w:eastAsia="Arial" w:hAnsi="Arial"/>
                <w:sz w:val="19"/>
                <w:szCs w:val="19"/>
                <w:b w:val="1"/>
                <w:bCs w:val="1"/>
                <w:color w:val="auto"/>
              </w:rPr>
              <w:t>2022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80" w:type="dxa"/>
            <w:vAlign w:val="bottom"/>
            <w:gridSpan w:val="3"/>
          </w:tcPr>
          <w:p>
            <w:pPr>
              <w:jc w:val="right"/>
              <w:ind w:right="745"/>
              <w:spacing w:after="0"/>
              <w:rPr>
                <w:sz w:val="20"/>
                <w:szCs w:val="20"/>
                <w:color w:val="auto"/>
              </w:rPr>
            </w:pPr>
            <w:r>
              <w:rPr>
                <w:rFonts w:ascii="Arial" w:cs="Arial" w:eastAsia="Arial" w:hAnsi="Arial"/>
                <w:sz w:val="19"/>
                <w:szCs w:val="19"/>
                <w:b w:val="1"/>
                <w:bCs w:val="1"/>
                <w:color w:val="auto"/>
              </w:rPr>
              <w:t>2021</w:t>
            </w:r>
          </w:p>
        </w:tc>
        <w:tc>
          <w:tcPr>
            <w:tcW w:w="0" w:type="dxa"/>
            <w:vAlign w:val="bottom"/>
          </w:tcPr>
          <w:p>
            <w:pPr>
              <w:spacing w:after="0"/>
              <w:rPr>
                <w:sz w:val="1"/>
                <w:szCs w:val="1"/>
                <w:color w:val="auto"/>
              </w:rPr>
            </w:pPr>
          </w:p>
        </w:tc>
      </w:tr>
      <w:tr>
        <w:trPr>
          <w:trHeight w:val="22"/>
        </w:trPr>
        <w:tc>
          <w:tcPr>
            <w:tcW w:w="4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4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9"/>
                <w:szCs w:val="19"/>
                <w:b w:val="1"/>
                <w:bCs w:val="1"/>
                <w:color w:val="auto"/>
                <w:w w:val="95"/>
              </w:rPr>
              <w:t>Average</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9"/>
                <w:szCs w:val="19"/>
                <w:b w:val="1"/>
                <w:bCs w:val="1"/>
                <w:color w:val="auto"/>
                <w:w w:val="95"/>
              </w:rPr>
              <w:t>Average</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9"/>
                <w:szCs w:val="19"/>
                <w:b w:val="1"/>
                <w:bCs w:val="1"/>
                <w:color w:val="auto"/>
              </w:rPr>
              <w:t>Price</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w w:val="99"/>
              </w:rPr>
              <w:t>Realization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9"/>
                <w:szCs w:val="19"/>
                <w:b w:val="1"/>
                <w:bCs w:val="1"/>
                <w:color w:val="auto"/>
              </w:rPr>
              <w:t>Price</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w w:val="97"/>
              </w:rPr>
              <w:t>Realization</w:t>
            </w:r>
          </w:p>
        </w:tc>
        <w:tc>
          <w:tcPr>
            <w:tcW w:w="0" w:type="dxa"/>
            <w:vAlign w:val="bottom"/>
          </w:tcPr>
          <w:p>
            <w:pPr>
              <w:spacing w:after="0"/>
              <w:rPr>
                <w:sz w:val="1"/>
                <w:szCs w:val="1"/>
                <w:color w:val="auto"/>
              </w:rPr>
            </w:pPr>
          </w:p>
        </w:tc>
      </w:tr>
      <w:tr>
        <w:trPr>
          <w:trHeight w:val="22"/>
        </w:trPr>
        <w:tc>
          <w:tcPr>
            <w:tcW w:w="4520" w:type="dxa"/>
            <w:vAlign w:val="bottom"/>
            <w:vMerge w:val="restart"/>
          </w:tcPr>
          <w:p>
            <w:pPr>
              <w:spacing w:after="0"/>
              <w:rPr>
                <w:sz w:val="20"/>
                <w:szCs w:val="20"/>
                <w:color w:val="auto"/>
              </w:rPr>
            </w:pPr>
            <w:r>
              <w:rPr>
                <w:rFonts w:ascii="Arial" w:cs="Arial" w:eastAsia="Arial" w:hAnsi="Arial"/>
                <w:sz w:val="19"/>
                <w:szCs w:val="19"/>
                <w:b w:val="1"/>
                <w:bCs w:val="1"/>
                <w:color w:val="auto"/>
              </w:rPr>
              <w:t>Oil ($ per Bbl)</w:t>
            </w: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4520" w:type="dxa"/>
            <w:vAlign w:val="bottom"/>
            <w:vMerge w:val="continue"/>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520" w:type="dxa"/>
            <w:vAlign w:val="bottom"/>
          </w:tcPr>
          <w:p>
            <w:pPr>
              <w:spacing w:after="0"/>
              <w:rPr>
                <w:sz w:val="20"/>
                <w:szCs w:val="20"/>
                <w:color w:val="auto"/>
              </w:rPr>
            </w:pPr>
            <w:r>
              <w:rPr>
                <w:rFonts w:ascii="Arial" w:cs="Arial" w:eastAsia="Arial" w:hAnsi="Arial"/>
                <w:sz w:val="19"/>
                <w:szCs w:val="19"/>
                <w:color w:val="auto"/>
                <w:w w:val="96"/>
              </w:rPr>
              <w:t>Brent . . . . . . . . . . . . . . . . . . . . . . . . . . . . . . . . . . . . . . . .</w:t>
            </w:r>
          </w:p>
        </w:tc>
        <w:tc>
          <w:tcPr>
            <w:tcW w:w="420" w:type="dxa"/>
            <w:vAlign w:val="bottom"/>
            <w:gridSpan w:val="2"/>
          </w:tcPr>
          <w:p>
            <w:pPr>
              <w:ind w:left="40"/>
              <w:spacing w:after="0"/>
              <w:rPr>
                <w:sz w:val="20"/>
                <w:szCs w:val="20"/>
                <w:color w:val="auto"/>
              </w:rPr>
            </w:pPr>
            <w:r>
              <w:rPr>
                <w:rFonts w:ascii="Arial" w:cs="Arial" w:eastAsia="Arial" w:hAnsi="Arial"/>
                <w:sz w:val="19"/>
                <w:szCs w:val="19"/>
                <w:color w:val="auto"/>
                <w:w w:val="97"/>
              </w:rPr>
              <w:t>. .  $</w:t>
            </w:r>
          </w:p>
        </w:tc>
        <w:tc>
          <w:tcPr>
            <w:tcW w:w="840" w:type="dxa"/>
            <w:vAlign w:val="bottom"/>
          </w:tcPr>
          <w:p>
            <w:pPr>
              <w:jc w:val="right"/>
              <w:spacing w:after="0"/>
              <w:rPr>
                <w:sz w:val="20"/>
                <w:szCs w:val="20"/>
                <w:color w:val="auto"/>
              </w:rPr>
            </w:pPr>
            <w:r>
              <w:rPr>
                <w:rFonts w:ascii="Arial" w:cs="Arial" w:eastAsia="Arial" w:hAnsi="Arial"/>
                <w:sz w:val="19"/>
                <w:szCs w:val="19"/>
                <w:color w:val="auto"/>
              </w:rPr>
              <w:t>98.89</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70.79</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0"/>
        </w:trPr>
        <w:tc>
          <w:tcPr>
            <w:tcW w:w="4520" w:type="dxa"/>
            <w:vAlign w:val="bottom"/>
          </w:tcPr>
          <w:p>
            <w:pPr>
              <w:spacing w:after="0"/>
              <w:rPr>
                <w:sz w:val="20"/>
                <w:szCs w:val="20"/>
                <w:color w:val="auto"/>
              </w:rPr>
            </w:pPr>
            <w:r>
              <w:rPr>
                <w:rFonts w:ascii="Arial" w:cs="Arial" w:eastAsia="Arial" w:hAnsi="Arial"/>
                <w:sz w:val="19"/>
                <w:szCs w:val="19"/>
                <w:color w:val="auto"/>
              </w:rPr>
              <w:t>Realized price without derivative settlements . . . . . . .</w:t>
            </w:r>
          </w:p>
        </w:tc>
        <w:tc>
          <w:tcPr>
            <w:tcW w:w="420" w:type="dxa"/>
            <w:vAlign w:val="bottom"/>
            <w:gridSpan w:val="2"/>
          </w:tcPr>
          <w:p>
            <w:pPr>
              <w:ind w:left="40"/>
              <w:spacing w:after="0"/>
              <w:rPr>
                <w:sz w:val="20"/>
                <w:szCs w:val="20"/>
                <w:color w:val="auto"/>
              </w:rPr>
            </w:pPr>
            <w:r>
              <w:rPr>
                <w:rFonts w:ascii="Arial" w:cs="Arial" w:eastAsia="Arial" w:hAnsi="Arial"/>
                <w:sz w:val="19"/>
                <w:szCs w:val="19"/>
                <w:color w:val="auto"/>
                <w:w w:val="97"/>
              </w:rPr>
              <w:t>. .  $</w:t>
            </w:r>
          </w:p>
        </w:tc>
        <w:tc>
          <w:tcPr>
            <w:tcW w:w="840" w:type="dxa"/>
            <w:vAlign w:val="bottom"/>
          </w:tcPr>
          <w:p>
            <w:pPr>
              <w:jc w:val="right"/>
              <w:spacing w:after="0"/>
              <w:rPr>
                <w:sz w:val="20"/>
                <w:szCs w:val="20"/>
                <w:color w:val="auto"/>
              </w:rPr>
            </w:pPr>
            <w:r>
              <w:rPr>
                <w:rFonts w:ascii="Arial" w:cs="Arial" w:eastAsia="Arial" w:hAnsi="Arial"/>
                <w:sz w:val="19"/>
                <w:szCs w:val="19"/>
                <w:color w:val="auto"/>
              </w:rPr>
              <w:t>98.26</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9"/>
                <w:szCs w:val="19"/>
                <w:color w:val="auto"/>
                <w:w w:val="99"/>
              </w:rPr>
              <w:t>99%</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70.43</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w w:val="99"/>
              </w:rPr>
              <w:t>99%</w:t>
            </w: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9"/>
                <w:szCs w:val="19"/>
                <w:color w:val="auto"/>
                <w:w w:val="98"/>
              </w:rPr>
              <w:t>Effects of derivative settlements . . . . . . . . . . . . . . . . . .</w:t>
            </w:r>
          </w:p>
        </w:tc>
        <w:tc>
          <w:tcPr>
            <w:tcW w:w="300" w:type="dxa"/>
            <w:vAlign w:val="bottom"/>
          </w:tcPr>
          <w:p>
            <w:pPr>
              <w:ind w:left="40"/>
              <w:spacing w:after="0"/>
              <w:rPr>
                <w:sz w:val="20"/>
                <w:szCs w:val="20"/>
                <w:color w:val="auto"/>
              </w:rPr>
            </w:pPr>
            <w:r>
              <w:rPr>
                <w:rFonts w:ascii="Arial" w:cs="Arial" w:eastAsia="Arial" w:hAnsi="Arial"/>
                <w:sz w:val="19"/>
                <w:szCs w:val="19"/>
                <w:color w:val="auto"/>
              </w:rPr>
              <w:t>. .</w:t>
            </w:r>
          </w:p>
        </w:tc>
        <w:tc>
          <w:tcPr>
            <w:tcW w:w="1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9"/>
                <w:szCs w:val="19"/>
                <w:color w:val="auto"/>
              </w:rPr>
              <w:t>(36.46)</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9"/>
                <w:szCs w:val="19"/>
                <w:color w:val="auto"/>
              </w:rPr>
              <w:t>(14.38)</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4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520" w:type="dxa"/>
            <w:vAlign w:val="bottom"/>
          </w:tcPr>
          <w:p>
            <w:pPr>
              <w:spacing w:after="0"/>
              <w:rPr>
                <w:sz w:val="20"/>
                <w:szCs w:val="20"/>
                <w:color w:val="auto"/>
              </w:rPr>
            </w:pPr>
            <w:r>
              <w:rPr>
                <w:rFonts w:ascii="Arial" w:cs="Arial" w:eastAsia="Arial" w:hAnsi="Arial"/>
                <w:sz w:val="19"/>
                <w:szCs w:val="19"/>
                <w:color w:val="auto"/>
                <w:w w:val="99"/>
              </w:rPr>
              <w:t>Realized price with derivative settlements . . . . . . . . . .</w:t>
            </w:r>
          </w:p>
        </w:tc>
        <w:tc>
          <w:tcPr>
            <w:tcW w:w="420" w:type="dxa"/>
            <w:vAlign w:val="bottom"/>
            <w:gridSpan w:val="2"/>
          </w:tcPr>
          <w:p>
            <w:pPr>
              <w:ind w:left="40"/>
              <w:spacing w:after="0"/>
              <w:rPr>
                <w:sz w:val="20"/>
                <w:szCs w:val="20"/>
                <w:color w:val="auto"/>
              </w:rPr>
            </w:pPr>
            <w:r>
              <w:rPr>
                <w:rFonts w:ascii="Arial" w:cs="Arial" w:eastAsia="Arial" w:hAnsi="Arial"/>
                <w:sz w:val="19"/>
                <w:szCs w:val="19"/>
                <w:color w:val="auto"/>
                <w:w w:val="97"/>
              </w:rPr>
              <w:t>. .  $</w:t>
            </w:r>
          </w:p>
        </w:tc>
        <w:tc>
          <w:tcPr>
            <w:tcW w:w="840" w:type="dxa"/>
            <w:vAlign w:val="bottom"/>
          </w:tcPr>
          <w:p>
            <w:pPr>
              <w:jc w:val="right"/>
              <w:spacing w:after="0"/>
              <w:rPr>
                <w:sz w:val="20"/>
                <w:szCs w:val="20"/>
                <w:color w:val="auto"/>
              </w:rPr>
            </w:pPr>
            <w:r>
              <w:rPr>
                <w:rFonts w:ascii="Arial" w:cs="Arial" w:eastAsia="Arial" w:hAnsi="Arial"/>
                <w:sz w:val="19"/>
                <w:szCs w:val="19"/>
                <w:color w:val="auto"/>
              </w:rPr>
              <w:t>61.80</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9"/>
                <w:szCs w:val="19"/>
                <w:color w:val="auto"/>
                <w:w w:val="99"/>
              </w:rPr>
              <w:t>62%</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56.05</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w w:val="99"/>
              </w:rPr>
              <w:t>79%</w:t>
            </w:r>
          </w:p>
        </w:tc>
        <w:tc>
          <w:tcPr>
            <w:tcW w:w="0" w:type="dxa"/>
            <w:vAlign w:val="bottom"/>
          </w:tcPr>
          <w:p>
            <w:pPr>
              <w:spacing w:after="0"/>
              <w:rPr>
                <w:sz w:val="1"/>
                <w:szCs w:val="1"/>
                <w:color w:val="auto"/>
              </w:rPr>
            </w:pPr>
          </w:p>
        </w:tc>
      </w:tr>
      <w:tr>
        <w:trPr>
          <w:trHeight w:val="32"/>
        </w:trPr>
        <w:tc>
          <w:tcPr>
            <w:tcW w:w="4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4520" w:type="dxa"/>
            <w:vAlign w:val="bottom"/>
          </w:tcPr>
          <w:p>
            <w:pPr>
              <w:spacing w:after="0"/>
              <w:rPr>
                <w:sz w:val="20"/>
                <w:szCs w:val="20"/>
                <w:color w:val="auto"/>
              </w:rPr>
            </w:pPr>
            <w:r>
              <w:rPr>
                <w:rFonts w:ascii="Arial" w:cs="Arial" w:eastAsia="Arial" w:hAnsi="Arial"/>
                <w:sz w:val="19"/>
                <w:szCs w:val="19"/>
                <w:color w:val="auto"/>
                <w:w w:val="96"/>
              </w:rPr>
              <w:t>WTI . . . . . . . . . . . . . . . . . . . . . . . . . . . . . . . . . . . . . . . . .</w:t>
            </w:r>
          </w:p>
        </w:tc>
        <w:tc>
          <w:tcPr>
            <w:tcW w:w="420" w:type="dxa"/>
            <w:vAlign w:val="bottom"/>
            <w:gridSpan w:val="2"/>
          </w:tcPr>
          <w:p>
            <w:pPr>
              <w:ind w:left="40"/>
              <w:spacing w:after="0"/>
              <w:rPr>
                <w:sz w:val="20"/>
                <w:szCs w:val="20"/>
                <w:color w:val="auto"/>
              </w:rPr>
            </w:pPr>
            <w:r>
              <w:rPr>
                <w:rFonts w:ascii="Arial" w:cs="Arial" w:eastAsia="Arial" w:hAnsi="Arial"/>
                <w:sz w:val="19"/>
                <w:szCs w:val="19"/>
                <w:color w:val="auto"/>
                <w:w w:val="97"/>
              </w:rPr>
              <w:t>. .  $</w:t>
            </w:r>
          </w:p>
        </w:tc>
        <w:tc>
          <w:tcPr>
            <w:tcW w:w="840" w:type="dxa"/>
            <w:vAlign w:val="bottom"/>
          </w:tcPr>
          <w:p>
            <w:pPr>
              <w:jc w:val="right"/>
              <w:spacing w:after="0"/>
              <w:rPr>
                <w:sz w:val="20"/>
                <w:szCs w:val="20"/>
                <w:color w:val="auto"/>
              </w:rPr>
            </w:pPr>
            <w:r>
              <w:rPr>
                <w:rFonts w:ascii="Arial" w:cs="Arial" w:eastAsia="Arial" w:hAnsi="Arial"/>
                <w:sz w:val="19"/>
                <w:szCs w:val="19"/>
                <w:color w:val="auto"/>
              </w:rPr>
              <w:t>94.23</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67.91</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9"/>
                <w:szCs w:val="19"/>
                <w:color w:val="auto"/>
              </w:rPr>
              <w:t>Realized price without derivative settlements . . . . . . .</w:t>
            </w:r>
          </w:p>
        </w:tc>
        <w:tc>
          <w:tcPr>
            <w:tcW w:w="420" w:type="dxa"/>
            <w:vAlign w:val="bottom"/>
            <w:gridSpan w:val="2"/>
          </w:tcPr>
          <w:p>
            <w:pPr>
              <w:ind w:left="40"/>
              <w:spacing w:after="0"/>
              <w:rPr>
                <w:sz w:val="20"/>
                <w:szCs w:val="20"/>
                <w:color w:val="auto"/>
              </w:rPr>
            </w:pPr>
            <w:r>
              <w:rPr>
                <w:rFonts w:ascii="Arial" w:cs="Arial" w:eastAsia="Arial" w:hAnsi="Arial"/>
                <w:sz w:val="19"/>
                <w:szCs w:val="19"/>
                <w:color w:val="auto"/>
                <w:w w:val="97"/>
              </w:rPr>
              <w:t>. .  $</w:t>
            </w:r>
          </w:p>
        </w:tc>
        <w:tc>
          <w:tcPr>
            <w:tcW w:w="840" w:type="dxa"/>
            <w:vAlign w:val="bottom"/>
          </w:tcPr>
          <w:p>
            <w:pPr>
              <w:jc w:val="right"/>
              <w:spacing w:after="0"/>
              <w:rPr>
                <w:sz w:val="20"/>
                <w:szCs w:val="20"/>
                <w:color w:val="auto"/>
              </w:rPr>
            </w:pPr>
            <w:r>
              <w:rPr>
                <w:rFonts w:ascii="Arial" w:cs="Arial" w:eastAsia="Arial" w:hAnsi="Arial"/>
                <w:sz w:val="19"/>
                <w:szCs w:val="19"/>
                <w:color w:val="auto"/>
              </w:rPr>
              <w:t>98.26</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9"/>
                <w:szCs w:val="19"/>
                <w:color w:val="auto"/>
              </w:rPr>
              <w:t>104%</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70.43</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w w:val="98"/>
              </w:rPr>
              <w:t>104%</w:t>
            </w: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9"/>
                <w:szCs w:val="19"/>
                <w:color w:val="auto"/>
                <w:w w:val="99"/>
              </w:rPr>
              <w:t>Realized price with derivative settlements . . . . . . . . . .</w:t>
            </w:r>
          </w:p>
        </w:tc>
        <w:tc>
          <w:tcPr>
            <w:tcW w:w="420" w:type="dxa"/>
            <w:vAlign w:val="bottom"/>
            <w:gridSpan w:val="2"/>
          </w:tcPr>
          <w:p>
            <w:pPr>
              <w:ind w:left="40"/>
              <w:spacing w:after="0"/>
              <w:rPr>
                <w:sz w:val="20"/>
                <w:szCs w:val="20"/>
                <w:color w:val="auto"/>
              </w:rPr>
            </w:pPr>
            <w:r>
              <w:rPr>
                <w:rFonts w:ascii="Arial" w:cs="Arial" w:eastAsia="Arial" w:hAnsi="Arial"/>
                <w:sz w:val="19"/>
                <w:szCs w:val="19"/>
                <w:color w:val="auto"/>
                <w:w w:val="97"/>
              </w:rPr>
              <w:t>. .  $</w:t>
            </w:r>
          </w:p>
        </w:tc>
        <w:tc>
          <w:tcPr>
            <w:tcW w:w="840" w:type="dxa"/>
            <w:vAlign w:val="bottom"/>
          </w:tcPr>
          <w:p>
            <w:pPr>
              <w:jc w:val="right"/>
              <w:spacing w:after="0"/>
              <w:rPr>
                <w:sz w:val="20"/>
                <w:szCs w:val="20"/>
                <w:color w:val="auto"/>
              </w:rPr>
            </w:pPr>
            <w:r>
              <w:rPr>
                <w:rFonts w:ascii="Arial" w:cs="Arial" w:eastAsia="Arial" w:hAnsi="Arial"/>
                <w:sz w:val="19"/>
                <w:szCs w:val="19"/>
                <w:color w:val="auto"/>
              </w:rPr>
              <w:t>61.80</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9"/>
                <w:szCs w:val="19"/>
                <w:color w:val="auto"/>
                <w:w w:val="99"/>
              </w:rPr>
              <w:t>66%</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56.05</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w w:val="99"/>
              </w:rPr>
              <w:t>83%</w:t>
            </w:r>
          </w:p>
        </w:tc>
        <w:tc>
          <w:tcPr>
            <w:tcW w:w="0" w:type="dxa"/>
            <w:vAlign w:val="bottom"/>
          </w:tcPr>
          <w:p>
            <w:pPr>
              <w:spacing w:after="0"/>
              <w:rPr>
                <w:sz w:val="1"/>
                <w:szCs w:val="1"/>
                <w:color w:val="auto"/>
              </w:rPr>
            </w:pPr>
          </w:p>
        </w:tc>
      </w:tr>
      <w:tr>
        <w:trPr>
          <w:trHeight w:val="470"/>
        </w:trPr>
        <w:tc>
          <w:tcPr>
            <w:tcW w:w="4520" w:type="dxa"/>
            <w:vAlign w:val="bottom"/>
          </w:tcPr>
          <w:p>
            <w:pPr>
              <w:spacing w:after="0"/>
              <w:rPr>
                <w:sz w:val="20"/>
                <w:szCs w:val="20"/>
                <w:color w:val="auto"/>
              </w:rPr>
            </w:pPr>
            <w:r>
              <w:rPr>
                <w:rFonts w:ascii="Arial" w:cs="Arial" w:eastAsia="Arial" w:hAnsi="Arial"/>
                <w:sz w:val="19"/>
                <w:szCs w:val="19"/>
                <w:b w:val="1"/>
                <w:bCs w:val="1"/>
                <w:color w:val="auto"/>
              </w:rPr>
              <w:t>NGLs ($ per Bbl)</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520" w:type="dxa"/>
            <w:vAlign w:val="bottom"/>
          </w:tcPr>
          <w:p>
            <w:pPr>
              <w:spacing w:after="0" w:line="248" w:lineRule="exact"/>
              <w:rPr>
                <w:sz w:val="20"/>
                <w:szCs w:val="20"/>
                <w:color w:val="auto"/>
              </w:rPr>
            </w:pPr>
            <w:r>
              <w:rPr>
                <w:rFonts w:ascii="Arial" w:cs="Arial" w:eastAsia="Arial" w:hAnsi="Arial"/>
                <w:sz w:val="19"/>
                <w:szCs w:val="19"/>
                <w:color w:val="auto"/>
                <w:w w:val="95"/>
              </w:rPr>
              <w:t>Realized price</w:t>
            </w:r>
            <w:r>
              <w:rPr>
                <w:rFonts w:ascii="Arial" w:cs="Arial" w:eastAsia="Arial" w:hAnsi="Arial"/>
                <w:sz w:val="24"/>
                <w:szCs w:val="24"/>
                <w:color w:val="auto"/>
                <w:w w:val="95"/>
                <w:vertAlign w:val="superscript"/>
              </w:rPr>
              <w:t>(a)</w:t>
            </w:r>
            <w:r>
              <w:rPr>
                <w:rFonts w:ascii="Arial" w:cs="Arial" w:eastAsia="Arial" w:hAnsi="Arial"/>
                <w:sz w:val="19"/>
                <w:szCs w:val="19"/>
                <w:color w:val="auto"/>
                <w:w w:val="95"/>
              </w:rPr>
              <w:t xml:space="preserve">  . . . . . . . . . . . . . . . . . . . . . . . . . . . . . . .</w:t>
            </w:r>
          </w:p>
        </w:tc>
        <w:tc>
          <w:tcPr>
            <w:tcW w:w="420" w:type="dxa"/>
            <w:vAlign w:val="bottom"/>
            <w:gridSpan w:val="2"/>
          </w:tcPr>
          <w:p>
            <w:pPr>
              <w:ind w:left="40"/>
              <w:spacing w:after="0"/>
              <w:rPr>
                <w:sz w:val="20"/>
                <w:szCs w:val="20"/>
                <w:color w:val="auto"/>
              </w:rPr>
            </w:pPr>
            <w:r>
              <w:rPr>
                <w:rFonts w:ascii="Arial" w:cs="Arial" w:eastAsia="Arial" w:hAnsi="Arial"/>
                <w:sz w:val="19"/>
                <w:szCs w:val="19"/>
                <w:color w:val="auto"/>
                <w:w w:val="97"/>
              </w:rPr>
              <w:t>. .  $</w:t>
            </w:r>
          </w:p>
        </w:tc>
        <w:tc>
          <w:tcPr>
            <w:tcW w:w="840" w:type="dxa"/>
            <w:vAlign w:val="bottom"/>
          </w:tcPr>
          <w:p>
            <w:pPr>
              <w:jc w:val="right"/>
              <w:spacing w:after="0"/>
              <w:rPr>
                <w:sz w:val="20"/>
                <w:szCs w:val="20"/>
                <w:color w:val="auto"/>
              </w:rPr>
            </w:pPr>
            <w:r>
              <w:rPr>
                <w:rFonts w:ascii="Arial" w:cs="Arial" w:eastAsia="Arial" w:hAnsi="Arial"/>
                <w:sz w:val="19"/>
                <w:szCs w:val="19"/>
                <w:color w:val="auto"/>
              </w:rPr>
              <w:t>64.33</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9"/>
                <w:szCs w:val="19"/>
                <w:color w:val="auto"/>
                <w:w w:val="99"/>
              </w:rPr>
              <w:t>65%</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53.62</w:t>
            </w:r>
          </w:p>
        </w:tc>
        <w:tc>
          <w:tcPr>
            <w:tcW w:w="1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w w:val="99"/>
              </w:rPr>
              <w:t>76%</w:t>
            </w:r>
          </w:p>
        </w:tc>
        <w:tc>
          <w:tcPr>
            <w:tcW w:w="0" w:type="dxa"/>
            <w:vAlign w:val="bottom"/>
          </w:tcPr>
          <w:p>
            <w:pPr>
              <w:spacing w:after="0"/>
              <w:rPr>
                <w:sz w:val="1"/>
                <w:szCs w:val="1"/>
                <w:color w:val="auto"/>
              </w:rPr>
            </w:pPr>
          </w:p>
        </w:tc>
      </w:tr>
      <w:tr>
        <w:trPr>
          <w:trHeight w:val="284"/>
        </w:trPr>
        <w:tc>
          <w:tcPr>
            <w:tcW w:w="4520" w:type="dxa"/>
            <w:vAlign w:val="bottom"/>
          </w:tcPr>
          <w:p>
            <w:pPr>
              <w:spacing w:after="0"/>
              <w:rPr>
                <w:sz w:val="20"/>
                <w:szCs w:val="20"/>
                <w:color w:val="auto"/>
              </w:rPr>
            </w:pPr>
            <w:r>
              <w:rPr>
                <w:rFonts w:ascii="Arial" w:cs="Arial" w:eastAsia="Arial" w:hAnsi="Arial"/>
                <w:sz w:val="19"/>
                <w:szCs w:val="19"/>
                <w:color w:val="auto"/>
                <w:w w:val="95"/>
              </w:rPr>
              <w:t>Realized price</w:t>
            </w:r>
            <w:r>
              <w:rPr>
                <w:rFonts w:ascii="Arial" w:cs="Arial" w:eastAsia="Arial" w:hAnsi="Arial"/>
                <w:sz w:val="24"/>
                <w:szCs w:val="24"/>
                <w:color w:val="auto"/>
                <w:w w:val="95"/>
                <w:vertAlign w:val="superscript"/>
              </w:rPr>
              <w:t>(b)</w:t>
            </w:r>
            <w:r>
              <w:rPr>
                <w:rFonts w:ascii="Arial" w:cs="Arial" w:eastAsia="Arial" w:hAnsi="Arial"/>
                <w:sz w:val="19"/>
                <w:szCs w:val="19"/>
                <w:color w:val="auto"/>
                <w:w w:val="95"/>
              </w:rPr>
              <w:t xml:space="preserve">  . . . . . . . . . . . . . . . . . . . . . . . . . . . . . . .</w:t>
            </w:r>
          </w:p>
        </w:tc>
        <w:tc>
          <w:tcPr>
            <w:tcW w:w="420" w:type="dxa"/>
            <w:vAlign w:val="bottom"/>
            <w:gridSpan w:val="2"/>
          </w:tcPr>
          <w:p>
            <w:pPr>
              <w:ind w:left="40"/>
              <w:spacing w:after="0" w:line="213" w:lineRule="exact"/>
              <w:rPr>
                <w:sz w:val="20"/>
                <w:szCs w:val="20"/>
                <w:color w:val="auto"/>
              </w:rPr>
            </w:pPr>
            <w:r>
              <w:rPr>
                <w:rFonts w:ascii="Arial" w:cs="Arial" w:eastAsia="Arial" w:hAnsi="Arial"/>
                <w:sz w:val="19"/>
                <w:szCs w:val="19"/>
                <w:color w:val="auto"/>
                <w:w w:val="97"/>
              </w:rPr>
              <w:t>. .  $</w:t>
            </w:r>
          </w:p>
        </w:tc>
        <w:tc>
          <w:tcPr>
            <w:tcW w:w="840" w:type="dxa"/>
            <w:vAlign w:val="bottom"/>
          </w:tcPr>
          <w:p>
            <w:pPr>
              <w:jc w:val="right"/>
              <w:spacing w:after="0" w:line="213" w:lineRule="exact"/>
              <w:rPr>
                <w:sz w:val="20"/>
                <w:szCs w:val="20"/>
                <w:color w:val="auto"/>
              </w:rPr>
            </w:pPr>
            <w:r>
              <w:rPr>
                <w:rFonts w:ascii="Arial" w:cs="Arial" w:eastAsia="Arial" w:hAnsi="Arial"/>
                <w:sz w:val="19"/>
                <w:szCs w:val="19"/>
                <w:color w:val="auto"/>
              </w:rPr>
              <w:t>64.33</w:t>
            </w:r>
          </w:p>
        </w:tc>
        <w:tc>
          <w:tcPr>
            <w:tcW w:w="120" w:type="dxa"/>
            <w:vAlign w:val="bottom"/>
          </w:tcPr>
          <w:p>
            <w:pPr>
              <w:spacing w:after="0"/>
              <w:rPr>
                <w:sz w:val="24"/>
                <w:szCs w:val="24"/>
                <w:color w:val="auto"/>
              </w:rPr>
            </w:pPr>
          </w:p>
        </w:tc>
        <w:tc>
          <w:tcPr>
            <w:tcW w:w="1020" w:type="dxa"/>
            <w:vAlign w:val="bottom"/>
          </w:tcPr>
          <w:p>
            <w:pPr>
              <w:jc w:val="center"/>
              <w:spacing w:after="0" w:line="213" w:lineRule="exact"/>
              <w:rPr>
                <w:sz w:val="20"/>
                <w:szCs w:val="20"/>
                <w:color w:val="auto"/>
              </w:rPr>
            </w:pPr>
            <w:r>
              <w:rPr>
                <w:rFonts w:ascii="Arial" w:cs="Arial" w:eastAsia="Arial" w:hAnsi="Arial"/>
                <w:sz w:val="19"/>
                <w:szCs w:val="19"/>
                <w:color w:val="auto"/>
                <w:w w:val="99"/>
              </w:rPr>
              <w:t>68%</w:t>
            </w:r>
          </w:p>
        </w:tc>
        <w:tc>
          <w:tcPr>
            <w:tcW w:w="220" w:type="dxa"/>
            <w:vAlign w:val="bottom"/>
            <w:gridSpan w:val="2"/>
          </w:tcPr>
          <w:p>
            <w:pPr>
              <w:jc w:val="right"/>
              <w:spacing w:after="0" w:line="213" w:lineRule="exact"/>
              <w:rPr>
                <w:sz w:val="20"/>
                <w:szCs w:val="20"/>
                <w:color w:val="auto"/>
              </w:rPr>
            </w:pPr>
            <w:r>
              <w:rPr>
                <w:rFonts w:ascii="Arial" w:cs="Arial" w:eastAsia="Arial" w:hAnsi="Arial"/>
                <w:sz w:val="19"/>
                <w:szCs w:val="19"/>
                <w:color w:val="auto"/>
              </w:rPr>
              <w:t>$</w:t>
            </w:r>
          </w:p>
        </w:tc>
        <w:tc>
          <w:tcPr>
            <w:tcW w:w="860" w:type="dxa"/>
            <w:vAlign w:val="bottom"/>
          </w:tcPr>
          <w:p>
            <w:pPr>
              <w:jc w:val="right"/>
              <w:spacing w:after="0" w:line="213" w:lineRule="exact"/>
              <w:rPr>
                <w:sz w:val="20"/>
                <w:szCs w:val="20"/>
                <w:color w:val="auto"/>
              </w:rPr>
            </w:pPr>
            <w:r>
              <w:rPr>
                <w:rFonts w:ascii="Arial" w:cs="Arial" w:eastAsia="Arial" w:hAnsi="Arial"/>
                <w:sz w:val="19"/>
                <w:szCs w:val="19"/>
                <w:color w:val="auto"/>
              </w:rPr>
              <w:t>53.62</w:t>
            </w:r>
          </w:p>
        </w:tc>
        <w:tc>
          <w:tcPr>
            <w:tcW w:w="120" w:type="dxa"/>
            <w:vAlign w:val="bottom"/>
          </w:tcPr>
          <w:p>
            <w:pPr>
              <w:spacing w:after="0"/>
              <w:rPr>
                <w:sz w:val="24"/>
                <w:szCs w:val="24"/>
                <w:color w:val="auto"/>
              </w:rPr>
            </w:pPr>
          </w:p>
        </w:tc>
        <w:tc>
          <w:tcPr>
            <w:tcW w:w="1000" w:type="dxa"/>
            <w:vAlign w:val="bottom"/>
          </w:tcPr>
          <w:p>
            <w:pPr>
              <w:jc w:val="center"/>
              <w:spacing w:after="0" w:line="213" w:lineRule="exact"/>
              <w:rPr>
                <w:sz w:val="20"/>
                <w:szCs w:val="20"/>
                <w:color w:val="auto"/>
              </w:rPr>
            </w:pPr>
            <w:r>
              <w:rPr>
                <w:rFonts w:ascii="Arial" w:cs="Arial" w:eastAsia="Arial" w:hAnsi="Arial"/>
                <w:sz w:val="19"/>
                <w:szCs w:val="19"/>
                <w:color w:val="auto"/>
                <w:w w:val="99"/>
              </w:rPr>
              <w:t>79%</w:t>
            </w:r>
          </w:p>
        </w:tc>
        <w:tc>
          <w:tcPr>
            <w:tcW w:w="0" w:type="dxa"/>
            <w:vAlign w:val="bottom"/>
          </w:tcPr>
          <w:p>
            <w:pPr>
              <w:spacing w:after="0"/>
              <w:rPr>
                <w:sz w:val="1"/>
                <w:szCs w:val="1"/>
                <w:color w:val="auto"/>
              </w:rPr>
            </w:pPr>
          </w:p>
        </w:tc>
      </w:tr>
      <w:tr>
        <w:trPr>
          <w:trHeight w:val="399"/>
        </w:trPr>
        <w:tc>
          <w:tcPr>
            <w:tcW w:w="4520" w:type="dxa"/>
            <w:vAlign w:val="bottom"/>
          </w:tcPr>
          <w:p>
            <w:pPr>
              <w:spacing w:after="0"/>
              <w:rPr>
                <w:sz w:val="20"/>
                <w:szCs w:val="20"/>
                <w:color w:val="auto"/>
              </w:rPr>
            </w:pPr>
            <w:r>
              <w:rPr>
                <w:rFonts w:ascii="Arial" w:cs="Arial" w:eastAsia="Arial" w:hAnsi="Arial"/>
                <w:sz w:val="19"/>
                <w:szCs w:val="19"/>
                <w:b w:val="1"/>
                <w:bCs w:val="1"/>
                <w:color w:val="auto"/>
              </w:rPr>
              <w:t>Natural gas</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520" w:type="dxa"/>
            <w:vAlign w:val="bottom"/>
          </w:tcPr>
          <w:p>
            <w:pPr>
              <w:spacing w:after="0"/>
              <w:rPr>
                <w:sz w:val="20"/>
                <w:szCs w:val="20"/>
                <w:color w:val="auto"/>
              </w:rPr>
            </w:pPr>
            <w:r>
              <w:rPr>
                <w:rFonts w:ascii="Arial" w:cs="Arial" w:eastAsia="Arial" w:hAnsi="Arial"/>
                <w:sz w:val="19"/>
                <w:szCs w:val="19"/>
                <w:color w:val="auto"/>
                <w:w w:val="99"/>
              </w:rPr>
              <w:t>NYMEX ($/MMBTU) - Contract Month Average  . . . . .</w:t>
            </w:r>
          </w:p>
        </w:tc>
        <w:tc>
          <w:tcPr>
            <w:tcW w:w="420" w:type="dxa"/>
            <w:vAlign w:val="bottom"/>
            <w:gridSpan w:val="2"/>
          </w:tcPr>
          <w:p>
            <w:pPr>
              <w:ind w:left="40"/>
              <w:spacing w:after="0"/>
              <w:rPr>
                <w:sz w:val="20"/>
                <w:szCs w:val="20"/>
                <w:color w:val="auto"/>
              </w:rPr>
            </w:pPr>
            <w:r>
              <w:rPr>
                <w:rFonts w:ascii="Arial" w:cs="Arial" w:eastAsia="Arial" w:hAnsi="Arial"/>
                <w:sz w:val="19"/>
                <w:szCs w:val="19"/>
                <w:color w:val="auto"/>
                <w:w w:val="97"/>
              </w:rPr>
              <w:t>. .  $</w:t>
            </w:r>
          </w:p>
        </w:tc>
        <w:tc>
          <w:tcPr>
            <w:tcW w:w="840" w:type="dxa"/>
            <w:vAlign w:val="bottom"/>
          </w:tcPr>
          <w:p>
            <w:pPr>
              <w:jc w:val="right"/>
              <w:spacing w:after="0"/>
              <w:rPr>
                <w:sz w:val="20"/>
                <w:szCs w:val="20"/>
                <w:color w:val="auto"/>
              </w:rPr>
            </w:pPr>
            <w:r>
              <w:rPr>
                <w:rFonts w:ascii="Arial" w:cs="Arial" w:eastAsia="Arial" w:hAnsi="Arial"/>
                <w:sz w:val="19"/>
                <w:szCs w:val="19"/>
                <w:color w:val="auto"/>
              </w:rPr>
              <w:t>6.36</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3.61</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0"/>
        </w:trPr>
        <w:tc>
          <w:tcPr>
            <w:tcW w:w="4520" w:type="dxa"/>
            <w:vAlign w:val="bottom"/>
          </w:tcPr>
          <w:p>
            <w:pPr>
              <w:spacing w:after="0"/>
              <w:rPr>
                <w:sz w:val="20"/>
                <w:szCs w:val="20"/>
                <w:color w:val="auto"/>
              </w:rPr>
            </w:pPr>
            <w:r>
              <w:rPr>
                <w:rFonts w:ascii="Arial" w:cs="Arial" w:eastAsia="Arial" w:hAnsi="Arial"/>
                <w:sz w:val="19"/>
                <w:szCs w:val="19"/>
                <w:color w:val="auto"/>
              </w:rPr>
              <w:t>Realized price without derivative settlements</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00"/>
              <w:spacing w:after="0"/>
              <w:rPr>
                <w:sz w:val="20"/>
                <w:szCs w:val="20"/>
                <w:color w:val="auto"/>
              </w:rPr>
            </w:pPr>
            <w:r>
              <w:rPr>
                <w:rFonts w:ascii="Arial" w:cs="Arial" w:eastAsia="Arial" w:hAnsi="Arial"/>
                <w:sz w:val="19"/>
                <w:szCs w:val="19"/>
                <w:color w:val="auto"/>
                <w:w w:val="95"/>
              </w:rPr>
              <w:t>($/Mcf) . . . . . . . . . . . . . . . . . . . . . . . . . . . . . . . . . . . . .</w:t>
            </w:r>
          </w:p>
        </w:tc>
        <w:tc>
          <w:tcPr>
            <w:tcW w:w="420" w:type="dxa"/>
            <w:vAlign w:val="bottom"/>
            <w:gridSpan w:val="2"/>
          </w:tcPr>
          <w:p>
            <w:pPr>
              <w:ind w:left="40"/>
              <w:spacing w:after="0"/>
              <w:rPr>
                <w:sz w:val="20"/>
                <w:szCs w:val="20"/>
                <w:color w:val="auto"/>
              </w:rPr>
            </w:pPr>
            <w:r>
              <w:rPr>
                <w:rFonts w:ascii="Arial" w:cs="Arial" w:eastAsia="Arial" w:hAnsi="Arial"/>
                <w:sz w:val="19"/>
                <w:szCs w:val="19"/>
                <w:color w:val="auto"/>
                <w:w w:val="97"/>
              </w:rPr>
              <w:t>. .  $</w:t>
            </w:r>
          </w:p>
        </w:tc>
        <w:tc>
          <w:tcPr>
            <w:tcW w:w="840" w:type="dxa"/>
            <w:vAlign w:val="bottom"/>
          </w:tcPr>
          <w:p>
            <w:pPr>
              <w:jc w:val="right"/>
              <w:spacing w:after="0"/>
              <w:rPr>
                <w:sz w:val="20"/>
                <w:szCs w:val="20"/>
                <w:color w:val="auto"/>
              </w:rPr>
            </w:pPr>
            <w:r>
              <w:rPr>
                <w:rFonts w:ascii="Arial" w:cs="Arial" w:eastAsia="Arial" w:hAnsi="Arial"/>
                <w:sz w:val="19"/>
                <w:szCs w:val="19"/>
                <w:color w:val="auto"/>
              </w:rPr>
              <w:t>7.68</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9"/>
                <w:szCs w:val="19"/>
                <w:color w:val="auto"/>
              </w:rPr>
              <w:t>121%</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4.22</w:t>
            </w: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w w:val="98"/>
              </w:rPr>
              <w:t>117%</w:t>
            </w: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9"/>
                <w:szCs w:val="19"/>
                <w:color w:val="auto"/>
                <w:w w:val="98"/>
              </w:rPr>
              <w:t>Effects of derivative settlements . . . . . . . . . . . . . . . . . .</w:t>
            </w:r>
          </w:p>
        </w:tc>
        <w:tc>
          <w:tcPr>
            <w:tcW w:w="300" w:type="dxa"/>
            <w:vAlign w:val="bottom"/>
          </w:tcPr>
          <w:p>
            <w:pPr>
              <w:ind w:left="40"/>
              <w:spacing w:after="0"/>
              <w:rPr>
                <w:sz w:val="20"/>
                <w:szCs w:val="20"/>
                <w:color w:val="auto"/>
              </w:rPr>
            </w:pPr>
            <w:r>
              <w:rPr>
                <w:rFonts w:ascii="Arial" w:cs="Arial" w:eastAsia="Arial" w:hAnsi="Arial"/>
                <w:sz w:val="19"/>
                <w:szCs w:val="19"/>
                <w:color w:val="auto"/>
              </w:rPr>
              <w:t>. .</w:t>
            </w:r>
          </w:p>
        </w:tc>
        <w:tc>
          <w:tcPr>
            <w:tcW w:w="12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9"/>
                <w:szCs w:val="19"/>
                <w:color w:val="auto"/>
              </w:rPr>
              <w:t>(0.14)</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9"/>
                <w:szCs w:val="19"/>
                <w:color w:val="auto"/>
              </w:rPr>
              <w:t>(0.02)</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4520" w:type="dxa"/>
            <w:vAlign w:val="bottom"/>
            <w:vMerge w:val="restart"/>
          </w:tcPr>
          <w:p>
            <w:pPr>
              <w:spacing w:after="0"/>
              <w:rPr>
                <w:sz w:val="20"/>
                <w:szCs w:val="20"/>
                <w:color w:val="auto"/>
              </w:rPr>
            </w:pPr>
            <w:r>
              <w:rPr>
                <w:rFonts w:ascii="Arial" w:cs="Arial" w:eastAsia="Arial" w:hAnsi="Arial"/>
                <w:sz w:val="19"/>
                <w:szCs w:val="19"/>
                <w:color w:val="auto"/>
              </w:rPr>
              <w:t>Realized price with derivative settlements</w:t>
            </w:r>
          </w:p>
        </w:tc>
        <w:tc>
          <w:tcPr>
            <w:tcW w:w="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52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00"/>
              <w:spacing w:after="0"/>
              <w:rPr>
                <w:sz w:val="20"/>
                <w:szCs w:val="20"/>
                <w:color w:val="auto"/>
              </w:rPr>
            </w:pPr>
            <w:r>
              <w:rPr>
                <w:rFonts w:ascii="Arial" w:cs="Arial" w:eastAsia="Arial" w:hAnsi="Arial"/>
                <w:sz w:val="19"/>
                <w:szCs w:val="19"/>
                <w:color w:val="auto"/>
                <w:w w:val="95"/>
              </w:rPr>
              <w:t>($/Mcf) . . . . . . . . . . . . . . . . . . . . . . . . . . . . . . . . . . . . .</w:t>
            </w:r>
          </w:p>
        </w:tc>
        <w:tc>
          <w:tcPr>
            <w:tcW w:w="420" w:type="dxa"/>
            <w:vAlign w:val="bottom"/>
            <w:gridSpan w:val="2"/>
          </w:tcPr>
          <w:p>
            <w:pPr>
              <w:ind w:left="40"/>
              <w:spacing w:after="0"/>
              <w:rPr>
                <w:sz w:val="20"/>
                <w:szCs w:val="20"/>
                <w:color w:val="auto"/>
              </w:rPr>
            </w:pPr>
            <w:r>
              <w:rPr>
                <w:rFonts w:ascii="Arial" w:cs="Arial" w:eastAsia="Arial" w:hAnsi="Arial"/>
                <w:sz w:val="19"/>
                <w:szCs w:val="19"/>
                <w:color w:val="auto"/>
                <w:w w:val="97"/>
              </w:rPr>
              <w:t>. .  $</w:t>
            </w:r>
          </w:p>
        </w:tc>
        <w:tc>
          <w:tcPr>
            <w:tcW w:w="840" w:type="dxa"/>
            <w:vAlign w:val="bottom"/>
          </w:tcPr>
          <w:p>
            <w:pPr>
              <w:jc w:val="right"/>
              <w:spacing w:after="0"/>
              <w:rPr>
                <w:sz w:val="20"/>
                <w:szCs w:val="20"/>
                <w:color w:val="auto"/>
              </w:rPr>
            </w:pPr>
            <w:r>
              <w:rPr>
                <w:rFonts w:ascii="Arial" w:cs="Arial" w:eastAsia="Arial" w:hAnsi="Arial"/>
                <w:sz w:val="19"/>
                <w:szCs w:val="19"/>
                <w:color w:val="auto"/>
              </w:rPr>
              <w:t>7.54</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9"/>
                <w:szCs w:val="19"/>
                <w:color w:val="auto"/>
              </w:rPr>
              <w:t>119%</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4.20</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w w:val="98"/>
              </w:rPr>
              <w:t>116%</w:t>
            </w:r>
          </w:p>
        </w:tc>
        <w:tc>
          <w:tcPr>
            <w:tcW w:w="0" w:type="dxa"/>
            <w:vAlign w:val="bottom"/>
          </w:tcPr>
          <w:p>
            <w:pPr>
              <w:spacing w:after="0"/>
              <w:rPr>
                <w:sz w:val="1"/>
                <w:szCs w:val="1"/>
                <w:color w:val="auto"/>
              </w:rPr>
            </w:pPr>
          </w:p>
        </w:tc>
      </w:tr>
      <w:tr>
        <w:trPr>
          <w:trHeight w:val="32"/>
        </w:trPr>
        <w:tc>
          <w:tcPr>
            <w:tcW w:w="4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4520" w:type="dxa"/>
            <w:vAlign w:val="bottom"/>
          </w:tcPr>
          <w:p>
            <w:pPr>
              <w:spacing w:after="0"/>
              <w:rPr>
                <w:sz w:val="20"/>
                <w:szCs w:val="20"/>
                <w:color w:val="auto"/>
              </w:rPr>
            </w:pPr>
            <w:r>
              <w:rPr>
                <w:rFonts w:ascii="Arial" w:cs="Arial" w:eastAsia="Arial" w:hAnsi="Arial"/>
                <w:sz w:val="19"/>
                <w:szCs w:val="19"/>
                <w:color w:val="auto"/>
              </w:rPr>
              <w:t>NYMEX ($/MMBTU) - Average Monthly Settled Price</w:t>
            </w:r>
          </w:p>
        </w:tc>
        <w:tc>
          <w:tcPr>
            <w:tcW w:w="420" w:type="dxa"/>
            <w:vAlign w:val="bottom"/>
            <w:gridSpan w:val="2"/>
          </w:tcPr>
          <w:p>
            <w:pPr>
              <w:ind w:left="40"/>
              <w:spacing w:after="0"/>
              <w:rPr>
                <w:sz w:val="20"/>
                <w:szCs w:val="20"/>
                <w:color w:val="auto"/>
              </w:rPr>
            </w:pPr>
            <w:r>
              <w:rPr>
                <w:rFonts w:ascii="Arial" w:cs="Arial" w:eastAsia="Arial" w:hAnsi="Arial"/>
                <w:sz w:val="19"/>
                <w:szCs w:val="19"/>
                <w:color w:val="auto"/>
                <w:w w:val="97"/>
              </w:rPr>
              <w:t>. .  $</w:t>
            </w:r>
          </w:p>
        </w:tc>
        <w:tc>
          <w:tcPr>
            <w:tcW w:w="840" w:type="dxa"/>
            <w:vAlign w:val="bottom"/>
          </w:tcPr>
          <w:p>
            <w:pPr>
              <w:jc w:val="right"/>
              <w:spacing w:after="0"/>
              <w:rPr>
                <w:sz w:val="20"/>
                <w:szCs w:val="20"/>
                <w:color w:val="auto"/>
              </w:rPr>
            </w:pPr>
            <w:r>
              <w:rPr>
                <w:rFonts w:ascii="Arial" w:cs="Arial" w:eastAsia="Arial" w:hAnsi="Arial"/>
                <w:sz w:val="19"/>
                <w:szCs w:val="19"/>
                <w:color w:val="auto"/>
              </w:rPr>
              <w:t>6.64</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3.84</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4520" w:type="dxa"/>
            <w:vAlign w:val="bottom"/>
          </w:tcPr>
          <w:p>
            <w:pPr>
              <w:spacing w:after="0"/>
              <w:rPr>
                <w:sz w:val="20"/>
                <w:szCs w:val="20"/>
                <w:color w:val="auto"/>
              </w:rPr>
            </w:pPr>
            <w:r>
              <w:rPr>
                <w:rFonts w:ascii="Arial" w:cs="Arial" w:eastAsia="Arial" w:hAnsi="Arial"/>
                <w:sz w:val="19"/>
                <w:szCs w:val="19"/>
                <w:color w:val="auto"/>
              </w:rPr>
              <w:t>Realized price without derivative settlements</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9"/>
                <w:szCs w:val="19"/>
                <w:color w:val="auto"/>
                <w:w w:val="95"/>
              </w:rPr>
              <w:t>($/Mcf) . . . . . . . . . . . . . . . . . . . . . . . . . . . . . . . . . . . . . . .</w:t>
            </w:r>
          </w:p>
        </w:tc>
        <w:tc>
          <w:tcPr>
            <w:tcW w:w="420" w:type="dxa"/>
            <w:vAlign w:val="bottom"/>
            <w:gridSpan w:val="2"/>
          </w:tcPr>
          <w:p>
            <w:pPr>
              <w:ind w:left="40"/>
              <w:spacing w:after="0"/>
              <w:rPr>
                <w:sz w:val="20"/>
                <w:szCs w:val="20"/>
                <w:color w:val="auto"/>
              </w:rPr>
            </w:pPr>
            <w:r>
              <w:rPr>
                <w:rFonts w:ascii="Arial" w:cs="Arial" w:eastAsia="Arial" w:hAnsi="Arial"/>
                <w:sz w:val="19"/>
                <w:szCs w:val="19"/>
                <w:color w:val="auto"/>
                <w:w w:val="97"/>
              </w:rPr>
              <w:t>. .  $</w:t>
            </w:r>
          </w:p>
        </w:tc>
        <w:tc>
          <w:tcPr>
            <w:tcW w:w="840" w:type="dxa"/>
            <w:vAlign w:val="bottom"/>
          </w:tcPr>
          <w:p>
            <w:pPr>
              <w:jc w:val="right"/>
              <w:spacing w:after="0"/>
              <w:rPr>
                <w:sz w:val="20"/>
                <w:szCs w:val="20"/>
                <w:color w:val="auto"/>
              </w:rPr>
            </w:pPr>
            <w:r>
              <w:rPr>
                <w:rFonts w:ascii="Arial" w:cs="Arial" w:eastAsia="Arial" w:hAnsi="Arial"/>
                <w:sz w:val="19"/>
                <w:szCs w:val="19"/>
                <w:color w:val="auto"/>
              </w:rPr>
              <w:t>7.68</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9"/>
                <w:szCs w:val="19"/>
                <w:color w:val="auto"/>
              </w:rPr>
              <w:t>116%</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4.22</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w w:val="98"/>
              </w:rPr>
              <w:t>110%</w:t>
            </w: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9"/>
                <w:szCs w:val="19"/>
                <w:color w:val="auto"/>
                <w:w w:val="98"/>
              </w:rPr>
              <w:t>Effects of derivative settlements . . . . . . . . . . . . . . . . . .</w:t>
            </w:r>
          </w:p>
        </w:tc>
        <w:tc>
          <w:tcPr>
            <w:tcW w:w="420" w:type="dxa"/>
            <w:vAlign w:val="bottom"/>
            <w:gridSpan w:val="2"/>
          </w:tcPr>
          <w:p>
            <w:pPr>
              <w:ind w:left="40"/>
              <w:spacing w:after="0"/>
              <w:rPr>
                <w:sz w:val="20"/>
                <w:szCs w:val="20"/>
                <w:color w:val="auto"/>
              </w:rPr>
            </w:pPr>
            <w:r>
              <w:rPr>
                <w:rFonts w:ascii="Arial" w:cs="Arial" w:eastAsia="Arial" w:hAnsi="Arial"/>
                <w:sz w:val="19"/>
                <w:szCs w:val="19"/>
                <w:color w:val="auto"/>
                <w:w w:val="97"/>
              </w:rPr>
              <w:t>. .  $</w:t>
            </w:r>
          </w:p>
        </w:tc>
        <w:tc>
          <w:tcPr>
            <w:tcW w:w="960" w:type="dxa"/>
            <w:vAlign w:val="bottom"/>
            <w:gridSpan w:val="2"/>
          </w:tcPr>
          <w:p>
            <w:pPr>
              <w:jc w:val="right"/>
              <w:ind w:right="40"/>
              <w:spacing w:after="0"/>
              <w:rPr>
                <w:sz w:val="20"/>
                <w:szCs w:val="20"/>
                <w:color w:val="auto"/>
              </w:rPr>
            </w:pPr>
            <w:r>
              <w:rPr>
                <w:rFonts w:ascii="Arial" w:cs="Arial" w:eastAsia="Arial" w:hAnsi="Arial"/>
                <w:sz w:val="19"/>
                <w:szCs w:val="19"/>
                <w:color w:val="auto"/>
              </w:rPr>
              <w:t>(0.14)</w:t>
            </w:r>
          </w:p>
        </w:tc>
        <w:tc>
          <w:tcPr>
            <w:tcW w:w="10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9"/>
                <w:szCs w:val="19"/>
                <w:color w:val="auto"/>
              </w:rPr>
              <w:t>(0.02)</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4520" w:type="dxa"/>
            <w:vAlign w:val="bottom"/>
            <w:vMerge w:val="restart"/>
          </w:tcPr>
          <w:p>
            <w:pPr>
              <w:spacing w:after="0"/>
              <w:rPr>
                <w:sz w:val="20"/>
                <w:szCs w:val="20"/>
                <w:color w:val="auto"/>
              </w:rPr>
            </w:pPr>
            <w:r>
              <w:rPr>
                <w:rFonts w:ascii="Arial" w:cs="Arial" w:eastAsia="Arial" w:hAnsi="Arial"/>
                <w:sz w:val="19"/>
                <w:szCs w:val="19"/>
                <w:color w:val="auto"/>
              </w:rPr>
              <w:t>Realized price with derivative settlements</w:t>
            </w:r>
          </w:p>
        </w:tc>
        <w:tc>
          <w:tcPr>
            <w:tcW w:w="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52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9"/>
                <w:szCs w:val="19"/>
                <w:color w:val="auto"/>
                <w:w w:val="95"/>
              </w:rPr>
              <w:t>($/Mcf) . . . . . . . . . . . . . . . . . . . . . . . . . . . . . . . . . . . . . . .</w:t>
            </w:r>
          </w:p>
        </w:tc>
        <w:tc>
          <w:tcPr>
            <w:tcW w:w="420" w:type="dxa"/>
            <w:vAlign w:val="bottom"/>
            <w:gridSpan w:val="2"/>
          </w:tcPr>
          <w:p>
            <w:pPr>
              <w:ind w:left="40"/>
              <w:spacing w:after="0"/>
              <w:rPr>
                <w:sz w:val="20"/>
                <w:szCs w:val="20"/>
                <w:color w:val="auto"/>
              </w:rPr>
            </w:pPr>
            <w:r>
              <w:rPr>
                <w:rFonts w:ascii="Arial" w:cs="Arial" w:eastAsia="Arial" w:hAnsi="Arial"/>
                <w:sz w:val="19"/>
                <w:szCs w:val="19"/>
                <w:color w:val="auto"/>
                <w:w w:val="97"/>
              </w:rPr>
              <w:t>. .  $</w:t>
            </w:r>
          </w:p>
        </w:tc>
        <w:tc>
          <w:tcPr>
            <w:tcW w:w="840" w:type="dxa"/>
            <w:vAlign w:val="bottom"/>
          </w:tcPr>
          <w:p>
            <w:pPr>
              <w:jc w:val="right"/>
              <w:spacing w:after="0"/>
              <w:rPr>
                <w:sz w:val="20"/>
                <w:szCs w:val="20"/>
                <w:color w:val="auto"/>
              </w:rPr>
            </w:pPr>
            <w:r>
              <w:rPr>
                <w:rFonts w:ascii="Arial" w:cs="Arial" w:eastAsia="Arial" w:hAnsi="Arial"/>
                <w:sz w:val="19"/>
                <w:szCs w:val="19"/>
                <w:color w:val="auto"/>
              </w:rPr>
              <w:t>7.54</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9"/>
                <w:szCs w:val="19"/>
                <w:color w:val="auto"/>
              </w:rPr>
              <w:t>114%</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4.20</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w w:val="98"/>
              </w:rPr>
              <w:t>109%</w:t>
            </w:r>
          </w:p>
        </w:tc>
        <w:tc>
          <w:tcPr>
            <w:tcW w:w="0" w:type="dxa"/>
            <w:vAlign w:val="bottom"/>
          </w:tcPr>
          <w:p>
            <w:pPr>
              <w:spacing w:after="0"/>
              <w:rPr>
                <w:sz w:val="1"/>
                <w:szCs w:val="1"/>
                <w:color w:val="auto"/>
              </w:rPr>
            </w:pPr>
          </w:p>
        </w:tc>
      </w:tr>
      <w:tr>
        <w:trPr>
          <w:trHeight w:val="32"/>
        </w:trPr>
        <w:tc>
          <w:tcPr>
            <w:tcW w:w="4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240" w:hanging="240"/>
        <w:spacing w:after="0"/>
        <w:tabs>
          <w:tab w:leader="none" w:pos="2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Realization is calculated as a percentage of Brent.</w:t>
      </w:r>
    </w:p>
    <w:p>
      <w:pPr>
        <w:spacing w:after="0" w:line="16" w:lineRule="exact"/>
        <w:rPr>
          <w:rFonts w:ascii="Arial" w:cs="Arial" w:eastAsia="Arial" w:hAnsi="Arial"/>
          <w:sz w:val="16"/>
          <w:szCs w:val="16"/>
          <w:color w:val="auto"/>
        </w:rPr>
      </w:pPr>
    </w:p>
    <w:p>
      <w:pPr>
        <w:ind w:left="240" w:hanging="240"/>
        <w:spacing w:after="0"/>
        <w:tabs>
          <w:tab w:leader="none" w:pos="2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Realization is calculated as a percentage of WTI.</w:t>
      </w:r>
    </w:p>
    <w:p>
      <w:pPr>
        <w:sectPr>
          <w:pgSz w:w="11880" w:h="15480" w:orient="portrait"/>
          <w:cols w:equalWidth="0" w:num="1">
            <w:col w:w="9120"/>
          </w:cols>
          <w:pgMar w:left="1380" w:top="1316" w:right="138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ectPr>
          <w:pgSz w:w="11880" w:h="15480" w:orient="portrait"/>
          <w:cols w:equalWidth="0" w:num="1">
            <w:col w:w="9120"/>
          </w:cols>
          <w:pgMar w:left="1380" w:top="1316" w:right="1380" w:bottom="653"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263"/>
        </w:trPr>
        <w:tc>
          <w:tcPr>
            <w:tcW w:w="4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Borders>
              <w:right w:val="single" w:sz="8" w:color="auto"/>
            </w:tcBorders>
            <w:gridSpan w:val="4"/>
          </w:tcPr>
          <w:p>
            <w:pPr>
              <w:ind w:left="440"/>
              <w:spacing w:after="0"/>
              <w:rPr>
                <w:sz w:val="20"/>
                <w:szCs w:val="20"/>
                <w:color w:val="auto"/>
              </w:rPr>
            </w:pPr>
            <w:r>
              <w:rPr>
                <w:rFonts w:ascii="Arial" w:cs="Arial" w:eastAsia="Arial" w:hAnsi="Arial"/>
                <w:sz w:val="19"/>
                <w:szCs w:val="19"/>
                <w:b w:val="1"/>
                <w:bCs w:val="1"/>
                <w:color w:val="auto"/>
              </w:rPr>
              <w:t>Successor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60" w:type="dxa"/>
            <w:vAlign w:val="bottom"/>
            <w:gridSpan w:val="3"/>
          </w:tcPr>
          <w:p>
            <w:pPr>
              <w:ind w:left="360"/>
              <w:spacing w:after="0"/>
              <w:rPr>
                <w:sz w:val="20"/>
                <w:szCs w:val="20"/>
                <w:color w:val="auto"/>
              </w:rPr>
            </w:pPr>
            <w:r>
              <w:rPr>
                <w:rFonts w:ascii="Arial" w:cs="Arial" w:eastAsia="Arial" w:hAnsi="Arial"/>
                <w:sz w:val="19"/>
                <w:szCs w:val="19"/>
                <w:b w:val="1"/>
                <w:bCs w:val="1"/>
                <w:color w:val="auto"/>
              </w:rPr>
              <w:t>Predecessor</w:t>
            </w:r>
          </w:p>
        </w:tc>
        <w:tc>
          <w:tcPr>
            <w:tcW w:w="0" w:type="dxa"/>
            <w:vAlign w:val="bottom"/>
          </w:tcPr>
          <w:p>
            <w:pPr>
              <w:spacing w:after="0"/>
              <w:rPr>
                <w:sz w:val="1"/>
                <w:szCs w:val="1"/>
                <w:color w:val="auto"/>
              </w:rPr>
            </w:pPr>
          </w:p>
        </w:tc>
      </w:tr>
      <w:tr>
        <w:trPr>
          <w:trHeight w:val="22"/>
        </w:trPr>
        <w:tc>
          <w:tcPr>
            <w:tcW w:w="4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4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60" w:type="dxa"/>
            <w:vAlign w:val="bottom"/>
            <w:tcBorders>
              <w:right w:val="single" w:sz="8" w:color="auto"/>
            </w:tcBorders>
            <w:gridSpan w:val="4"/>
          </w:tcPr>
          <w:p>
            <w:pPr>
              <w:ind w:left="100"/>
              <w:spacing w:after="0"/>
              <w:rPr>
                <w:sz w:val="20"/>
                <w:szCs w:val="20"/>
                <w:color w:val="auto"/>
              </w:rPr>
            </w:pPr>
            <w:r>
              <w:rPr>
                <w:rFonts w:ascii="Arial" w:cs="Arial" w:eastAsia="Arial" w:hAnsi="Arial"/>
                <w:sz w:val="19"/>
                <w:szCs w:val="19"/>
                <w:b w:val="1"/>
                <w:bCs w:val="1"/>
                <w:color w:val="auto"/>
              </w:rPr>
              <w:t>November 1, 2020 -</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60" w:type="dxa"/>
            <w:vAlign w:val="bottom"/>
            <w:gridSpan w:val="3"/>
          </w:tcPr>
          <w:p>
            <w:pPr>
              <w:ind w:left="200"/>
              <w:spacing w:after="0"/>
              <w:rPr>
                <w:sz w:val="20"/>
                <w:szCs w:val="20"/>
                <w:color w:val="auto"/>
              </w:rPr>
            </w:pPr>
            <w:r>
              <w:rPr>
                <w:rFonts w:ascii="Arial" w:cs="Arial" w:eastAsia="Arial" w:hAnsi="Arial"/>
                <w:sz w:val="19"/>
                <w:szCs w:val="19"/>
                <w:b w:val="1"/>
                <w:bCs w:val="1"/>
                <w:color w:val="auto"/>
              </w:rPr>
              <w:t>January 1, 2020 -</w:t>
            </w: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Borders>
              <w:right w:val="single" w:sz="8" w:color="auto"/>
            </w:tcBorders>
            <w:gridSpan w:val="4"/>
          </w:tcPr>
          <w:p>
            <w:pPr>
              <w:ind w:left="80"/>
              <w:spacing w:after="0"/>
              <w:rPr>
                <w:sz w:val="20"/>
                <w:szCs w:val="20"/>
                <w:color w:val="auto"/>
              </w:rPr>
            </w:pPr>
            <w:r>
              <w:rPr>
                <w:rFonts w:ascii="Arial" w:cs="Arial" w:eastAsia="Arial" w:hAnsi="Arial"/>
                <w:sz w:val="19"/>
                <w:szCs w:val="19"/>
                <w:b w:val="1"/>
                <w:bCs w:val="1"/>
                <w:color w:val="auto"/>
              </w:rPr>
              <w:t>December 31, 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gridSpan w:val="3"/>
          </w:tcPr>
          <w:p>
            <w:pPr>
              <w:ind w:left="160"/>
              <w:spacing w:after="0"/>
              <w:rPr>
                <w:sz w:val="20"/>
                <w:szCs w:val="20"/>
                <w:color w:val="auto"/>
              </w:rPr>
            </w:pPr>
            <w:r>
              <w:rPr>
                <w:rFonts w:ascii="Arial" w:cs="Arial" w:eastAsia="Arial" w:hAnsi="Arial"/>
                <w:sz w:val="19"/>
                <w:szCs w:val="19"/>
                <w:b w:val="1"/>
                <w:bCs w:val="1"/>
                <w:color w:val="auto"/>
              </w:rPr>
              <w:t>October 31, 2020</w:t>
            </w:r>
          </w:p>
        </w:tc>
        <w:tc>
          <w:tcPr>
            <w:tcW w:w="0" w:type="dxa"/>
            <w:vAlign w:val="bottom"/>
          </w:tcPr>
          <w:p>
            <w:pPr>
              <w:spacing w:after="0"/>
              <w:rPr>
                <w:sz w:val="1"/>
                <w:szCs w:val="1"/>
                <w:color w:val="auto"/>
              </w:rPr>
            </w:pPr>
          </w:p>
        </w:tc>
      </w:tr>
      <w:tr>
        <w:trPr>
          <w:trHeight w:val="22"/>
        </w:trPr>
        <w:tc>
          <w:tcPr>
            <w:tcW w:w="4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4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9"/>
                <w:szCs w:val="19"/>
                <w:b w:val="1"/>
                <w:bCs w:val="1"/>
                <w:color w:val="auto"/>
                <w:w w:val="98"/>
              </w:rPr>
              <w:t>Average</w:t>
            </w:r>
          </w:p>
        </w:tc>
        <w:tc>
          <w:tcPr>
            <w:tcW w:w="100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jc w:val="right"/>
              <w:ind w:right="25"/>
              <w:spacing w:after="0"/>
              <w:rPr>
                <w:sz w:val="20"/>
                <w:szCs w:val="20"/>
                <w:color w:val="auto"/>
              </w:rPr>
            </w:pPr>
            <w:r>
              <w:rPr>
                <w:rFonts w:ascii="Arial" w:cs="Arial" w:eastAsia="Arial" w:hAnsi="Arial"/>
                <w:sz w:val="19"/>
                <w:szCs w:val="19"/>
                <w:b w:val="1"/>
                <w:bCs w:val="1"/>
                <w:color w:val="auto"/>
                <w:w w:val="95"/>
              </w:rPr>
              <w:t>Average</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9"/>
                <w:szCs w:val="19"/>
                <w:b w:val="1"/>
                <w:bCs w:val="1"/>
                <w:color w:val="auto"/>
              </w:rPr>
              <w:t>Price</w:t>
            </w:r>
          </w:p>
        </w:tc>
        <w:tc>
          <w:tcPr>
            <w:tcW w:w="1100" w:type="dxa"/>
            <w:vAlign w:val="bottom"/>
            <w:tcBorders>
              <w:right w:val="single" w:sz="8" w:color="auto"/>
            </w:tcBorders>
            <w:gridSpan w:val="2"/>
          </w:tcPr>
          <w:p>
            <w:pPr>
              <w:spacing w:after="0"/>
              <w:rPr>
                <w:sz w:val="20"/>
                <w:szCs w:val="20"/>
                <w:color w:val="auto"/>
              </w:rPr>
            </w:pPr>
            <w:r>
              <w:rPr>
                <w:rFonts w:ascii="Arial" w:cs="Arial" w:eastAsia="Arial" w:hAnsi="Arial"/>
                <w:sz w:val="19"/>
                <w:szCs w:val="19"/>
                <w:b w:val="1"/>
                <w:bCs w:val="1"/>
                <w:color w:val="auto"/>
              </w:rPr>
              <w:t>Realization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ind w:right="165"/>
              <w:spacing w:after="0"/>
              <w:rPr>
                <w:sz w:val="20"/>
                <w:szCs w:val="20"/>
                <w:color w:val="auto"/>
              </w:rPr>
            </w:pPr>
            <w:r>
              <w:rPr>
                <w:rFonts w:ascii="Arial" w:cs="Arial" w:eastAsia="Arial" w:hAnsi="Arial"/>
                <w:sz w:val="19"/>
                <w:szCs w:val="19"/>
                <w:b w:val="1"/>
                <w:bCs w:val="1"/>
                <w:color w:val="auto"/>
              </w:rPr>
              <w:t>Price</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9"/>
                <w:szCs w:val="19"/>
                <w:b w:val="1"/>
                <w:bCs w:val="1"/>
                <w:color w:val="auto"/>
                <w:w w:val="97"/>
              </w:rPr>
              <w:t>Realization</w:t>
            </w:r>
          </w:p>
        </w:tc>
        <w:tc>
          <w:tcPr>
            <w:tcW w:w="0" w:type="dxa"/>
            <w:vAlign w:val="bottom"/>
          </w:tcPr>
          <w:p>
            <w:pPr>
              <w:spacing w:after="0"/>
              <w:rPr>
                <w:sz w:val="1"/>
                <w:szCs w:val="1"/>
                <w:color w:val="auto"/>
              </w:rPr>
            </w:pPr>
          </w:p>
        </w:tc>
      </w:tr>
      <w:tr>
        <w:trPr>
          <w:trHeight w:val="22"/>
        </w:trPr>
        <w:tc>
          <w:tcPr>
            <w:tcW w:w="4520" w:type="dxa"/>
            <w:vAlign w:val="bottom"/>
            <w:vMerge w:val="restart"/>
          </w:tcPr>
          <w:p>
            <w:pPr>
              <w:spacing w:after="0"/>
              <w:rPr>
                <w:sz w:val="20"/>
                <w:szCs w:val="20"/>
                <w:color w:val="auto"/>
              </w:rPr>
            </w:pPr>
            <w:r>
              <w:rPr>
                <w:rFonts w:ascii="Arial" w:cs="Arial" w:eastAsia="Arial" w:hAnsi="Arial"/>
                <w:sz w:val="19"/>
                <w:szCs w:val="19"/>
                <w:b w:val="1"/>
                <w:bCs w:val="1"/>
                <w:color w:val="auto"/>
              </w:rPr>
              <w:t>Oil ($ per Bbl)</w:t>
            </w: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4520" w:type="dxa"/>
            <w:vAlign w:val="bottom"/>
            <w:vMerge w:val="continue"/>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520" w:type="dxa"/>
            <w:vAlign w:val="bottom"/>
          </w:tcPr>
          <w:p>
            <w:pPr>
              <w:spacing w:after="0"/>
              <w:rPr>
                <w:sz w:val="20"/>
                <w:szCs w:val="20"/>
                <w:color w:val="auto"/>
              </w:rPr>
            </w:pPr>
            <w:r>
              <w:rPr>
                <w:rFonts w:ascii="Arial" w:cs="Arial" w:eastAsia="Arial" w:hAnsi="Arial"/>
                <w:sz w:val="19"/>
                <w:szCs w:val="19"/>
                <w:color w:val="auto"/>
                <w:w w:val="96"/>
              </w:rPr>
              <w:t>Brent . . . . . . . . . . . . . . . . . . . . . . . . . . . . . . . . . . . . . . . .</w:t>
            </w:r>
          </w:p>
        </w:tc>
        <w:tc>
          <w:tcPr>
            <w:tcW w:w="380" w:type="dxa"/>
            <w:vAlign w:val="bottom"/>
            <w:gridSpan w:val="2"/>
          </w:tcPr>
          <w:p>
            <w:pPr>
              <w:ind w:left="20"/>
              <w:spacing w:after="0"/>
              <w:rPr>
                <w:sz w:val="20"/>
                <w:szCs w:val="20"/>
                <w:color w:val="auto"/>
              </w:rPr>
            </w:pPr>
            <w:r>
              <w:rPr>
                <w:rFonts w:ascii="Arial" w:cs="Arial" w:eastAsia="Arial" w:hAnsi="Arial"/>
                <w:sz w:val="19"/>
                <w:szCs w:val="19"/>
                <w:color w:val="auto"/>
              </w:rPr>
              <w:t>. . $</w:t>
            </w:r>
          </w:p>
        </w:tc>
        <w:tc>
          <w:tcPr>
            <w:tcW w:w="860" w:type="dxa"/>
            <w:vAlign w:val="bottom"/>
          </w:tcPr>
          <w:p>
            <w:pPr>
              <w:jc w:val="right"/>
              <w:spacing w:after="0"/>
              <w:rPr>
                <w:sz w:val="20"/>
                <w:szCs w:val="20"/>
                <w:color w:val="auto"/>
              </w:rPr>
            </w:pPr>
            <w:r>
              <w:rPr>
                <w:rFonts w:ascii="Arial" w:cs="Arial" w:eastAsia="Arial" w:hAnsi="Arial"/>
                <w:sz w:val="19"/>
                <w:szCs w:val="19"/>
                <w:color w:val="auto"/>
              </w:rPr>
              <w:t>47.10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42.43</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0"/>
        </w:trPr>
        <w:tc>
          <w:tcPr>
            <w:tcW w:w="4520" w:type="dxa"/>
            <w:vAlign w:val="bottom"/>
          </w:tcPr>
          <w:p>
            <w:pPr>
              <w:spacing w:after="0"/>
              <w:rPr>
                <w:sz w:val="20"/>
                <w:szCs w:val="20"/>
                <w:color w:val="auto"/>
              </w:rPr>
            </w:pPr>
            <w:r>
              <w:rPr>
                <w:rFonts w:ascii="Arial" w:cs="Arial" w:eastAsia="Arial" w:hAnsi="Arial"/>
                <w:sz w:val="19"/>
                <w:szCs w:val="19"/>
                <w:color w:val="auto"/>
              </w:rPr>
              <w:t>Realized price without derivative settlements . . . . . . .</w:t>
            </w:r>
          </w:p>
        </w:tc>
        <w:tc>
          <w:tcPr>
            <w:tcW w:w="380" w:type="dxa"/>
            <w:vAlign w:val="bottom"/>
            <w:gridSpan w:val="2"/>
          </w:tcPr>
          <w:p>
            <w:pPr>
              <w:ind w:left="20"/>
              <w:spacing w:after="0"/>
              <w:rPr>
                <w:sz w:val="20"/>
                <w:szCs w:val="20"/>
                <w:color w:val="auto"/>
              </w:rPr>
            </w:pPr>
            <w:r>
              <w:rPr>
                <w:rFonts w:ascii="Arial" w:cs="Arial" w:eastAsia="Arial" w:hAnsi="Arial"/>
                <w:sz w:val="19"/>
                <w:szCs w:val="19"/>
                <w:color w:val="auto"/>
              </w:rPr>
              <w:t>. . $</w:t>
            </w:r>
          </w:p>
        </w:tc>
        <w:tc>
          <w:tcPr>
            <w:tcW w:w="860" w:type="dxa"/>
            <w:vAlign w:val="bottom"/>
          </w:tcPr>
          <w:p>
            <w:pPr>
              <w:jc w:val="right"/>
              <w:spacing w:after="0"/>
              <w:rPr>
                <w:sz w:val="20"/>
                <w:szCs w:val="20"/>
                <w:color w:val="auto"/>
              </w:rPr>
            </w:pPr>
            <w:r>
              <w:rPr>
                <w:rFonts w:ascii="Arial" w:cs="Arial" w:eastAsia="Arial" w:hAnsi="Arial"/>
                <w:sz w:val="19"/>
                <w:szCs w:val="19"/>
                <w:color w:val="auto"/>
              </w:rPr>
              <w:t>45.65</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w w:val="99"/>
              </w:rPr>
              <w:t>97%</w:t>
            </w:r>
          </w:p>
        </w:tc>
        <w:tc>
          <w:tcPr>
            <w:tcW w:w="100" w:type="dxa"/>
            <w:vAlign w:val="bottom"/>
            <w:tcBorders>
              <w:right w:val="single" w:sz="8" w:color="auto"/>
            </w:tcBorders>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41.21</w:t>
            </w:r>
          </w:p>
        </w:tc>
        <w:tc>
          <w:tcPr>
            <w:tcW w:w="1100" w:type="dxa"/>
            <w:vAlign w:val="bottom"/>
            <w:gridSpan w:val="2"/>
          </w:tcPr>
          <w:p>
            <w:pPr>
              <w:jc w:val="center"/>
              <w:spacing w:after="0"/>
              <w:rPr>
                <w:sz w:val="20"/>
                <w:szCs w:val="20"/>
                <w:color w:val="auto"/>
              </w:rPr>
            </w:pPr>
            <w:r>
              <w:rPr>
                <w:rFonts w:ascii="Arial" w:cs="Arial" w:eastAsia="Arial" w:hAnsi="Arial"/>
                <w:sz w:val="19"/>
                <w:szCs w:val="19"/>
                <w:color w:val="auto"/>
                <w:w w:val="99"/>
              </w:rPr>
              <w:t>97%</w:t>
            </w: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9"/>
                <w:szCs w:val="19"/>
                <w:color w:val="auto"/>
                <w:w w:val="98"/>
              </w:rPr>
              <w:t>Effects of derivative settlements . . . . . . . . . . . . . . . . . .</w:t>
            </w:r>
          </w:p>
        </w:tc>
        <w:tc>
          <w:tcPr>
            <w:tcW w:w="280" w:type="dxa"/>
            <w:vAlign w:val="bottom"/>
          </w:tcPr>
          <w:p>
            <w:pPr>
              <w:ind w:left="20"/>
              <w:spacing w:after="0"/>
              <w:rPr>
                <w:sz w:val="20"/>
                <w:szCs w:val="20"/>
                <w:color w:val="auto"/>
              </w:rPr>
            </w:pPr>
            <w:r>
              <w:rPr>
                <w:rFonts w:ascii="Arial" w:cs="Arial" w:eastAsia="Arial" w:hAnsi="Arial"/>
                <w:sz w:val="19"/>
                <w:szCs w:val="19"/>
                <w:color w:val="auto"/>
              </w:rPr>
              <w:t>. .</w:t>
            </w:r>
          </w:p>
        </w:tc>
        <w:tc>
          <w:tcPr>
            <w:tcW w:w="1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9"/>
                <w:szCs w:val="19"/>
                <w:color w:val="auto"/>
              </w:rPr>
              <w:t>(0.28)</w:t>
            </w:r>
          </w:p>
        </w:tc>
        <w:tc>
          <w:tcPr>
            <w:tcW w:w="10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1.98</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4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520" w:type="dxa"/>
            <w:vAlign w:val="bottom"/>
          </w:tcPr>
          <w:p>
            <w:pPr>
              <w:spacing w:after="0"/>
              <w:rPr>
                <w:sz w:val="20"/>
                <w:szCs w:val="20"/>
                <w:color w:val="auto"/>
              </w:rPr>
            </w:pPr>
            <w:r>
              <w:rPr>
                <w:rFonts w:ascii="Arial" w:cs="Arial" w:eastAsia="Arial" w:hAnsi="Arial"/>
                <w:sz w:val="19"/>
                <w:szCs w:val="19"/>
                <w:color w:val="auto"/>
                <w:w w:val="99"/>
              </w:rPr>
              <w:t>Realized price with derivative settlements . . . . . . . . . .</w:t>
            </w:r>
          </w:p>
        </w:tc>
        <w:tc>
          <w:tcPr>
            <w:tcW w:w="380" w:type="dxa"/>
            <w:vAlign w:val="bottom"/>
            <w:gridSpan w:val="2"/>
          </w:tcPr>
          <w:p>
            <w:pPr>
              <w:ind w:left="20"/>
              <w:spacing w:after="0"/>
              <w:rPr>
                <w:sz w:val="20"/>
                <w:szCs w:val="20"/>
                <w:color w:val="auto"/>
              </w:rPr>
            </w:pPr>
            <w:r>
              <w:rPr>
                <w:rFonts w:ascii="Arial" w:cs="Arial" w:eastAsia="Arial" w:hAnsi="Arial"/>
                <w:sz w:val="19"/>
                <w:szCs w:val="19"/>
                <w:color w:val="auto"/>
              </w:rPr>
              <w:t>. . $</w:t>
            </w:r>
          </w:p>
        </w:tc>
        <w:tc>
          <w:tcPr>
            <w:tcW w:w="860" w:type="dxa"/>
            <w:vAlign w:val="bottom"/>
          </w:tcPr>
          <w:p>
            <w:pPr>
              <w:jc w:val="right"/>
              <w:spacing w:after="0"/>
              <w:rPr>
                <w:sz w:val="20"/>
                <w:szCs w:val="20"/>
                <w:color w:val="auto"/>
              </w:rPr>
            </w:pPr>
            <w:r>
              <w:rPr>
                <w:rFonts w:ascii="Arial" w:cs="Arial" w:eastAsia="Arial" w:hAnsi="Arial"/>
                <w:sz w:val="19"/>
                <w:szCs w:val="19"/>
                <w:color w:val="auto"/>
              </w:rPr>
              <w:t>45.37</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w w:val="99"/>
              </w:rPr>
              <w:t>96%</w:t>
            </w:r>
          </w:p>
        </w:tc>
        <w:tc>
          <w:tcPr>
            <w:tcW w:w="100" w:type="dxa"/>
            <w:vAlign w:val="bottom"/>
            <w:tcBorders>
              <w:right w:val="single" w:sz="8" w:color="auto"/>
            </w:tcBorders>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43.19</w:t>
            </w:r>
          </w:p>
        </w:tc>
        <w:tc>
          <w:tcPr>
            <w:tcW w:w="1100" w:type="dxa"/>
            <w:vAlign w:val="bottom"/>
            <w:gridSpan w:val="2"/>
          </w:tcPr>
          <w:p>
            <w:pPr>
              <w:jc w:val="center"/>
              <w:ind w:left="5"/>
              <w:spacing w:after="0"/>
              <w:rPr>
                <w:sz w:val="20"/>
                <w:szCs w:val="20"/>
                <w:color w:val="auto"/>
              </w:rPr>
            </w:pPr>
            <w:r>
              <w:rPr>
                <w:rFonts w:ascii="Arial" w:cs="Arial" w:eastAsia="Arial" w:hAnsi="Arial"/>
                <w:sz w:val="19"/>
                <w:szCs w:val="19"/>
                <w:color w:val="auto"/>
                <w:w w:val="98"/>
              </w:rPr>
              <w:t>102%</w:t>
            </w:r>
          </w:p>
        </w:tc>
        <w:tc>
          <w:tcPr>
            <w:tcW w:w="0" w:type="dxa"/>
            <w:vAlign w:val="bottom"/>
          </w:tcPr>
          <w:p>
            <w:pPr>
              <w:spacing w:after="0"/>
              <w:rPr>
                <w:sz w:val="1"/>
                <w:szCs w:val="1"/>
                <w:color w:val="auto"/>
              </w:rPr>
            </w:pPr>
          </w:p>
        </w:tc>
      </w:tr>
      <w:tr>
        <w:trPr>
          <w:trHeight w:val="32"/>
        </w:trPr>
        <w:tc>
          <w:tcPr>
            <w:tcW w:w="4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4520" w:type="dxa"/>
            <w:vAlign w:val="bottom"/>
          </w:tcPr>
          <w:p>
            <w:pPr>
              <w:spacing w:after="0"/>
              <w:rPr>
                <w:sz w:val="20"/>
                <w:szCs w:val="20"/>
                <w:color w:val="auto"/>
              </w:rPr>
            </w:pPr>
            <w:r>
              <w:rPr>
                <w:rFonts w:ascii="Arial" w:cs="Arial" w:eastAsia="Arial" w:hAnsi="Arial"/>
                <w:sz w:val="19"/>
                <w:szCs w:val="19"/>
                <w:color w:val="auto"/>
                <w:w w:val="96"/>
              </w:rPr>
              <w:t>WTI . . . . . . . . . . . . . . . . . . . . . . . . . . . . . . . . . . . . . . . . .</w:t>
            </w:r>
          </w:p>
        </w:tc>
        <w:tc>
          <w:tcPr>
            <w:tcW w:w="380" w:type="dxa"/>
            <w:vAlign w:val="bottom"/>
            <w:gridSpan w:val="2"/>
          </w:tcPr>
          <w:p>
            <w:pPr>
              <w:ind w:left="20"/>
              <w:spacing w:after="0"/>
              <w:rPr>
                <w:sz w:val="20"/>
                <w:szCs w:val="20"/>
                <w:color w:val="auto"/>
              </w:rPr>
            </w:pPr>
            <w:r>
              <w:rPr>
                <w:rFonts w:ascii="Arial" w:cs="Arial" w:eastAsia="Arial" w:hAnsi="Arial"/>
                <w:sz w:val="19"/>
                <w:szCs w:val="19"/>
                <w:color w:val="auto"/>
              </w:rPr>
              <w:t>. . $</w:t>
            </w:r>
          </w:p>
        </w:tc>
        <w:tc>
          <w:tcPr>
            <w:tcW w:w="860" w:type="dxa"/>
            <w:vAlign w:val="bottom"/>
          </w:tcPr>
          <w:p>
            <w:pPr>
              <w:jc w:val="right"/>
              <w:spacing w:after="0"/>
              <w:rPr>
                <w:sz w:val="20"/>
                <w:szCs w:val="20"/>
                <w:color w:val="auto"/>
              </w:rPr>
            </w:pPr>
            <w:r>
              <w:rPr>
                <w:rFonts w:ascii="Arial" w:cs="Arial" w:eastAsia="Arial" w:hAnsi="Arial"/>
                <w:sz w:val="19"/>
                <w:szCs w:val="19"/>
                <w:color w:val="auto"/>
              </w:rPr>
              <w:t>44.21</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38.44</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9"/>
                <w:szCs w:val="19"/>
                <w:color w:val="auto"/>
              </w:rPr>
              <w:t>Realized price without derivative settlements . . . . . . .</w:t>
            </w:r>
          </w:p>
        </w:tc>
        <w:tc>
          <w:tcPr>
            <w:tcW w:w="380" w:type="dxa"/>
            <w:vAlign w:val="bottom"/>
            <w:gridSpan w:val="2"/>
          </w:tcPr>
          <w:p>
            <w:pPr>
              <w:ind w:left="20"/>
              <w:spacing w:after="0"/>
              <w:rPr>
                <w:sz w:val="20"/>
                <w:szCs w:val="20"/>
                <w:color w:val="auto"/>
              </w:rPr>
            </w:pPr>
            <w:r>
              <w:rPr>
                <w:rFonts w:ascii="Arial" w:cs="Arial" w:eastAsia="Arial" w:hAnsi="Arial"/>
                <w:sz w:val="19"/>
                <w:szCs w:val="19"/>
                <w:color w:val="auto"/>
              </w:rPr>
              <w:t>. . $</w:t>
            </w:r>
          </w:p>
        </w:tc>
        <w:tc>
          <w:tcPr>
            <w:tcW w:w="860" w:type="dxa"/>
            <w:vAlign w:val="bottom"/>
          </w:tcPr>
          <w:p>
            <w:pPr>
              <w:jc w:val="right"/>
              <w:spacing w:after="0"/>
              <w:rPr>
                <w:sz w:val="20"/>
                <w:szCs w:val="20"/>
                <w:color w:val="auto"/>
              </w:rPr>
            </w:pPr>
            <w:r>
              <w:rPr>
                <w:rFonts w:ascii="Arial" w:cs="Arial" w:eastAsia="Arial" w:hAnsi="Arial"/>
                <w:sz w:val="19"/>
                <w:szCs w:val="19"/>
                <w:color w:val="auto"/>
              </w:rPr>
              <w:t>45.65</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w w:val="98"/>
              </w:rPr>
              <w:t>103%</w:t>
            </w:r>
          </w:p>
        </w:tc>
        <w:tc>
          <w:tcPr>
            <w:tcW w:w="100" w:type="dxa"/>
            <w:vAlign w:val="bottom"/>
            <w:tcBorders>
              <w:right w:val="single" w:sz="8" w:color="auto"/>
            </w:tcBorders>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41.21</w:t>
            </w:r>
          </w:p>
        </w:tc>
        <w:tc>
          <w:tcPr>
            <w:tcW w:w="1100" w:type="dxa"/>
            <w:vAlign w:val="bottom"/>
            <w:gridSpan w:val="2"/>
          </w:tcPr>
          <w:p>
            <w:pPr>
              <w:jc w:val="center"/>
              <w:ind w:left="5"/>
              <w:spacing w:after="0"/>
              <w:rPr>
                <w:sz w:val="20"/>
                <w:szCs w:val="20"/>
                <w:color w:val="auto"/>
              </w:rPr>
            </w:pPr>
            <w:r>
              <w:rPr>
                <w:rFonts w:ascii="Arial" w:cs="Arial" w:eastAsia="Arial" w:hAnsi="Arial"/>
                <w:sz w:val="19"/>
                <w:szCs w:val="19"/>
                <w:color w:val="auto"/>
                <w:w w:val="98"/>
              </w:rPr>
              <w:t>107%</w:t>
            </w: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9"/>
                <w:szCs w:val="19"/>
                <w:color w:val="auto"/>
                <w:w w:val="99"/>
              </w:rPr>
              <w:t>Realized price with derivative settlements . . . . . . . . . .</w:t>
            </w:r>
          </w:p>
        </w:tc>
        <w:tc>
          <w:tcPr>
            <w:tcW w:w="380" w:type="dxa"/>
            <w:vAlign w:val="bottom"/>
            <w:gridSpan w:val="2"/>
          </w:tcPr>
          <w:p>
            <w:pPr>
              <w:ind w:left="20"/>
              <w:spacing w:after="0"/>
              <w:rPr>
                <w:sz w:val="20"/>
                <w:szCs w:val="20"/>
                <w:color w:val="auto"/>
              </w:rPr>
            </w:pPr>
            <w:r>
              <w:rPr>
                <w:rFonts w:ascii="Arial" w:cs="Arial" w:eastAsia="Arial" w:hAnsi="Arial"/>
                <w:sz w:val="19"/>
                <w:szCs w:val="19"/>
                <w:color w:val="auto"/>
              </w:rPr>
              <w:t>. . $</w:t>
            </w:r>
          </w:p>
        </w:tc>
        <w:tc>
          <w:tcPr>
            <w:tcW w:w="860" w:type="dxa"/>
            <w:vAlign w:val="bottom"/>
          </w:tcPr>
          <w:p>
            <w:pPr>
              <w:jc w:val="right"/>
              <w:spacing w:after="0"/>
              <w:rPr>
                <w:sz w:val="20"/>
                <w:szCs w:val="20"/>
                <w:color w:val="auto"/>
              </w:rPr>
            </w:pPr>
            <w:r>
              <w:rPr>
                <w:rFonts w:ascii="Arial" w:cs="Arial" w:eastAsia="Arial" w:hAnsi="Arial"/>
                <w:sz w:val="19"/>
                <w:szCs w:val="19"/>
                <w:color w:val="auto"/>
              </w:rPr>
              <w:t>45.37</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w w:val="98"/>
              </w:rPr>
              <w:t>103%</w:t>
            </w:r>
          </w:p>
        </w:tc>
        <w:tc>
          <w:tcPr>
            <w:tcW w:w="100" w:type="dxa"/>
            <w:vAlign w:val="bottom"/>
            <w:tcBorders>
              <w:right w:val="single" w:sz="8" w:color="auto"/>
            </w:tcBorders>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43.19</w:t>
            </w:r>
          </w:p>
        </w:tc>
        <w:tc>
          <w:tcPr>
            <w:tcW w:w="1100" w:type="dxa"/>
            <w:vAlign w:val="bottom"/>
            <w:gridSpan w:val="2"/>
          </w:tcPr>
          <w:p>
            <w:pPr>
              <w:jc w:val="center"/>
              <w:ind w:left="5"/>
              <w:spacing w:after="0"/>
              <w:rPr>
                <w:sz w:val="20"/>
                <w:szCs w:val="20"/>
                <w:color w:val="auto"/>
              </w:rPr>
            </w:pPr>
            <w:r>
              <w:rPr>
                <w:rFonts w:ascii="Arial" w:cs="Arial" w:eastAsia="Arial" w:hAnsi="Arial"/>
                <w:sz w:val="19"/>
                <w:szCs w:val="19"/>
                <w:color w:val="auto"/>
                <w:w w:val="98"/>
              </w:rPr>
              <w:t>112%</w:t>
            </w:r>
          </w:p>
        </w:tc>
        <w:tc>
          <w:tcPr>
            <w:tcW w:w="0" w:type="dxa"/>
            <w:vAlign w:val="bottom"/>
          </w:tcPr>
          <w:p>
            <w:pPr>
              <w:spacing w:after="0"/>
              <w:rPr>
                <w:sz w:val="1"/>
                <w:szCs w:val="1"/>
                <w:color w:val="auto"/>
              </w:rPr>
            </w:pPr>
          </w:p>
        </w:tc>
      </w:tr>
      <w:tr>
        <w:trPr>
          <w:trHeight w:val="470"/>
        </w:trPr>
        <w:tc>
          <w:tcPr>
            <w:tcW w:w="4520" w:type="dxa"/>
            <w:vAlign w:val="bottom"/>
          </w:tcPr>
          <w:p>
            <w:pPr>
              <w:spacing w:after="0"/>
              <w:rPr>
                <w:sz w:val="20"/>
                <w:szCs w:val="20"/>
                <w:color w:val="auto"/>
              </w:rPr>
            </w:pPr>
            <w:r>
              <w:rPr>
                <w:rFonts w:ascii="Arial" w:cs="Arial" w:eastAsia="Arial" w:hAnsi="Arial"/>
                <w:sz w:val="19"/>
                <w:szCs w:val="19"/>
                <w:b w:val="1"/>
                <w:bCs w:val="1"/>
                <w:color w:val="auto"/>
              </w:rPr>
              <w:t>NGLs ($ per Bbl)</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520" w:type="dxa"/>
            <w:vAlign w:val="bottom"/>
          </w:tcPr>
          <w:p>
            <w:pPr>
              <w:spacing w:after="0" w:line="248" w:lineRule="exact"/>
              <w:rPr>
                <w:sz w:val="20"/>
                <w:szCs w:val="20"/>
                <w:color w:val="auto"/>
              </w:rPr>
            </w:pPr>
            <w:r>
              <w:rPr>
                <w:rFonts w:ascii="Arial" w:cs="Arial" w:eastAsia="Arial" w:hAnsi="Arial"/>
                <w:sz w:val="19"/>
                <w:szCs w:val="19"/>
                <w:color w:val="auto"/>
                <w:w w:val="95"/>
              </w:rPr>
              <w:t>Realized price</w:t>
            </w:r>
            <w:r>
              <w:rPr>
                <w:rFonts w:ascii="Arial" w:cs="Arial" w:eastAsia="Arial" w:hAnsi="Arial"/>
                <w:sz w:val="24"/>
                <w:szCs w:val="24"/>
                <w:color w:val="auto"/>
                <w:w w:val="95"/>
                <w:vertAlign w:val="superscript"/>
              </w:rPr>
              <w:t>(a)</w:t>
            </w:r>
            <w:r>
              <w:rPr>
                <w:rFonts w:ascii="Arial" w:cs="Arial" w:eastAsia="Arial" w:hAnsi="Arial"/>
                <w:sz w:val="19"/>
                <w:szCs w:val="19"/>
                <w:color w:val="auto"/>
                <w:w w:val="95"/>
              </w:rPr>
              <w:t xml:space="preserve">  . . . . . . . . . . . . . . . . . . . . . . . . . . . . . . .</w:t>
            </w:r>
          </w:p>
        </w:tc>
        <w:tc>
          <w:tcPr>
            <w:tcW w:w="380" w:type="dxa"/>
            <w:vAlign w:val="bottom"/>
            <w:gridSpan w:val="2"/>
          </w:tcPr>
          <w:p>
            <w:pPr>
              <w:ind w:left="20"/>
              <w:spacing w:after="0"/>
              <w:rPr>
                <w:sz w:val="20"/>
                <w:szCs w:val="20"/>
                <w:color w:val="auto"/>
              </w:rPr>
            </w:pPr>
            <w:r>
              <w:rPr>
                <w:rFonts w:ascii="Arial" w:cs="Arial" w:eastAsia="Arial" w:hAnsi="Arial"/>
                <w:sz w:val="19"/>
                <w:szCs w:val="19"/>
                <w:color w:val="auto"/>
              </w:rPr>
              <w:t>. . $</w:t>
            </w:r>
          </w:p>
        </w:tc>
        <w:tc>
          <w:tcPr>
            <w:tcW w:w="860" w:type="dxa"/>
            <w:vAlign w:val="bottom"/>
          </w:tcPr>
          <w:p>
            <w:pPr>
              <w:jc w:val="right"/>
              <w:spacing w:after="0"/>
              <w:rPr>
                <w:sz w:val="20"/>
                <w:szCs w:val="20"/>
                <w:color w:val="auto"/>
              </w:rPr>
            </w:pPr>
            <w:r>
              <w:rPr>
                <w:rFonts w:ascii="Arial" w:cs="Arial" w:eastAsia="Arial" w:hAnsi="Arial"/>
                <w:sz w:val="19"/>
                <w:szCs w:val="19"/>
                <w:color w:val="auto"/>
              </w:rPr>
              <w:t>38.00</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w w:val="99"/>
              </w:rPr>
              <w:t>81%</w:t>
            </w:r>
          </w:p>
        </w:tc>
        <w:tc>
          <w:tcPr>
            <w:tcW w:w="100" w:type="dxa"/>
            <w:vAlign w:val="bottom"/>
            <w:tcBorders>
              <w:right w:val="single" w:sz="8" w:color="auto"/>
            </w:tcBorders>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25.70</w:t>
            </w:r>
          </w:p>
        </w:tc>
        <w:tc>
          <w:tcPr>
            <w:tcW w:w="1100" w:type="dxa"/>
            <w:vAlign w:val="bottom"/>
            <w:gridSpan w:val="2"/>
          </w:tcPr>
          <w:p>
            <w:pPr>
              <w:jc w:val="center"/>
              <w:spacing w:after="0"/>
              <w:rPr>
                <w:sz w:val="20"/>
                <w:szCs w:val="20"/>
                <w:color w:val="auto"/>
              </w:rPr>
            </w:pPr>
            <w:r>
              <w:rPr>
                <w:rFonts w:ascii="Arial" w:cs="Arial" w:eastAsia="Arial" w:hAnsi="Arial"/>
                <w:sz w:val="19"/>
                <w:szCs w:val="19"/>
                <w:color w:val="auto"/>
                <w:w w:val="99"/>
              </w:rPr>
              <w:t>61%</w:t>
            </w:r>
          </w:p>
        </w:tc>
        <w:tc>
          <w:tcPr>
            <w:tcW w:w="0" w:type="dxa"/>
            <w:vAlign w:val="bottom"/>
          </w:tcPr>
          <w:p>
            <w:pPr>
              <w:spacing w:after="0"/>
              <w:rPr>
                <w:sz w:val="1"/>
                <w:szCs w:val="1"/>
                <w:color w:val="auto"/>
              </w:rPr>
            </w:pPr>
          </w:p>
        </w:tc>
      </w:tr>
      <w:tr>
        <w:trPr>
          <w:trHeight w:val="284"/>
        </w:trPr>
        <w:tc>
          <w:tcPr>
            <w:tcW w:w="4520" w:type="dxa"/>
            <w:vAlign w:val="bottom"/>
          </w:tcPr>
          <w:p>
            <w:pPr>
              <w:spacing w:after="0"/>
              <w:rPr>
                <w:sz w:val="20"/>
                <w:szCs w:val="20"/>
                <w:color w:val="auto"/>
              </w:rPr>
            </w:pPr>
            <w:r>
              <w:rPr>
                <w:rFonts w:ascii="Arial" w:cs="Arial" w:eastAsia="Arial" w:hAnsi="Arial"/>
                <w:sz w:val="19"/>
                <w:szCs w:val="19"/>
                <w:color w:val="auto"/>
                <w:w w:val="95"/>
              </w:rPr>
              <w:t>Realized price</w:t>
            </w:r>
            <w:r>
              <w:rPr>
                <w:rFonts w:ascii="Arial" w:cs="Arial" w:eastAsia="Arial" w:hAnsi="Arial"/>
                <w:sz w:val="24"/>
                <w:szCs w:val="24"/>
                <w:color w:val="auto"/>
                <w:w w:val="95"/>
                <w:vertAlign w:val="superscript"/>
              </w:rPr>
              <w:t>(b)</w:t>
            </w:r>
            <w:r>
              <w:rPr>
                <w:rFonts w:ascii="Arial" w:cs="Arial" w:eastAsia="Arial" w:hAnsi="Arial"/>
                <w:sz w:val="19"/>
                <w:szCs w:val="19"/>
                <w:color w:val="auto"/>
                <w:w w:val="95"/>
              </w:rPr>
              <w:t xml:space="preserve">  . . . . . . . . . . . . . . . . . . . . . . . . . . . . . . .</w:t>
            </w:r>
          </w:p>
        </w:tc>
        <w:tc>
          <w:tcPr>
            <w:tcW w:w="380" w:type="dxa"/>
            <w:vAlign w:val="bottom"/>
            <w:gridSpan w:val="2"/>
          </w:tcPr>
          <w:p>
            <w:pPr>
              <w:ind w:left="20"/>
              <w:spacing w:after="0" w:line="213" w:lineRule="exact"/>
              <w:rPr>
                <w:sz w:val="20"/>
                <w:szCs w:val="20"/>
                <w:color w:val="auto"/>
              </w:rPr>
            </w:pPr>
            <w:r>
              <w:rPr>
                <w:rFonts w:ascii="Arial" w:cs="Arial" w:eastAsia="Arial" w:hAnsi="Arial"/>
                <w:sz w:val="19"/>
                <w:szCs w:val="19"/>
                <w:color w:val="auto"/>
              </w:rPr>
              <w:t>. . $</w:t>
            </w:r>
          </w:p>
        </w:tc>
        <w:tc>
          <w:tcPr>
            <w:tcW w:w="860" w:type="dxa"/>
            <w:vAlign w:val="bottom"/>
          </w:tcPr>
          <w:p>
            <w:pPr>
              <w:jc w:val="right"/>
              <w:spacing w:after="0" w:line="213" w:lineRule="exact"/>
              <w:rPr>
                <w:sz w:val="20"/>
                <w:szCs w:val="20"/>
                <w:color w:val="auto"/>
              </w:rPr>
            </w:pPr>
            <w:r>
              <w:rPr>
                <w:rFonts w:ascii="Arial" w:cs="Arial" w:eastAsia="Arial" w:hAnsi="Arial"/>
                <w:sz w:val="19"/>
                <w:szCs w:val="19"/>
                <w:color w:val="auto"/>
              </w:rPr>
              <w:t>38.00</w:t>
            </w:r>
          </w:p>
        </w:tc>
        <w:tc>
          <w:tcPr>
            <w:tcW w:w="100" w:type="dxa"/>
            <w:vAlign w:val="bottom"/>
          </w:tcPr>
          <w:p>
            <w:pPr>
              <w:spacing w:after="0"/>
              <w:rPr>
                <w:sz w:val="24"/>
                <w:szCs w:val="24"/>
                <w:color w:val="auto"/>
              </w:rPr>
            </w:pPr>
          </w:p>
        </w:tc>
        <w:tc>
          <w:tcPr>
            <w:tcW w:w="1000" w:type="dxa"/>
            <w:vAlign w:val="bottom"/>
          </w:tcPr>
          <w:p>
            <w:pPr>
              <w:jc w:val="center"/>
              <w:spacing w:after="0" w:line="213" w:lineRule="exact"/>
              <w:rPr>
                <w:sz w:val="20"/>
                <w:szCs w:val="20"/>
                <w:color w:val="auto"/>
              </w:rPr>
            </w:pPr>
            <w:r>
              <w:rPr>
                <w:rFonts w:ascii="Arial" w:cs="Arial" w:eastAsia="Arial" w:hAnsi="Arial"/>
                <w:sz w:val="19"/>
                <w:szCs w:val="19"/>
                <w:color w:val="auto"/>
                <w:w w:val="99"/>
              </w:rPr>
              <w:t>86%</w:t>
            </w:r>
          </w:p>
        </w:tc>
        <w:tc>
          <w:tcPr>
            <w:tcW w:w="100" w:type="dxa"/>
            <w:vAlign w:val="bottom"/>
            <w:tcBorders>
              <w:right w:val="single" w:sz="8" w:color="auto"/>
            </w:tcBorders>
          </w:tcPr>
          <w:p>
            <w:pPr>
              <w:spacing w:after="0"/>
              <w:rPr>
                <w:sz w:val="24"/>
                <w:szCs w:val="24"/>
                <w:color w:val="auto"/>
              </w:rPr>
            </w:pPr>
          </w:p>
        </w:tc>
        <w:tc>
          <w:tcPr>
            <w:tcW w:w="200" w:type="dxa"/>
            <w:vAlign w:val="bottom"/>
            <w:gridSpan w:val="2"/>
          </w:tcPr>
          <w:p>
            <w:pPr>
              <w:jc w:val="right"/>
              <w:spacing w:after="0" w:line="213" w:lineRule="exact"/>
              <w:rPr>
                <w:sz w:val="20"/>
                <w:szCs w:val="20"/>
                <w:color w:val="auto"/>
              </w:rPr>
            </w:pPr>
            <w:r>
              <w:rPr>
                <w:rFonts w:ascii="Arial" w:cs="Arial" w:eastAsia="Arial" w:hAnsi="Arial"/>
                <w:sz w:val="19"/>
                <w:szCs w:val="19"/>
                <w:color w:val="auto"/>
              </w:rPr>
              <w:t>$</w:t>
            </w:r>
          </w:p>
        </w:tc>
        <w:tc>
          <w:tcPr>
            <w:tcW w:w="860" w:type="dxa"/>
            <w:vAlign w:val="bottom"/>
          </w:tcPr>
          <w:p>
            <w:pPr>
              <w:jc w:val="right"/>
              <w:spacing w:after="0" w:line="213" w:lineRule="exact"/>
              <w:rPr>
                <w:sz w:val="20"/>
                <w:szCs w:val="20"/>
                <w:color w:val="auto"/>
              </w:rPr>
            </w:pPr>
            <w:r>
              <w:rPr>
                <w:rFonts w:ascii="Arial" w:cs="Arial" w:eastAsia="Arial" w:hAnsi="Arial"/>
                <w:sz w:val="19"/>
                <w:szCs w:val="19"/>
                <w:color w:val="auto"/>
              </w:rPr>
              <w:t>25.70</w:t>
            </w:r>
          </w:p>
        </w:tc>
        <w:tc>
          <w:tcPr>
            <w:tcW w:w="1100" w:type="dxa"/>
            <w:vAlign w:val="bottom"/>
            <w:gridSpan w:val="2"/>
          </w:tcPr>
          <w:p>
            <w:pPr>
              <w:jc w:val="center"/>
              <w:spacing w:after="0" w:line="213" w:lineRule="exact"/>
              <w:rPr>
                <w:sz w:val="20"/>
                <w:szCs w:val="20"/>
                <w:color w:val="auto"/>
              </w:rPr>
            </w:pPr>
            <w:r>
              <w:rPr>
                <w:rFonts w:ascii="Arial" w:cs="Arial" w:eastAsia="Arial" w:hAnsi="Arial"/>
                <w:sz w:val="19"/>
                <w:szCs w:val="19"/>
                <w:color w:val="auto"/>
                <w:w w:val="99"/>
              </w:rPr>
              <w:t>67%</w:t>
            </w:r>
          </w:p>
        </w:tc>
        <w:tc>
          <w:tcPr>
            <w:tcW w:w="0" w:type="dxa"/>
            <w:vAlign w:val="bottom"/>
          </w:tcPr>
          <w:p>
            <w:pPr>
              <w:spacing w:after="0"/>
              <w:rPr>
                <w:sz w:val="1"/>
                <w:szCs w:val="1"/>
                <w:color w:val="auto"/>
              </w:rPr>
            </w:pPr>
          </w:p>
        </w:tc>
      </w:tr>
      <w:tr>
        <w:trPr>
          <w:trHeight w:val="399"/>
        </w:trPr>
        <w:tc>
          <w:tcPr>
            <w:tcW w:w="4520" w:type="dxa"/>
            <w:vAlign w:val="bottom"/>
          </w:tcPr>
          <w:p>
            <w:pPr>
              <w:spacing w:after="0"/>
              <w:rPr>
                <w:sz w:val="20"/>
                <w:szCs w:val="20"/>
                <w:color w:val="auto"/>
              </w:rPr>
            </w:pPr>
            <w:r>
              <w:rPr>
                <w:rFonts w:ascii="Arial" w:cs="Arial" w:eastAsia="Arial" w:hAnsi="Arial"/>
                <w:sz w:val="19"/>
                <w:szCs w:val="19"/>
                <w:b w:val="1"/>
                <w:bCs w:val="1"/>
                <w:color w:val="auto"/>
              </w:rPr>
              <w:t>Natural gas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520" w:type="dxa"/>
            <w:vAlign w:val="bottom"/>
          </w:tcPr>
          <w:p>
            <w:pPr>
              <w:spacing w:after="0"/>
              <w:rPr>
                <w:sz w:val="20"/>
                <w:szCs w:val="20"/>
                <w:color w:val="auto"/>
              </w:rPr>
            </w:pPr>
            <w:r>
              <w:rPr>
                <w:rFonts w:ascii="Arial" w:cs="Arial" w:eastAsia="Arial" w:hAnsi="Arial"/>
                <w:sz w:val="19"/>
                <w:szCs w:val="19"/>
                <w:color w:val="auto"/>
              </w:rPr>
              <w:t>NYMEX ($/MMBTU) - Contract Month Average . . . . .</w:t>
            </w:r>
          </w:p>
        </w:tc>
        <w:tc>
          <w:tcPr>
            <w:tcW w:w="380" w:type="dxa"/>
            <w:vAlign w:val="bottom"/>
            <w:gridSpan w:val="2"/>
          </w:tcPr>
          <w:p>
            <w:pPr>
              <w:ind w:left="20"/>
              <w:spacing w:after="0"/>
              <w:rPr>
                <w:sz w:val="20"/>
                <w:szCs w:val="20"/>
                <w:color w:val="auto"/>
              </w:rPr>
            </w:pPr>
            <w:r>
              <w:rPr>
                <w:rFonts w:ascii="Arial" w:cs="Arial" w:eastAsia="Arial" w:hAnsi="Arial"/>
                <w:sz w:val="19"/>
                <w:szCs w:val="19"/>
                <w:color w:val="auto"/>
              </w:rPr>
              <w:t>. . $</w:t>
            </w:r>
          </w:p>
        </w:tc>
        <w:tc>
          <w:tcPr>
            <w:tcW w:w="860" w:type="dxa"/>
            <w:vAlign w:val="bottom"/>
          </w:tcPr>
          <w:p>
            <w:pPr>
              <w:jc w:val="right"/>
              <w:spacing w:after="0"/>
              <w:rPr>
                <w:sz w:val="20"/>
                <w:szCs w:val="20"/>
                <w:color w:val="auto"/>
              </w:rPr>
            </w:pPr>
            <w:r>
              <w:rPr>
                <w:rFonts w:ascii="Arial" w:cs="Arial" w:eastAsia="Arial" w:hAnsi="Arial"/>
                <w:sz w:val="19"/>
                <w:szCs w:val="19"/>
                <w:color w:val="auto"/>
              </w:rPr>
              <w:t>2.86</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1.95</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0"/>
        </w:trPr>
        <w:tc>
          <w:tcPr>
            <w:tcW w:w="4520" w:type="dxa"/>
            <w:vAlign w:val="bottom"/>
          </w:tcPr>
          <w:p>
            <w:pPr>
              <w:spacing w:after="0"/>
              <w:rPr>
                <w:sz w:val="20"/>
                <w:szCs w:val="20"/>
                <w:color w:val="auto"/>
              </w:rPr>
            </w:pPr>
            <w:r>
              <w:rPr>
                <w:rFonts w:ascii="Arial" w:cs="Arial" w:eastAsia="Arial" w:hAnsi="Arial"/>
                <w:sz w:val="19"/>
                <w:szCs w:val="19"/>
                <w:color w:val="auto"/>
              </w:rPr>
              <w:t>Realized price without derivative settlements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00"/>
              <w:spacing w:after="0"/>
              <w:rPr>
                <w:sz w:val="20"/>
                <w:szCs w:val="20"/>
                <w:color w:val="auto"/>
              </w:rPr>
            </w:pPr>
            <w:r>
              <w:rPr>
                <w:rFonts w:ascii="Arial" w:cs="Arial" w:eastAsia="Arial" w:hAnsi="Arial"/>
                <w:sz w:val="19"/>
                <w:szCs w:val="19"/>
                <w:color w:val="auto"/>
                <w:w w:val="95"/>
              </w:rPr>
              <w:t>($/Mcf) . . . . . . . . . . . . . . . . . . . . . . . . . . . . . . . . . . . . .</w:t>
            </w:r>
          </w:p>
        </w:tc>
        <w:tc>
          <w:tcPr>
            <w:tcW w:w="380" w:type="dxa"/>
            <w:vAlign w:val="bottom"/>
            <w:gridSpan w:val="2"/>
          </w:tcPr>
          <w:p>
            <w:pPr>
              <w:ind w:left="20"/>
              <w:spacing w:after="0"/>
              <w:rPr>
                <w:sz w:val="20"/>
                <w:szCs w:val="20"/>
                <w:color w:val="auto"/>
              </w:rPr>
            </w:pPr>
            <w:r>
              <w:rPr>
                <w:rFonts w:ascii="Arial" w:cs="Arial" w:eastAsia="Arial" w:hAnsi="Arial"/>
                <w:sz w:val="19"/>
                <w:szCs w:val="19"/>
                <w:color w:val="auto"/>
              </w:rPr>
              <w:t>. . $</w:t>
            </w:r>
          </w:p>
        </w:tc>
        <w:tc>
          <w:tcPr>
            <w:tcW w:w="860" w:type="dxa"/>
            <w:vAlign w:val="bottom"/>
          </w:tcPr>
          <w:p>
            <w:pPr>
              <w:jc w:val="right"/>
              <w:spacing w:after="0"/>
              <w:rPr>
                <w:sz w:val="20"/>
                <w:szCs w:val="20"/>
                <w:color w:val="auto"/>
              </w:rPr>
            </w:pPr>
            <w:r>
              <w:rPr>
                <w:rFonts w:ascii="Arial" w:cs="Arial" w:eastAsia="Arial" w:hAnsi="Arial"/>
                <w:sz w:val="19"/>
                <w:szCs w:val="19"/>
                <w:color w:val="auto"/>
              </w:rPr>
              <w:t>3.21</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w w:val="98"/>
              </w:rPr>
              <w:t>112%</w:t>
            </w:r>
          </w:p>
        </w:tc>
        <w:tc>
          <w:tcPr>
            <w:tcW w:w="100" w:type="dxa"/>
            <w:vAlign w:val="bottom"/>
            <w:tcBorders>
              <w:right w:val="single" w:sz="8" w:color="auto"/>
            </w:tcBorders>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2.11</w:t>
            </w:r>
          </w:p>
        </w:tc>
        <w:tc>
          <w:tcPr>
            <w:tcW w:w="1100" w:type="dxa"/>
            <w:vAlign w:val="bottom"/>
            <w:gridSpan w:val="2"/>
          </w:tcPr>
          <w:p>
            <w:pPr>
              <w:jc w:val="center"/>
              <w:ind w:left="5"/>
              <w:spacing w:after="0"/>
              <w:rPr>
                <w:sz w:val="20"/>
                <w:szCs w:val="20"/>
                <w:color w:val="auto"/>
              </w:rPr>
            </w:pPr>
            <w:r>
              <w:rPr>
                <w:rFonts w:ascii="Arial" w:cs="Arial" w:eastAsia="Arial" w:hAnsi="Arial"/>
                <w:sz w:val="19"/>
                <w:szCs w:val="19"/>
                <w:color w:val="auto"/>
                <w:w w:val="98"/>
              </w:rPr>
              <w:t>108%</w:t>
            </w: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9"/>
                <w:szCs w:val="19"/>
                <w:color w:val="auto"/>
                <w:w w:val="98"/>
              </w:rPr>
              <w:t>Effects of derivative settlements . . . . . . . . . . . . . . . . . .</w:t>
            </w:r>
          </w:p>
        </w:tc>
        <w:tc>
          <w:tcPr>
            <w:tcW w:w="280" w:type="dxa"/>
            <w:vAlign w:val="bottom"/>
          </w:tcPr>
          <w:p>
            <w:pPr>
              <w:ind w:left="20"/>
              <w:spacing w:after="0"/>
              <w:rPr>
                <w:sz w:val="20"/>
                <w:szCs w:val="20"/>
                <w:color w:val="auto"/>
              </w:rPr>
            </w:pPr>
            <w:r>
              <w:rPr>
                <w:rFonts w:ascii="Arial" w:cs="Arial" w:eastAsia="Arial" w:hAnsi="Arial"/>
                <w:sz w:val="19"/>
                <w:szCs w:val="19"/>
                <w:color w:val="auto"/>
              </w:rPr>
              <w:t>. .</w:t>
            </w:r>
          </w:p>
        </w:tc>
        <w:tc>
          <w:tcPr>
            <w:tcW w:w="10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9"/>
                <w:szCs w:val="19"/>
                <w:color w:val="auto"/>
              </w:rPr>
              <w:t>(0.07)</w:t>
            </w:r>
          </w:p>
        </w:tc>
        <w:tc>
          <w:tcPr>
            <w:tcW w:w="10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0.06</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4520" w:type="dxa"/>
            <w:vAlign w:val="bottom"/>
            <w:vMerge w:val="restart"/>
          </w:tcPr>
          <w:p>
            <w:pPr>
              <w:spacing w:after="0"/>
              <w:rPr>
                <w:sz w:val="20"/>
                <w:szCs w:val="20"/>
                <w:color w:val="auto"/>
              </w:rPr>
            </w:pPr>
            <w:r>
              <w:rPr>
                <w:rFonts w:ascii="Arial" w:cs="Arial" w:eastAsia="Arial" w:hAnsi="Arial"/>
                <w:sz w:val="19"/>
                <w:szCs w:val="19"/>
                <w:color w:val="auto"/>
              </w:rPr>
              <w:t>Realized price with derivative settlements</w:t>
            </w:r>
          </w:p>
        </w:tc>
        <w:tc>
          <w:tcPr>
            <w:tcW w:w="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52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00"/>
              <w:spacing w:after="0"/>
              <w:rPr>
                <w:sz w:val="20"/>
                <w:szCs w:val="20"/>
                <w:color w:val="auto"/>
              </w:rPr>
            </w:pPr>
            <w:r>
              <w:rPr>
                <w:rFonts w:ascii="Arial" w:cs="Arial" w:eastAsia="Arial" w:hAnsi="Arial"/>
                <w:sz w:val="19"/>
                <w:szCs w:val="19"/>
                <w:color w:val="auto"/>
                <w:w w:val="95"/>
              </w:rPr>
              <w:t>($/Mcf) . . . . . . . . . . . . . . . . . . . . . . . . . . . . . . . . . . . . .</w:t>
            </w:r>
          </w:p>
        </w:tc>
        <w:tc>
          <w:tcPr>
            <w:tcW w:w="380" w:type="dxa"/>
            <w:vAlign w:val="bottom"/>
            <w:gridSpan w:val="2"/>
          </w:tcPr>
          <w:p>
            <w:pPr>
              <w:ind w:left="20"/>
              <w:spacing w:after="0"/>
              <w:rPr>
                <w:sz w:val="20"/>
                <w:szCs w:val="20"/>
                <w:color w:val="auto"/>
              </w:rPr>
            </w:pPr>
            <w:r>
              <w:rPr>
                <w:rFonts w:ascii="Arial" w:cs="Arial" w:eastAsia="Arial" w:hAnsi="Arial"/>
                <w:sz w:val="19"/>
                <w:szCs w:val="19"/>
                <w:color w:val="auto"/>
              </w:rPr>
              <w:t>. . $</w:t>
            </w:r>
          </w:p>
        </w:tc>
        <w:tc>
          <w:tcPr>
            <w:tcW w:w="860" w:type="dxa"/>
            <w:vAlign w:val="bottom"/>
          </w:tcPr>
          <w:p>
            <w:pPr>
              <w:jc w:val="right"/>
              <w:spacing w:after="0"/>
              <w:rPr>
                <w:sz w:val="20"/>
                <w:szCs w:val="20"/>
                <w:color w:val="auto"/>
              </w:rPr>
            </w:pPr>
            <w:r>
              <w:rPr>
                <w:rFonts w:ascii="Arial" w:cs="Arial" w:eastAsia="Arial" w:hAnsi="Arial"/>
                <w:sz w:val="19"/>
                <w:szCs w:val="19"/>
                <w:color w:val="auto"/>
              </w:rPr>
              <w:t>3.14</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w w:val="98"/>
              </w:rPr>
              <w:t>110%</w:t>
            </w:r>
          </w:p>
        </w:tc>
        <w:tc>
          <w:tcPr>
            <w:tcW w:w="100" w:type="dxa"/>
            <w:vAlign w:val="bottom"/>
            <w:tcBorders>
              <w:right w:val="single" w:sz="8" w:color="auto"/>
            </w:tcBorders>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2.17</w:t>
            </w:r>
          </w:p>
        </w:tc>
        <w:tc>
          <w:tcPr>
            <w:tcW w:w="1100" w:type="dxa"/>
            <w:vAlign w:val="bottom"/>
            <w:gridSpan w:val="2"/>
          </w:tcPr>
          <w:p>
            <w:pPr>
              <w:jc w:val="center"/>
              <w:ind w:left="5"/>
              <w:spacing w:after="0"/>
              <w:rPr>
                <w:sz w:val="20"/>
                <w:szCs w:val="20"/>
                <w:color w:val="auto"/>
              </w:rPr>
            </w:pPr>
            <w:r>
              <w:rPr>
                <w:rFonts w:ascii="Arial" w:cs="Arial" w:eastAsia="Arial" w:hAnsi="Arial"/>
                <w:sz w:val="19"/>
                <w:szCs w:val="19"/>
                <w:color w:val="auto"/>
                <w:w w:val="98"/>
              </w:rPr>
              <w:t>111%</w:t>
            </w:r>
          </w:p>
        </w:tc>
        <w:tc>
          <w:tcPr>
            <w:tcW w:w="0" w:type="dxa"/>
            <w:vAlign w:val="bottom"/>
          </w:tcPr>
          <w:p>
            <w:pPr>
              <w:spacing w:after="0"/>
              <w:rPr>
                <w:sz w:val="1"/>
                <w:szCs w:val="1"/>
                <w:color w:val="auto"/>
              </w:rPr>
            </w:pPr>
          </w:p>
        </w:tc>
      </w:tr>
      <w:tr>
        <w:trPr>
          <w:trHeight w:val="32"/>
        </w:trPr>
        <w:tc>
          <w:tcPr>
            <w:tcW w:w="4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4520" w:type="dxa"/>
            <w:vAlign w:val="bottom"/>
          </w:tcPr>
          <w:p>
            <w:pPr>
              <w:spacing w:after="0"/>
              <w:rPr>
                <w:sz w:val="20"/>
                <w:szCs w:val="20"/>
                <w:color w:val="auto"/>
              </w:rPr>
            </w:pPr>
            <w:r>
              <w:rPr>
                <w:rFonts w:ascii="Arial" w:cs="Arial" w:eastAsia="Arial" w:hAnsi="Arial"/>
                <w:sz w:val="19"/>
                <w:szCs w:val="19"/>
                <w:color w:val="auto"/>
              </w:rPr>
              <w:t>NYMEX ($/MMBTU) - Average Monthly Settled Price</w:t>
            </w:r>
          </w:p>
        </w:tc>
        <w:tc>
          <w:tcPr>
            <w:tcW w:w="380" w:type="dxa"/>
            <w:vAlign w:val="bottom"/>
            <w:gridSpan w:val="2"/>
          </w:tcPr>
          <w:p>
            <w:pPr>
              <w:ind w:left="20"/>
              <w:spacing w:after="0"/>
              <w:rPr>
                <w:sz w:val="20"/>
                <w:szCs w:val="20"/>
                <w:color w:val="auto"/>
              </w:rPr>
            </w:pPr>
            <w:r>
              <w:rPr>
                <w:rFonts w:ascii="Arial" w:cs="Arial" w:eastAsia="Arial" w:hAnsi="Arial"/>
                <w:sz w:val="19"/>
                <w:szCs w:val="19"/>
                <w:color w:val="auto"/>
              </w:rPr>
              <w:t>. . $</w:t>
            </w:r>
          </w:p>
        </w:tc>
        <w:tc>
          <w:tcPr>
            <w:tcW w:w="860" w:type="dxa"/>
            <w:vAlign w:val="bottom"/>
          </w:tcPr>
          <w:p>
            <w:pPr>
              <w:jc w:val="right"/>
              <w:spacing w:after="0"/>
              <w:rPr>
                <w:sz w:val="20"/>
                <w:szCs w:val="20"/>
                <w:color w:val="auto"/>
              </w:rPr>
            </w:pPr>
            <w:r>
              <w:rPr>
                <w:rFonts w:ascii="Arial" w:cs="Arial" w:eastAsia="Arial" w:hAnsi="Arial"/>
                <w:sz w:val="19"/>
                <w:szCs w:val="19"/>
                <w:color w:val="auto"/>
              </w:rPr>
              <w:t>2.95</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1.90</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4520" w:type="dxa"/>
            <w:vAlign w:val="bottom"/>
          </w:tcPr>
          <w:p>
            <w:pPr>
              <w:spacing w:after="0"/>
              <w:rPr>
                <w:sz w:val="20"/>
                <w:szCs w:val="20"/>
                <w:color w:val="auto"/>
              </w:rPr>
            </w:pPr>
            <w:r>
              <w:rPr>
                <w:rFonts w:ascii="Arial" w:cs="Arial" w:eastAsia="Arial" w:hAnsi="Arial"/>
                <w:sz w:val="19"/>
                <w:szCs w:val="19"/>
                <w:color w:val="auto"/>
              </w:rPr>
              <w:t>Realized price without derivative settlements ($/Mcf)</w:t>
            </w:r>
          </w:p>
        </w:tc>
        <w:tc>
          <w:tcPr>
            <w:tcW w:w="380" w:type="dxa"/>
            <w:vAlign w:val="bottom"/>
            <w:gridSpan w:val="2"/>
          </w:tcPr>
          <w:p>
            <w:pPr>
              <w:ind w:left="20"/>
              <w:spacing w:after="0"/>
              <w:rPr>
                <w:sz w:val="20"/>
                <w:szCs w:val="20"/>
                <w:color w:val="auto"/>
              </w:rPr>
            </w:pPr>
            <w:r>
              <w:rPr>
                <w:rFonts w:ascii="Arial" w:cs="Arial" w:eastAsia="Arial" w:hAnsi="Arial"/>
                <w:sz w:val="19"/>
                <w:szCs w:val="19"/>
                <w:color w:val="auto"/>
              </w:rPr>
              <w:t>. . $</w:t>
            </w:r>
          </w:p>
        </w:tc>
        <w:tc>
          <w:tcPr>
            <w:tcW w:w="860" w:type="dxa"/>
            <w:vAlign w:val="bottom"/>
          </w:tcPr>
          <w:p>
            <w:pPr>
              <w:jc w:val="right"/>
              <w:spacing w:after="0"/>
              <w:rPr>
                <w:sz w:val="20"/>
                <w:szCs w:val="20"/>
                <w:color w:val="auto"/>
              </w:rPr>
            </w:pPr>
            <w:r>
              <w:rPr>
                <w:rFonts w:ascii="Arial" w:cs="Arial" w:eastAsia="Arial" w:hAnsi="Arial"/>
                <w:sz w:val="19"/>
                <w:szCs w:val="19"/>
                <w:color w:val="auto"/>
              </w:rPr>
              <w:t>3.21</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w w:val="98"/>
              </w:rPr>
              <w:t>109%</w:t>
            </w:r>
          </w:p>
        </w:tc>
        <w:tc>
          <w:tcPr>
            <w:tcW w:w="100" w:type="dxa"/>
            <w:vAlign w:val="bottom"/>
            <w:tcBorders>
              <w:right w:val="single" w:sz="8" w:color="auto"/>
            </w:tcBorders>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2.11</w:t>
            </w:r>
          </w:p>
        </w:tc>
        <w:tc>
          <w:tcPr>
            <w:tcW w:w="1100" w:type="dxa"/>
            <w:vAlign w:val="bottom"/>
            <w:gridSpan w:val="2"/>
          </w:tcPr>
          <w:p>
            <w:pPr>
              <w:jc w:val="center"/>
              <w:ind w:left="5"/>
              <w:spacing w:after="0"/>
              <w:rPr>
                <w:sz w:val="20"/>
                <w:szCs w:val="20"/>
                <w:color w:val="auto"/>
              </w:rPr>
            </w:pPr>
            <w:r>
              <w:rPr>
                <w:rFonts w:ascii="Arial" w:cs="Arial" w:eastAsia="Arial" w:hAnsi="Arial"/>
                <w:sz w:val="19"/>
                <w:szCs w:val="19"/>
                <w:color w:val="auto"/>
                <w:w w:val="98"/>
              </w:rPr>
              <w:t>111%</w:t>
            </w: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9"/>
                <w:szCs w:val="19"/>
                <w:color w:val="auto"/>
                <w:w w:val="98"/>
              </w:rPr>
              <w:t>Effects of derivative settlements . . . . . . . . . . . . . . . . . .</w:t>
            </w:r>
          </w:p>
        </w:tc>
        <w:tc>
          <w:tcPr>
            <w:tcW w:w="380" w:type="dxa"/>
            <w:vAlign w:val="bottom"/>
            <w:gridSpan w:val="2"/>
          </w:tcPr>
          <w:p>
            <w:pPr>
              <w:ind w:left="20"/>
              <w:spacing w:after="0"/>
              <w:rPr>
                <w:sz w:val="20"/>
                <w:szCs w:val="20"/>
                <w:color w:val="auto"/>
              </w:rPr>
            </w:pPr>
            <w:r>
              <w:rPr>
                <w:rFonts w:ascii="Arial" w:cs="Arial" w:eastAsia="Arial" w:hAnsi="Arial"/>
                <w:sz w:val="19"/>
                <w:szCs w:val="19"/>
                <w:color w:val="auto"/>
              </w:rPr>
              <w:t>. . $</w:t>
            </w:r>
          </w:p>
        </w:tc>
        <w:tc>
          <w:tcPr>
            <w:tcW w:w="960" w:type="dxa"/>
            <w:vAlign w:val="bottom"/>
            <w:gridSpan w:val="2"/>
          </w:tcPr>
          <w:p>
            <w:pPr>
              <w:jc w:val="right"/>
              <w:ind w:right="40"/>
              <w:spacing w:after="0"/>
              <w:rPr>
                <w:sz w:val="20"/>
                <w:szCs w:val="20"/>
                <w:color w:val="auto"/>
              </w:rPr>
            </w:pPr>
            <w:r>
              <w:rPr>
                <w:rFonts w:ascii="Arial" w:cs="Arial" w:eastAsia="Arial" w:hAnsi="Arial"/>
                <w:sz w:val="19"/>
                <w:szCs w:val="19"/>
                <w:color w:val="auto"/>
              </w:rPr>
              <w:t>(0.07)</w:t>
            </w:r>
          </w:p>
        </w:tc>
        <w:tc>
          <w:tcPr>
            <w:tcW w:w="10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0.06</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4520" w:type="dxa"/>
            <w:vAlign w:val="bottom"/>
            <w:vMerge w:val="restart"/>
          </w:tcPr>
          <w:p>
            <w:pPr>
              <w:spacing w:after="0"/>
              <w:rPr>
                <w:sz w:val="20"/>
                <w:szCs w:val="20"/>
                <w:color w:val="auto"/>
              </w:rPr>
            </w:pPr>
            <w:r>
              <w:rPr>
                <w:rFonts w:ascii="Arial" w:cs="Arial" w:eastAsia="Arial" w:hAnsi="Arial"/>
                <w:sz w:val="19"/>
                <w:szCs w:val="19"/>
                <w:color w:val="auto"/>
              </w:rPr>
              <w:t>Realized price with derivative settlements</w:t>
            </w:r>
          </w:p>
        </w:tc>
        <w:tc>
          <w:tcPr>
            <w:tcW w:w="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52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9"/>
                <w:szCs w:val="19"/>
                <w:color w:val="auto"/>
                <w:w w:val="95"/>
              </w:rPr>
              <w:t>($/Mcf) . . . . . . . . . . . . . . . . . . . . . . . . . . . . . . . . . . . . . . .</w:t>
            </w:r>
          </w:p>
        </w:tc>
        <w:tc>
          <w:tcPr>
            <w:tcW w:w="380" w:type="dxa"/>
            <w:vAlign w:val="bottom"/>
            <w:gridSpan w:val="2"/>
          </w:tcPr>
          <w:p>
            <w:pPr>
              <w:ind w:left="20"/>
              <w:spacing w:after="0"/>
              <w:rPr>
                <w:sz w:val="20"/>
                <w:szCs w:val="20"/>
                <w:color w:val="auto"/>
              </w:rPr>
            </w:pPr>
            <w:r>
              <w:rPr>
                <w:rFonts w:ascii="Arial" w:cs="Arial" w:eastAsia="Arial" w:hAnsi="Arial"/>
                <w:sz w:val="19"/>
                <w:szCs w:val="19"/>
                <w:color w:val="auto"/>
              </w:rPr>
              <w:t>. . $</w:t>
            </w:r>
          </w:p>
        </w:tc>
        <w:tc>
          <w:tcPr>
            <w:tcW w:w="860" w:type="dxa"/>
            <w:vAlign w:val="bottom"/>
          </w:tcPr>
          <w:p>
            <w:pPr>
              <w:jc w:val="right"/>
              <w:spacing w:after="0"/>
              <w:rPr>
                <w:sz w:val="20"/>
                <w:szCs w:val="20"/>
                <w:color w:val="auto"/>
              </w:rPr>
            </w:pPr>
            <w:r>
              <w:rPr>
                <w:rFonts w:ascii="Arial" w:cs="Arial" w:eastAsia="Arial" w:hAnsi="Arial"/>
                <w:sz w:val="19"/>
                <w:szCs w:val="19"/>
                <w:color w:val="auto"/>
              </w:rPr>
              <w:t>3.14</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w w:val="98"/>
              </w:rPr>
              <w:t>106%</w:t>
            </w:r>
          </w:p>
        </w:tc>
        <w:tc>
          <w:tcPr>
            <w:tcW w:w="100" w:type="dxa"/>
            <w:vAlign w:val="bottom"/>
            <w:tcBorders>
              <w:right w:val="single" w:sz="8" w:color="auto"/>
            </w:tcBorders>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2.17</w:t>
            </w:r>
          </w:p>
        </w:tc>
        <w:tc>
          <w:tcPr>
            <w:tcW w:w="1100" w:type="dxa"/>
            <w:vAlign w:val="bottom"/>
            <w:gridSpan w:val="2"/>
          </w:tcPr>
          <w:p>
            <w:pPr>
              <w:jc w:val="center"/>
              <w:ind w:left="5"/>
              <w:spacing w:after="0"/>
              <w:rPr>
                <w:sz w:val="20"/>
                <w:szCs w:val="20"/>
                <w:color w:val="auto"/>
              </w:rPr>
            </w:pPr>
            <w:r>
              <w:rPr>
                <w:rFonts w:ascii="Arial" w:cs="Arial" w:eastAsia="Arial" w:hAnsi="Arial"/>
                <w:sz w:val="19"/>
                <w:szCs w:val="19"/>
                <w:color w:val="auto"/>
                <w:w w:val="98"/>
              </w:rPr>
              <w:t>114%</w:t>
            </w:r>
          </w:p>
        </w:tc>
        <w:tc>
          <w:tcPr>
            <w:tcW w:w="0" w:type="dxa"/>
            <w:vAlign w:val="bottom"/>
          </w:tcPr>
          <w:p>
            <w:pPr>
              <w:spacing w:after="0"/>
              <w:rPr>
                <w:sz w:val="1"/>
                <w:szCs w:val="1"/>
                <w:color w:val="auto"/>
              </w:rPr>
            </w:pPr>
          </w:p>
        </w:tc>
      </w:tr>
      <w:tr>
        <w:trPr>
          <w:trHeight w:val="32"/>
        </w:trPr>
        <w:tc>
          <w:tcPr>
            <w:tcW w:w="4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ind w:left="240" w:hanging="240"/>
        <w:spacing w:after="0"/>
        <w:tabs>
          <w:tab w:leader="none" w:pos="2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Realization is calculated as a percentage of Brent.</w:t>
      </w:r>
    </w:p>
    <w:p>
      <w:pPr>
        <w:spacing w:after="0" w:line="16" w:lineRule="exact"/>
        <w:rPr>
          <w:rFonts w:ascii="Arial" w:cs="Arial" w:eastAsia="Arial" w:hAnsi="Arial"/>
          <w:sz w:val="16"/>
          <w:szCs w:val="16"/>
          <w:color w:val="auto"/>
        </w:rPr>
      </w:pPr>
    </w:p>
    <w:p>
      <w:pPr>
        <w:ind w:left="240" w:hanging="240"/>
        <w:spacing w:after="0"/>
        <w:tabs>
          <w:tab w:leader="none" w:pos="2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Realization is calculated as a percentage of WTI.</w:t>
      </w:r>
    </w:p>
    <w:p>
      <w:pPr>
        <w:spacing w:after="0" w:line="222" w:lineRule="exact"/>
        <w:rPr>
          <w:sz w:val="20"/>
          <w:szCs w:val="20"/>
          <w:color w:val="auto"/>
        </w:rPr>
      </w:pPr>
    </w:p>
    <w:p>
      <w:pPr>
        <w:ind w:right="140" w:firstLine="300"/>
        <w:spacing w:after="0" w:line="249" w:lineRule="auto"/>
        <w:rPr>
          <w:sz w:val="20"/>
          <w:szCs w:val="20"/>
          <w:color w:val="auto"/>
        </w:rPr>
      </w:pPr>
      <w:r>
        <w:rPr>
          <w:rFonts w:ascii="Arial" w:cs="Arial" w:eastAsia="Arial" w:hAnsi="Arial"/>
          <w:sz w:val="20"/>
          <w:szCs w:val="20"/>
          <w:i w:val="1"/>
          <w:iCs w:val="1"/>
          <w:color w:val="auto"/>
        </w:rPr>
        <w:t xml:space="preserve">Oil </w:t>
      </w:r>
      <w:r>
        <w:rPr>
          <w:rFonts w:ascii="Arial" w:cs="Arial" w:eastAsia="Arial" w:hAnsi="Arial"/>
          <w:sz w:val="20"/>
          <w:szCs w:val="20"/>
          <w:color w:val="auto"/>
        </w:rPr>
        <w:t>— Brent index and realized prices excluding hedge settlements were higher for the year ended</w:t>
      </w:r>
      <w:r>
        <w:rPr>
          <w:rFonts w:ascii="Arial" w:cs="Arial" w:eastAsia="Arial" w:hAnsi="Arial"/>
          <w:sz w:val="20"/>
          <w:szCs w:val="20"/>
          <w:i w:val="1"/>
          <w:iCs w:val="1"/>
          <w:color w:val="auto"/>
        </w:rPr>
        <w:t xml:space="preserve"> </w:t>
      </w:r>
      <w:r>
        <w:rPr>
          <w:rFonts w:ascii="Arial" w:cs="Arial" w:eastAsia="Arial" w:hAnsi="Arial"/>
          <w:sz w:val="20"/>
          <w:szCs w:val="20"/>
          <w:color w:val="auto"/>
        </w:rPr>
        <w:t>December 31, 2022 compared to 2021. Capital and production discipline across domestic and international producers generally offset continued COVID-19 lockdowns in China, reduced energy demand across much of Europe and the release of meaningful quantities of oil from the United States Strategic Petroleum Reserve.</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20"/>
          <w:szCs w:val="20"/>
          <w:i w:val="1"/>
          <w:iCs w:val="1"/>
          <w:color w:val="auto"/>
        </w:rPr>
        <w:t xml:space="preserve">NGLs </w:t>
      </w:r>
      <w:r>
        <w:rPr>
          <w:rFonts w:ascii="Arial" w:cs="Arial" w:eastAsia="Arial" w:hAnsi="Arial"/>
          <w:sz w:val="20"/>
          <w:szCs w:val="20"/>
          <w:color w:val="auto"/>
        </w:rPr>
        <w:t>— Prices for NGLs increased in the year ended December 31, 2022 compared to 2021.</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Prices increased as NGL markets benefited from higher energy and fuel prices, as a whole.</w:t>
      </w:r>
    </w:p>
    <w:p>
      <w:pPr>
        <w:spacing w:after="0" w:line="212" w:lineRule="exact"/>
        <w:rPr>
          <w:sz w:val="20"/>
          <w:szCs w:val="20"/>
          <w:color w:val="auto"/>
        </w:rPr>
      </w:pPr>
    </w:p>
    <w:p>
      <w:pPr>
        <w:ind w:right="520" w:firstLine="300"/>
        <w:spacing w:after="0" w:line="245" w:lineRule="auto"/>
        <w:rPr>
          <w:sz w:val="20"/>
          <w:szCs w:val="20"/>
          <w:color w:val="auto"/>
        </w:rPr>
      </w:pPr>
      <w:r>
        <w:rPr>
          <w:rFonts w:ascii="Arial" w:cs="Arial" w:eastAsia="Arial" w:hAnsi="Arial"/>
          <w:sz w:val="20"/>
          <w:szCs w:val="20"/>
          <w:i w:val="1"/>
          <w:iCs w:val="1"/>
          <w:color w:val="auto"/>
        </w:rPr>
        <w:t xml:space="preserve">Natural Gas </w:t>
      </w:r>
      <w:r>
        <w:rPr>
          <w:rFonts w:ascii="Arial" w:cs="Arial" w:eastAsia="Arial" w:hAnsi="Arial"/>
          <w:sz w:val="20"/>
          <w:szCs w:val="20"/>
          <w:color w:val="auto"/>
        </w:rPr>
        <w:t>— In 2022, natural gas prices increased both across the United States and within</w:t>
      </w:r>
      <w:r>
        <w:rPr>
          <w:rFonts w:ascii="Arial" w:cs="Arial" w:eastAsia="Arial" w:hAnsi="Arial"/>
          <w:sz w:val="20"/>
          <w:szCs w:val="20"/>
          <w:i w:val="1"/>
          <w:iCs w:val="1"/>
          <w:color w:val="auto"/>
        </w:rPr>
        <w:t xml:space="preserve"> </w:t>
      </w:r>
      <w:r>
        <w:rPr>
          <w:rFonts w:ascii="Arial" w:cs="Arial" w:eastAsia="Arial" w:hAnsi="Arial"/>
          <w:sz w:val="20"/>
          <w:szCs w:val="20"/>
          <w:color w:val="auto"/>
        </w:rPr>
        <w:t>California compared to 2021 primarily due to strong domestic demand for power generation.</w:t>
      </w:r>
    </w:p>
    <w:p>
      <w:pPr>
        <w:sectPr>
          <w:pgSz w:w="11880" w:h="15480" w:orient="portrait"/>
          <w:cols w:equalWidth="0" w:num="1">
            <w:col w:w="9120"/>
          </w:cols>
          <w:pgMar w:left="1380" w:top="1265" w:right="1380" w:bottom="655"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ectPr>
          <w:pgSz w:w="11880" w:h="15480" w:orient="portrait"/>
          <w:cols w:equalWidth="0" w:num="1">
            <w:col w:w="9120"/>
          </w:cols>
          <w:pgMar w:left="1380" w:top="1265" w:right="1380" w:bottom="655" w:gutter="0" w:footer="0" w:header="0"/>
          <w:type w:val="continuous"/>
        </w:sectPr>
      </w:pPr>
    </w:p>
    <w:bookmarkStart w:id="74" w:name="page75"/>
    <w:bookmarkEnd w:id="74"/>
    <w:p>
      <w:pPr>
        <w:spacing w:after="0"/>
        <w:rPr>
          <w:sz w:val="20"/>
          <w:szCs w:val="20"/>
          <w:color w:val="auto"/>
        </w:rPr>
      </w:pPr>
      <w:r>
        <w:rPr>
          <w:rFonts w:ascii="Arial" w:cs="Arial" w:eastAsia="Arial" w:hAnsi="Arial"/>
          <w:sz w:val="20"/>
          <w:szCs w:val="20"/>
          <w:b w:val="1"/>
          <w:bCs w:val="1"/>
          <w:color w:val="auto"/>
        </w:rPr>
        <w:t>Divestitures</w:t>
      </w:r>
    </w:p>
    <w:p>
      <w:pPr>
        <w:spacing w:after="0" w:line="214" w:lineRule="exact"/>
        <w:rPr>
          <w:sz w:val="20"/>
          <w:szCs w:val="20"/>
          <w:color w:val="auto"/>
        </w:rPr>
      </w:pPr>
    </w:p>
    <w:p>
      <w:pPr>
        <w:ind w:right="120" w:firstLine="300"/>
        <w:spacing w:after="0" w:line="249" w:lineRule="auto"/>
        <w:rPr>
          <w:sz w:val="20"/>
          <w:szCs w:val="20"/>
          <w:color w:val="auto"/>
        </w:rPr>
      </w:pPr>
      <w:r>
        <w:rPr>
          <w:rFonts w:ascii="Arial" w:cs="Arial" w:eastAsia="Arial" w:hAnsi="Arial"/>
          <w:sz w:val="20"/>
          <w:szCs w:val="20"/>
          <w:color w:val="auto"/>
        </w:rPr>
        <w:t xml:space="preserve">From time to time, we review our extensive portfolio of assets for potential divestitures. See </w:t>
      </w:r>
      <w:r>
        <w:rPr>
          <w:rFonts w:ascii="Arial" w:cs="Arial" w:eastAsia="Arial" w:hAnsi="Arial"/>
          <w:sz w:val="20"/>
          <w:szCs w:val="20"/>
          <w:i w:val="1"/>
          <w:iCs w:val="1"/>
          <w:color w:val="auto"/>
        </w:rPr>
        <w:t>Part II,</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Item 8 – Financial Statements and Supplementary Data, Note 3 Divestitures and Acquisitions </w:t>
      </w:r>
      <w:r>
        <w:rPr>
          <w:rFonts w:ascii="Arial" w:cs="Arial" w:eastAsia="Arial" w:hAnsi="Arial"/>
          <w:sz w:val="20"/>
          <w:szCs w:val="20"/>
          <w:color w:val="auto"/>
        </w:rPr>
        <w:t>for more</w:t>
      </w:r>
      <w:r>
        <w:rPr>
          <w:rFonts w:ascii="Arial" w:cs="Arial" w:eastAsia="Arial" w:hAnsi="Arial"/>
          <w:sz w:val="20"/>
          <w:szCs w:val="20"/>
          <w:i w:val="1"/>
          <w:iCs w:val="1"/>
          <w:color w:val="auto"/>
        </w:rPr>
        <w:t xml:space="preserve"> </w:t>
      </w:r>
      <w:r>
        <w:rPr>
          <w:rFonts w:ascii="Arial" w:cs="Arial" w:eastAsia="Arial" w:hAnsi="Arial"/>
          <w:sz w:val="20"/>
          <w:szCs w:val="20"/>
          <w:color w:val="auto"/>
        </w:rPr>
        <w:t>information on our transactions during years ended December 31, 2022 and 2021, the Successor period from November 1, 2020 through December 31, 2020 and the Predecessor period from January 1, 2020 through October 31, 2020.</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Acquisitions and Joint Ventures</w:t>
      </w:r>
    </w:p>
    <w:p>
      <w:pPr>
        <w:spacing w:after="0" w:line="214" w:lineRule="exact"/>
        <w:rPr>
          <w:sz w:val="20"/>
          <w:szCs w:val="20"/>
          <w:color w:val="auto"/>
        </w:rPr>
      </w:pPr>
    </w:p>
    <w:p>
      <w:pPr>
        <w:ind w:right="900" w:firstLine="300"/>
        <w:spacing w:after="0" w:line="248" w:lineRule="auto"/>
        <w:rPr>
          <w:sz w:val="20"/>
          <w:szCs w:val="20"/>
          <w:color w:val="auto"/>
        </w:rPr>
      </w:pPr>
      <w:r>
        <w:rPr>
          <w:rFonts w:ascii="Arial" w:cs="Arial" w:eastAsia="Arial" w:hAnsi="Arial"/>
          <w:sz w:val="20"/>
          <w:szCs w:val="20"/>
          <w:color w:val="auto"/>
        </w:rPr>
        <w:t xml:space="preserve">See </w:t>
      </w:r>
      <w:r>
        <w:rPr>
          <w:rFonts w:ascii="Arial" w:cs="Arial" w:eastAsia="Arial" w:hAnsi="Arial"/>
          <w:sz w:val="20"/>
          <w:szCs w:val="20"/>
          <w:i w:val="1"/>
          <w:iCs w:val="1"/>
          <w:color w:val="auto"/>
        </w:rPr>
        <w:t>Part II, Item 8 – Financial Statements and Supplementary Data, Note 8 Investment in</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Unconsolidated Subsidiary and Related Party Transactions </w:t>
      </w:r>
      <w:r>
        <w:rPr>
          <w:rFonts w:ascii="Arial" w:cs="Arial" w:eastAsia="Arial" w:hAnsi="Arial"/>
          <w:sz w:val="20"/>
          <w:szCs w:val="20"/>
          <w:color w:val="auto"/>
        </w:rPr>
        <w:t>for more information on our Carbon</w:t>
      </w:r>
      <w:r>
        <w:rPr>
          <w:rFonts w:ascii="Arial" w:cs="Arial" w:eastAsia="Arial" w:hAnsi="Arial"/>
          <w:sz w:val="20"/>
          <w:szCs w:val="20"/>
          <w:i w:val="1"/>
          <w:iCs w:val="1"/>
          <w:color w:val="auto"/>
        </w:rPr>
        <w:t xml:space="preserve"> </w:t>
      </w:r>
      <w:r>
        <w:rPr>
          <w:rFonts w:ascii="Arial" w:cs="Arial" w:eastAsia="Arial" w:hAnsi="Arial"/>
          <w:sz w:val="20"/>
          <w:szCs w:val="20"/>
          <w:color w:val="auto"/>
        </w:rPr>
        <w:t>TerraVault JV.</w:t>
      </w:r>
    </w:p>
    <w:p>
      <w:pPr>
        <w:spacing w:after="0" w:line="207" w:lineRule="exact"/>
        <w:rPr>
          <w:sz w:val="20"/>
          <w:szCs w:val="20"/>
          <w:color w:val="auto"/>
        </w:rPr>
      </w:pPr>
    </w:p>
    <w:p>
      <w:pPr>
        <w:ind w:right="440" w:firstLine="300"/>
        <w:spacing w:after="0" w:line="245" w:lineRule="auto"/>
        <w:rPr>
          <w:sz w:val="20"/>
          <w:szCs w:val="20"/>
          <w:color w:val="auto"/>
        </w:rPr>
      </w:pPr>
      <w:r>
        <w:rPr>
          <w:rFonts w:ascii="Arial" w:cs="Arial" w:eastAsia="Arial" w:hAnsi="Arial"/>
          <w:sz w:val="20"/>
          <w:szCs w:val="20"/>
          <w:color w:val="auto"/>
        </w:rPr>
        <w:t xml:space="preserve">See </w:t>
      </w:r>
      <w:r>
        <w:rPr>
          <w:rFonts w:ascii="Arial" w:cs="Arial" w:eastAsia="Arial" w:hAnsi="Arial"/>
          <w:sz w:val="20"/>
          <w:szCs w:val="20"/>
          <w:i w:val="1"/>
          <w:iCs w:val="1"/>
          <w:color w:val="auto"/>
        </w:rPr>
        <w:t>Part II, Item 8 – Financial Statements and Supplementary Data, Note 7 Joint Ventures</w:t>
      </w:r>
      <w:r>
        <w:rPr>
          <w:rFonts w:ascii="Arial" w:cs="Arial" w:eastAsia="Arial" w:hAnsi="Arial"/>
          <w:sz w:val="20"/>
          <w:szCs w:val="20"/>
          <w:color w:val="auto"/>
        </w:rPr>
        <w:t xml:space="preserve"> in our 2020 Form 10-K for more information on the history of our joint ventures.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Policy</w:t>
      </w:r>
    </w:p>
    <w:p>
      <w:pPr>
        <w:spacing w:after="0" w:line="214" w:lineRule="exact"/>
        <w:rPr>
          <w:sz w:val="20"/>
          <w:szCs w:val="20"/>
          <w:color w:val="auto"/>
        </w:rPr>
      </w:pPr>
    </w:p>
    <w:p>
      <w:pPr>
        <w:ind w:right="180" w:firstLine="300"/>
        <w:spacing w:after="0" w:line="249" w:lineRule="auto"/>
        <w:rPr>
          <w:sz w:val="20"/>
          <w:szCs w:val="20"/>
          <w:color w:val="auto"/>
        </w:rPr>
      </w:pPr>
      <w:r>
        <w:rPr>
          <w:rFonts w:ascii="Arial" w:cs="Arial" w:eastAsia="Arial" w:hAnsi="Arial"/>
          <w:sz w:val="20"/>
          <w:szCs w:val="20"/>
          <w:color w:val="auto"/>
        </w:rPr>
        <w:t>Our Board of Directors declared a cash dividend of $0.17 per share of common stock in each of the first three quarters of 2022. On November 2, 2022, our Board of Directors approved an increase in our dividend policy to an expected total annual dividend of $1.13 per share of common stock. Dividends are payable to shareholders in quarterly increments, subject to the quarterly approval of our Board of Directors. Our Board of Directors approved a quarterly cash dividend on November 2, 2022 in the amount of $0.2825 per share of common stock. For the year ended December 31, 2022, we paid $59 million in cash dividends on our common stock.</w:t>
      </w:r>
    </w:p>
    <w:p>
      <w:pPr>
        <w:spacing w:after="0" w:line="210" w:lineRule="exact"/>
        <w:rPr>
          <w:sz w:val="20"/>
          <w:szCs w:val="20"/>
          <w:color w:val="auto"/>
        </w:rPr>
      </w:pPr>
    </w:p>
    <w:p>
      <w:pPr>
        <w:ind w:right="280" w:firstLine="300"/>
        <w:spacing w:after="0" w:line="248" w:lineRule="auto"/>
        <w:rPr>
          <w:sz w:val="20"/>
          <w:szCs w:val="20"/>
          <w:color w:val="auto"/>
        </w:rPr>
      </w:pPr>
      <w:r>
        <w:rPr>
          <w:rFonts w:ascii="Arial" w:cs="Arial" w:eastAsia="Arial" w:hAnsi="Arial"/>
          <w:sz w:val="20"/>
          <w:szCs w:val="20"/>
          <w:color w:val="auto"/>
        </w:rPr>
        <w:t>On February 23, 2023, our Board of Directors declared a cash dividend of $0.2825 per share of common stock. The dividend is payable to shareholders of record at the close of business on March 6, 2023 and is expected to be paid on March 16, 2023.</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 Repurchase Program</w:t>
      </w:r>
    </w:p>
    <w:p>
      <w:pPr>
        <w:spacing w:after="0" w:line="214"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color w:val="auto"/>
        </w:rPr>
        <w:t>Our Board of Directors has authorized a Share Repurchase Program to acquire up to $850 million of our common stock through December 31, 2023. On February 23, 2023 our Board of Directors increased the Share Repurchase Program by $250 million to $1.1 billion and extended the program through June 30, 2024. The repurchases may be effected from time-to-time through open market purchases, privately negotiated transactions, Rule 10b5-1 plans, accelerated stock repurchases, derivative contracts or otherwise in compliance with Rule 10b-18, subject to market conditions. The Share Repurchase Program does not obligate us to repurchase any dollar amount or number of shares and our Board of Directors may modify, suspend, or discontinue authorization of the program at any time. Shares repurchased are held as treasury stock.</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20" w:type="dxa"/>
            <w:vAlign w:val="bottom"/>
            <w:gridSpan w:val="3"/>
          </w:tcPr>
          <w:p>
            <w:pPr>
              <w:jc w:val="center"/>
              <w:ind w:right="220"/>
              <w:spacing w:after="0"/>
              <w:rPr>
                <w:sz w:val="20"/>
                <w:szCs w:val="20"/>
                <w:color w:val="auto"/>
              </w:rPr>
            </w:pPr>
            <w:r>
              <w:rPr>
                <w:rFonts w:ascii="Arial" w:cs="Arial" w:eastAsia="Arial" w:hAnsi="Arial"/>
                <w:sz w:val="20"/>
                <w:szCs w:val="20"/>
                <w:b w:val="1"/>
                <w:bCs w:val="1"/>
                <w:color w:val="auto"/>
              </w:rPr>
              <w:t>Total Number of</w:t>
            </w:r>
          </w:p>
        </w:tc>
        <w:tc>
          <w:tcPr>
            <w:tcW w:w="140" w:type="dxa"/>
            <w:vAlign w:val="bottom"/>
          </w:tcPr>
          <w:p>
            <w:pPr>
              <w:spacing w:after="0"/>
              <w:rPr>
                <w:sz w:val="19"/>
                <w:szCs w:val="19"/>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20"/>
                <w:szCs w:val="20"/>
                <w:b w:val="1"/>
                <w:bCs w:val="1"/>
                <w:color w:val="auto"/>
                <w:w w:val="99"/>
              </w:rPr>
              <w:t>Dollar Value of</w:t>
            </w:r>
          </w:p>
        </w:tc>
        <w:tc>
          <w:tcPr>
            <w:tcW w:w="1820" w:type="dxa"/>
            <w:vAlign w:val="bottom"/>
            <w:gridSpan w:val="2"/>
          </w:tcPr>
          <w:p>
            <w:pPr>
              <w:spacing w:after="0"/>
              <w:rPr>
                <w:sz w:val="20"/>
                <w:szCs w:val="20"/>
                <w:color w:val="auto"/>
              </w:rPr>
            </w:pPr>
            <w:r>
              <w:rPr>
                <w:rFonts w:ascii="Arial" w:cs="Arial" w:eastAsia="Arial" w:hAnsi="Arial"/>
                <w:sz w:val="20"/>
                <w:szCs w:val="20"/>
                <w:b w:val="1"/>
                <w:bCs w:val="1"/>
                <w:color w:val="auto"/>
                <w:w w:val="99"/>
              </w:rPr>
              <w:t>Average Price Paid</w:t>
            </w:r>
          </w:p>
        </w:tc>
      </w:tr>
      <w:tr>
        <w:trPr>
          <w:trHeight w:val="246"/>
        </w:trPr>
        <w:tc>
          <w:tcPr>
            <w:tcW w:w="3420" w:type="dxa"/>
            <w:vAlign w:val="bottom"/>
          </w:tcPr>
          <w:p>
            <w:pPr>
              <w:spacing w:after="0"/>
              <w:rPr>
                <w:sz w:val="21"/>
                <w:szCs w:val="21"/>
                <w:color w:val="auto"/>
              </w:rPr>
            </w:pPr>
          </w:p>
        </w:tc>
        <w:tc>
          <w:tcPr>
            <w:tcW w:w="1940" w:type="dxa"/>
            <w:vAlign w:val="bottom"/>
            <w:gridSpan w:val="4"/>
          </w:tcPr>
          <w:p>
            <w:pPr>
              <w:jc w:val="center"/>
              <w:ind w:right="200"/>
              <w:spacing w:after="0" w:line="228" w:lineRule="exact"/>
              <w:rPr>
                <w:sz w:val="20"/>
                <w:szCs w:val="20"/>
                <w:color w:val="auto"/>
              </w:rPr>
            </w:pPr>
            <w:r>
              <w:rPr>
                <w:rFonts w:ascii="Arial" w:cs="Arial" w:eastAsia="Arial" w:hAnsi="Arial"/>
                <w:sz w:val="20"/>
                <w:szCs w:val="20"/>
                <w:b w:val="1"/>
                <w:bCs w:val="1"/>
                <w:color w:val="auto"/>
                <w:w w:val="99"/>
              </w:rPr>
              <w:t>Shares Purchased</w:t>
            </w:r>
          </w:p>
        </w:tc>
        <w:tc>
          <w:tcPr>
            <w:tcW w:w="1940" w:type="dxa"/>
            <w:vAlign w:val="bottom"/>
            <w:gridSpan w:val="3"/>
          </w:tcPr>
          <w:p>
            <w:pPr>
              <w:jc w:val="right"/>
              <w:ind w:right="200"/>
              <w:spacing w:after="0" w:line="228" w:lineRule="exact"/>
              <w:rPr>
                <w:sz w:val="20"/>
                <w:szCs w:val="20"/>
                <w:color w:val="auto"/>
              </w:rPr>
            </w:pPr>
            <w:r>
              <w:rPr>
                <w:rFonts w:ascii="Arial" w:cs="Arial" w:eastAsia="Arial" w:hAnsi="Arial"/>
                <w:sz w:val="20"/>
                <w:szCs w:val="20"/>
                <w:b w:val="1"/>
                <w:bCs w:val="1"/>
                <w:color w:val="auto"/>
                <w:w w:val="98"/>
              </w:rPr>
              <w:t>Shares Purchased</w:t>
            </w:r>
          </w:p>
        </w:tc>
        <w:tc>
          <w:tcPr>
            <w:tcW w:w="1820" w:type="dxa"/>
            <w:vAlign w:val="bottom"/>
            <w:gridSpan w:val="2"/>
          </w:tcPr>
          <w:p>
            <w:pPr>
              <w:ind w:left="460"/>
              <w:spacing w:after="0" w:line="228" w:lineRule="exact"/>
              <w:rPr>
                <w:sz w:val="20"/>
                <w:szCs w:val="20"/>
                <w:color w:val="auto"/>
              </w:rPr>
            </w:pPr>
            <w:r>
              <w:rPr>
                <w:rFonts w:ascii="Arial" w:cs="Arial" w:eastAsia="Arial" w:hAnsi="Arial"/>
                <w:sz w:val="20"/>
                <w:szCs w:val="20"/>
                <w:b w:val="1"/>
                <w:bCs w:val="1"/>
                <w:color w:val="auto"/>
              </w:rPr>
              <w:t>per Share</w:t>
            </w:r>
          </w:p>
        </w:tc>
      </w:tr>
      <w:tr>
        <w:trPr>
          <w:trHeight w:val="192"/>
        </w:trPr>
        <w:tc>
          <w:tcPr>
            <w:tcW w:w="34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6"/>
                <w:szCs w:val="16"/>
                <w:color w:val="auto"/>
                <w:w w:val="99"/>
              </w:rPr>
              <w:t>(number of shares)</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center"/>
              <w:ind w:right="24"/>
              <w:spacing w:after="0"/>
              <w:rPr>
                <w:sz w:val="20"/>
                <w:szCs w:val="20"/>
                <w:color w:val="auto"/>
              </w:rPr>
            </w:pPr>
            <w:r>
              <w:rPr>
                <w:rFonts w:ascii="Arial" w:cs="Arial" w:eastAsia="Arial" w:hAnsi="Arial"/>
                <w:sz w:val="16"/>
                <w:szCs w:val="16"/>
                <w:color w:val="auto"/>
                <w:w w:val="98"/>
              </w:rPr>
              <w:t>(in millions)</w:t>
            </w:r>
          </w:p>
        </w:tc>
        <w:tc>
          <w:tcPr>
            <w:tcW w:w="200" w:type="dxa"/>
            <w:vAlign w:val="bottom"/>
          </w:tcPr>
          <w:p>
            <w:pPr>
              <w:spacing w:after="0"/>
              <w:rPr>
                <w:sz w:val="16"/>
                <w:szCs w:val="16"/>
                <w:color w:val="auto"/>
              </w:rPr>
            </w:pPr>
          </w:p>
        </w:tc>
        <w:tc>
          <w:tcPr>
            <w:tcW w:w="620" w:type="dxa"/>
            <w:vAlign w:val="bottom"/>
            <w:tcBorders>
              <w:top w:val="single" w:sz="8" w:color="auto"/>
            </w:tcBorders>
          </w:tcPr>
          <w:p>
            <w:pPr>
              <w:ind w:left="460"/>
              <w:spacing w:after="0"/>
              <w:rPr>
                <w:sz w:val="20"/>
                <w:szCs w:val="20"/>
                <w:color w:val="auto"/>
              </w:rPr>
            </w:pPr>
            <w:r>
              <w:rPr>
                <w:rFonts w:ascii="Arial" w:cs="Arial" w:eastAsia="Arial" w:hAnsi="Arial"/>
                <w:sz w:val="16"/>
                <w:szCs w:val="16"/>
                <w:color w:val="auto"/>
                <w:w w:val="98"/>
              </w:rPr>
              <w:t>($</w:t>
            </w:r>
          </w:p>
        </w:tc>
        <w:tc>
          <w:tcPr>
            <w:tcW w:w="1200" w:type="dxa"/>
            <w:vAlign w:val="bottom"/>
            <w:tcBorders>
              <w:top w:val="single" w:sz="8" w:color="auto"/>
            </w:tcBorders>
          </w:tcPr>
          <w:p>
            <w:pPr>
              <w:jc w:val="right"/>
              <w:ind w:right="345"/>
              <w:spacing w:after="0"/>
              <w:rPr>
                <w:sz w:val="20"/>
                <w:szCs w:val="20"/>
                <w:color w:val="auto"/>
              </w:rPr>
            </w:pPr>
            <w:r>
              <w:rPr>
                <w:rFonts w:ascii="Arial" w:cs="Arial" w:eastAsia="Arial" w:hAnsi="Arial"/>
                <w:sz w:val="16"/>
                <w:szCs w:val="16"/>
                <w:color w:val="auto"/>
              </w:rPr>
              <w:t>per share)</w:t>
            </w:r>
          </w:p>
        </w:tc>
      </w:tr>
      <w:tr>
        <w:trPr>
          <w:trHeight w:val="250"/>
        </w:trPr>
        <w:tc>
          <w:tcPr>
            <w:tcW w:w="3420" w:type="dxa"/>
            <w:vAlign w:val="bottom"/>
          </w:tcPr>
          <w:p>
            <w:pPr>
              <w:jc w:val="right"/>
              <w:ind w:right="100"/>
              <w:spacing w:after="0"/>
              <w:rPr>
                <w:sz w:val="20"/>
                <w:szCs w:val="20"/>
                <w:color w:val="auto"/>
              </w:rPr>
            </w:pPr>
            <w:r>
              <w:rPr>
                <w:rFonts w:ascii="Arial" w:cs="Arial" w:eastAsia="Arial" w:hAnsi="Arial"/>
                <w:sz w:val="20"/>
                <w:szCs w:val="20"/>
                <w:color w:val="auto"/>
              </w:rPr>
              <w:t>Year ended December 31, 2021 . . .</w:t>
            </w:r>
          </w:p>
        </w:tc>
        <w:tc>
          <w:tcPr>
            <w:tcW w:w="1720" w:type="dxa"/>
            <w:vAlign w:val="bottom"/>
            <w:gridSpan w:val="2"/>
          </w:tcPr>
          <w:p>
            <w:pPr>
              <w:jc w:val="right"/>
              <w:spacing w:after="0"/>
              <w:rPr>
                <w:sz w:val="20"/>
                <w:szCs w:val="20"/>
                <w:color w:val="auto"/>
              </w:rPr>
            </w:pPr>
            <w:r>
              <w:rPr>
                <w:rFonts w:ascii="Arial" w:cs="Arial" w:eastAsia="Arial" w:hAnsi="Arial"/>
                <w:sz w:val="20"/>
                <w:szCs w:val="20"/>
                <w:color w:val="auto"/>
              </w:rPr>
              <w:t>4,089,988</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800" w:type="dxa"/>
            <w:vAlign w:val="bottom"/>
            <w:gridSpan w:val="2"/>
          </w:tcPr>
          <w:p>
            <w:pPr>
              <w:jc w:val="right"/>
              <w:ind w:right="200"/>
              <w:spacing w:after="0"/>
              <w:rPr>
                <w:sz w:val="20"/>
                <w:szCs w:val="20"/>
                <w:color w:val="auto"/>
              </w:rPr>
            </w:pPr>
            <w:r>
              <w:rPr>
                <w:rFonts w:ascii="Arial" w:cs="Arial" w:eastAsia="Arial" w:hAnsi="Arial"/>
                <w:sz w:val="20"/>
                <w:szCs w:val="20"/>
                <w:color w:val="auto"/>
              </w:rPr>
              <w:t>148</w:t>
            </w:r>
          </w:p>
        </w:tc>
        <w:tc>
          <w:tcPr>
            <w:tcW w:w="620" w:type="dxa"/>
            <w:vAlign w:val="bottom"/>
          </w:tcPr>
          <w:p>
            <w:pPr>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36.08</w:t>
            </w:r>
          </w:p>
        </w:tc>
      </w:tr>
      <w:tr>
        <w:trPr>
          <w:trHeight w:val="240"/>
        </w:trPr>
        <w:tc>
          <w:tcPr>
            <w:tcW w:w="3420" w:type="dxa"/>
            <w:vAlign w:val="bottom"/>
          </w:tcPr>
          <w:p>
            <w:pPr>
              <w:jc w:val="right"/>
              <w:ind w:right="100"/>
              <w:spacing w:after="0"/>
              <w:rPr>
                <w:sz w:val="20"/>
                <w:szCs w:val="20"/>
                <w:color w:val="auto"/>
              </w:rPr>
            </w:pPr>
            <w:r>
              <w:rPr>
                <w:rFonts w:ascii="Arial" w:cs="Arial" w:eastAsia="Arial" w:hAnsi="Arial"/>
                <w:sz w:val="20"/>
                <w:szCs w:val="20"/>
                <w:color w:val="auto"/>
              </w:rPr>
              <w:t>Year ended December 31, 2022 . . .</w:t>
            </w:r>
          </w:p>
        </w:tc>
        <w:tc>
          <w:tcPr>
            <w:tcW w:w="1720" w:type="dxa"/>
            <w:vAlign w:val="bottom"/>
            <w:gridSpan w:val="2"/>
          </w:tcPr>
          <w:p>
            <w:pPr>
              <w:jc w:val="right"/>
              <w:spacing w:after="0"/>
              <w:rPr>
                <w:sz w:val="20"/>
                <w:szCs w:val="20"/>
                <w:color w:val="auto"/>
              </w:rPr>
            </w:pPr>
            <w:r>
              <w:rPr>
                <w:rFonts w:ascii="Arial" w:cs="Arial" w:eastAsia="Arial" w:hAnsi="Arial"/>
                <w:sz w:val="20"/>
                <w:szCs w:val="20"/>
                <w:color w:val="auto"/>
              </w:rPr>
              <w:t>7,366,272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800" w:type="dxa"/>
            <w:vAlign w:val="bottom"/>
            <w:gridSpan w:val="2"/>
          </w:tcPr>
          <w:p>
            <w:pPr>
              <w:jc w:val="right"/>
              <w:ind w:right="200"/>
              <w:spacing w:after="0"/>
              <w:rPr>
                <w:sz w:val="20"/>
                <w:szCs w:val="20"/>
                <w:color w:val="auto"/>
              </w:rPr>
            </w:pPr>
            <w:r>
              <w:rPr>
                <w:rFonts w:ascii="Arial" w:cs="Arial" w:eastAsia="Arial" w:hAnsi="Arial"/>
                <w:sz w:val="20"/>
                <w:szCs w:val="20"/>
                <w:color w:val="auto"/>
              </w:rPr>
              <w:t>313</w:t>
            </w:r>
          </w:p>
        </w:tc>
        <w:tc>
          <w:tcPr>
            <w:tcW w:w="620" w:type="dxa"/>
            <w:vAlign w:val="bottom"/>
          </w:tcPr>
          <w:p>
            <w:pPr>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42.47</w:t>
            </w:r>
          </w:p>
        </w:tc>
      </w:tr>
      <w:tr>
        <w:trPr>
          <w:trHeight w:val="28"/>
        </w:trPr>
        <w:tc>
          <w:tcPr>
            <w:tcW w:w="3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2"/>
        </w:trPr>
        <w:tc>
          <w:tcPr>
            <w:tcW w:w="3420" w:type="dxa"/>
            <w:vAlign w:val="bottom"/>
          </w:tcPr>
          <w:p>
            <w:pPr>
              <w:jc w:val="right"/>
              <w:ind w:right="100"/>
              <w:spacing w:after="0"/>
              <w:rPr>
                <w:sz w:val="20"/>
                <w:szCs w:val="20"/>
                <w:color w:val="auto"/>
              </w:rPr>
            </w:pPr>
            <w:r>
              <w:rPr>
                <w:rFonts w:ascii="Arial" w:cs="Arial" w:eastAsia="Arial" w:hAnsi="Arial"/>
                <w:sz w:val="20"/>
                <w:szCs w:val="20"/>
                <w:color w:val="auto"/>
              </w:rPr>
              <w:t>Total for 2021 and 2022  . . . . . .</w:t>
            </w:r>
          </w:p>
        </w:tc>
        <w:tc>
          <w:tcPr>
            <w:tcW w:w="1720" w:type="dxa"/>
            <w:vAlign w:val="bottom"/>
            <w:gridSpan w:val="2"/>
          </w:tcPr>
          <w:p>
            <w:pPr>
              <w:jc w:val="right"/>
              <w:spacing w:after="0"/>
              <w:rPr>
                <w:sz w:val="20"/>
                <w:szCs w:val="20"/>
                <w:color w:val="auto"/>
              </w:rPr>
            </w:pPr>
            <w:r>
              <w:rPr>
                <w:rFonts w:ascii="Arial" w:cs="Arial" w:eastAsia="Arial" w:hAnsi="Arial"/>
                <w:sz w:val="20"/>
                <w:szCs w:val="20"/>
                <w:color w:val="auto"/>
              </w:rPr>
              <w:t>11,456,260</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20"/>
                <w:szCs w:val="20"/>
                <w:color w:val="auto"/>
              </w:rPr>
              <w:t>461</w:t>
            </w:r>
          </w:p>
        </w:tc>
        <w:tc>
          <w:tcPr>
            <w:tcW w:w="620" w:type="dxa"/>
            <w:vAlign w:val="bottom"/>
          </w:tcPr>
          <w:p>
            <w:pPr>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40.19</w:t>
            </w:r>
          </w:p>
        </w:tc>
      </w:tr>
      <w:tr>
        <w:trPr>
          <w:trHeight w:val="28"/>
        </w:trPr>
        <w:tc>
          <w:tcPr>
            <w:tcW w:w="3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3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jc w:val="both"/>
        <w:ind w:right="120" w:firstLine="300"/>
        <w:spacing w:after="0" w:line="248" w:lineRule="auto"/>
        <w:rPr>
          <w:sz w:val="20"/>
          <w:szCs w:val="20"/>
          <w:color w:val="auto"/>
        </w:rPr>
      </w:pPr>
      <w:r>
        <w:rPr>
          <w:rFonts w:ascii="Arial" w:cs="Arial" w:eastAsia="Arial" w:hAnsi="Arial"/>
          <w:sz w:val="20"/>
          <w:szCs w:val="20"/>
          <w:color w:val="auto"/>
        </w:rPr>
        <w:t xml:space="preserve">See </w:t>
      </w:r>
      <w:r>
        <w:rPr>
          <w:rFonts w:ascii="Arial" w:cs="Arial" w:eastAsia="Arial" w:hAnsi="Arial"/>
          <w:sz w:val="20"/>
          <w:szCs w:val="20"/>
          <w:i w:val="1"/>
          <w:iCs w:val="1"/>
          <w:color w:val="auto"/>
        </w:rPr>
        <w:t>Part II, Item 8 – Financial Statements and Supplementary Data, Note 11 Stockholders’ Equity</w:t>
      </w:r>
      <w:r>
        <w:rPr>
          <w:rFonts w:ascii="Arial" w:cs="Arial" w:eastAsia="Arial" w:hAnsi="Arial"/>
          <w:sz w:val="20"/>
          <w:szCs w:val="20"/>
          <w:color w:val="auto"/>
        </w:rPr>
        <w:t xml:space="preserve"> for more information on our share repurchase activity during the years ended December 31, 2022 and 2021.</w:t>
      </w:r>
    </w:p>
    <w:p>
      <w:pPr>
        <w:sectPr>
          <w:pgSz w:w="11880" w:h="15480" w:orient="portrait"/>
          <w:cols w:equalWidth="0" w:num="1">
            <w:col w:w="9120"/>
          </w:cols>
          <w:pgMar w:left="1380" w:top="1310" w:right="1380" w:bottom="655"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ectPr>
          <w:pgSz w:w="11880" w:h="15480" w:orient="portrait"/>
          <w:cols w:equalWidth="0" w:num="1">
            <w:col w:w="9120"/>
          </w:cols>
          <w:pgMar w:left="1380" w:top="1310" w:right="1380" w:bottom="655" w:gutter="0" w:footer="0" w:header="0"/>
          <w:type w:val="continuous"/>
        </w:sectPr>
      </w:pPr>
    </w:p>
    <w:bookmarkStart w:id="75" w:name="page76"/>
    <w:bookmarkEnd w:id="75"/>
    <w:p>
      <w:pPr>
        <w:spacing w:after="0"/>
        <w:rPr>
          <w:sz w:val="20"/>
          <w:szCs w:val="20"/>
          <w:color w:val="auto"/>
        </w:rPr>
      </w:pPr>
      <w:r>
        <w:rPr>
          <w:rFonts w:ascii="Arial" w:cs="Arial" w:eastAsia="Arial" w:hAnsi="Arial"/>
          <w:sz w:val="20"/>
          <w:szCs w:val="20"/>
          <w:b w:val="1"/>
          <w:bCs w:val="1"/>
          <w:color w:val="auto"/>
        </w:rPr>
        <w:t>Seasonality</w:t>
      </w:r>
    </w:p>
    <w:p>
      <w:pPr>
        <w:spacing w:after="0" w:line="216" w:lineRule="exact"/>
        <w:rPr>
          <w:sz w:val="20"/>
          <w:szCs w:val="20"/>
          <w:color w:val="auto"/>
        </w:rPr>
      </w:pPr>
    </w:p>
    <w:p>
      <w:pPr>
        <w:ind w:right="280" w:firstLine="300"/>
        <w:spacing w:after="0" w:line="248" w:lineRule="auto"/>
        <w:rPr>
          <w:sz w:val="20"/>
          <w:szCs w:val="20"/>
          <w:color w:val="auto"/>
        </w:rPr>
      </w:pPr>
      <w:r>
        <w:rPr>
          <w:rFonts w:ascii="Arial" w:cs="Arial" w:eastAsia="Arial" w:hAnsi="Arial"/>
          <w:sz w:val="20"/>
          <w:szCs w:val="20"/>
          <w:color w:val="auto"/>
        </w:rPr>
        <w:t>Certain of our operating costs and the prices for our products fluctuate throughout the year. For example, prices for natural gas (that we both sell and purchase for use in our operations) tend to be higher in the winter and summer months. However, seasonality overall does not have a material effect on our earnings during the year.</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Taxes</w:t>
      </w:r>
    </w:p>
    <w:p>
      <w:pPr>
        <w:spacing w:after="0" w:line="216" w:lineRule="exact"/>
        <w:rPr>
          <w:sz w:val="20"/>
          <w:szCs w:val="20"/>
          <w:color w:val="auto"/>
        </w:rPr>
      </w:pPr>
    </w:p>
    <w:p>
      <w:pPr>
        <w:ind w:right="240" w:firstLine="300"/>
        <w:spacing w:after="0" w:line="243" w:lineRule="auto"/>
        <w:rPr>
          <w:sz w:val="20"/>
          <w:szCs w:val="20"/>
          <w:color w:val="auto"/>
        </w:rPr>
      </w:pPr>
      <w:r>
        <w:rPr>
          <w:rFonts w:ascii="Arial" w:cs="Arial" w:eastAsia="Arial" w:hAnsi="Arial"/>
          <w:sz w:val="20"/>
          <w:szCs w:val="20"/>
          <w:color w:val="auto"/>
        </w:rPr>
        <w:t>All of our income is earned from domestic operations and is subject to tax in the United States. The following table sets forth our effective tax rate on income from continuing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60" w:type="dxa"/>
            <w:vAlign w:val="bottom"/>
            <w:gridSpan w:val="4"/>
          </w:tcPr>
          <w:p>
            <w:pPr>
              <w:jc w:val="right"/>
              <w:spacing w:after="0"/>
              <w:rPr>
                <w:sz w:val="20"/>
                <w:szCs w:val="20"/>
                <w:color w:val="auto"/>
              </w:rPr>
            </w:pPr>
            <w:r>
              <w:rPr>
                <w:rFonts w:ascii="Arial" w:cs="Arial" w:eastAsia="Arial" w:hAnsi="Arial"/>
                <w:sz w:val="20"/>
                <w:szCs w:val="20"/>
                <w:b w:val="1"/>
                <w:bCs w:val="1"/>
                <w:color w:val="auto"/>
              </w:rPr>
              <w:t>Successor</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80" w:type="dxa"/>
            <w:vAlign w:val="bottom"/>
            <w:gridSpan w:val="3"/>
          </w:tcPr>
          <w:p>
            <w:pPr>
              <w:jc w:val="center"/>
              <w:ind w:right="180"/>
              <w:spacing w:after="0"/>
              <w:rPr>
                <w:sz w:val="20"/>
                <w:szCs w:val="20"/>
                <w:color w:val="auto"/>
              </w:rPr>
            </w:pPr>
            <w:r>
              <w:rPr>
                <w:rFonts w:ascii="Arial" w:cs="Arial" w:eastAsia="Arial" w:hAnsi="Arial"/>
                <w:sz w:val="20"/>
                <w:szCs w:val="20"/>
                <w:b w:val="1"/>
                <w:bCs w:val="1"/>
                <w:color w:val="auto"/>
                <w:w w:val="99"/>
              </w:rPr>
              <w:t>Predecessor</w:t>
            </w:r>
          </w:p>
        </w:tc>
        <w:tc>
          <w:tcPr>
            <w:tcW w:w="0" w:type="dxa"/>
            <w:vAlign w:val="bottom"/>
          </w:tcPr>
          <w:p>
            <w:pPr>
              <w:spacing w:after="0"/>
              <w:rPr>
                <w:sz w:val="1"/>
                <w:szCs w:val="1"/>
                <w:color w:val="auto"/>
              </w:rPr>
            </w:pPr>
          </w:p>
        </w:tc>
      </w:tr>
      <w:tr>
        <w:trPr>
          <w:trHeight w:val="200"/>
        </w:trPr>
        <w:tc>
          <w:tcPr>
            <w:tcW w:w="26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4"/>
          </w:tcPr>
          <w:p>
            <w:pPr>
              <w:jc w:val="right"/>
              <w:ind w:right="260"/>
              <w:spacing w:after="0" w:line="200" w:lineRule="exact"/>
              <w:rPr>
                <w:sz w:val="20"/>
                <w:szCs w:val="20"/>
                <w:color w:val="auto"/>
              </w:rPr>
            </w:pPr>
            <w:r>
              <w:rPr>
                <w:rFonts w:ascii="Arial" w:cs="Arial" w:eastAsia="Arial" w:hAnsi="Arial"/>
                <w:sz w:val="20"/>
                <w:szCs w:val="20"/>
                <w:b w:val="1"/>
                <w:bCs w:val="1"/>
                <w:color w:val="auto"/>
              </w:rPr>
              <w:t>Year ended</w:t>
            </w:r>
          </w:p>
        </w:tc>
        <w:tc>
          <w:tcPr>
            <w:tcW w:w="1340" w:type="dxa"/>
            <w:vAlign w:val="bottom"/>
            <w:tcBorders>
              <w:top w:val="single" w:sz="8" w:color="auto"/>
            </w:tcBorders>
            <w:gridSpan w:val="3"/>
          </w:tcPr>
          <w:p>
            <w:pPr>
              <w:jc w:val="right"/>
              <w:ind w:right="200"/>
              <w:spacing w:after="0" w:line="200" w:lineRule="exact"/>
              <w:rPr>
                <w:sz w:val="20"/>
                <w:szCs w:val="20"/>
                <w:color w:val="auto"/>
              </w:rPr>
            </w:pPr>
            <w:r>
              <w:rPr>
                <w:rFonts w:ascii="Arial" w:cs="Arial" w:eastAsia="Arial" w:hAnsi="Arial"/>
                <w:sz w:val="20"/>
                <w:szCs w:val="20"/>
                <w:b w:val="1"/>
                <w:bCs w:val="1"/>
                <w:color w:val="auto"/>
              </w:rPr>
              <w:t>Year ended</w:t>
            </w:r>
          </w:p>
        </w:tc>
        <w:tc>
          <w:tcPr>
            <w:tcW w:w="1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680" w:type="dxa"/>
            <w:vAlign w:val="bottom"/>
          </w:tcPr>
          <w:p>
            <w:pPr>
              <w:spacing w:after="0"/>
              <w:rPr>
                <w:sz w:val="17"/>
                <w:szCs w:val="17"/>
                <w:color w:val="auto"/>
              </w:rPr>
            </w:pPr>
          </w:p>
        </w:tc>
        <w:tc>
          <w:tcPr>
            <w:tcW w:w="4740" w:type="dxa"/>
            <w:vAlign w:val="bottom"/>
            <w:tcBorders>
              <w:right w:val="single" w:sz="8" w:color="auto"/>
            </w:tcBorders>
            <w:gridSpan w:val="12"/>
          </w:tcPr>
          <w:p>
            <w:pPr>
              <w:jc w:val="right"/>
              <w:ind w:right="120"/>
              <w:spacing w:after="0" w:line="200" w:lineRule="exact"/>
              <w:rPr>
                <w:sz w:val="20"/>
                <w:szCs w:val="20"/>
                <w:color w:val="auto"/>
              </w:rPr>
            </w:pPr>
            <w:r>
              <w:rPr>
                <w:rFonts w:ascii="Arial" w:cs="Arial" w:eastAsia="Arial" w:hAnsi="Arial"/>
                <w:sz w:val="14"/>
                <w:szCs w:val="14"/>
                <w:b w:val="1"/>
                <w:bCs w:val="1"/>
                <w:color w:val="auto"/>
              </w:rPr>
              <w:t xml:space="preserve">December 31, December 31, </w:t>
            </w:r>
            <w:r>
              <w:rPr>
                <w:rFonts w:ascii="Arial" w:cs="Arial" w:eastAsia="Arial" w:hAnsi="Arial"/>
                <w:sz w:val="23"/>
                <w:szCs w:val="23"/>
                <w:b w:val="1"/>
                <w:bCs w:val="1"/>
                <w:color w:val="auto"/>
                <w:vertAlign w:val="superscript"/>
              </w:rPr>
              <w:t>November 1, 2020 -</w:t>
            </w:r>
          </w:p>
        </w:tc>
        <w:tc>
          <w:tcPr>
            <w:tcW w:w="80" w:type="dxa"/>
            <w:vAlign w:val="bottom"/>
          </w:tcPr>
          <w:p>
            <w:pPr>
              <w:spacing w:after="0"/>
              <w:rPr>
                <w:sz w:val="17"/>
                <w:szCs w:val="17"/>
                <w:color w:val="auto"/>
              </w:rPr>
            </w:pPr>
          </w:p>
        </w:tc>
        <w:tc>
          <w:tcPr>
            <w:tcW w:w="1800" w:type="dxa"/>
            <w:vAlign w:val="bottom"/>
            <w:gridSpan w:val="4"/>
          </w:tcPr>
          <w:p>
            <w:pPr>
              <w:jc w:val="center"/>
              <w:ind w:right="180"/>
              <w:spacing w:after="0" w:line="200" w:lineRule="exact"/>
              <w:rPr>
                <w:sz w:val="20"/>
                <w:szCs w:val="20"/>
                <w:color w:val="auto"/>
              </w:rPr>
            </w:pPr>
            <w:r>
              <w:rPr>
                <w:rFonts w:ascii="Arial" w:cs="Arial" w:eastAsia="Arial" w:hAnsi="Arial"/>
                <w:sz w:val="20"/>
                <w:szCs w:val="20"/>
                <w:b w:val="1"/>
                <w:bCs w:val="1"/>
                <w:color w:val="auto"/>
              </w:rPr>
              <w:t>January 1, 2020 -</w:t>
            </w:r>
          </w:p>
        </w:tc>
        <w:tc>
          <w:tcPr>
            <w:tcW w:w="0" w:type="dxa"/>
            <w:vAlign w:val="bottom"/>
          </w:tcPr>
          <w:p>
            <w:pPr>
              <w:spacing w:after="0"/>
              <w:rPr>
                <w:sz w:val="1"/>
                <w:szCs w:val="1"/>
                <w:color w:val="auto"/>
              </w:rPr>
            </w:pPr>
          </w:p>
        </w:tc>
      </w:tr>
      <w:tr>
        <w:trPr>
          <w:trHeight w:val="60"/>
        </w:trPr>
        <w:tc>
          <w:tcPr>
            <w:tcW w:w="2680" w:type="dxa"/>
            <w:vAlign w:val="bottom"/>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940" w:type="dxa"/>
            <w:vAlign w:val="bottom"/>
            <w:tcBorders>
              <w:right w:val="single" w:sz="8" w:color="auto"/>
            </w:tcBorders>
            <w:gridSpan w:val="4"/>
            <w:vMerge w:val="restart"/>
          </w:tcPr>
          <w:p>
            <w:pPr>
              <w:jc w:val="right"/>
              <w:ind w:right="120"/>
              <w:spacing w:after="0" w:line="228" w:lineRule="exact"/>
              <w:rPr>
                <w:sz w:val="20"/>
                <w:szCs w:val="20"/>
                <w:color w:val="auto"/>
              </w:rPr>
            </w:pPr>
            <w:r>
              <w:rPr>
                <w:rFonts w:ascii="Arial" w:cs="Arial" w:eastAsia="Arial" w:hAnsi="Arial"/>
                <w:sz w:val="20"/>
                <w:szCs w:val="20"/>
                <w:b w:val="1"/>
                <w:bCs w:val="1"/>
                <w:color w:val="auto"/>
                <w:w w:val="99"/>
              </w:rPr>
              <w:t>December 31, 2020</w:t>
            </w:r>
          </w:p>
        </w:tc>
        <w:tc>
          <w:tcPr>
            <w:tcW w:w="80" w:type="dxa"/>
            <w:vAlign w:val="bottom"/>
          </w:tcPr>
          <w:p>
            <w:pPr>
              <w:spacing w:after="0"/>
              <w:rPr>
                <w:sz w:val="5"/>
                <w:szCs w:val="5"/>
                <w:color w:val="auto"/>
              </w:rPr>
            </w:pPr>
          </w:p>
        </w:tc>
        <w:tc>
          <w:tcPr>
            <w:tcW w:w="1800" w:type="dxa"/>
            <w:vAlign w:val="bottom"/>
            <w:gridSpan w:val="4"/>
            <w:vMerge w:val="restart"/>
          </w:tcPr>
          <w:p>
            <w:pPr>
              <w:jc w:val="center"/>
              <w:ind w:right="160"/>
              <w:spacing w:after="0" w:line="228" w:lineRule="exact"/>
              <w:rPr>
                <w:sz w:val="20"/>
                <w:szCs w:val="20"/>
                <w:color w:val="auto"/>
              </w:rPr>
            </w:pPr>
            <w:r>
              <w:rPr>
                <w:rFonts w:ascii="Arial" w:cs="Arial" w:eastAsia="Arial" w:hAnsi="Arial"/>
                <w:sz w:val="20"/>
                <w:szCs w:val="20"/>
                <w:b w:val="1"/>
                <w:bCs w:val="1"/>
                <w:color w:val="auto"/>
                <w:w w:val="99"/>
              </w:rPr>
              <w:t>October 31, 2020</w:t>
            </w: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1260" w:type="dxa"/>
            <w:vAlign w:val="bottom"/>
            <w:gridSpan w:val="2"/>
            <w:vMerge w:val="restart"/>
          </w:tcPr>
          <w:p>
            <w:pPr>
              <w:jc w:val="right"/>
              <w:ind w:right="280"/>
              <w:spacing w:after="0"/>
              <w:rPr>
                <w:sz w:val="20"/>
                <w:szCs w:val="20"/>
                <w:color w:val="auto"/>
              </w:rPr>
            </w:pPr>
            <w:r>
              <w:rPr>
                <w:rFonts w:ascii="Arial" w:cs="Arial" w:eastAsia="Arial" w:hAnsi="Arial"/>
                <w:sz w:val="20"/>
                <w:szCs w:val="20"/>
                <w:b w:val="1"/>
                <w:bCs w:val="1"/>
                <w:color w:val="auto"/>
              </w:rPr>
              <w:t>2022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vMerge w:val="restart"/>
          </w:tcPr>
          <w:p>
            <w:pPr>
              <w:jc w:val="right"/>
              <w:ind w:right="280"/>
              <w:spacing w:after="0"/>
              <w:rPr>
                <w:sz w:val="20"/>
                <w:szCs w:val="20"/>
                <w:color w:val="auto"/>
              </w:rPr>
            </w:pPr>
            <w:r>
              <w:rPr>
                <w:rFonts w:ascii="Arial" w:cs="Arial" w:eastAsia="Arial" w:hAnsi="Arial"/>
                <w:sz w:val="20"/>
                <w:szCs w:val="20"/>
                <w:b w:val="1"/>
                <w:bCs w:val="1"/>
                <w:color w:val="auto"/>
              </w:rPr>
              <w:t>2021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Borders>
              <w:right w:val="single" w:sz="8" w:color="auto"/>
            </w:tcBorders>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26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Arial" w:cs="Arial" w:eastAsia="Arial" w:hAnsi="Arial"/>
                <w:sz w:val="20"/>
                <w:szCs w:val="20"/>
                <w:color w:val="auto"/>
              </w:rPr>
              <w:t>U.S. federal statutory tax</w:t>
            </w: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6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680" w:type="dxa"/>
            <w:vAlign w:val="bottom"/>
          </w:tcPr>
          <w:p>
            <w:pPr>
              <w:spacing w:after="0"/>
              <w:rPr>
                <w:sz w:val="20"/>
                <w:szCs w:val="20"/>
                <w:color w:val="auto"/>
              </w:rPr>
            </w:pPr>
            <w:r>
              <w:rPr>
                <w:rFonts w:ascii="Arial" w:cs="Arial" w:eastAsia="Arial" w:hAnsi="Arial"/>
                <w:sz w:val="20"/>
                <w:szCs w:val="20"/>
                <w:color w:val="auto"/>
                <w:w w:val="99"/>
              </w:rPr>
              <w:t>rate . . . . . . . . . . . . . . . . . . . . .</w:t>
            </w:r>
          </w:p>
        </w:tc>
        <w:tc>
          <w:tcPr>
            <w:tcW w:w="1460" w:type="dxa"/>
            <w:vAlign w:val="bottom"/>
            <w:gridSpan w:val="5"/>
          </w:tcPr>
          <w:p>
            <w:pPr>
              <w:jc w:val="right"/>
              <w:ind w:right="20"/>
              <w:spacing w:after="0"/>
              <w:rPr>
                <w:sz w:val="20"/>
                <w:szCs w:val="20"/>
                <w:color w:val="auto"/>
              </w:rPr>
            </w:pPr>
            <w:r>
              <w:rPr>
                <w:rFonts w:ascii="Arial" w:cs="Arial" w:eastAsia="Arial" w:hAnsi="Arial"/>
                <w:sz w:val="20"/>
                <w:szCs w:val="20"/>
                <w:color w:val="auto"/>
              </w:rPr>
              <w:t>21%</w:t>
            </w:r>
          </w:p>
        </w:tc>
        <w:tc>
          <w:tcPr>
            <w:tcW w:w="1460" w:type="dxa"/>
            <w:vAlign w:val="bottom"/>
            <w:gridSpan w:val="4"/>
          </w:tcPr>
          <w:p>
            <w:pPr>
              <w:jc w:val="right"/>
              <w:spacing w:after="0"/>
              <w:rPr>
                <w:sz w:val="20"/>
                <w:szCs w:val="20"/>
                <w:color w:val="auto"/>
              </w:rPr>
            </w:pPr>
            <w:r>
              <w:rPr>
                <w:rFonts w:ascii="Arial" w:cs="Arial" w:eastAsia="Arial" w:hAnsi="Arial"/>
                <w:sz w:val="20"/>
                <w:szCs w:val="20"/>
                <w:color w:val="auto"/>
              </w:rPr>
              <w:t>21%</w:t>
            </w:r>
          </w:p>
        </w:tc>
        <w:tc>
          <w:tcPr>
            <w:tcW w:w="1820" w:type="dxa"/>
            <w:vAlign w:val="bottom"/>
            <w:tcBorders>
              <w:right w:val="single" w:sz="8" w:color="auto"/>
            </w:tcBorders>
            <w:gridSpan w:val="3"/>
          </w:tcPr>
          <w:p>
            <w:pPr>
              <w:jc w:val="right"/>
              <w:ind w:right="40"/>
              <w:spacing w:after="0"/>
              <w:rPr>
                <w:sz w:val="20"/>
                <w:szCs w:val="20"/>
                <w:color w:val="auto"/>
              </w:rPr>
            </w:pPr>
            <w:r>
              <w:rPr>
                <w:rFonts w:ascii="Arial" w:cs="Arial" w:eastAsia="Arial" w:hAnsi="Arial"/>
                <w:sz w:val="20"/>
                <w:szCs w:val="20"/>
                <w:color w:val="auto"/>
              </w:rPr>
              <w:t>21%</w:t>
            </w:r>
          </w:p>
        </w:tc>
        <w:tc>
          <w:tcPr>
            <w:tcW w:w="1880" w:type="dxa"/>
            <w:vAlign w:val="bottom"/>
            <w:gridSpan w:val="5"/>
          </w:tcPr>
          <w:p>
            <w:pPr>
              <w:jc w:val="right"/>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240"/>
        </w:trPr>
        <w:tc>
          <w:tcPr>
            <w:tcW w:w="2680" w:type="dxa"/>
            <w:vAlign w:val="bottom"/>
          </w:tcPr>
          <w:p>
            <w:pPr>
              <w:spacing w:after="0"/>
              <w:rPr>
                <w:sz w:val="20"/>
                <w:szCs w:val="20"/>
                <w:color w:val="auto"/>
              </w:rPr>
            </w:pPr>
            <w:r>
              <w:rPr>
                <w:rFonts w:ascii="Arial" w:cs="Arial" w:eastAsia="Arial" w:hAnsi="Arial"/>
                <w:sz w:val="20"/>
                <w:szCs w:val="20"/>
                <w:color w:val="auto"/>
              </w:rPr>
              <w:t>State income taxes, net  . . . .</w:t>
            </w: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gridSpan w:val="3"/>
          </w:tcPr>
          <w:p>
            <w:pPr>
              <w:jc w:val="right"/>
              <w:ind w:right="80"/>
              <w:spacing w:after="0"/>
              <w:rPr>
                <w:sz w:val="20"/>
                <w:szCs w:val="20"/>
                <w:color w:val="auto"/>
              </w:rPr>
            </w:pPr>
            <w:r>
              <w:rPr>
                <w:rFonts w:ascii="Arial" w:cs="Arial" w:eastAsia="Arial" w:hAnsi="Arial"/>
                <w:sz w:val="20"/>
                <w:szCs w:val="20"/>
                <w:color w:val="auto"/>
              </w:rPr>
              <w:t>(81)</w:t>
            </w:r>
          </w:p>
        </w:tc>
        <w:tc>
          <w:tcPr>
            <w:tcW w:w="120" w:type="dxa"/>
            <w:vAlign w:val="bottom"/>
          </w:tcPr>
          <w:p>
            <w:pPr>
              <w:spacing w:after="0"/>
              <w:rPr>
                <w:sz w:val="20"/>
                <w:szCs w:val="20"/>
                <w:color w:val="auto"/>
              </w:rPr>
            </w:pPr>
          </w:p>
        </w:tc>
        <w:tc>
          <w:tcPr>
            <w:tcW w:w="182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gridSpan w:val="3"/>
          </w:tcPr>
          <w:p>
            <w:pPr>
              <w:jc w:val="right"/>
              <w:ind w:right="1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2680" w:type="dxa"/>
            <w:vAlign w:val="bottom"/>
          </w:tcPr>
          <w:p>
            <w:pPr>
              <w:spacing w:after="0"/>
              <w:rPr>
                <w:sz w:val="20"/>
                <w:szCs w:val="20"/>
                <w:color w:val="auto"/>
              </w:rPr>
            </w:pPr>
            <w:r>
              <w:rPr>
                <w:rFonts w:ascii="Arial" w:cs="Arial" w:eastAsia="Arial" w:hAnsi="Arial"/>
                <w:sz w:val="20"/>
                <w:szCs w:val="20"/>
                <w:color w:val="auto"/>
              </w:rPr>
              <w:t>Exclusion of income</w:t>
            </w:r>
          </w:p>
        </w:tc>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680" w:type="dxa"/>
            <w:vAlign w:val="bottom"/>
          </w:tcPr>
          <w:p>
            <w:pPr>
              <w:spacing w:after="0"/>
              <w:rPr>
                <w:sz w:val="20"/>
                <w:szCs w:val="20"/>
                <w:color w:val="auto"/>
              </w:rPr>
            </w:pPr>
            <w:r>
              <w:rPr>
                <w:rFonts w:ascii="Arial" w:cs="Arial" w:eastAsia="Arial" w:hAnsi="Arial"/>
                <w:sz w:val="20"/>
                <w:szCs w:val="20"/>
                <w:color w:val="auto"/>
              </w:rPr>
              <w:t>attributable to noncontrolling</w:t>
            </w:r>
          </w:p>
        </w:tc>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680" w:type="dxa"/>
            <w:vAlign w:val="bottom"/>
          </w:tcPr>
          <w:p>
            <w:pPr>
              <w:spacing w:after="0"/>
              <w:rPr>
                <w:sz w:val="20"/>
                <w:szCs w:val="20"/>
                <w:color w:val="auto"/>
              </w:rPr>
            </w:pPr>
            <w:r>
              <w:rPr>
                <w:rFonts w:ascii="Arial" w:cs="Arial" w:eastAsia="Arial" w:hAnsi="Arial"/>
                <w:sz w:val="20"/>
                <w:szCs w:val="20"/>
                <w:color w:val="auto"/>
              </w:rPr>
              <w:t>interests . . . . . . . . . . . . . . . . .</w:t>
            </w:r>
          </w:p>
        </w:tc>
        <w:tc>
          <w:tcPr>
            <w:tcW w:w="40" w:type="dxa"/>
            <w:vAlign w:val="bottom"/>
          </w:tcPr>
          <w:p>
            <w:pPr>
              <w:spacing w:after="0"/>
              <w:rPr>
                <w:sz w:val="20"/>
                <w:szCs w:val="20"/>
                <w:color w:val="auto"/>
              </w:rPr>
            </w:pPr>
          </w:p>
        </w:tc>
        <w:tc>
          <w:tcPr>
            <w:tcW w:w="1420" w:type="dxa"/>
            <w:vAlign w:val="bottom"/>
            <w:gridSpan w:val="4"/>
          </w:tcPr>
          <w:p>
            <w:pPr>
              <w:jc w:val="right"/>
              <w:ind w:right="200"/>
              <w:spacing w:after="0"/>
              <w:rPr>
                <w:sz w:val="20"/>
                <w:szCs w:val="20"/>
                <w:color w:val="auto"/>
              </w:rPr>
            </w:pPr>
            <w:r>
              <w:rPr>
                <w:rFonts w:ascii="Arial" w:cs="Arial" w:eastAsia="Arial" w:hAnsi="Arial"/>
                <w:sz w:val="20"/>
                <w:szCs w:val="20"/>
                <w:color w:val="auto"/>
              </w:rPr>
              <w:t>—</w:t>
            </w:r>
          </w:p>
        </w:tc>
        <w:tc>
          <w:tcPr>
            <w:tcW w:w="1340" w:type="dxa"/>
            <w:vAlign w:val="bottom"/>
            <w:gridSpan w:val="3"/>
          </w:tcPr>
          <w:p>
            <w:pPr>
              <w:jc w:val="right"/>
              <w:ind w:right="80"/>
              <w:spacing w:after="0"/>
              <w:rPr>
                <w:sz w:val="20"/>
                <w:szCs w:val="20"/>
                <w:color w:val="auto"/>
              </w:rPr>
            </w:pPr>
            <w:r>
              <w:rPr>
                <w:rFonts w:ascii="Arial" w:cs="Arial" w:eastAsia="Arial" w:hAnsi="Arial"/>
                <w:sz w:val="20"/>
                <w:szCs w:val="20"/>
                <w:color w:val="auto"/>
              </w:rPr>
              <w:t>(1)</w:t>
            </w:r>
          </w:p>
        </w:tc>
        <w:tc>
          <w:tcPr>
            <w:tcW w:w="120" w:type="dxa"/>
            <w:vAlign w:val="bottom"/>
          </w:tcPr>
          <w:p>
            <w:pPr>
              <w:spacing w:after="0"/>
              <w:rPr>
                <w:sz w:val="20"/>
                <w:szCs w:val="20"/>
                <w:color w:val="auto"/>
              </w:rPr>
            </w:pPr>
          </w:p>
        </w:tc>
        <w:tc>
          <w:tcPr>
            <w:tcW w:w="182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20"/>
                <w:szCs w:val="20"/>
                <w:color w:val="auto"/>
              </w:rPr>
              <w:t>—</w:t>
            </w:r>
          </w:p>
        </w:tc>
        <w:tc>
          <w:tcPr>
            <w:tcW w:w="1880" w:type="dxa"/>
            <w:vAlign w:val="bottom"/>
            <w:gridSpan w:val="5"/>
          </w:tcPr>
          <w:p>
            <w:pPr>
              <w:jc w:val="right"/>
              <w:ind w:right="120"/>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40"/>
        </w:trPr>
        <w:tc>
          <w:tcPr>
            <w:tcW w:w="2680" w:type="dxa"/>
            <w:vAlign w:val="bottom"/>
          </w:tcPr>
          <w:p>
            <w:pPr>
              <w:spacing w:after="0"/>
              <w:rPr>
                <w:sz w:val="20"/>
                <w:szCs w:val="20"/>
                <w:color w:val="auto"/>
              </w:rPr>
            </w:pPr>
            <w:r>
              <w:rPr>
                <w:rFonts w:ascii="Arial" w:cs="Arial" w:eastAsia="Arial" w:hAnsi="Arial"/>
                <w:sz w:val="20"/>
                <w:szCs w:val="20"/>
                <w:color w:val="auto"/>
              </w:rPr>
              <w:t>Changes in tax attributes . . .</w:t>
            </w:r>
          </w:p>
        </w:tc>
        <w:tc>
          <w:tcPr>
            <w:tcW w:w="1400" w:type="dxa"/>
            <w:vAlign w:val="bottom"/>
            <w:gridSpan w:val="4"/>
          </w:tcPr>
          <w:p>
            <w:pPr>
              <w:jc w:val="right"/>
              <w:ind w:right="60"/>
              <w:spacing w:after="0"/>
              <w:rPr>
                <w:sz w:val="20"/>
                <w:szCs w:val="20"/>
                <w:color w:val="auto"/>
              </w:rPr>
            </w:pPr>
            <w:r>
              <w:rPr>
                <w:rFonts w:ascii="Arial" w:cs="Arial" w:eastAsia="Arial" w:hAnsi="Arial"/>
                <w:sz w:val="20"/>
                <w:szCs w:val="20"/>
                <w:color w:val="auto"/>
              </w:rPr>
              <w:t>(2)</w:t>
            </w:r>
          </w:p>
        </w:tc>
        <w:tc>
          <w:tcPr>
            <w:tcW w:w="60" w:type="dxa"/>
            <w:vAlign w:val="bottom"/>
          </w:tcPr>
          <w:p>
            <w:pPr>
              <w:spacing w:after="0"/>
              <w:rPr>
                <w:sz w:val="20"/>
                <w:szCs w:val="20"/>
                <w:color w:val="auto"/>
              </w:rPr>
            </w:pPr>
          </w:p>
        </w:tc>
        <w:tc>
          <w:tcPr>
            <w:tcW w:w="1340" w:type="dxa"/>
            <w:vAlign w:val="bottom"/>
            <w:gridSpan w:val="3"/>
          </w:tcPr>
          <w:p>
            <w:pPr>
              <w:jc w:val="right"/>
              <w:ind w:right="80"/>
              <w:spacing w:after="0"/>
              <w:rPr>
                <w:sz w:val="20"/>
                <w:szCs w:val="20"/>
                <w:color w:val="auto"/>
              </w:rPr>
            </w:pPr>
            <w:r>
              <w:rPr>
                <w:rFonts w:ascii="Arial" w:cs="Arial" w:eastAsia="Arial" w:hAnsi="Arial"/>
                <w:sz w:val="20"/>
                <w:szCs w:val="20"/>
                <w:color w:val="auto"/>
              </w:rPr>
              <w:t>(8)</w:t>
            </w:r>
          </w:p>
        </w:tc>
        <w:tc>
          <w:tcPr>
            <w:tcW w:w="120" w:type="dxa"/>
            <w:vAlign w:val="bottom"/>
          </w:tcPr>
          <w:p>
            <w:pPr>
              <w:spacing w:after="0"/>
              <w:rPr>
                <w:sz w:val="20"/>
                <w:szCs w:val="20"/>
                <w:color w:val="auto"/>
              </w:rPr>
            </w:pPr>
          </w:p>
        </w:tc>
        <w:tc>
          <w:tcPr>
            <w:tcW w:w="182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gridSpan w:val="3"/>
          </w:tcPr>
          <w:p>
            <w:pPr>
              <w:jc w:val="right"/>
              <w:ind w:right="1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2680" w:type="dxa"/>
            <w:vAlign w:val="bottom"/>
          </w:tcPr>
          <w:p>
            <w:pPr>
              <w:spacing w:after="0"/>
              <w:rPr>
                <w:sz w:val="20"/>
                <w:szCs w:val="20"/>
                <w:color w:val="auto"/>
              </w:rPr>
            </w:pPr>
            <w:r>
              <w:rPr>
                <w:rFonts w:ascii="Arial" w:cs="Arial" w:eastAsia="Arial" w:hAnsi="Arial"/>
                <w:sz w:val="20"/>
                <w:szCs w:val="20"/>
                <w:color w:val="auto"/>
              </w:rPr>
              <w:t>Executive compensation  . . .</w:t>
            </w:r>
          </w:p>
        </w:tc>
        <w:tc>
          <w:tcPr>
            <w:tcW w:w="40" w:type="dxa"/>
            <w:vAlign w:val="bottom"/>
          </w:tcPr>
          <w:p>
            <w:pPr>
              <w:spacing w:after="0"/>
              <w:rPr>
                <w:sz w:val="20"/>
                <w:szCs w:val="20"/>
                <w:color w:val="auto"/>
              </w:rPr>
            </w:pPr>
          </w:p>
        </w:tc>
        <w:tc>
          <w:tcPr>
            <w:tcW w:w="1420" w:type="dxa"/>
            <w:vAlign w:val="bottom"/>
            <w:gridSpan w:val="4"/>
          </w:tcPr>
          <w:p>
            <w:pPr>
              <w:jc w:val="right"/>
              <w:ind w:right="200"/>
              <w:spacing w:after="0"/>
              <w:rPr>
                <w:sz w:val="20"/>
                <w:szCs w:val="20"/>
                <w:color w:val="auto"/>
              </w:rPr>
            </w:pPr>
            <w:r>
              <w:rPr>
                <w:rFonts w:ascii="Arial" w:cs="Arial" w:eastAsia="Arial" w:hAnsi="Arial"/>
                <w:sz w:val="20"/>
                <w:szCs w:val="20"/>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20"/>
                <w:szCs w:val="20"/>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gridSpan w:val="3"/>
          </w:tcPr>
          <w:p>
            <w:pPr>
              <w:jc w:val="right"/>
              <w:ind w:right="1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2680" w:type="dxa"/>
            <w:vAlign w:val="bottom"/>
          </w:tcPr>
          <w:p>
            <w:pPr>
              <w:spacing w:after="0"/>
              <w:rPr>
                <w:sz w:val="20"/>
                <w:szCs w:val="20"/>
                <w:color w:val="auto"/>
              </w:rPr>
            </w:pPr>
            <w:r>
              <w:rPr>
                <w:rFonts w:ascii="Arial" w:cs="Arial" w:eastAsia="Arial" w:hAnsi="Arial"/>
                <w:sz w:val="20"/>
                <w:szCs w:val="20"/>
                <w:color w:val="auto"/>
              </w:rPr>
              <w:t>Change in the U.S. federal</w:t>
            </w:r>
          </w:p>
        </w:tc>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680" w:type="dxa"/>
            <w:vAlign w:val="bottom"/>
          </w:tcPr>
          <w:p>
            <w:pPr>
              <w:spacing w:after="0"/>
              <w:rPr>
                <w:sz w:val="20"/>
                <w:szCs w:val="20"/>
                <w:color w:val="auto"/>
              </w:rPr>
            </w:pPr>
            <w:r>
              <w:rPr>
                <w:rFonts w:ascii="Arial" w:cs="Arial" w:eastAsia="Arial" w:hAnsi="Arial"/>
                <w:sz w:val="20"/>
                <w:szCs w:val="20"/>
                <w:color w:val="auto"/>
              </w:rPr>
              <w:t>valuation allowance  . . . . . . .</w:t>
            </w: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gridSpan w:val="3"/>
          </w:tcPr>
          <w:p>
            <w:pPr>
              <w:jc w:val="right"/>
              <w:ind w:right="80"/>
              <w:spacing w:after="0"/>
              <w:rPr>
                <w:sz w:val="20"/>
                <w:szCs w:val="20"/>
                <w:color w:val="auto"/>
              </w:rPr>
            </w:pPr>
            <w:r>
              <w:rPr>
                <w:rFonts w:ascii="Arial" w:cs="Arial" w:eastAsia="Arial" w:hAnsi="Arial"/>
                <w:sz w:val="20"/>
                <w:szCs w:val="20"/>
                <w:color w:val="auto"/>
              </w:rPr>
              <w:t>(106)</w:t>
            </w:r>
          </w:p>
        </w:tc>
        <w:tc>
          <w:tcPr>
            <w:tcW w:w="120" w:type="dxa"/>
            <w:vAlign w:val="bottom"/>
          </w:tcPr>
          <w:p>
            <w:pPr>
              <w:spacing w:after="0"/>
              <w:rPr>
                <w:sz w:val="20"/>
                <w:szCs w:val="20"/>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20"/>
                <w:szCs w:val="20"/>
                <w:color w:val="auto"/>
              </w:rPr>
              <w:t>(20)</w:t>
            </w:r>
          </w:p>
        </w:tc>
        <w:tc>
          <w:tcPr>
            <w:tcW w:w="120" w:type="dxa"/>
            <w:vAlign w:val="bottom"/>
            <w:tcBorders>
              <w:right w:val="single" w:sz="8" w:color="auto"/>
            </w:tcBorders>
          </w:tcPr>
          <w:p>
            <w:pPr>
              <w:spacing w:after="0"/>
              <w:rPr>
                <w:sz w:val="20"/>
                <w:szCs w:val="20"/>
                <w:color w:val="auto"/>
              </w:rPr>
            </w:pPr>
          </w:p>
        </w:tc>
        <w:tc>
          <w:tcPr>
            <w:tcW w:w="1880" w:type="dxa"/>
            <w:vAlign w:val="bottom"/>
            <w:gridSpan w:val="5"/>
          </w:tcPr>
          <w:p>
            <w:pPr>
              <w:jc w:val="right"/>
              <w:ind w:right="120"/>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240"/>
        </w:trPr>
        <w:tc>
          <w:tcPr>
            <w:tcW w:w="2680" w:type="dxa"/>
            <w:vAlign w:val="bottom"/>
          </w:tcPr>
          <w:p>
            <w:pPr>
              <w:spacing w:after="0"/>
              <w:rPr>
                <w:sz w:val="20"/>
                <w:szCs w:val="20"/>
                <w:color w:val="auto"/>
              </w:rPr>
            </w:pPr>
            <w:r>
              <w:rPr>
                <w:rFonts w:ascii="Arial" w:cs="Arial" w:eastAsia="Arial" w:hAnsi="Arial"/>
                <w:sz w:val="20"/>
                <w:szCs w:val="20"/>
                <w:color w:val="auto"/>
                <w:w w:val="99"/>
              </w:rPr>
              <w:t>Other  . . . . . . . . . . . . . . . . . . .</w:t>
            </w: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gridSpan w:val="3"/>
          </w:tcPr>
          <w:p>
            <w:pPr>
              <w:jc w:val="right"/>
              <w:ind w:right="14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0"/>
                <w:szCs w:val="20"/>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20"/>
                <w:szCs w:val="20"/>
                <w:color w:val="auto"/>
              </w:rPr>
              <w:t>(1)</w:t>
            </w:r>
          </w:p>
        </w:tc>
        <w:tc>
          <w:tcPr>
            <w:tcW w:w="120" w:type="dxa"/>
            <w:vAlign w:val="bottom"/>
            <w:tcBorders>
              <w:right w:val="single" w:sz="8" w:color="auto"/>
            </w:tcBorders>
          </w:tcPr>
          <w:p>
            <w:pPr>
              <w:spacing w:after="0"/>
              <w:rPr>
                <w:sz w:val="20"/>
                <w:szCs w:val="20"/>
                <w:color w:val="auto"/>
              </w:rPr>
            </w:pPr>
          </w:p>
        </w:tc>
        <w:tc>
          <w:tcPr>
            <w:tcW w:w="1720" w:type="dxa"/>
            <w:vAlign w:val="bottom"/>
            <w:gridSpan w:val="4"/>
          </w:tcPr>
          <w:p>
            <w:pPr>
              <w:jc w:val="right"/>
              <w:ind w:right="20"/>
              <w:spacing w:after="0"/>
              <w:rPr>
                <w:sz w:val="20"/>
                <w:szCs w:val="20"/>
                <w:color w:val="auto"/>
              </w:rPr>
            </w:pPr>
            <w:r>
              <w:rPr>
                <w:rFonts w:ascii="Arial" w:cs="Arial" w:eastAsia="Arial" w:hAnsi="Arial"/>
                <w:sz w:val="20"/>
                <w:szCs w:val="20"/>
                <w:color w:val="auto"/>
              </w:rPr>
              <w:t>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gridSpan w:val="3"/>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right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680" w:type="dxa"/>
            <w:vAlign w:val="bottom"/>
          </w:tcPr>
          <w:p>
            <w:pPr>
              <w:spacing w:after="0"/>
              <w:rPr>
                <w:sz w:val="20"/>
                <w:szCs w:val="20"/>
                <w:color w:val="auto"/>
              </w:rPr>
            </w:pPr>
            <w:r>
              <w:rPr>
                <w:rFonts w:ascii="Arial" w:cs="Arial" w:eastAsia="Arial" w:hAnsi="Arial"/>
                <w:sz w:val="20"/>
                <w:szCs w:val="20"/>
                <w:color w:val="auto"/>
              </w:rPr>
              <w:t>Effective tax rate . . . . . . . . . .</w:t>
            </w:r>
          </w:p>
        </w:tc>
        <w:tc>
          <w:tcPr>
            <w:tcW w:w="1460" w:type="dxa"/>
            <w:vAlign w:val="bottom"/>
            <w:gridSpan w:val="5"/>
          </w:tcPr>
          <w:p>
            <w:pPr>
              <w:jc w:val="right"/>
              <w:ind w:right="20"/>
              <w:spacing w:after="0"/>
              <w:rPr>
                <w:sz w:val="20"/>
                <w:szCs w:val="20"/>
                <w:color w:val="auto"/>
              </w:rPr>
            </w:pPr>
            <w:r>
              <w:rPr>
                <w:rFonts w:ascii="Arial" w:cs="Arial" w:eastAsia="Arial" w:hAnsi="Arial"/>
                <w:sz w:val="20"/>
                <w:szCs w:val="20"/>
                <w:color w:val="auto"/>
              </w:rPr>
              <w:t>31%</w:t>
            </w:r>
          </w:p>
        </w:tc>
        <w:tc>
          <w:tcPr>
            <w:tcW w:w="1460" w:type="dxa"/>
            <w:vAlign w:val="bottom"/>
            <w:gridSpan w:val="4"/>
          </w:tcPr>
          <w:p>
            <w:pPr>
              <w:jc w:val="right"/>
              <w:spacing w:after="0"/>
              <w:rPr>
                <w:sz w:val="20"/>
                <w:szCs w:val="20"/>
                <w:color w:val="auto"/>
              </w:rPr>
            </w:pPr>
            <w:r>
              <w:rPr>
                <w:rFonts w:ascii="Arial" w:cs="Arial" w:eastAsia="Arial" w:hAnsi="Arial"/>
                <w:sz w:val="20"/>
                <w:szCs w:val="20"/>
                <w:color w:val="auto"/>
              </w:rPr>
              <w:t>(173)%</w:t>
            </w:r>
          </w:p>
        </w:tc>
        <w:tc>
          <w:tcPr>
            <w:tcW w:w="1820" w:type="dxa"/>
            <w:vAlign w:val="bottom"/>
            <w:tcBorders>
              <w:right w:val="single" w:sz="8" w:color="auto"/>
            </w:tcBorders>
            <w:gridSpan w:val="3"/>
          </w:tcPr>
          <w:p>
            <w:pPr>
              <w:jc w:val="right"/>
              <w:ind w:right="4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8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
        </w:trPr>
        <w:tc>
          <w:tcPr>
            <w:tcW w:w="2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320" w:firstLine="300"/>
        <w:spacing w:after="0" w:line="250" w:lineRule="auto"/>
        <w:rPr>
          <w:sz w:val="20"/>
          <w:szCs w:val="20"/>
          <w:color w:val="auto"/>
        </w:rPr>
      </w:pPr>
      <w:r>
        <w:rPr>
          <w:rFonts w:ascii="Arial" w:cs="Arial" w:eastAsia="Arial" w:hAnsi="Arial"/>
          <w:sz w:val="20"/>
          <w:szCs w:val="20"/>
          <w:color w:val="auto"/>
        </w:rPr>
        <w:t>For the year ended December 31, 2022, our effective rate of 31% differed from the U.S. federal statutory tax rate of 21% primarily due to state taxes and an increase in the valuation allowance for a capital loss generated from the sale of Lost Hills. In February 2023, the original tax treatment of the Lost Hills transaction was amended which allowed us to recognize the tax benefit for this loss in the first quarter of 2023. For the year ended December 31, 2021, our effective tax rate of negative 173% differed from the U.S. federal statutory tax rate of 21% primarily due to state taxes and releasing all of our valuation allowance recorded against our net deferred tax assets given our anticipated future earnings trends at that time. A portion of the change in our allowance during 2021 was for the utilization of tax benefits against current year income and the remainder was recognized as a tax benefit reflecting the projected utilization of our deferred tax assets. We did not record an income tax provision (benefit) in the period ended December 31, 2020 or the period ended October 31, 2020.</w:t>
      </w:r>
    </w:p>
    <w:p>
      <w:pPr>
        <w:spacing w:after="0" w:line="205" w:lineRule="exact"/>
        <w:rPr>
          <w:sz w:val="20"/>
          <w:szCs w:val="20"/>
          <w:color w:val="auto"/>
        </w:rPr>
      </w:pPr>
    </w:p>
    <w:p>
      <w:pPr>
        <w:ind w:right="260" w:firstLine="300"/>
        <w:spacing w:after="0" w:line="249" w:lineRule="auto"/>
        <w:rPr>
          <w:sz w:val="20"/>
          <w:szCs w:val="20"/>
          <w:color w:val="auto"/>
        </w:rPr>
      </w:pPr>
      <w:r>
        <w:rPr>
          <w:rFonts w:ascii="Arial" w:cs="Arial" w:eastAsia="Arial" w:hAnsi="Arial"/>
          <w:sz w:val="20"/>
          <w:szCs w:val="20"/>
          <w:color w:val="auto"/>
        </w:rPr>
        <w:t>Total deferred tax assets after valuation allowance were $164 million as of December 31, 2022. Management expects to realize the recorded deferred tax assets primarily through future operating income and reversal of taxable temporary differences. We assess the realizability of our deferred tax assets each period by considering whether it is more-likely-than-not that all or a portion of our deferred tax assets will be realized. At each reporting date new evidence is considered, both positive and negative, including whether sufficient future taxable income will be generated to permit realization of existing deferred tax assets. Changes in assumptions or changes in tax laws and regulations could materially affect the realizability of our deferred tax assets.</w:t>
      </w:r>
    </w:p>
    <w:p>
      <w:pPr>
        <w:sectPr>
          <w:pgSz w:w="11880" w:h="15480" w:orient="portrait"/>
          <w:cols w:equalWidth="0" w:num="1">
            <w:col w:w="9300"/>
          </w:cols>
          <w:pgMar w:left="1380" w:top="1310" w:right="120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72</w:t>
      </w:r>
    </w:p>
    <w:p>
      <w:pPr>
        <w:sectPr>
          <w:pgSz w:w="11880" w:h="15480" w:orient="portrait"/>
          <w:cols w:equalWidth="0" w:num="1">
            <w:col w:w="9300"/>
          </w:cols>
          <w:pgMar w:left="1380" w:top="1310" w:right="1200" w:bottom="655" w:gutter="0" w:footer="0" w:header="0"/>
          <w:type w:val="continuous"/>
        </w:sectPr>
      </w:pPr>
    </w:p>
    <w:bookmarkStart w:id="76" w:name="page77"/>
    <w:bookmarkEnd w:id="76"/>
    <w:p>
      <w:pPr>
        <w:ind w:right="360" w:firstLine="300"/>
        <w:spacing w:after="0" w:line="243" w:lineRule="auto"/>
        <w:rPr>
          <w:sz w:val="20"/>
          <w:szCs w:val="20"/>
          <w:color w:val="auto"/>
        </w:rPr>
      </w:pPr>
      <w:r>
        <w:rPr>
          <w:rFonts w:ascii="Arial" w:cs="Arial" w:eastAsia="Arial" w:hAnsi="Arial"/>
          <w:sz w:val="20"/>
          <w:szCs w:val="20"/>
          <w:color w:val="auto"/>
        </w:rPr>
        <w:t>The amount of deferred tax assets considered realizable is not assured and could be adjusted if estimates change or three-years of cumulative income is no longer present.</w:t>
      </w:r>
    </w:p>
    <w:p>
      <w:pPr>
        <w:spacing w:after="0" w:line="214" w:lineRule="exact"/>
        <w:rPr>
          <w:sz w:val="20"/>
          <w:szCs w:val="20"/>
          <w:color w:val="auto"/>
        </w:rPr>
      </w:pPr>
    </w:p>
    <w:p>
      <w:pPr>
        <w:ind w:right="80" w:firstLine="300"/>
        <w:spacing w:after="0" w:line="248" w:lineRule="auto"/>
        <w:rPr>
          <w:sz w:val="20"/>
          <w:szCs w:val="20"/>
          <w:color w:val="auto"/>
        </w:rPr>
      </w:pPr>
      <w:r>
        <w:rPr>
          <w:rFonts w:ascii="Arial" w:cs="Arial" w:eastAsia="Arial" w:hAnsi="Arial"/>
          <w:sz w:val="20"/>
          <w:szCs w:val="20"/>
          <w:color w:val="auto"/>
        </w:rPr>
        <w:t xml:space="preserve">We expect to continue paying cash income taxes in 2023. Our tax paying status depends on a number of factors, including but not limited to, the amount and type of our capital spend, cost structure and activity levels. For additional information on tax-related items, see information set forth in </w:t>
      </w:r>
      <w:r>
        <w:rPr>
          <w:rFonts w:ascii="Arial" w:cs="Arial" w:eastAsia="Arial" w:hAnsi="Arial"/>
          <w:sz w:val="20"/>
          <w:szCs w:val="20"/>
          <w:i w:val="1"/>
          <w:iCs w:val="1"/>
          <w:color w:val="auto"/>
        </w:rPr>
        <w:t>Part II,</w:t>
      </w:r>
      <w:r>
        <w:rPr>
          <w:rFonts w:ascii="Arial" w:cs="Arial" w:eastAsia="Arial" w:hAnsi="Arial"/>
          <w:sz w:val="20"/>
          <w:szCs w:val="20"/>
          <w:color w:val="auto"/>
        </w:rPr>
        <w:t xml:space="preserve"> </w:t>
      </w:r>
      <w:r>
        <w:rPr>
          <w:rFonts w:ascii="Arial" w:cs="Arial" w:eastAsia="Arial" w:hAnsi="Arial"/>
          <w:sz w:val="20"/>
          <w:szCs w:val="20"/>
          <w:i w:val="1"/>
          <w:iCs w:val="1"/>
          <w:color w:val="auto"/>
        </w:rPr>
        <w:t>Item 8 – Financial Statements and Supplementary Data, Note 9 Income Taxes</w:t>
      </w:r>
      <w:r>
        <w:rPr>
          <w:rFonts w:ascii="Arial" w:cs="Arial" w:eastAsia="Arial" w:hAnsi="Arial"/>
          <w:sz w:val="20"/>
          <w:szCs w:val="20"/>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Statement of Operations Analysis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Results of Oil and Natural Gas Operations</w:t>
      </w:r>
    </w:p>
    <w:p>
      <w:pPr>
        <w:spacing w:after="0" w:line="215" w:lineRule="exact"/>
        <w:rPr>
          <w:sz w:val="20"/>
          <w:szCs w:val="20"/>
          <w:color w:val="auto"/>
        </w:rPr>
      </w:pPr>
    </w:p>
    <w:p>
      <w:pPr>
        <w:ind w:right="40" w:firstLine="300"/>
        <w:spacing w:after="0" w:line="250" w:lineRule="auto"/>
        <w:rPr>
          <w:sz w:val="20"/>
          <w:szCs w:val="20"/>
          <w:color w:val="auto"/>
        </w:rPr>
      </w:pPr>
      <w:r>
        <w:rPr>
          <w:rFonts w:ascii="Arial" w:cs="Arial" w:eastAsia="Arial" w:hAnsi="Arial"/>
          <w:sz w:val="20"/>
          <w:szCs w:val="20"/>
          <w:color w:val="auto"/>
        </w:rPr>
        <w:t>The following table includes key operating data for our oil and natural gas operations, excluding certain corporate expenses, on a per Boe basis for the years ended December 31, 2022 and 2021, the Successor period from November 1, 2020 through December 31, 2020 and the Predecessor period from January 1, 2020 through October 31, 2020. Energy operating costs consist of purchased natural gas used to generate electricity for our operations and steam for our steamfloods, purchased electricity and internal costs to generate electricity used in our operations. Gas processing costs include costs associated with compression, maintenance and other activities needed to run our gas processing facilities at Elk Hills. Non-energy operating costs equal total operating costs less energy operating costs and gas processing costs. Purchased natural gas used to generate steam in our steamfloods was reclassified from non-energy operating costs to energy operating costs beginning in the third quarter of 2022. All prior periods have been updated to conform to this presentation.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7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20"/>
                <w:szCs w:val="20"/>
                <w:b w:val="1"/>
                <w:bCs w:val="1"/>
                <w:color w:val="auto"/>
              </w:rPr>
              <w:t>Successor</w:t>
            </w:r>
          </w:p>
        </w:tc>
        <w:tc>
          <w:tcPr>
            <w:tcW w:w="11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80" w:type="dxa"/>
            <w:vAlign w:val="bottom"/>
          </w:tcPr>
          <w:p>
            <w:pPr>
              <w:spacing w:after="0"/>
              <w:rPr>
                <w:sz w:val="22"/>
                <w:szCs w:val="22"/>
                <w:color w:val="auto"/>
              </w:rPr>
            </w:pPr>
          </w:p>
        </w:tc>
        <w:tc>
          <w:tcPr>
            <w:tcW w:w="16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b w:val="1"/>
                <w:bCs w:val="1"/>
                <w:color w:val="auto"/>
              </w:rPr>
              <w:t>Predecessor</w:t>
            </w:r>
          </w:p>
        </w:tc>
        <w:tc>
          <w:tcPr>
            <w:tcW w:w="0" w:type="dxa"/>
            <w:vAlign w:val="bottom"/>
          </w:tcPr>
          <w:p>
            <w:pPr>
              <w:spacing w:after="0"/>
              <w:rPr>
                <w:sz w:val="1"/>
                <w:szCs w:val="1"/>
                <w:color w:val="auto"/>
              </w:rPr>
            </w:pPr>
          </w:p>
        </w:tc>
      </w:tr>
      <w:tr>
        <w:trPr>
          <w:trHeight w:val="200"/>
        </w:trPr>
        <w:tc>
          <w:tcPr>
            <w:tcW w:w="2720" w:type="dxa"/>
            <w:vAlign w:val="bottom"/>
          </w:tcPr>
          <w:p>
            <w:pPr>
              <w:spacing w:after="0"/>
              <w:rPr>
                <w:sz w:val="17"/>
                <w:szCs w:val="17"/>
                <w:color w:val="auto"/>
              </w:rPr>
            </w:pPr>
          </w:p>
        </w:tc>
        <w:tc>
          <w:tcPr>
            <w:tcW w:w="1300" w:type="dxa"/>
            <w:vAlign w:val="bottom"/>
            <w:gridSpan w:val="2"/>
          </w:tcPr>
          <w:p>
            <w:pPr>
              <w:ind w:left="120"/>
              <w:spacing w:after="0" w:line="200" w:lineRule="exact"/>
              <w:rPr>
                <w:sz w:val="20"/>
                <w:szCs w:val="20"/>
                <w:color w:val="auto"/>
              </w:rPr>
            </w:pPr>
            <w:r>
              <w:rPr>
                <w:rFonts w:ascii="Arial" w:cs="Arial" w:eastAsia="Arial" w:hAnsi="Arial"/>
                <w:sz w:val="20"/>
                <w:szCs w:val="20"/>
                <w:b w:val="1"/>
                <w:bCs w:val="1"/>
                <w:color w:val="auto"/>
              </w:rPr>
              <w:t>Year ended</w:t>
            </w:r>
          </w:p>
        </w:tc>
        <w:tc>
          <w:tcPr>
            <w:tcW w:w="100" w:type="dxa"/>
            <w:vAlign w:val="bottom"/>
          </w:tcPr>
          <w:p>
            <w:pPr>
              <w:spacing w:after="0"/>
              <w:rPr>
                <w:sz w:val="17"/>
                <w:szCs w:val="17"/>
                <w:color w:val="auto"/>
              </w:rPr>
            </w:pPr>
          </w:p>
        </w:tc>
        <w:tc>
          <w:tcPr>
            <w:tcW w:w="1300" w:type="dxa"/>
            <w:vAlign w:val="bottom"/>
            <w:gridSpan w:val="2"/>
          </w:tcPr>
          <w:p>
            <w:pPr>
              <w:ind w:left="120"/>
              <w:spacing w:after="0" w:line="200" w:lineRule="exact"/>
              <w:rPr>
                <w:sz w:val="20"/>
                <w:szCs w:val="20"/>
                <w:color w:val="auto"/>
              </w:rPr>
            </w:pPr>
            <w:r>
              <w:rPr>
                <w:rFonts w:ascii="Arial" w:cs="Arial" w:eastAsia="Arial" w:hAnsi="Arial"/>
                <w:sz w:val="20"/>
                <w:szCs w:val="20"/>
                <w:b w:val="1"/>
                <w:bCs w:val="1"/>
                <w:color w:val="auto"/>
              </w:rPr>
              <w:t>Year ended</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720" w:type="dxa"/>
            <w:vAlign w:val="bottom"/>
          </w:tcPr>
          <w:p>
            <w:pPr>
              <w:spacing w:after="0"/>
              <w:rPr>
                <w:sz w:val="17"/>
                <w:szCs w:val="17"/>
                <w:color w:val="auto"/>
              </w:rPr>
            </w:pPr>
          </w:p>
        </w:tc>
        <w:tc>
          <w:tcPr>
            <w:tcW w:w="4680" w:type="dxa"/>
            <w:vAlign w:val="bottom"/>
            <w:gridSpan w:val="9"/>
          </w:tcPr>
          <w:p>
            <w:pPr>
              <w:spacing w:after="0" w:line="200" w:lineRule="exact"/>
              <w:rPr>
                <w:sz w:val="20"/>
                <w:szCs w:val="20"/>
                <w:color w:val="auto"/>
              </w:rPr>
            </w:pPr>
            <w:r>
              <w:rPr>
                <w:rFonts w:ascii="Arial" w:cs="Arial" w:eastAsia="Arial" w:hAnsi="Arial"/>
                <w:sz w:val="14"/>
                <w:szCs w:val="14"/>
                <w:b w:val="1"/>
                <w:bCs w:val="1"/>
                <w:color w:val="auto"/>
              </w:rPr>
              <w:t xml:space="preserve">December 31, December 31, </w:t>
            </w:r>
            <w:r>
              <w:rPr>
                <w:rFonts w:ascii="Arial" w:cs="Arial" w:eastAsia="Arial" w:hAnsi="Arial"/>
                <w:sz w:val="23"/>
                <w:szCs w:val="23"/>
                <w:b w:val="1"/>
                <w:bCs w:val="1"/>
                <w:color w:val="auto"/>
                <w:vertAlign w:val="superscript"/>
              </w:rPr>
              <w:t>November 1, 2020 -</w:t>
            </w: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2"/>
          </w:tcPr>
          <w:p>
            <w:pPr>
              <w:jc w:val="right"/>
              <w:spacing w:after="0" w:line="200" w:lineRule="exact"/>
              <w:rPr>
                <w:sz w:val="20"/>
                <w:szCs w:val="20"/>
                <w:color w:val="auto"/>
              </w:rPr>
            </w:pPr>
            <w:r>
              <w:rPr>
                <w:rFonts w:ascii="Arial" w:cs="Arial" w:eastAsia="Arial" w:hAnsi="Arial"/>
                <w:sz w:val="20"/>
                <w:szCs w:val="20"/>
                <w:b w:val="1"/>
                <w:bCs w:val="1"/>
                <w:color w:val="auto"/>
                <w:w w:val="99"/>
              </w:rPr>
              <w:t>January 1, 2020 -</w:t>
            </w:r>
          </w:p>
        </w:tc>
        <w:tc>
          <w:tcPr>
            <w:tcW w:w="0" w:type="dxa"/>
            <w:vAlign w:val="bottom"/>
          </w:tcPr>
          <w:p>
            <w:pPr>
              <w:spacing w:after="0"/>
              <w:rPr>
                <w:sz w:val="1"/>
                <w:szCs w:val="1"/>
                <w:color w:val="auto"/>
              </w:rPr>
            </w:pPr>
          </w:p>
        </w:tc>
      </w:tr>
      <w:tr>
        <w:trPr>
          <w:trHeight w:val="60"/>
        </w:trPr>
        <w:tc>
          <w:tcPr>
            <w:tcW w:w="272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vMerge w:val="restart"/>
          </w:tcPr>
          <w:p>
            <w:pPr>
              <w:spacing w:after="0"/>
              <w:rPr>
                <w:sz w:val="5"/>
                <w:szCs w:val="5"/>
                <w:color w:val="auto"/>
              </w:rPr>
            </w:pPr>
          </w:p>
        </w:tc>
        <w:tc>
          <w:tcPr>
            <w:tcW w:w="1880" w:type="dxa"/>
            <w:vAlign w:val="bottom"/>
            <w:gridSpan w:val="3"/>
            <w:vMerge w:val="restart"/>
          </w:tcPr>
          <w:p>
            <w:pPr>
              <w:ind w:left="20"/>
              <w:spacing w:after="0"/>
              <w:rPr>
                <w:sz w:val="20"/>
                <w:szCs w:val="20"/>
                <w:color w:val="auto"/>
              </w:rPr>
            </w:pPr>
            <w:r>
              <w:rPr>
                <w:rFonts w:ascii="Arial" w:cs="Arial" w:eastAsia="Arial" w:hAnsi="Arial"/>
                <w:sz w:val="20"/>
                <w:szCs w:val="20"/>
                <w:b w:val="1"/>
                <w:bCs w:val="1"/>
                <w:color w:val="auto"/>
              </w:rPr>
              <w:t>December 31, 2020</w:t>
            </w:r>
          </w:p>
        </w:tc>
        <w:tc>
          <w:tcPr>
            <w:tcW w:w="20" w:type="dxa"/>
            <w:vAlign w:val="bottom"/>
            <w:tcBorders>
              <w:bottom w:val="single" w:sz="8" w:color="auto"/>
            </w:tcBorders>
            <w:shd w:val="clear" w:color="auto" w:fill="000000"/>
          </w:tcPr>
          <w:p>
            <w:pPr>
              <w:spacing w:after="0"/>
              <w:rPr>
                <w:sz w:val="5"/>
                <w:szCs w:val="5"/>
                <w:color w:val="auto"/>
              </w:rPr>
            </w:pPr>
          </w:p>
        </w:tc>
        <w:tc>
          <w:tcPr>
            <w:tcW w:w="80" w:type="dxa"/>
            <w:vAlign w:val="bottom"/>
          </w:tcPr>
          <w:p>
            <w:pPr>
              <w:spacing w:after="0"/>
              <w:rPr>
                <w:sz w:val="5"/>
                <w:szCs w:val="5"/>
                <w:color w:val="auto"/>
              </w:rPr>
            </w:pPr>
          </w:p>
        </w:tc>
        <w:tc>
          <w:tcPr>
            <w:tcW w:w="162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auto"/>
                <w:w w:val="99"/>
              </w:rPr>
              <w:t>October 31, 2020</w:t>
            </w:r>
          </w:p>
        </w:tc>
        <w:tc>
          <w:tcPr>
            <w:tcW w:w="0" w:type="dxa"/>
            <w:vAlign w:val="bottom"/>
          </w:tcPr>
          <w:p>
            <w:pPr>
              <w:spacing w:after="0"/>
              <w:rPr>
                <w:sz w:val="1"/>
                <w:szCs w:val="1"/>
                <w:color w:val="auto"/>
              </w:rPr>
            </w:pPr>
          </w:p>
        </w:tc>
      </w:tr>
      <w:tr>
        <w:trPr>
          <w:trHeight w:val="150"/>
        </w:trPr>
        <w:tc>
          <w:tcPr>
            <w:tcW w:w="2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vMerge w:val="restart"/>
          </w:tcPr>
          <w:p>
            <w:pPr>
              <w:jc w:val="right"/>
              <w:ind w:right="320"/>
              <w:spacing w:after="0"/>
              <w:rPr>
                <w:sz w:val="20"/>
                <w:szCs w:val="20"/>
                <w:color w:val="auto"/>
              </w:rPr>
            </w:pPr>
            <w:r>
              <w:rPr>
                <w:rFonts w:ascii="Arial" w:cs="Arial" w:eastAsia="Arial" w:hAnsi="Arial"/>
                <w:sz w:val="20"/>
                <w:szCs w:val="20"/>
                <w:b w:val="1"/>
                <w:bCs w:val="1"/>
                <w:color w:val="auto"/>
              </w:rPr>
              <w:t>2022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vMerge w:val="restart"/>
          </w:tcPr>
          <w:p>
            <w:pPr>
              <w:jc w:val="right"/>
              <w:ind w:right="320"/>
              <w:spacing w:after="0"/>
              <w:rPr>
                <w:sz w:val="20"/>
                <w:szCs w:val="20"/>
                <w:color w:val="auto"/>
              </w:rPr>
            </w:pPr>
            <w:r>
              <w:rPr>
                <w:rFonts w:ascii="Arial" w:cs="Arial" w:eastAsia="Arial" w:hAnsi="Arial"/>
                <w:sz w:val="20"/>
                <w:szCs w:val="20"/>
                <w:b w:val="1"/>
                <w:bCs w:val="1"/>
                <w:color w:val="auto"/>
              </w:rPr>
              <w:t>2021</w:t>
            </w:r>
          </w:p>
        </w:tc>
        <w:tc>
          <w:tcPr>
            <w:tcW w:w="100" w:type="dxa"/>
            <w:vAlign w:val="bottom"/>
            <w:vMerge w:val="continue"/>
          </w:tcPr>
          <w:p>
            <w:pPr>
              <w:spacing w:after="0"/>
              <w:rPr>
                <w:sz w:val="13"/>
                <w:szCs w:val="13"/>
                <w:color w:val="auto"/>
              </w:rPr>
            </w:pPr>
          </w:p>
        </w:tc>
        <w:tc>
          <w:tcPr>
            <w:tcW w:w="1880" w:type="dxa"/>
            <w:vAlign w:val="bottom"/>
            <w:gridSpan w:val="3"/>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7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2720" w:type="dxa"/>
            <w:vAlign w:val="bottom"/>
          </w:tcPr>
          <w:p>
            <w:pPr>
              <w:spacing w:after="0"/>
              <w:rPr>
                <w:sz w:val="20"/>
                <w:szCs w:val="20"/>
                <w:color w:val="auto"/>
              </w:rPr>
            </w:pPr>
            <w:r>
              <w:rPr>
                <w:rFonts w:ascii="Arial" w:cs="Arial" w:eastAsia="Arial" w:hAnsi="Arial"/>
                <w:sz w:val="16"/>
                <w:szCs w:val="16"/>
                <w:color w:val="auto"/>
              </w:rPr>
              <w:t>($ per Boe)</w:t>
            </w: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20" w:type="dxa"/>
            <w:vAlign w:val="bottom"/>
          </w:tcPr>
          <w:p>
            <w:pPr>
              <w:spacing w:after="0"/>
              <w:rPr>
                <w:sz w:val="20"/>
                <w:szCs w:val="20"/>
                <w:color w:val="auto"/>
              </w:rPr>
            </w:pPr>
            <w:r>
              <w:rPr>
                <w:rFonts w:ascii="Arial" w:cs="Arial" w:eastAsia="Arial" w:hAnsi="Arial"/>
                <w:sz w:val="20"/>
                <w:szCs w:val="20"/>
                <w:color w:val="auto"/>
              </w:rPr>
              <w:t>Energy operating costs . . . . .</w:t>
            </w:r>
          </w:p>
        </w:tc>
        <w:tc>
          <w:tcPr>
            <w:tcW w:w="320" w:type="dxa"/>
            <w:vAlign w:val="bottom"/>
          </w:tcPr>
          <w:p>
            <w:pPr>
              <w:ind w:left="10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9.76</w:t>
            </w:r>
          </w:p>
        </w:tc>
        <w:tc>
          <w:tcPr>
            <w:tcW w:w="420" w:type="dxa"/>
            <w:vAlign w:val="bottom"/>
            <w:gridSpan w:val="2"/>
          </w:tcPr>
          <w:p>
            <w:pPr>
              <w:ind w:left="20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7.01</w:t>
            </w:r>
          </w:p>
        </w:tc>
        <w:tc>
          <w:tcPr>
            <w:tcW w:w="82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260"/>
              <w:spacing w:after="0"/>
              <w:rPr>
                <w:sz w:val="20"/>
                <w:szCs w:val="20"/>
                <w:color w:val="auto"/>
              </w:rPr>
            </w:pPr>
            <w:r>
              <w:rPr>
                <w:rFonts w:ascii="Arial" w:cs="Arial" w:eastAsia="Arial" w:hAnsi="Arial"/>
                <w:sz w:val="20"/>
                <w:szCs w:val="20"/>
                <w:color w:val="auto"/>
              </w:rPr>
              <w:t>6.03</w:t>
            </w:r>
          </w:p>
        </w:tc>
        <w:tc>
          <w:tcPr>
            <w:tcW w:w="6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160"/>
              <w:spacing w:after="0"/>
              <w:rPr>
                <w:sz w:val="20"/>
                <w:szCs w:val="20"/>
                <w:color w:val="auto"/>
              </w:rPr>
            </w:pPr>
            <w:r>
              <w:rPr>
                <w:rFonts w:ascii="Arial" w:cs="Arial" w:eastAsia="Arial" w:hAnsi="Arial"/>
                <w:sz w:val="20"/>
                <w:szCs w:val="20"/>
                <w:color w:val="auto"/>
              </w:rPr>
              <w:t>4.71</w:t>
            </w:r>
          </w:p>
        </w:tc>
        <w:tc>
          <w:tcPr>
            <w:tcW w:w="0" w:type="dxa"/>
            <w:vAlign w:val="bottom"/>
          </w:tcPr>
          <w:p>
            <w:pPr>
              <w:spacing w:after="0"/>
              <w:rPr>
                <w:sz w:val="1"/>
                <w:szCs w:val="1"/>
                <w:color w:val="auto"/>
              </w:rPr>
            </w:pPr>
          </w:p>
        </w:tc>
      </w:tr>
      <w:tr>
        <w:trPr>
          <w:trHeight w:val="240"/>
        </w:trPr>
        <w:tc>
          <w:tcPr>
            <w:tcW w:w="2720" w:type="dxa"/>
            <w:vAlign w:val="bottom"/>
          </w:tcPr>
          <w:p>
            <w:pPr>
              <w:spacing w:after="0"/>
              <w:rPr>
                <w:sz w:val="20"/>
                <w:szCs w:val="20"/>
                <w:color w:val="auto"/>
              </w:rPr>
            </w:pPr>
            <w:r>
              <w:rPr>
                <w:rFonts w:ascii="Arial" w:cs="Arial" w:eastAsia="Arial" w:hAnsi="Arial"/>
                <w:sz w:val="20"/>
                <w:szCs w:val="20"/>
                <w:color w:val="auto"/>
              </w:rPr>
              <w:t>Gas processing costs  . . . . . .</w:t>
            </w:r>
          </w:p>
        </w:tc>
        <w:tc>
          <w:tcPr>
            <w:tcW w:w="320" w:type="dxa"/>
            <w:vAlign w:val="bottom"/>
          </w:tcPr>
          <w:p>
            <w:pPr>
              <w:ind w:left="10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0.52</w:t>
            </w:r>
          </w:p>
        </w:tc>
        <w:tc>
          <w:tcPr>
            <w:tcW w:w="420" w:type="dxa"/>
            <w:vAlign w:val="bottom"/>
            <w:gridSpan w:val="2"/>
          </w:tcPr>
          <w:p>
            <w:pPr>
              <w:ind w:left="20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0.54</w:t>
            </w:r>
          </w:p>
        </w:tc>
        <w:tc>
          <w:tcPr>
            <w:tcW w:w="82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260"/>
              <w:spacing w:after="0"/>
              <w:rPr>
                <w:sz w:val="20"/>
                <w:szCs w:val="20"/>
                <w:color w:val="auto"/>
              </w:rPr>
            </w:pPr>
            <w:r>
              <w:rPr>
                <w:rFonts w:ascii="Arial" w:cs="Arial" w:eastAsia="Arial" w:hAnsi="Arial"/>
                <w:sz w:val="20"/>
                <w:szCs w:val="20"/>
                <w:color w:val="auto"/>
              </w:rPr>
              <w:t>0.55</w:t>
            </w:r>
          </w:p>
        </w:tc>
        <w:tc>
          <w:tcPr>
            <w:tcW w:w="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160"/>
              <w:spacing w:after="0"/>
              <w:rPr>
                <w:sz w:val="20"/>
                <w:szCs w:val="20"/>
                <w:color w:val="auto"/>
              </w:rPr>
            </w:pPr>
            <w:r>
              <w:rPr>
                <w:rFonts w:ascii="Arial" w:cs="Arial" w:eastAsia="Arial" w:hAnsi="Arial"/>
                <w:sz w:val="20"/>
                <w:szCs w:val="20"/>
                <w:color w:val="auto"/>
              </w:rPr>
              <w:t>0.55</w:t>
            </w:r>
          </w:p>
        </w:tc>
        <w:tc>
          <w:tcPr>
            <w:tcW w:w="0" w:type="dxa"/>
            <w:vAlign w:val="bottom"/>
          </w:tcPr>
          <w:p>
            <w:pPr>
              <w:spacing w:after="0"/>
              <w:rPr>
                <w:sz w:val="1"/>
                <w:szCs w:val="1"/>
                <w:color w:val="auto"/>
              </w:rPr>
            </w:pPr>
          </w:p>
        </w:tc>
      </w:tr>
      <w:tr>
        <w:trPr>
          <w:trHeight w:val="240"/>
        </w:trPr>
        <w:tc>
          <w:tcPr>
            <w:tcW w:w="2720" w:type="dxa"/>
            <w:vAlign w:val="bottom"/>
          </w:tcPr>
          <w:p>
            <w:pPr>
              <w:spacing w:after="0"/>
              <w:rPr>
                <w:sz w:val="20"/>
                <w:szCs w:val="20"/>
                <w:color w:val="auto"/>
              </w:rPr>
            </w:pPr>
            <w:r>
              <w:rPr>
                <w:rFonts w:ascii="Arial" w:cs="Arial" w:eastAsia="Arial" w:hAnsi="Arial"/>
                <w:sz w:val="20"/>
                <w:szCs w:val="20"/>
                <w:color w:val="auto"/>
              </w:rPr>
              <w:t>Non-energy operating</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720" w:type="dxa"/>
            <w:vAlign w:val="bottom"/>
          </w:tcPr>
          <w:p>
            <w:pPr>
              <w:spacing w:after="0"/>
              <w:rPr>
                <w:sz w:val="20"/>
                <w:szCs w:val="20"/>
                <w:color w:val="auto"/>
              </w:rPr>
            </w:pPr>
            <w:r>
              <w:rPr>
                <w:rFonts w:ascii="Arial" w:cs="Arial" w:eastAsia="Arial" w:hAnsi="Arial"/>
                <w:sz w:val="20"/>
                <w:szCs w:val="20"/>
                <w:color w:val="auto"/>
              </w:rPr>
              <w:t>costs . . . . . . . . . . . . . . . . . . . .</w:t>
            </w:r>
          </w:p>
        </w:tc>
        <w:tc>
          <w:tcPr>
            <w:tcW w:w="320" w:type="dxa"/>
            <w:vAlign w:val="bottom"/>
          </w:tcPr>
          <w:p>
            <w:pPr>
              <w:ind w:left="10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13.47</w:t>
            </w:r>
          </w:p>
        </w:tc>
        <w:tc>
          <w:tcPr>
            <w:tcW w:w="420" w:type="dxa"/>
            <w:vAlign w:val="bottom"/>
            <w:gridSpan w:val="2"/>
          </w:tcPr>
          <w:p>
            <w:pPr>
              <w:ind w:left="20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11.84</w:t>
            </w:r>
          </w:p>
        </w:tc>
        <w:tc>
          <w:tcPr>
            <w:tcW w:w="82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260"/>
              <w:spacing w:after="0"/>
              <w:rPr>
                <w:sz w:val="20"/>
                <w:szCs w:val="20"/>
                <w:color w:val="auto"/>
              </w:rPr>
            </w:pPr>
            <w:r>
              <w:rPr>
                <w:rFonts w:ascii="Arial" w:cs="Arial" w:eastAsia="Arial" w:hAnsi="Arial"/>
                <w:sz w:val="20"/>
                <w:szCs w:val="20"/>
                <w:color w:val="auto"/>
              </w:rPr>
              <w:t>11.61</w:t>
            </w:r>
          </w:p>
        </w:tc>
        <w:tc>
          <w:tcPr>
            <w:tcW w:w="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160"/>
              <w:spacing w:after="0"/>
              <w:rPr>
                <w:sz w:val="20"/>
                <w:szCs w:val="20"/>
                <w:color w:val="auto"/>
              </w:rPr>
            </w:pPr>
            <w:r>
              <w:rPr>
                <w:rFonts w:ascii="Arial" w:cs="Arial" w:eastAsia="Arial" w:hAnsi="Arial"/>
                <w:sz w:val="20"/>
                <w:szCs w:val="20"/>
                <w:color w:val="auto"/>
              </w:rPr>
              <w:t>9.69</w:t>
            </w:r>
          </w:p>
        </w:tc>
        <w:tc>
          <w:tcPr>
            <w:tcW w:w="0" w:type="dxa"/>
            <w:vAlign w:val="bottom"/>
          </w:tcPr>
          <w:p>
            <w:pPr>
              <w:spacing w:after="0"/>
              <w:rPr>
                <w:sz w:val="1"/>
                <w:szCs w:val="1"/>
                <w:color w:val="auto"/>
              </w:rPr>
            </w:pPr>
          </w:p>
        </w:tc>
      </w:tr>
      <w:tr>
        <w:trPr>
          <w:trHeight w:val="28"/>
        </w:trPr>
        <w:tc>
          <w:tcPr>
            <w:tcW w:w="2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720" w:type="dxa"/>
            <w:vAlign w:val="bottom"/>
          </w:tcPr>
          <w:p>
            <w:pPr>
              <w:ind w:left="400"/>
              <w:spacing w:after="0"/>
              <w:rPr>
                <w:sz w:val="20"/>
                <w:szCs w:val="20"/>
                <w:color w:val="auto"/>
              </w:rPr>
            </w:pPr>
            <w:r>
              <w:rPr>
                <w:rFonts w:ascii="Arial" w:cs="Arial" w:eastAsia="Arial" w:hAnsi="Arial"/>
                <w:sz w:val="20"/>
                <w:szCs w:val="20"/>
                <w:color w:val="auto"/>
              </w:rPr>
              <w:t>Operating costs  . . . . . . .</w:t>
            </w:r>
          </w:p>
        </w:tc>
        <w:tc>
          <w:tcPr>
            <w:tcW w:w="320" w:type="dxa"/>
            <w:vAlign w:val="bottom"/>
          </w:tcPr>
          <w:p>
            <w:pPr>
              <w:ind w:left="10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23.75</w:t>
            </w:r>
          </w:p>
        </w:tc>
        <w:tc>
          <w:tcPr>
            <w:tcW w:w="420" w:type="dxa"/>
            <w:vAlign w:val="bottom"/>
            <w:gridSpan w:val="2"/>
          </w:tcPr>
          <w:p>
            <w:pPr>
              <w:ind w:left="20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19.39</w:t>
            </w:r>
          </w:p>
        </w:tc>
        <w:tc>
          <w:tcPr>
            <w:tcW w:w="82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260"/>
              <w:spacing w:after="0"/>
              <w:rPr>
                <w:sz w:val="20"/>
                <w:szCs w:val="20"/>
                <w:color w:val="auto"/>
              </w:rPr>
            </w:pPr>
            <w:r>
              <w:rPr>
                <w:rFonts w:ascii="Arial" w:cs="Arial" w:eastAsia="Arial" w:hAnsi="Arial"/>
                <w:sz w:val="20"/>
                <w:szCs w:val="20"/>
                <w:color w:val="auto"/>
              </w:rPr>
              <w:t>18.19</w:t>
            </w:r>
          </w:p>
        </w:tc>
        <w:tc>
          <w:tcPr>
            <w:tcW w:w="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160"/>
              <w:spacing w:after="0"/>
              <w:rPr>
                <w:sz w:val="20"/>
                <w:szCs w:val="20"/>
                <w:color w:val="auto"/>
              </w:rPr>
            </w:pPr>
            <w:r>
              <w:rPr>
                <w:rFonts w:ascii="Arial" w:cs="Arial" w:eastAsia="Arial" w:hAnsi="Arial"/>
                <w:sz w:val="20"/>
                <w:szCs w:val="20"/>
                <w:color w:val="auto"/>
              </w:rPr>
              <w:t>14.95</w:t>
            </w:r>
          </w:p>
        </w:tc>
        <w:tc>
          <w:tcPr>
            <w:tcW w:w="0" w:type="dxa"/>
            <w:vAlign w:val="bottom"/>
          </w:tcPr>
          <w:p>
            <w:pPr>
              <w:spacing w:after="0"/>
              <w:rPr>
                <w:sz w:val="1"/>
                <w:szCs w:val="1"/>
                <w:color w:val="auto"/>
              </w:rPr>
            </w:pPr>
          </w:p>
        </w:tc>
      </w:tr>
      <w:tr>
        <w:trPr>
          <w:trHeight w:val="28"/>
        </w:trPr>
        <w:tc>
          <w:tcPr>
            <w:tcW w:w="2720" w:type="dxa"/>
            <w:vAlign w:val="bottom"/>
            <w:vMerge w:val="restart"/>
          </w:tcPr>
          <w:p>
            <w:pPr>
              <w:spacing w:after="0"/>
              <w:rPr>
                <w:sz w:val="20"/>
                <w:szCs w:val="20"/>
                <w:color w:val="auto"/>
              </w:rPr>
            </w:pPr>
            <w:r>
              <w:rPr>
                <w:rFonts w:ascii="Arial" w:cs="Arial" w:eastAsia="Arial" w:hAnsi="Arial"/>
                <w:sz w:val="20"/>
                <w:szCs w:val="20"/>
                <w:color w:val="auto"/>
              </w:rPr>
              <w:t>Field general and</w:t>
            </w: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720" w:type="dxa"/>
            <w:vAlign w:val="bottom"/>
            <w:vMerge w:val="continue"/>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2720" w:type="dxa"/>
            <w:vAlign w:val="bottom"/>
          </w:tcPr>
          <w:p>
            <w:pPr>
              <w:spacing w:after="0" w:line="255" w:lineRule="exact"/>
              <w:rPr>
                <w:sz w:val="20"/>
                <w:szCs w:val="20"/>
                <w:color w:val="auto"/>
              </w:rPr>
            </w:pPr>
            <w:r>
              <w:rPr>
                <w:rFonts w:ascii="Arial" w:cs="Arial" w:eastAsia="Arial" w:hAnsi="Arial"/>
                <w:sz w:val="20"/>
                <w:szCs w:val="20"/>
                <w:color w:val="auto"/>
              </w:rPr>
              <w:t>administrative expenses</w:t>
            </w:r>
            <w:r>
              <w:rPr>
                <w:rFonts w:ascii="Arial" w:cs="Arial" w:eastAsia="Arial" w:hAnsi="Arial"/>
                <w:sz w:val="26"/>
                <w:szCs w:val="26"/>
                <w:color w:val="auto"/>
                <w:vertAlign w:val="superscript"/>
              </w:rPr>
              <w:t>(a)</w:t>
            </w:r>
            <w:r>
              <w:rPr>
                <w:rFonts w:ascii="Arial" w:cs="Arial" w:eastAsia="Arial" w:hAnsi="Arial"/>
                <w:sz w:val="20"/>
                <w:szCs w:val="20"/>
                <w:color w:val="auto"/>
              </w:rPr>
              <w:t xml:space="preserve"> . . .</w:t>
            </w:r>
          </w:p>
        </w:tc>
        <w:tc>
          <w:tcPr>
            <w:tcW w:w="320" w:type="dxa"/>
            <w:vAlign w:val="bottom"/>
          </w:tcPr>
          <w:p>
            <w:pPr>
              <w:ind w:left="10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1.09</w:t>
            </w:r>
          </w:p>
        </w:tc>
        <w:tc>
          <w:tcPr>
            <w:tcW w:w="420" w:type="dxa"/>
            <w:vAlign w:val="bottom"/>
            <w:gridSpan w:val="2"/>
          </w:tcPr>
          <w:p>
            <w:pPr>
              <w:ind w:left="20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0.94</w:t>
            </w:r>
          </w:p>
        </w:tc>
        <w:tc>
          <w:tcPr>
            <w:tcW w:w="82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260"/>
              <w:spacing w:after="0"/>
              <w:rPr>
                <w:sz w:val="20"/>
                <w:szCs w:val="20"/>
                <w:color w:val="auto"/>
              </w:rPr>
            </w:pPr>
            <w:r>
              <w:rPr>
                <w:rFonts w:ascii="Arial" w:cs="Arial" w:eastAsia="Arial" w:hAnsi="Arial"/>
                <w:sz w:val="20"/>
                <w:szCs w:val="20"/>
                <w:color w:val="auto"/>
              </w:rPr>
              <w:t>1.12</w:t>
            </w:r>
          </w:p>
        </w:tc>
        <w:tc>
          <w:tcPr>
            <w:tcW w:w="6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160"/>
              <w:spacing w:after="0"/>
              <w:rPr>
                <w:sz w:val="20"/>
                <w:szCs w:val="20"/>
                <w:color w:val="auto"/>
              </w:rPr>
            </w:pPr>
            <w:r>
              <w:rPr>
                <w:rFonts w:ascii="Arial" w:cs="Arial" w:eastAsia="Arial" w:hAnsi="Arial"/>
                <w:sz w:val="20"/>
                <w:szCs w:val="20"/>
                <w:color w:val="auto"/>
              </w:rPr>
              <w:t>1.11</w:t>
            </w:r>
          </w:p>
        </w:tc>
        <w:tc>
          <w:tcPr>
            <w:tcW w:w="0" w:type="dxa"/>
            <w:vAlign w:val="bottom"/>
          </w:tcPr>
          <w:p>
            <w:pPr>
              <w:spacing w:after="0"/>
              <w:rPr>
                <w:sz w:val="1"/>
                <w:szCs w:val="1"/>
                <w:color w:val="auto"/>
              </w:rPr>
            </w:pPr>
          </w:p>
        </w:tc>
      </w:tr>
      <w:tr>
        <w:trPr>
          <w:trHeight w:val="226"/>
        </w:trPr>
        <w:tc>
          <w:tcPr>
            <w:tcW w:w="2720" w:type="dxa"/>
            <w:vAlign w:val="bottom"/>
          </w:tcPr>
          <w:p>
            <w:pPr>
              <w:spacing w:after="0" w:line="226" w:lineRule="exact"/>
              <w:rPr>
                <w:sz w:val="20"/>
                <w:szCs w:val="20"/>
                <w:color w:val="auto"/>
              </w:rPr>
            </w:pPr>
            <w:r>
              <w:rPr>
                <w:rFonts w:ascii="Arial" w:cs="Arial" w:eastAsia="Arial" w:hAnsi="Arial"/>
                <w:sz w:val="20"/>
                <w:szCs w:val="20"/>
                <w:color w:val="auto"/>
              </w:rPr>
              <w:t>Field depreciation, depletion</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720" w:type="dxa"/>
            <w:vAlign w:val="bottom"/>
          </w:tcPr>
          <w:p>
            <w:pPr>
              <w:spacing w:after="0" w:line="255" w:lineRule="exact"/>
              <w:rPr>
                <w:sz w:val="20"/>
                <w:szCs w:val="20"/>
                <w:color w:val="auto"/>
              </w:rPr>
            </w:pPr>
            <w:r>
              <w:rPr>
                <w:rFonts w:ascii="Arial" w:cs="Arial" w:eastAsia="Arial" w:hAnsi="Arial"/>
                <w:sz w:val="20"/>
                <w:szCs w:val="20"/>
                <w:color w:val="auto"/>
                <w:w w:val="98"/>
              </w:rPr>
              <w:t>and amortization</w:t>
            </w:r>
            <w:r>
              <w:rPr>
                <w:rFonts w:ascii="Arial" w:cs="Arial" w:eastAsia="Arial" w:hAnsi="Arial"/>
                <w:sz w:val="26"/>
                <w:szCs w:val="26"/>
                <w:color w:val="auto"/>
                <w:w w:val="98"/>
                <w:vertAlign w:val="superscript"/>
              </w:rPr>
              <w:t>(b)</w:t>
            </w:r>
            <w:r>
              <w:rPr>
                <w:rFonts w:ascii="Arial" w:cs="Arial" w:eastAsia="Arial" w:hAnsi="Arial"/>
                <w:sz w:val="20"/>
                <w:szCs w:val="20"/>
                <w:color w:val="auto"/>
                <w:w w:val="98"/>
              </w:rPr>
              <w:t xml:space="preserve">  . . . . . . . . .</w:t>
            </w:r>
          </w:p>
        </w:tc>
        <w:tc>
          <w:tcPr>
            <w:tcW w:w="320" w:type="dxa"/>
            <w:vAlign w:val="bottom"/>
          </w:tcPr>
          <w:p>
            <w:pPr>
              <w:ind w:left="10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5.29</w:t>
            </w:r>
          </w:p>
        </w:tc>
        <w:tc>
          <w:tcPr>
            <w:tcW w:w="420" w:type="dxa"/>
            <w:vAlign w:val="bottom"/>
            <w:gridSpan w:val="2"/>
          </w:tcPr>
          <w:p>
            <w:pPr>
              <w:ind w:left="20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5.23</w:t>
            </w:r>
          </w:p>
        </w:tc>
        <w:tc>
          <w:tcPr>
            <w:tcW w:w="82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260"/>
              <w:spacing w:after="0"/>
              <w:rPr>
                <w:sz w:val="20"/>
                <w:szCs w:val="20"/>
                <w:color w:val="auto"/>
              </w:rPr>
            </w:pPr>
            <w:r>
              <w:rPr>
                <w:rFonts w:ascii="Arial" w:cs="Arial" w:eastAsia="Arial" w:hAnsi="Arial"/>
                <w:sz w:val="20"/>
                <w:szCs w:val="20"/>
                <w:color w:val="auto"/>
              </w:rPr>
              <w:t>4.95</w:t>
            </w:r>
          </w:p>
        </w:tc>
        <w:tc>
          <w:tcPr>
            <w:tcW w:w="6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160"/>
              <w:spacing w:after="0"/>
              <w:rPr>
                <w:sz w:val="20"/>
                <w:szCs w:val="20"/>
                <w:color w:val="auto"/>
              </w:rPr>
            </w:pPr>
            <w:r>
              <w:rPr>
                <w:rFonts w:ascii="Arial" w:cs="Arial" w:eastAsia="Arial" w:hAnsi="Arial"/>
                <w:sz w:val="20"/>
                <w:szCs w:val="20"/>
                <w:color w:val="auto"/>
              </w:rPr>
              <w:t>8.75</w:t>
            </w:r>
          </w:p>
        </w:tc>
        <w:tc>
          <w:tcPr>
            <w:tcW w:w="0" w:type="dxa"/>
            <w:vAlign w:val="bottom"/>
          </w:tcPr>
          <w:p>
            <w:pPr>
              <w:spacing w:after="0"/>
              <w:rPr>
                <w:sz w:val="1"/>
                <w:szCs w:val="1"/>
                <w:color w:val="auto"/>
              </w:rPr>
            </w:pPr>
          </w:p>
        </w:tc>
      </w:tr>
      <w:tr>
        <w:trPr>
          <w:trHeight w:val="226"/>
        </w:trPr>
        <w:tc>
          <w:tcPr>
            <w:tcW w:w="2720" w:type="dxa"/>
            <w:vAlign w:val="bottom"/>
          </w:tcPr>
          <w:p>
            <w:pPr>
              <w:spacing w:after="0" w:line="226" w:lineRule="exact"/>
              <w:rPr>
                <w:sz w:val="20"/>
                <w:szCs w:val="20"/>
                <w:color w:val="auto"/>
              </w:rPr>
            </w:pPr>
            <w:r>
              <w:rPr>
                <w:rFonts w:ascii="Arial" w:cs="Arial" w:eastAsia="Arial" w:hAnsi="Arial"/>
                <w:sz w:val="20"/>
                <w:szCs w:val="20"/>
                <w:color w:val="auto"/>
              </w:rPr>
              <w:t>Field taxes other than on</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720" w:type="dxa"/>
            <w:vAlign w:val="bottom"/>
            <w:vMerge w:val="restart"/>
          </w:tcPr>
          <w:p>
            <w:pPr>
              <w:spacing w:after="0"/>
              <w:rPr>
                <w:sz w:val="20"/>
                <w:szCs w:val="20"/>
                <w:color w:val="auto"/>
              </w:rPr>
            </w:pPr>
            <w:r>
              <w:rPr>
                <w:rFonts w:ascii="Arial" w:cs="Arial" w:eastAsia="Arial" w:hAnsi="Arial"/>
                <w:sz w:val="20"/>
                <w:szCs w:val="20"/>
                <w:color w:val="auto"/>
                <w:w w:val="99"/>
              </w:rPr>
              <w:t>income  . . . . . . . . . . . . . . . . . .</w:t>
            </w:r>
          </w:p>
        </w:tc>
        <w:tc>
          <w:tcPr>
            <w:tcW w:w="320" w:type="dxa"/>
            <w:vAlign w:val="bottom"/>
            <w:vMerge w:val="restart"/>
          </w:tcPr>
          <w:p>
            <w:pPr>
              <w:ind w:left="100"/>
              <w:spacing w:after="0"/>
              <w:rPr>
                <w:sz w:val="20"/>
                <w:szCs w:val="20"/>
                <w:color w:val="auto"/>
              </w:rPr>
            </w:pPr>
            <w:r>
              <w:rPr>
                <w:rFonts w:ascii="Arial" w:cs="Arial" w:eastAsia="Arial" w:hAnsi="Arial"/>
                <w:sz w:val="20"/>
                <w:szCs w:val="20"/>
                <w:color w:val="auto"/>
              </w:rPr>
              <w:t>$</w:t>
            </w: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3.36</w:t>
            </w:r>
          </w:p>
        </w:tc>
        <w:tc>
          <w:tcPr>
            <w:tcW w:w="420" w:type="dxa"/>
            <w:vAlign w:val="bottom"/>
            <w:gridSpan w:val="2"/>
            <w:vMerge w:val="restart"/>
          </w:tcPr>
          <w:p>
            <w:pPr>
              <w:ind w:left="200"/>
              <w:spacing w:after="0"/>
              <w:rPr>
                <w:sz w:val="20"/>
                <w:szCs w:val="20"/>
                <w:color w:val="auto"/>
              </w:rPr>
            </w:pPr>
            <w:r>
              <w:rPr>
                <w:rFonts w:ascii="Arial" w:cs="Arial" w:eastAsia="Arial" w:hAnsi="Arial"/>
                <w:sz w:val="20"/>
                <w:szCs w:val="20"/>
                <w:color w:val="auto"/>
              </w:rPr>
              <w:t>$</w:t>
            </w: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2.83</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20"/>
                <w:szCs w:val="20"/>
                <w:color w:val="auto"/>
              </w:rPr>
              <w:t>$</w:t>
            </w:r>
          </w:p>
        </w:tc>
        <w:tc>
          <w:tcPr>
            <w:tcW w:w="1100" w:type="dxa"/>
            <w:vAlign w:val="bottom"/>
            <w:vMerge w:val="restart"/>
          </w:tcPr>
          <w:p>
            <w:pPr>
              <w:jc w:val="right"/>
              <w:ind w:right="260"/>
              <w:spacing w:after="0"/>
              <w:rPr>
                <w:sz w:val="20"/>
                <w:szCs w:val="20"/>
                <w:color w:val="auto"/>
              </w:rPr>
            </w:pPr>
            <w:r>
              <w:rPr>
                <w:rFonts w:ascii="Arial" w:cs="Arial" w:eastAsia="Arial" w:hAnsi="Arial"/>
                <w:sz w:val="20"/>
                <w:szCs w:val="20"/>
                <w:color w:val="auto"/>
              </w:rPr>
              <w:t>0.64</w:t>
            </w:r>
          </w:p>
        </w:tc>
        <w:tc>
          <w:tcPr>
            <w:tcW w:w="60" w:type="dxa"/>
            <w:vAlign w:val="bottom"/>
            <w:vMerge w:val="restart"/>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vMerge w:val="restart"/>
          </w:tcPr>
          <w:p>
            <w:pPr>
              <w:jc w:val="right"/>
              <w:ind w:right="160"/>
              <w:spacing w:after="0"/>
              <w:rPr>
                <w:sz w:val="20"/>
                <w:szCs w:val="20"/>
                <w:color w:val="auto"/>
              </w:rPr>
            </w:pPr>
            <w:r>
              <w:rPr>
                <w:rFonts w:ascii="Arial" w:cs="Arial" w:eastAsia="Arial" w:hAnsi="Arial"/>
                <w:sz w:val="20"/>
                <w:szCs w:val="20"/>
                <w:color w:val="auto"/>
              </w:rPr>
              <w:t>3.10</w:t>
            </w:r>
          </w:p>
        </w:tc>
        <w:tc>
          <w:tcPr>
            <w:tcW w:w="0" w:type="dxa"/>
            <w:vAlign w:val="bottom"/>
          </w:tcPr>
          <w:p>
            <w:pPr>
              <w:spacing w:after="0"/>
              <w:rPr>
                <w:sz w:val="1"/>
                <w:szCs w:val="1"/>
                <w:color w:val="auto"/>
              </w:rPr>
            </w:pPr>
          </w:p>
        </w:tc>
      </w:tr>
      <w:tr>
        <w:trPr>
          <w:trHeight w:val="47"/>
        </w:trPr>
        <w:tc>
          <w:tcPr>
            <w:tcW w:w="272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ind w:left="320" w:hanging="320"/>
        <w:spacing w:after="0"/>
        <w:tabs>
          <w:tab w:leader="none" w:pos="3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Excludes unallocated general and administrative expenses.</w:t>
      </w:r>
    </w:p>
    <w:p>
      <w:pPr>
        <w:spacing w:after="0" w:line="21" w:lineRule="exact"/>
        <w:rPr>
          <w:rFonts w:ascii="Arial" w:cs="Arial" w:eastAsia="Arial" w:hAnsi="Arial"/>
          <w:sz w:val="16"/>
          <w:szCs w:val="16"/>
          <w:color w:val="auto"/>
        </w:rPr>
      </w:pPr>
    </w:p>
    <w:p>
      <w:pPr>
        <w:ind w:left="320" w:right="80" w:hanging="320"/>
        <w:spacing w:after="0" w:line="254" w:lineRule="auto"/>
        <w:tabs>
          <w:tab w:leader="none" w:pos="3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Excludes depreciation, depletion and amortization related to our corporate assets, carbon management assets and Elk Hills power plant.</w:t>
      </w:r>
    </w:p>
    <w:p>
      <w:pPr>
        <w:spacing w:after="0" w:line="214"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Energy operating costs per Boe in 2022 were higher than 2021 on a per Boe basis primarily as a result of higher electricity and natural gas prices. Lower production volumes in 2022 also contributed to the increase on a per Boe basis. Non-energy operating costs per Boe in 2022 increased as compared to 2021 primarily related to downhole maintenance activity. We expect non-energy operating costs per Boe related to maintenance activities to increase in 2023, in part due to increased costs for services, labor and supplies.</w:t>
      </w:r>
    </w:p>
    <w:p>
      <w:pPr>
        <w:sectPr>
          <w:pgSz w:w="11880" w:h="15480" w:orient="portrait"/>
          <w:cols w:equalWidth="0" w:num="1">
            <w:col w:w="9120"/>
          </w:cols>
          <w:pgMar w:left="1380" w:top="1316"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ectPr>
          <w:pgSz w:w="11880" w:h="15480" w:orient="portrait"/>
          <w:cols w:equalWidth="0" w:num="1">
            <w:col w:w="9120"/>
          </w:cols>
          <w:pgMar w:left="1380" w:top="1316" w:right="1380" w:bottom="655" w:gutter="0" w:footer="0" w:header="0"/>
          <w:type w:val="continuous"/>
        </w:sectPr>
      </w:pPr>
    </w:p>
    <w:bookmarkStart w:id="77" w:name="page78"/>
    <w:bookmarkEnd w:id="77"/>
    <w:p>
      <w:pPr>
        <w:ind w:right="60" w:firstLine="300"/>
        <w:spacing w:after="0" w:line="247" w:lineRule="auto"/>
        <w:rPr>
          <w:sz w:val="20"/>
          <w:szCs w:val="20"/>
          <w:color w:val="auto"/>
        </w:rPr>
      </w:pPr>
      <w:r>
        <w:rPr>
          <w:rFonts w:ascii="Arial" w:cs="Arial" w:eastAsia="Arial" w:hAnsi="Arial"/>
          <w:sz w:val="20"/>
          <w:szCs w:val="20"/>
          <w:color w:val="auto"/>
        </w:rPr>
        <w:t>Field taxes other than on income on a per Boe basis were higher in 2022 as compared to 2021 due to increased production taxes from higher tax rates and GHG taxes which increased as market prices for GHG allowances rose. This increase was partially offset by lower ad valorem taxes.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Consolidated Results of Operations</w:t>
      </w:r>
    </w:p>
    <w:p>
      <w:pPr>
        <w:spacing w:after="0" w:line="215" w:lineRule="exact"/>
        <w:rPr>
          <w:sz w:val="20"/>
          <w:szCs w:val="20"/>
          <w:color w:val="auto"/>
        </w:rPr>
      </w:pPr>
    </w:p>
    <w:p>
      <w:pPr>
        <w:ind w:right="80" w:firstLine="300"/>
        <w:spacing w:after="0" w:line="248" w:lineRule="auto"/>
        <w:rPr>
          <w:sz w:val="20"/>
          <w:szCs w:val="20"/>
          <w:color w:val="auto"/>
        </w:rPr>
      </w:pPr>
      <w:r>
        <w:rPr>
          <w:rFonts w:ascii="Arial" w:cs="Arial" w:eastAsia="Arial" w:hAnsi="Arial"/>
          <w:sz w:val="20"/>
          <w:szCs w:val="20"/>
          <w:color w:val="auto"/>
        </w:rPr>
        <w:t>Our consolidated results of operations include financial information related to oil and natural gas operations and our carbon management business. Our carbon management business is still in the early stages of development and was insignificant for 2021. For the year ended December 31, 2022, we have separately identified the results of our carbon management business included in consolidated general and administrative expenses and other operating expenses, net.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Year Ended December 31, 2022 vs. 2021</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The following table presents our consolidated revenue and other income items: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spacing w:after="0"/>
              <w:rPr>
                <w:sz w:val="19"/>
                <w:szCs w:val="19"/>
                <w:color w:val="auto"/>
              </w:rPr>
            </w:pPr>
          </w:p>
        </w:tc>
        <w:tc>
          <w:tcPr>
            <w:tcW w:w="1360" w:type="dxa"/>
            <w:vAlign w:val="bottom"/>
            <w:gridSpan w:val="2"/>
          </w:tcPr>
          <w:p>
            <w:pPr>
              <w:ind w:left="140"/>
              <w:spacing w:after="0"/>
              <w:rPr>
                <w:sz w:val="20"/>
                <w:szCs w:val="20"/>
                <w:color w:val="auto"/>
              </w:rPr>
            </w:pPr>
            <w:r>
              <w:rPr>
                <w:rFonts w:ascii="Arial" w:cs="Arial" w:eastAsia="Arial" w:hAnsi="Arial"/>
                <w:sz w:val="20"/>
                <w:szCs w:val="20"/>
                <w:b w:val="1"/>
                <w:bCs w:val="1"/>
                <w:color w:val="auto"/>
              </w:rPr>
              <w:t>Year ended</w:t>
            </w:r>
          </w:p>
        </w:tc>
        <w:tc>
          <w:tcPr>
            <w:tcW w:w="200" w:type="dxa"/>
            <w:vAlign w:val="bottom"/>
          </w:tcPr>
          <w:p>
            <w:pPr>
              <w:spacing w:after="0"/>
              <w:rPr>
                <w:sz w:val="19"/>
                <w:szCs w:val="19"/>
                <w:color w:val="auto"/>
              </w:rPr>
            </w:pPr>
          </w:p>
        </w:tc>
        <w:tc>
          <w:tcPr>
            <w:tcW w:w="1360" w:type="dxa"/>
            <w:vAlign w:val="bottom"/>
            <w:gridSpan w:val="2"/>
          </w:tcPr>
          <w:p>
            <w:pPr>
              <w:ind w:left="140"/>
              <w:spacing w:after="0"/>
              <w:rPr>
                <w:sz w:val="20"/>
                <w:szCs w:val="20"/>
                <w:color w:val="auto"/>
              </w:rPr>
            </w:pPr>
            <w:r>
              <w:rPr>
                <w:rFonts w:ascii="Arial" w:cs="Arial" w:eastAsia="Arial" w:hAnsi="Arial"/>
                <w:sz w:val="20"/>
                <w:szCs w:val="20"/>
                <w:b w:val="1"/>
                <w:bCs w:val="1"/>
                <w:color w:val="auto"/>
              </w:rPr>
              <w:t>Year ended</w:t>
            </w:r>
          </w:p>
        </w:tc>
      </w:tr>
      <w:tr>
        <w:trPr>
          <w:trHeight w:val="248"/>
        </w:trPr>
        <w:tc>
          <w:tcPr>
            <w:tcW w:w="6200" w:type="dxa"/>
            <w:vAlign w:val="bottom"/>
          </w:tcPr>
          <w:p>
            <w:pPr>
              <w:spacing w:after="0"/>
              <w:rPr>
                <w:sz w:val="21"/>
                <w:szCs w:val="21"/>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December 31,</w:t>
            </w:r>
          </w:p>
        </w:tc>
        <w:tc>
          <w:tcPr>
            <w:tcW w:w="200" w:type="dxa"/>
            <w:vAlign w:val="bottom"/>
          </w:tcPr>
          <w:p>
            <w:pPr>
              <w:spacing w:after="0"/>
              <w:rPr>
                <w:sz w:val="21"/>
                <w:szCs w:val="21"/>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December 31,</w:t>
            </w:r>
          </w:p>
        </w:tc>
      </w:tr>
      <w:tr>
        <w:trPr>
          <w:trHeight w:val="260"/>
        </w:trPr>
        <w:tc>
          <w:tcPr>
            <w:tcW w:w="62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3"/>
              <w:spacing w:after="0"/>
              <w:rPr>
                <w:sz w:val="20"/>
                <w:szCs w:val="20"/>
                <w:color w:val="auto"/>
              </w:rPr>
            </w:pPr>
            <w:r>
              <w:rPr>
                <w:rFonts w:ascii="Arial" w:cs="Arial" w:eastAsia="Arial" w:hAnsi="Arial"/>
                <w:sz w:val="20"/>
                <w:szCs w:val="20"/>
                <w:b w:val="1"/>
                <w:bCs w:val="1"/>
                <w:color w:val="auto"/>
              </w:rPr>
              <w:t>2022</w:t>
            </w:r>
          </w:p>
        </w:tc>
        <w:tc>
          <w:tcPr>
            <w:tcW w:w="2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2021</w:t>
            </w:r>
          </w:p>
        </w:tc>
      </w:tr>
      <w:tr>
        <w:trPr>
          <w:trHeight w:val="192"/>
        </w:trPr>
        <w:tc>
          <w:tcPr>
            <w:tcW w:w="6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3"/>
          </w:tcPr>
          <w:p>
            <w:pPr>
              <w:ind w:left="700"/>
              <w:spacing w:after="0"/>
              <w:rPr>
                <w:sz w:val="20"/>
                <w:szCs w:val="20"/>
                <w:color w:val="auto"/>
              </w:rPr>
            </w:pPr>
            <w:r>
              <w:rPr>
                <w:rFonts w:ascii="Arial" w:cs="Arial" w:eastAsia="Arial" w:hAnsi="Arial"/>
                <w:sz w:val="16"/>
                <w:szCs w:val="16"/>
                <w:color w:val="auto"/>
              </w:rPr>
              <w:t>(in millions)</w:t>
            </w:r>
          </w:p>
        </w:tc>
        <w:tc>
          <w:tcPr>
            <w:tcW w:w="980" w:type="dxa"/>
            <w:vAlign w:val="bottom"/>
          </w:tcPr>
          <w:p>
            <w:pPr>
              <w:spacing w:after="0"/>
              <w:rPr>
                <w:sz w:val="16"/>
                <w:szCs w:val="16"/>
                <w:color w:val="auto"/>
              </w:rPr>
            </w:pPr>
          </w:p>
        </w:tc>
      </w:tr>
      <w:tr>
        <w:trPr>
          <w:trHeight w:val="250"/>
        </w:trPr>
        <w:tc>
          <w:tcPr>
            <w:tcW w:w="6200" w:type="dxa"/>
            <w:vAlign w:val="bottom"/>
          </w:tcPr>
          <w:p>
            <w:pPr>
              <w:jc w:val="right"/>
              <w:ind w:right="100"/>
              <w:spacing w:after="0"/>
              <w:rPr>
                <w:sz w:val="20"/>
                <w:szCs w:val="20"/>
                <w:color w:val="auto"/>
              </w:rPr>
            </w:pPr>
            <w:r>
              <w:rPr>
                <w:rFonts w:ascii="Arial" w:cs="Arial" w:eastAsia="Arial" w:hAnsi="Arial"/>
                <w:sz w:val="20"/>
                <w:szCs w:val="20"/>
                <w:color w:val="auto"/>
                <w:w w:val="97"/>
              </w:rPr>
              <w:t>Oil, natural gas and NGL sales  . . . . . . . . . . . . . . . . . . . . . . . . . . . . . .</w:t>
            </w:r>
          </w:p>
        </w:tc>
        <w:tc>
          <w:tcPr>
            <w:tcW w:w="360" w:type="dxa"/>
            <w:vAlign w:val="bottom"/>
          </w:tcPr>
          <w:p>
            <w:pPr>
              <w:ind w:lef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23"/>
              <w:spacing w:after="0"/>
              <w:rPr>
                <w:sz w:val="20"/>
                <w:szCs w:val="20"/>
                <w:color w:val="auto"/>
              </w:rPr>
            </w:pPr>
            <w:r>
              <w:rPr>
                <w:rFonts w:ascii="Arial" w:cs="Arial" w:eastAsia="Arial" w:hAnsi="Arial"/>
                <w:sz w:val="20"/>
                <w:szCs w:val="20"/>
                <w:color w:val="auto"/>
              </w:rPr>
              <w:t>2,643</w:t>
            </w:r>
          </w:p>
        </w:tc>
        <w:tc>
          <w:tcPr>
            <w:tcW w:w="580" w:type="dxa"/>
            <w:vAlign w:val="bottom"/>
            <w:gridSpan w:val="2"/>
          </w:tcPr>
          <w:p>
            <w:pPr>
              <w:ind w:left="320"/>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2,048</w:t>
            </w:r>
          </w:p>
        </w:tc>
      </w:tr>
      <w:tr>
        <w:trPr>
          <w:trHeight w:val="240"/>
        </w:trPr>
        <w:tc>
          <w:tcPr>
            <w:tcW w:w="6200" w:type="dxa"/>
            <w:vAlign w:val="bottom"/>
          </w:tcPr>
          <w:p>
            <w:pPr>
              <w:jc w:val="right"/>
              <w:ind w:right="100"/>
              <w:spacing w:after="0"/>
              <w:rPr>
                <w:sz w:val="20"/>
                <w:szCs w:val="20"/>
                <w:color w:val="auto"/>
              </w:rPr>
            </w:pPr>
            <w:r>
              <w:rPr>
                <w:rFonts w:ascii="Arial" w:cs="Arial" w:eastAsia="Arial" w:hAnsi="Arial"/>
                <w:sz w:val="20"/>
                <w:szCs w:val="20"/>
                <w:color w:val="auto"/>
                <w:w w:val="97"/>
              </w:rPr>
              <w:t>Net loss from commodity derivatives . . . . . . . . . . . . . . . . . . . . . . . . . .</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(551)</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(676)</w:t>
            </w:r>
          </w:p>
        </w:tc>
      </w:tr>
      <w:tr>
        <w:trPr>
          <w:trHeight w:val="240"/>
        </w:trPr>
        <w:tc>
          <w:tcPr>
            <w:tcW w:w="6200" w:type="dxa"/>
            <w:vAlign w:val="bottom"/>
          </w:tcPr>
          <w:p>
            <w:pPr>
              <w:jc w:val="right"/>
              <w:ind w:right="100"/>
              <w:spacing w:after="0"/>
              <w:rPr>
                <w:sz w:val="20"/>
                <w:szCs w:val="20"/>
                <w:color w:val="auto"/>
              </w:rPr>
            </w:pPr>
            <w:r>
              <w:rPr>
                <w:rFonts w:ascii="Arial" w:cs="Arial" w:eastAsia="Arial" w:hAnsi="Arial"/>
                <w:sz w:val="20"/>
                <w:szCs w:val="20"/>
                <w:color w:val="auto"/>
                <w:w w:val="97"/>
              </w:rPr>
              <w:t>Sales of purchased natural gas  . . . . . . . . . . . . . . . . . . . . . . . . . . . . . .</w:t>
            </w:r>
          </w:p>
        </w:tc>
        <w:tc>
          <w:tcPr>
            <w:tcW w:w="360" w:type="dxa"/>
            <w:vAlign w:val="bottom"/>
          </w:tcPr>
          <w:p>
            <w:pPr>
              <w:spacing w:after="0"/>
              <w:rPr>
                <w:sz w:val="20"/>
                <w:szCs w:val="20"/>
                <w:color w:val="auto"/>
              </w:rPr>
            </w:pPr>
          </w:p>
        </w:tc>
        <w:tc>
          <w:tcPr>
            <w:tcW w:w="1000" w:type="dxa"/>
            <w:vAlign w:val="bottom"/>
          </w:tcPr>
          <w:p>
            <w:pPr>
              <w:jc w:val="right"/>
              <w:ind w:right="23"/>
              <w:spacing w:after="0"/>
              <w:rPr>
                <w:sz w:val="20"/>
                <w:szCs w:val="20"/>
                <w:color w:val="auto"/>
              </w:rPr>
            </w:pPr>
            <w:r>
              <w:rPr>
                <w:rFonts w:ascii="Arial" w:cs="Arial" w:eastAsia="Arial" w:hAnsi="Arial"/>
                <w:sz w:val="20"/>
                <w:szCs w:val="20"/>
                <w:color w:val="auto"/>
              </w:rPr>
              <w:t>314</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312</w:t>
            </w:r>
          </w:p>
        </w:tc>
      </w:tr>
      <w:tr>
        <w:trPr>
          <w:trHeight w:val="240"/>
        </w:trPr>
        <w:tc>
          <w:tcPr>
            <w:tcW w:w="6200" w:type="dxa"/>
            <w:vAlign w:val="bottom"/>
          </w:tcPr>
          <w:p>
            <w:pPr>
              <w:jc w:val="right"/>
              <w:ind w:right="100"/>
              <w:spacing w:after="0"/>
              <w:rPr>
                <w:sz w:val="20"/>
                <w:szCs w:val="20"/>
                <w:color w:val="auto"/>
              </w:rPr>
            </w:pPr>
            <w:r>
              <w:rPr>
                <w:rFonts w:ascii="Arial" w:cs="Arial" w:eastAsia="Arial" w:hAnsi="Arial"/>
                <w:sz w:val="20"/>
                <w:szCs w:val="20"/>
                <w:color w:val="auto"/>
                <w:w w:val="96"/>
              </w:rPr>
              <w:t>Electricity sales  . . . . . . . . . . . . . . . . . . . . . . . . . . . . . . . . . . . . . . . . . . .</w:t>
            </w:r>
          </w:p>
        </w:tc>
        <w:tc>
          <w:tcPr>
            <w:tcW w:w="360" w:type="dxa"/>
            <w:vAlign w:val="bottom"/>
          </w:tcPr>
          <w:p>
            <w:pPr>
              <w:spacing w:after="0"/>
              <w:rPr>
                <w:sz w:val="20"/>
                <w:szCs w:val="20"/>
                <w:color w:val="auto"/>
              </w:rPr>
            </w:pPr>
          </w:p>
        </w:tc>
        <w:tc>
          <w:tcPr>
            <w:tcW w:w="1000" w:type="dxa"/>
            <w:vAlign w:val="bottom"/>
          </w:tcPr>
          <w:p>
            <w:pPr>
              <w:jc w:val="right"/>
              <w:ind w:right="23"/>
              <w:spacing w:after="0"/>
              <w:rPr>
                <w:sz w:val="20"/>
                <w:szCs w:val="20"/>
                <w:color w:val="auto"/>
              </w:rPr>
            </w:pPr>
            <w:r>
              <w:rPr>
                <w:rFonts w:ascii="Arial" w:cs="Arial" w:eastAsia="Arial" w:hAnsi="Arial"/>
                <w:sz w:val="20"/>
                <w:szCs w:val="20"/>
                <w:color w:val="auto"/>
              </w:rPr>
              <w:t>261</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172</w:t>
            </w:r>
          </w:p>
        </w:tc>
      </w:tr>
      <w:tr>
        <w:trPr>
          <w:trHeight w:val="240"/>
        </w:trPr>
        <w:tc>
          <w:tcPr>
            <w:tcW w:w="6200" w:type="dxa"/>
            <w:vAlign w:val="bottom"/>
          </w:tcPr>
          <w:p>
            <w:pPr>
              <w:jc w:val="right"/>
              <w:ind w:right="100"/>
              <w:spacing w:after="0"/>
              <w:rPr>
                <w:sz w:val="20"/>
                <w:szCs w:val="20"/>
                <w:color w:val="auto"/>
              </w:rPr>
            </w:pPr>
            <w:r>
              <w:rPr>
                <w:rFonts w:ascii="Arial" w:cs="Arial" w:eastAsia="Arial" w:hAnsi="Arial"/>
                <w:sz w:val="20"/>
                <w:szCs w:val="20"/>
                <w:color w:val="auto"/>
                <w:w w:val="97"/>
              </w:rPr>
              <w:t>Interest and other revenue . . . . . . . . . . . . . . . . . . . . . . . . . . . . . . . . . .</w:t>
            </w:r>
          </w:p>
        </w:tc>
        <w:tc>
          <w:tcPr>
            <w:tcW w:w="360" w:type="dxa"/>
            <w:vAlign w:val="bottom"/>
          </w:tcPr>
          <w:p>
            <w:pPr>
              <w:spacing w:after="0"/>
              <w:rPr>
                <w:sz w:val="20"/>
                <w:szCs w:val="20"/>
                <w:color w:val="auto"/>
              </w:rPr>
            </w:pPr>
          </w:p>
        </w:tc>
        <w:tc>
          <w:tcPr>
            <w:tcW w:w="1000" w:type="dxa"/>
            <w:vAlign w:val="bottom"/>
          </w:tcPr>
          <w:p>
            <w:pPr>
              <w:jc w:val="right"/>
              <w:ind w:right="23"/>
              <w:spacing w:after="0"/>
              <w:rPr>
                <w:sz w:val="20"/>
                <w:szCs w:val="20"/>
                <w:color w:val="auto"/>
              </w:rPr>
            </w:pPr>
            <w:r>
              <w:rPr>
                <w:rFonts w:ascii="Arial" w:cs="Arial" w:eastAsia="Arial" w:hAnsi="Arial"/>
                <w:sz w:val="20"/>
                <w:szCs w:val="20"/>
                <w:color w:val="auto"/>
              </w:rPr>
              <w:t>40</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33</w:t>
            </w:r>
          </w:p>
        </w:tc>
      </w:tr>
      <w:tr>
        <w:trPr>
          <w:trHeight w:val="28"/>
        </w:trPr>
        <w:tc>
          <w:tcPr>
            <w:tcW w:w="6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2"/>
        </w:trPr>
        <w:tc>
          <w:tcPr>
            <w:tcW w:w="6200" w:type="dxa"/>
            <w:vAlign w:val="bottom"/>
          </w:tcPr>
          <w:p>
            <w:pPr>
              <w:jc w:val="right"/>
              <w:ind w:right="100"/>
              <w:spacing w:after="0"/>
              <w:rPr>
                <w:sz w:val="20"/>
                <w:szCs w:val="20"/>
                <w:color w:val="auto"/>
              </w:rPr>
            </w:pPr>
            <w:r>
              <w:rPr>
                <w:rFonts w:ascii="Arial" w:cs="Arial" w:eastAsia="Arial" w:hAnsi="Arial"/>
                <w:sz w:val="20"/>
                <w:szCs w:val="20"/>
                <w:color w:val="auto"/>
              </w:rPr>
              <w:t>Total operating revenues  . . . . . . . . . . . . . . . . . . . . . . . . . . . . . . . . .</w:t>
            </w:r>
          </w:p>
        </w:tc>
        <w:tc>
          <w:tcPr>
            <w:tcW w:w="360" w:type="dxa"/>
            <w:vAlign w:val="bottom"/>
          </w:tcPr>
          <w:p>
            <w:pPr>
              <w:ind w:lef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23"/>
              <w:spacing w:after="0"/>
              <w:rPr>
                <w:sz w:val="20"/>
                <w:szCs w:val="20"/>
                <w:color w:val="auto"/>
              </w:rPr>
            </w:pPr>
            <w:r>
              <w:rPr>
                <w:rFonts w:ascii="Arial" w:cs="Arial" w:eastAsia="Arial" w:hAnsi="Arial"/>
                <w:sz w:val="20"/>
                <w:szCs w:val="20"/>
                <w:color w:val="auto"/>
              </w:rPr>
              <w:t>2,707</w:t>
            </w:r>
          </w:p>
        </w:tc>
        <w:tc>
          <w:tcPr>
            <w:tcW w:w="580" w:type="dxa"/>
            <w:vAlign w:val="bottom"/>
            <w:gridSpan w:val="2"/>
          </w:tcPr>
          <w:p>
            <w:pPr>
              <w:ind w:left="320"/>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1,889</w:t>
            </w:r>
          </w:p>
        </w:tc>
      </w:tr>
      <w:tr>
        <w:trPr>
          <w:trHeight w:val="28"/>
        </w:trPr>
        <w:tc>
          <w:tcPr>
            <w:tcW w:w="6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jc w:val="both"/>
        <w:ind w:right="320" w:firstLine="300"/>
        <w:spacing w:after="0" w:line="249" w:lineRule="auto"/>
        <w:rPr>
          <w:sz w:val="20"/>
          <w:szCs w:val="20"/>
          <w:color w:val="auto"/>
        </w:rPr>
      </w:pPr>
      <w:r>
        <w:rPr>
          <w:rFonts w:ascii="Arial" w:cs="Arial" w:eastAsia="Arial" w:hAnsi="Arial"/>
          <w:sz w:val="20"/>
          <w:szCs w:val="20"/>
          <w:i w:val="1"/>
          <w:iCs w:val="1"/>
          <w:color w:val="auto"/>
        </w:rPr>
        <w:t xml:space="preserve">Oil, natural gas and NGL sales </w:t>
      </w:r>
      <w:r>
        <w:rPr>
          <w:rFonts w:ascii="Arial" w:cs="Arial" w:eastAsia="Arial" w:hAnsi="Arial"/>
          <w:sz w:val="20"/>
          <w:szCs w:val="20"/>
          <w:color w:val="auto"/>
        </w:rPr>
        <w:t>– Oil, natural gas and NGL sales, excluding the impact of settled</w:t>
      </w:r>
      <w:r>
        <w:rPr>
          <w:rFonts w:ascii="Arial" w:cs="Arial" w:eastAsia="Arial" w:hAnsi="Arial"/>
          <w:sz w:val="20"/>
          <w:szCs w:val="20"/>
          <w:i w:val="1"/>
          <w:iCs w:val="1"/>
          <w:color w:val="auto"/>
        </w:rPr>
        <w:t xml:space="preserve"> </w:t>
      </w:r>
      <w:r>
        <w:rPr>
          <w:rFonts w:ascii="Arial" w:cs="Arial" w:eastAsia="Arial" w:hAnsi="Arial"/>
          <w:sz w:val="20"/>
          <w:szCs w:val="20"/>
          <w:color w:val="auto"/>
        </w:rPr>
        <w:t>hedges, were $2,643 million for the year ended December 31, 2022, which is an increase of 29% or $595 million, compared to $2,048 million for the year ended December 31, 2021. The increase was primarily due to higher realized prices, partially offset by lower production volumes, as shown in the following table: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160"/>
              <w:spacing w:after="0"/>
              <w:rPr>
                <w:sz w:val="20"/>
                <w:szCs w:val="20"/>
                <w:color w:val="auto"/>
              </w:rPr>
            </w:pPr>
            <w:r>
              <w:rPr>
                <w:rFonts w:ascii="Arial" w:cs="Arial" w:eastAsia="Arial" w:hAnsi="Arial"/>
                <w:sz w:val="20"/>
                <w:szCs w:val="20"/>
                <w:b w:val="1"/>
                <w:bCs w:val="1"/>
                <w:color w:val="auto"/>
              </w:rPr>
              <w:t>Natural</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8"/>
        </w:trPr>
        <w:tc>
          <w:tcPr>
            <w:tcW w:w="37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Oil</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43"/>
              <w:spacing w:after="0"/>
              <w:rPr>
                <w:sz w:val="20"/>
                <w:szCs w:val="20"/>
                <w:color w:val="auto"/>
              </w:rPr>
            </w:pPr>
            <w:r>
              <w:rPr>
                <w:rFonts w:ascii="Arial" w:cs="Arial" w:eastAsia="Arial" w:hAnsi="Arial"/>
                <w:sz w:val="20"/>
                <w:szCs w:val="20"/>
                <w:b w:val="1"/>
                <w:bCs w:val="1"/>
                <w:color w:val="auto"/>
              </w:rPr>
              <w:t>NGLs</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20"/>
              <w:spacing w:after="0"/>
              <w:rPr>
                <w:sz w:val="20"/>
                <w:szCs w:val="20"/>
                <w:color w:val="auto"/>
              </w:rPr>
            </w:pPr>
            <w:r>
              <w:rPr>
                <w:rFonts w:ascii="Arial" w:cs="Arial" w:eastAsia="Arial" w:hAnsi="Arial"/>
                <w:sz w:val="20"/>
                <w:szCs w:val="20"/>
                <w:b w:val="1"/>
                <w:bCs w:val="1"/>
                <w:color w:val="auto"/>
              </w:rPr>
              <w:t>Gas</w:t>
            </w: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Total</w:t>
            </w:r>
          </w:p>
        </w:tc>
      </w:tr>
      <w:tr>
        <w:trPr>
          <w:trHeight w:val="192"/>
        </w:trPr>
        <w:tc>
          <w:tcPr>
            <w:tcW w:w="3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4"/>
          </w:tcPr>
          <w:p>
            <w:pPr>
              <w:jc w:val="right"/>
              <w:ind w:right="600"/>
              <w:spacing w:after="0"/>
              <w:rPr>
                <w:sz w:val="20"/>
                <w:szCs w:val="20"/>
                <w:color w:val="auto"/>
              </w:rPr>
            </w:pPr>
            <w:r>
              <w:rPr>
                <w:rFonts w:ascii="Arial" w:cs="Arial" w:eastAsia="Arial" w:hAnsi="Arial"/>
                <w:sz w:val="16"/>
                <w:szCs w:val="16"/>
                <w:color w:val="auto"/>
              </w:rPr>
              <w:t>(in millions)</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0"/>
        </w:trPr>
        <w:tc>
          <w:tcPr>
            <w:tcW w:w="3740" w:type="dxa"/>
            <w:vAlign w:val="bottom"/>
          </w:tcPr>
          <w:p>
            <w:pPr>
              <w:spacing w:after="0"/>
              <w:rPr>
                <w:sz w:val="20"/>
                <w:szCs w:val="20"/>
                <w:color w:val="auto"/>
              </w:rPr>
            </w:pPr>
            <w:r>
              <w:rPr>
                <w:rFonts w:ascii="Arial" w:cs="Arial" w:eastAsia="Arial" w:hAnsi="Arial"/>
                <w:sz w:val="20"/>
                <w:szCs w:val="20"/>
                <w:color w:val="auto"/>
              </w:rPr>
              <w:t>Year ended December 31, 2021 . . . . . .</w:t>
            </w:r>
          </w:p>
        </w:tc>
        <w:tc>
          <w:tcPr>
            <w:tcW w:w="280" w:type="dxa"/>
            <w:vAlign w:val="bottom"/>
          </w:tcPr>
          <w:p>
            <w:pPr>
              <w:jc w:val="right"/>
              <w:ind w:right="60"/>
              <w:spacing w:after="0"/>
              <w:rPr>
                <w:sz w:val="20"/>
                <w:szCs w:val="20"/>
                <w:color w:val="auto"/>
              </w:rPr>
            </w:pPr>
            <w:r>
              <w:rPr>
                <w:rFonts w:ascii="Arial" w:cs="Arial" w:eastAsia="Arial" w:hAnsi="Arial"/>
                <w:sz w:val="20"/>
                <w:szCs w:val="20"/>
                <w:color w:val="auto"/>
                <w:w w:val="89"/>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1,555</w:t>
            </w:r>
          </w:p>
        </w:tc>
        <w:tc>
          <w:tcPr>
            <w:tcW w:w="3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250</w:t>
            </w:r>
          </w:p>
        </w:tc>
        <w:tc>
          <w:tcPr>
            <w:tcW w:w="3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243</w:t>
            </w:r>
          </w:p>
        </w:tc>
        <w:tc>
          <w:tcPr>
            <w:tcW w:w="4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2,048</w:t>
            </w:r>
          </w:p>
        </w:tc>
      </w:tr>
      <w:tr>
        <w:trPr>
          <w:trHeight w:val="240"/>
        </w:trPr>
        <w:tc>
          <w:tcPr>
            <w:tcW w:w="3740" w:type="dxa"/>
            <w:vAlign w:val="bottom"/>
          </w:tcPr>
          <w:p>
            <w:pPr>
              <w:spacing w:after="0"/>
              <w:rPr>
                <w:sz w:val="20"/>
                <w:szCs w:val="20"/>
                <w:color w:val="auto"/>
              </w:rPr>
            </w:pPr>
            <w:r>
              <w:rPr>
                <w:rFonts w:ascii="Arial" w:cs="Arial" w:eastAsia="Arial" w:hAnsi="Arial"/>
                <w:sz w:val="20"/>
                <w:szCs w:val="20"/>
                <w:color w:val="auto"/>
              </w:rPr>
              <w:t>Changes in realized prices . . . . . . . . . . .</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614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51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200</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865</w:t>
            </w:r>
          </w:p>
        </w:tc>
      </w:tr>
      <w:tr>
        <w:trPr>
          <w:trHeight w:val="240"/>
        </w:trPr>
        <w:tc>
          <w:tcPr>
            <w:tcW w:w="3740" w:type="dxa"/>
            <w:vAlign w:val="bottom"/>
          </w:tcPr>
          <w:p>
            <w:pPr>
              <w:spacing w:after="0"/>
              <w:rPr>
                <w:sz w:val="20"/>
                <w:szCs w:val="20"/>
                <w:color w:val="auto"/>
              </w:rPr>
            </w:pPr>
            <w:r>
              <w:rPr>
                <w:rFonts w:ascii="Arial" w:cs="Arial" w:eastAsia="Arial" w:hAnsi="Arial"/>
                <w:sz w:val="20"/>
                <w:szCs w:val="20"/>
                <w:color w:val="auto"/>
              </w:rPr>
              <w:t>Changes in production . . . . . . . . . . . . . .</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(201)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(37)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(32)</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(270)</w:t>
            </w:r>
          </w:p>
        </w:tc>
      </w:tr>
      <w:tr>
        <w:trPr>
          <w:trHeight w:val="28"/>
        </w:trPr>
        <w:tc>
          <w:tcPr>
            <w:tcW w:w="3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2"/>
        </w:trPr>
        <w:tc>
          <w:tcPr>
            <w:tcW w:w="3740" w:type="dxa"/>
            <w:vAlign w:val="bottom"/>
          </w:tcPr>
          <w:p>
            <w:pPr>
              <w:spacing w:after="0"/>
              <w:rPr>
                <w:sz w:val="20"/>
                <w:szCs w:val="20"/>
                <w:color w:val="auto"/>
              </w:rPr>
            </w:pPr>
            <w:r>
              <w:rPr>
                <w:rFonts w:ascii="Arial" w:cs="Arial" w:eastAsia="Arial" w:hAnsi="Arial"/>
                <w:sz w:val="20"/>
                <w:szCs w:val="20"/>
                <w:color w:val="auto"/>
              </w:rPr>
              <w:t>Year ended December 31, 2022 . . . . . .</w:t>
            </w:r>
          </w:p>
        </w:tc>
        <w:tc>
          <w:tcPr>
            <w:tcW w:w="280" w:type="dxa"/>
            <w:vAlign w:val="bottom"/>
          </w:tcPr>
          <w:p>
            <w:pPr>
              <w:jc w:val="right"/>
              <w:ind w:right="60"/>
              <w:spacing w:after="0"/>
              <w:rPr>
                <w:sz w:val="20"/>
                <w:szCs w:val="20"/>
                <w:color w:val="auto"/>
              </w:rPr>
            </w:pPr>
            <w:r>
              <w:rPr>
                <w:rFonts w:ascii="Arial" w:cs="Arial" w:eastAsia="Arial" w:hAnsi="Arial"/>
                <w:sz w:val="20"/>
                <w:szCs w:val="20"/>
                <w:color w:val="auto"/>
                <w:w w:val="89"/>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1,968</w:t>
            </w:r>
          </w:p>
        </w:tc>
        <w:tc>
          <w:tcPr>
            <w:tcW w:w="3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264</w:t>
            </w:r>
          </w:p>
        </w:tc>
        <w:tc>
          <w:tcPr>
            <w:tcW w:w="3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411</w:t>
            </w:r>
          </w:p>
        </w:tc>
        <w:tc>
          <w:tcPr>
            <w:tcW w:w="4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2,643</w:t>
            </w:r>
          </w:p>
        </w:tc>
      </w:tr>
      <w:tr>
        <w:trPr>
          <w:trHeight w:val="28"/>
        </w:trPr>
        <w:tc>
          <w:tcPr>
            <w:tcW w:w="3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3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Note: See </w:t>
      </w:r>
      <w:r>
        <w:rPr>
          <w:rFonts w:ascii="Arial" w:cs="Arial" w:eastAsia="Arial" w:hAnsi="Arial"/>
          <w:sz w:val="16"/>
          <w:szCs w:val="16"/>
          <w:i w:val="1"/>
          <w:iCs w:val="1"/>
          <w:color w:val="auto"/>
        </w:rPr>
        <w:t>Production, Prices and Realizations</w:t>
      </w:r>
      <w:r>
        <w:rPr>
          <w:rFonts w:ascii="Arial" w:cs="Arial" w:eastAsia="Arial" w:hAnsi="Arial"/>
          <w:sz w:val="16"/>
          <w:szCs w:val="16"/>
          <w:color w:val="auto"/>
        </w:rPr>
        <w:t xml:space="preserve"> for volumes and realized prices by commodity type for each period.</w:t>
      </w:r>
    </w:p>
    <w:p>
      <w:pPr>
        <w:spacing w:after="0" w:line="224" w:lineRule="exact"/>
        <w:rPr>
          <w:sz w:val="20"/>
          <w:szCs w:val="20"/>
          <w:color w:val="auto"/>
        </w:rPr>
      </w:pPr>
    </w:p>
    <w:p>
      <w:pPr>
        <w:jc w:val="both"/>
        <w:ind w:right="200" w:firstLine="300"/>
        <w:spacing w:after="0" w:line="248" w:lineRule="auto"/>
        <w:rPr>
          <w:sz w:val="20"/>
          <w:szCs w:val="20"/>
          <w:color w:val="auto"/>
        </w:rPr>
      </w:pPr>
      <w:r>
        <w:rPr>
          <w:rFonts w:ascii="Arial" w:cs="Arial" w:eastAsia="Arial" w:hAnsi="Arial"/>
          <w:sz w:val="20"/>
          <w:szCs w:val="20"/>
          <w:color w:val="auto"/>
        </w:rPr>
        <w:t>The effect of cash settlements on our commodity derivative contracts is not included in oil, natural gas and NGL sales. Including the effect of net payments on settled commodity derivatives described below, our oil, natural gas and NGL sales increased by $176 million or 10% in 2022 compared to the same prior year period.</w:t>
      </w:r>
    </w:p>
    <w:p>
      <w:pPr>
        <w:sectPr>
          <w:pgSz w:w="11880" w:h="15480" w:orient="portrait"/>
          <w:cols w:equalWidth="0" w:num="1">
            <w:col w:w="9120"/>
          </w:cols>
          <w:pgMar w:left="1380" w:top="1316"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ectPr>
          <w:pgSz w:w="11880" w:h="15480" w:orient="portrait"/>
          <w:cols w:equalWidth="0" w:num="1">
            <w:col w:w="9120"/>
          </w:cols>
          <w:pgMar w:left="1380" w:top="1316" w:right="1380" w:bottom="655" w:gutter="0" w:footer="0" w:header="0"/>
          <w:type w:val="continuous"/>
        </w:sectPr>
      </w:pPr>
    </w:p>
    <w:bookmarkStart w:id="78" w:name="page79"/>
    <w:bookmarkEnd w:id="78"/>
    <w:p>
      <w:pPr>
        <w:ind w:right="20" w:firstLine="300"/>
        <w:spacing w:after="0" w:line="249" w:lineRule="auto"/>
        <w:rPr>
          <w:sz w:val="20"/>
          <w:szCs w:val="20"/>
          <w:color w:val="auto"/>
        </w:rPr>
      </w:pPr>
      <w:r>
        <w:rPr>
          <w:rFonts w:ascii="Arial" w:cs="Arial" w:eastAsia="Arial" w:hAnsi="Arial"/>
          <w:sz w:val="20"/>
          <w:szCs w:val="20"/>
          <w:i w:val="1"/>
          <w:iCs w:val="1"/>
          <w:color w:val="auto"/>
        </w:rPr>
        <w:t xml:space="preserve">Net loss from commodity derivatives – </w:t>
      </w:r>
      <w:r>
        <w:rPr>
          <w:rFonts w:ascii="Arial" w:cs="Arial" w:eastAsia="Arial" w:hAnsi="Arial"/>
          <w:sz w:val="20"/>
          <w:szCs w:val="20"/>
          <w:color w:val="auto"/>
        </w:rPr>
        <w:t>Net loss from commodity derivatives was $551 million for the</w:t>
      </w:r>
      <w:r>
        <w:rPr>
          <w:rFonts w:ascii="Arial" w:cs="Arial" w:eastAsia="Arial" w:hAnsi="Arial"/>
          <w:sz w:val="20"/>
          <w:szCs w:val="20"/>
          <w:i w:val="1"/>
          <w:iCs w:val="1"/>
          <w:color w:val="auto"/>
        </w:rPr>
        <w:t xml:space="preserve"> </w:t>
      </w:r>
      <w:r>
        <w:rPr>
          <w:rFonts w:ascii="Arial" w:cs="Arial" w:eastAsia="Arial" w:hAnsi="Arial"/>
          <w:sz w:val="20"/>
          <w:szCs w:val="20"/>
          <w:color w:val="auto"/>
        </w:rPr>
        <w:t>year ended December 31, 2022 compared to a net loss of $676 million for the year ended December 31, 2021. The change primarily resulted from non-cash changes in the fair value of our outstanding commodity derivatives from the positions held at the end of each measurement period as well as the relationship between contract prices and the associated forward curves. Gains and losses from our commodity derivative contracts are shown in the table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98"/>
              </w:rPr>
              <w:t>Year ended</w:t>
            </w:r>
          </w:p>
        </w:tc>
        <w:tc>
          <w:tcPr>
            <w:tcW w:w="140" w:type="dxa"/>
            <w:vAlign w:val="bottom"/>
          </w:tcPr>
          <w:p>
            <w:pPr>
              <w:spacing w:after="0"/>
              <w:rPr>
                <w:sz w:val="19"/>
                <w:szCs w:val="19"/>
                <w:color w:val="auto"/>
              </w:rPr>
            </w:pPr>
          </w:p>
        </w:tc>
        <w:tc>
          <w:tcPr>
            <w:tcW w:w="1280" w:type="dxa"/>
            <w:vAlign w:val="bottom"/>
          </w:tcPr>
          <w:p>
            <w:pPr>
              <w:jc w:val="center"/>
              <w:ind w:right="60"/>
              <w:spacing w:after="0"/>
              <w:rPr>
                <w:sz w:val="20"/>
                <w:szCs w:val="20"/>
                <w:color w:val="auto"/>
              </w:rPr>
            </w:pPr>
            <w:r>
              <w:rPr>
                <w:rFonts w:ascii="Arial" w:cs="Arial" w:eastAsia="Arial" w:hAnsi="Arial"/>
                <w:sz w:val="20"/>
                <w:szCs w:val="20"/>
                <w:b w:val="1"/>
                <w:bCs w:val="1"/>
                <w:color w:val="auto"/>
              </w:rPr>
              <w:t>Year ended</w:t>
            </w:r>
          </w:p>
        </w:tc>
      </w:tr>
      <w:tr>
        <w:trPr>
          <w:trHeight w:val="228"/>
        </w:trPr>
        <w:tc>
          <w:tcPr>
            <w:tcW w:w="6040" w:type="dxa"/>
            <w:vAlign w:val="bottom"/>
          </w:tcPr>
          <w:p>
            <w:pPr>
              <w:spacing w:after="0"/>
              <w:rPr>
                <w:sz w:val="19"/>
                <w:szCs w:val="19"/>
                <w:color w:val="auto"/>
              </w:rPr>
            </w:pPr>
          </w:p>
        </w:tc>
        <w:tc>
          <w:tcPr>
            <w:tcW w:w="1660" w:type="dxa"/>
            <w:vAlign w:val="bottom"/>
            <w:gridSpan w:val="3"/>
          </w:tcPr>
          <w:p>
            <w:pPr>
              <w:jc w:val="center"/>
              <w:ind w:right="200"/>
              <w:spacing w:after="0" w:line="228" w:lineRule="exact"/>
              <w:rPr>
                <w:sz w:val="20"/>
                <w:szCs w:val="20"/>
                <w:color w:val="auto"/>
              </w:rPr>
            </w:pPr>
            <w:r>
              <w:rPr>
                <w:rFonts w:ascii="Arial" w:cs="Arial" w:eastAsia="Arial" w:hAnsi="Arial"/>
                <w:sz w:val="20"/>
                <w:szCs w:val="20"/>
                <w:b w:val="1"/>
                <w:bCs w:val="1"/>
                <w:color w:val="auto"/>
                <w:w w:val="99"/>
              </w:rPr>
              <w:t>December 31,</w:t>
            </w:r>
          </w:p>
        </w:tc>
        <w:tc>
          <w:tcPr>
            <w:tcW w:w="1420" w:type="dxa"/>
            <w:vAlign w:val="bottom"/>
            <w:gridSpan w:val="2"/>
          </w:tcPr>
          <w:p>
            <w:pPr>
              <w:jc w:val="center"/>
              <w:spacing w:after="0" w:line="228" w:lineRule="exact"/>
              <w:rPr>
                <w:sz w:val="20"/>
                <w:szCs w:val="20"/>
                <w:color w:val="auto"/>
              </w:rPr>
            </w:pPr>
            <w:r>
              <w:rPr>
                <w:rFonts w:ascii="Arial" w:cs="Arial" w:eastAsia="Arial" w:hAnsi="Arial"/>
                <w:sz w:val="20"/>
                <w:szCs w:val="20"/>
                <w:b w:val="1"/>
                <w:bCs w:val="1"/>
                <w:color w:val="auto"/>
                <w:w w:val="99"/>
              </w:rPr>
              <w:t>December 31,</w:t>
            </w:r>
          </w:p>
        </w:tc>
      </w:tr>
      <w:tr>
        <w:trPr>
          <w:trHeight w:val="20"/>
        </w:trPr>
        <w:tc>
          <w:tcPr>
            <w:tcW w:w="6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40"/>
        </w:trPr>
        <w:tc>
          <w:tcPr>
            <w:tcW w:w="6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center"/>
              <w:ind w:right="63"/>
              <w:spacing w:after="0"/>
              <w:rPr>
                <w:sz w:val="20"/>
                <w:szCs w:val="20"/>
                <w:color w:val="auto"/>
              </w:rPr>
            </w:pPr>
            <w:r>
              <w:rPr>
                <w:rFonts w:ascii="Arial" w:cs="Arial" w:eastAsia="Arial" w:hAnsi="Arial"/>
                <w:sz w:val="20"/>
                <w:szCs w:val="20"/>
                <w:b w:val="1"/>
                <w:bCs w:val="1"/>
                <w:color w:val="auto"/>
              </w:rPr>
              <w:t>2022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center"/>
              <w:ind w:right="60"/>
              <w:spacing w:after="0"/>
              <w:rPr>
                <w:sz w:val="20"/>
                <w:szCs w:val="20"/>
                <w:color w:val="auto"/>
              </w:rPr>
            </w:pPr>
            <w:r>
              <w:rPr>
                <w:rFonts w:ascii="Arial" w:cs="Arial" w:eastAsia="Arial" w:hAnsi="Arial"/>
                <w:sz w:val="20"/>
                <w:szCs w:val="20"/>
                <w:b w:val="1"/>
                <w:bCs w:val="1"/>
                <w:color w:val="auto"/>
                <w:w w:val="98"/>
              </w:rPr>
              <w:t>2021</w:t>
            </w:r>
          </w:p>
        </w:tc>
      </w:tr>
      <w:tr>
        <w:trPr>
          <w:trHeight w:val="20"/>
        </w:trPr>
        <w:tc>
          <w:tcPr>
            <w:tcW w:w="6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r>
      <w:tr>
        <w:trPr>
          <w:trHeight w:val="192"/>
        </w:trPr>
        <w:tc>
          <w:tcPr>
            <w:tcW w:w="6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20" w:type="dxa"/>
            <w:vAlign w:val="bottom"/>
            <w:gridSpan w:val="4"/>
          </w:tcPr>
          <w:p>
            <w:pPr>
              <w:jc w:val="right"/>
              <w:ind w:right="1040"/>
              <w:spacing w:after="0"/>
              <w:rPr>
                <w:sz w:val="20"/>
                <w:szCs w:val="20"/>
                <w:color w:val="auto"/>
              </w:rPr>
            </w:pPr>
            <w:r>
              <w:rPr>
                <w:rFonts w:ascii="Arial" w:cs="Arial" w:eastAsia="Arial" w:hAnsi="Arial"/>
                <w:sz w:val="16"/>
                <w:szCs w:val="16"/>
                <w:color w:val="auto"/>
              </w:rPr>
              <w:t>(in millions)</w:t>
            </w:r>
          </w:p>
        </w:tc>
      </w:tr>
      <w:tr>
        <w:trPr>
          <w:trHeight w:val="216"/>
        </w:trPr>
        <w:tc>
          <w:tcPr>
            <w:tcW w:w="604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8"/>
              </w:rPr>
              <w:t>Non-cash commodity derivative gain (loss)  . . . . . . . . . . . . . . . . . . .</w:t>
            </w:r>
          </w:p>
        </w:tc>
        <w:tc>
          <w:tcPr>
            <w:tcW w:w="160" w:type="dxa"/>
            <w:vAlign w:val="bottom"/>
          </w:tcPr>
          <w:p>
            <w:pPr>
              <w:jc w:val="right"/>
              <w:spacing w:after="0" w:line="216" w:lineRule="exact"/>
              <w:rPr>
                <w:sz w:val="20"/>
                <w:szCs w:val="20"/>
                <w:color w:val="auto"/>
              </w:rPr>
            </w:pPr>
            <w:r>
              <w:rPr>
                <w:rFonts w:ascii="Arial" w:cs="Arial" w:eastAsia="Arial" w:hAnsi="Arial"/>
                <w:sz w:val="20"/>
                <w:szCs w:val="20"/>
                <w:color w:val="auto"/>
                <w:w w:val="89"/>
              </w:rPr>
              <w:t>$</w:t>
            </w:r>
          </w:p>
        </w:tc>
        <w:tc>
          <w:tcPr>
            <w:tcW w:w="1500" w:type="dxa"/>
            <w:vAlign w:val="bottom"/>
            <w:gridSpan w:val="2"/>
          </w:tcPr>
          <w:p>
            <w:pPr>
              <w:jc w:val="right"/>
              <w:ind w:right="200"/>
              <w:spacing w:after="0" w:line="216" w:lineRule="exact"/>
              <w:rPr>
                <w:sz w:val="20"/>
                <w:szCs w:val="20"/>
                <w:color w:val="auto"/>
              </w:rPr>
            </w:pPr>
            <w:r>
              <w:rPr>
                <w:rFonts w:ascii="Arial" w:cs="Arial" w:eastAsia="Arial" w:hAnsi="Arial"/>
                <w:sz w:val="20"/>
                <w:szCs w:val="20"/>
                <w:color w:val="auto"/>
              </w:rPr>
              <w:t>187</w:t>
            </w:r>
          </w:p>
        </w:tc>
        <w:tc>
          <w:tcPr>
            <w:tcW w:w="140" w:type="dxa"/>
            <w:vAlign w:val="bottom"/>
          </w:tcPr>
          <w:p>
            <w:pPr>
              <w:jc w:val="right"/>
              <w:spacing w:after="0" w:line="216" w:lineRule="exact"/>
              <w:rPr>
                <w:sz w:val="20"/>
                <w:szCs w:val="20"/>
                <w:color w:val="auto"/>
              </w:rPr>
            </w:pPr>
            <w:r>
              <w:rPr>
                <w:rFonts w:ascii="Arial" w:cs="Arial" w:eastAsia="Arial" w:hAnsi="Arial"/>
                <w:sz w:val="20"/>
                <w:szCs w:val="20"/>
                <w:color w:val="auto"/>
                <w:w w:val="71"/>
              </w:rPr>
              <w:t>$</w:t>
            </w:r>
          </w:p>
        </w:tc>
        <w:tc>
          <w:tcPr>
            <w:tcW w:w="1280" w:type="dxa"/>
            <w:vAlign w:val="bottom"/>
          </w:tcPr>
          <w:p>
            <w:pPr>
              <w:jc w:val="right"/>
              <w:spacing w:after="0" w:line="216" w:lineRule="exact"/>
              <w:rPr>
                <w:sz w:val="20"/>
                <w:szCs w:val="20"/>
                <w:color w:val="auto"/>
              </w:rPr>
            </w:pPr>
            <w:r>
              <w:rPr>
                <w:rFonts w:ascii="Arial" w:cs="Arial" w:eastAsia="Arial" w:hAnsi="Arial"/>
                <w:sz w:val="20"/>
                <w:szCs w:val="20"/>
                <w:color w:val="auto"/>
              </w:rPr>
              <w:t>(357)</w:t>
            </w:r>
          </w:p>
        </w:tc>
      </w:tr>
      <w:tr>
        <w:trPr>
          <w:trHeight w:val="226"/>
        </w:trPr>
        <w:tc>
          <w:tcPr>
            <w:tcW w:w="6040" w:type="dxa"/>
            <w:vAlign w:val="bottom"/>
          </w:tcPr>
          <w:p>
            <w:pPr>
              <w:jc w:val="right"/>
              <w:ind w:right="100"/>
              <w:spacing w:after="0" w:line="226" w:lineRule="exact"/>
              <w:rPr>
                <w:sz w:val="20"/>
                <w:szCs w:val="20"/>
                <w:color w:val="auto"/>
              </w:rPr>
            </w:pPr>
            <w:r>
              <w:rPr>
                <w:rFonts w:ascii="Arial" w:cs="Arial" w:eastAsia="Arial" w:hAnsi="Arial"/>
                <w:sz w:val="20"/>
                <w:szCs w:val="20"/>
                <w:color w:val="auto"/>
              </w:rPr>
              <w:t>Net payments on settled commodity derivatives  . . . . . . . . . . .</w:t>
            </w:r>
          </w:p>
        </w:tc>
        <w:tc>
          <w:tcPr>
            <w:tcW w:w="160" w:type="dxa"/>
            <w:vAlign w:val="bottom"/>
          </w:tcPr>
          <w:p>
            <w:pPr>
              <w:spacing w:after="0"/>
              <w:rPr>
                <w:sz w:val="19"/>
                <w:szCs w:val="19"/>
                <w:color w:val="auto"/>
              </w:rPr>
            </w:pPr>
          </w:p>
        </w:tc>
        <w:tc>
          <w:tcPr>
            <w:tcW w:w="1300" w:type="dxa"/>
            <w:vAlign w:val="bottom"/>
          </w:tcPr>
          <w:p>
            <w:pPr>
              <w:jc w:val="right"/>
              <w:spacing w:after="0" w:line="226" w:lineRule="exact"/>
              <w:rPr>
                <w:sz w:val="20"/>
                <w:szCs w:val="20"/>
                <w:color w:val="auto"/>
              </w:rPr>
            </w:pPr>
            <w:r>
              <w:rPr>
                <w:rFonts w:ascii="Arial" w:cs="Arial" w:eastAsia="Arial" w:hAnsi="Arial"/>
                <w:sz w:val="20"/>
                <w:szCs w:val="20"/>
                <w:color w:val="auto"/>
              </w:rPr>
              <w:t>(738)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line="226" w:lineRule="exact"/>
              <w:rPr>
                <w:sz w:val="20"/>
                <w:szCs w:val="20"/>
                <w:color w:val="auto"/>
              </w:rPr>
            </w:pPr>
            <w:r>
              <w:rPr>
                <w:rFonts w:ascii="Arial" w:cs="Arial" w:eastAsia="Arial" w:hAnsi="Arial"/>
                <w:sz w:val="20"/>
                <w:szCs w:val="20"/>
                <w:color w:val="auto"/>
              </w:rPr>
              <w:t>(319)</w:t>
            </w:r>
          </w:p>
        </w:tc>
      </w:tr>
      <w:tr>
        <w:trPr>
          <w:trHeight w:val="28"/>
        </w:trPr>
        <w:tc>
          <w:tcPr>
            <w:tcW w:w="6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6"/>
        </w:trPr>
        <w:tc>
          <w:tcPr>
            <w:tcW w:w="6040" w:type="dxa"/>
            <w:vAlign w:val="bottom"/>
          </w:tcPr>
          <w:p>
            <w:pPr>
              <w:jc w:val="right"/>
              <w:ind w:right="100"/>
              <w:spacing w:after="0"/>
              <w:rPr>
                <w:sz w:val="20"/>
                <w:szCs w:val="20"/>
                <w:color w:val="auto"/>
              </w:rPr>
            </w:pPr>
            <w:r>
              <w:rPr>
                <w:rFonts w:ascii="Arial" w:cs="Arial" w:eastAsia="Arial" w:hAnsi="Arial"/>
                <w:sz w:val="20"/>
                <w:szCs w:val="20"/>
                <w:color w:val="auto"/>
              </w:rPr>
              <w:t>Net loss from commodity derivatives . . . . . . . . . . . . . . . . . . . . .</w:t>
            </w: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(551)</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(676)</w:t>
            </w:r>
          </w:p>
        </w:tc>
      </w:tr>
      <w:tr>
        <w:trPr>
          <w:trHeight w:val="30"/>
        </w:trPr>
        <w:tc>
          <w:tcPr>
            <w:tcW w:w="6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6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ind w:right="200" w:firstLine="300"/>
        <w:spacing w:after="0" w:line="249" w:lineRule="auto"/>
        <w:rPr>
          <w:sz w:val="20"/>
          <w:szCs w:val="20"/>
          <w:color w:val="auto"/>
        </w:rPr>
      </w:pPr>
      <w:r>
        <w:rPr>
          <w:rFonts w:ascii="Arial" w:cs="Arial" w:eastAsia="Arial" w:hAnsi="Arial"/>
          <w:sz w:val="20"/>
          <w:szCs w:val="20"/>
          <w:i w:val="1"/>
          <w:iCs w:val="1"/>
          <w:color w:val="auto"/>
        </w:rPr>
        <w:t xml:space="preserve">Electricity sales </w:t>
      </w:r>
      <w:r>
        <w:rPr>
          <w:rFonts w:ascii="Arial" w:cs="Arial" w:eastAsia="Arial" w:hAnsi="Arial"/>
          <w:sz w:val="20"/>
          <w:szCs w:val="20"/>
          <w:color w:val="auto"/>
        </w:rPr>
        <w:t>— Electricity sales increased by $89 million to $261 million during the year ended</w:t>
      </w:r>
      <w:r>
        <w:rPr>
          <w:rFonts w:ascii="Arial" w:cs="Arial" w:eastAsia="Arial" w:hAnsi="Arial"/>
          <w:sz w:val="20"/>
          <w:szCs w:val="20"/>
          <w:i w:val="1"/>
          <w:iCs w:val="1"/>
          <w:color w:val="auto"/>
        </w:rPr>
        <w:t xml:space="preserve"> </w:t>
      </w:r>
      <w:r>
        <w:rPr>
          <w:rFonts w:ascii="Arial" w:cs="Arial" w:eastAsia="Arial" w:hAnsi="Arial"/>
          <w:sz w:val="20"/>
          <w:szCs w:val="20"/>
          <w:color w:val="auto"/>
        </w:rPr>
        <w:t>December 31, 2022 compared to $172 million for the year ended December 31, 2021. The increase was predominantly due to higher electricity prices in 2022 resulting from higher natural gas prices.</w:t>
      </w:r>
    </w:p>
    <w:p>
      <w:pPr>
        <w:spacing w:after="0" w:line="204" w:lineRule="exact"/>
        <w:rPr>
          <w:sz w:val="20"/>
          <w:szCs w:val="20"/>
          <w:color w:val="auto"/>
        </w:rPr>
      </w:pPr>
    </w:p>
    <w:p>
      <w:pPr>
        <w:ind w:right="180" w:firstLine="300"/>
        <w:spacing w:after="0" w:line="249" w:lineRule="auto"/>
        <w:rPr>
          <w:sz w:val="20"/>
          <w:szCs w:val="20"/>
          <w:color w:val="auto"/>
        </w:rPr>
      </w:pPr>
      <w:r>
        <w:rPr>
          <w:rFonts w:ascii="Arial" w:cs="Arial" w:eastAsia="Arial" w:hAnsi="Arial"/>
          <w:sz w:val="20"/>
          <w:szCs w:val="20"/>
          <w:i w:val="1"/>
          <w:iCs w:val="1"/>
          <w:color w:val="auto"/>
        </w:rPr>
        <w:t xml:space="preserve">Interest and other revenue </w:t>
      </w:r>
      <w:r>
        <w:rPr>
          <w:rFonts w:ascii="Arial" w:cs="Arial" w:eastAsia="Arial" w:hAnsi="Arial"/>
          <w:sz w:val="20"/>
          <w:szCs w:val="20"/>
          <w:color w:val="auto"/>
        </w:rPr>
        <w:t>— Other revenue increased by $7 million to $40 million for the year</w:t>
      </w:r>
      <w:r>
        <w:rPr>
          <w:rFonts w:ascii="Arial" w:cs="Arial" w:eastAsia="Arial" w:hAnsi="Arial"/>
          <w:sz w:val="20"/>
          <w:szCs w:val="20"/>
          <w:i w:val="1"/>
          <w:iCs w:val="1"/>
          <w:color w:val="auto"/>
        </w:rPr>
        <w:t xml:space="preserve"> </w:t>
      </w:r>
      <w:r>
        <w:rPr>
          <w:rFonts w:ascii="Arial" w:cs="Arial" w:eastAsia="Arial" w:hAnsi="Arial"/>
          <w:sz w:val="20"/>
          <w:szCs w:val="20"/>
          <w:color w:val="auto"/>
        </w:rPr>
        <w:t>ended December 31, 2022, compared to $33 million for the year ended December 31, 2021 primarily due to increased sales of purchased NGL volumes which were acquired to meet our delivery commitments while one of our cryogenic gas processing facilities was down for planned maintenance in the first quarter of 2022.</w:t>
      </w:r>
    </w:p>
    <w:p>
      <w:pPr>
        <w:sectPr>
          <w:pgSz w:w="11880" w:h="15480" w:orient="portrait"/>
          <w:cols w:equalWidth="0" w:num="1">
            <w:col w:w="9120"/>
          </w:cols>
          <w:pgMar w:left="1380" w:top="1314"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ectPr>
          <w:pgSz w:w="11880" w:h="15480" w:orient="portrait"/>
          <w:cols w:equalWidth="0" w:num="1">
            <w:col w:w="9120"/>
          </w:cols>
          <w:pgMar w:left="1380" w:top="1314" w:right="1380" w:bottom="655" w:gutter="0" w:footer="0" w:header="0"/>
          <w:type w:val="continuous"/>
        </w:sectPr>
      </w:pPr>
    </w:p>
    <w:bookmarkStart w:id="79" w:name="page80"/>
    <w:bookmarkEnd w:id="79"/>
    <w:p>
      <w:pPr>
        <w:ind w:right="140" w:firstLine="300"/>
        <w:spacing w:after="0" w:line="243" w:lineRule="auto"/>
        <w:rPr>
          <w:sz w:val="20"/>
          <w:szCs w:val="20"/>
          <w:color w:val="auto"/>
        </w:rPr>
      </w:pPr>
      <w:r>
        <w:rPr>
          <w:rFonts w:ascii="Arial" w:cs="Arial" w:eastAsia="Arial" w:hAnsi="Arial"/>
          <w:sz w:val="20"/>
          <w:szCs w:val="20"/>
          <w:color w:val="auto"/>
        </w:rPr>
        <w:t>The following table presents our consolidated expenses, income tax (provision) benefit and income attributable to noncontrolling interest: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20"/>
                <w:szCs w:val="20"/>
                <w:b w:val="1"/>
                <w:bCs w:val="1"/>
                <w:color w:val="auto"/>
              </w:rPr>
              <w:t>Year ended</w:t>
            </w:r>
          </w:p>
        </w:tc>
        <w:tc>
          <w:tcPr>
            <w:tcW w:w="120" w:type="dxa"/>
            <w:vAlign w:val="bottom"/>
          </w:tcPr>
          <w:p>
            <w:pPr>
              <w:spacing w:after="0"/>
              <w:rPr>
                <w:sz w:val="19"/>
                <w:szCs w:val="19"/>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20"/>
                <w:szCs w:val="20"/>
                <w:b w:val="1"/>
                <w:bCs w:val="1"/>
                <w:color w:val="auto"/>
              </w:rPr>
              <w:t>Year ended</w:t>
            </w:r>
          </w:p>
        </w:tc>
        <w:tc>
          <w:tcPr>
            <w:tcW w:w="0" w:type="dxa"/>
            <w:vAlign w:val="bottom"/>
          </w:tcPr>
          <w:p>
            <w:pPr>
              <w:spacing w:after="0"/>
              <w:rPr>
                <w:sz w:val="1"/>
                <w:szCs w:val="1"/>
                <w:color w:val="auto"/>
              </w:rPr>
            </w:pPr>
          </w:p>
        </w:tc>
      </w:tr>
      <w:tr>
        <w:trPr>
          <w:trHeight w:val="228"/>
        </w:trPr>
        <w:tc>
          <w:tcPr>
            <w:tcW w:w="6180" w:type="dxa"/>
            <w:vAlign w:val="bottom"/>
          </w:tcPr>
          <w:p>
            <w:pPr>
              <w:spacing w:after="0"/>
              <w:rPr>
                <w:sz w:val="19"/>
                <w:szCs w:val="19"/>
                <w:color w:val="auto"/>
              </w:rPr>
            </w:pPr>
          </w:p>
        </w:tc>
        <w:tc>
          <w:tcPr>
            <w:tcW w:w="1580" w:type="dxa"/>
            <w:vAlign w:val="bottom"/>
            <w:gridSpan w:val="3"/>
          </w:tcPr>
          <w:p>
            <w:pPr>
              <w:jc w:val="center"/>
              <w:ind w:right="200"/>
              <w:spacing w:after="0" w:line="228" w:lineRule="exact"/>
              <w:rPr>
                <w:sz w:val="20"/>
                <w:szCs w:val="20"/>
                <w:color w:val="auto"/>
              </w:rPr>
            </w:pPr>
            <w:r>
              <w:rPr>
                <w:rFonts w:ascii="Arial" w:cs="Arial" w:eastAsia="Arial" w:hAnsi="Arial"/>
                <w:sz w:val="20"/>
                <w:szCs w:val="20"/>
                <w:b w:val="1"/>
                <w:bCs w:val="1"/>
                <w:color w:val="auto"/>
                <w:w w:val="99"/>
              </w:rPr>
              <w:t>December 31,</w:t>
            </w:r>
          </w:p>
        </w:tc>
        <w:tc>
          <w:tcPr>
            <w:tcW w:w="1420" w:type="dxa"/>
            <w:vAlign w:val="bottom"/>
            <w:gridSpan w:val="3"/>
          </w:tcPr>
          <w:p>
            <w:pPr>
              <w:jc w:val="center"/>
              <w:ind w:right="80"/>
              <w:spacing w:after="0" w:line="228" w:lineRule="exact"/>
              <w:rPr>
                <w:sz w:val="20"/>
                <w:szCs w:val="20"/>
                <w:color w:val="auto"/>
              </w:rPr>
            </w:pPr>
            <w:r>
              <w:rPr>
                <w:rFonts w:ascii="Arial" w:cs="Arial" w:eastAsia="Arial" w:hAnsi="Arial"/>
                <w:sz w:val="20"/>
                <w:szCs w:val="20"/>
                <w:b w:val="1"/>
                <w:bCs w:val="1"/>
                <w:color w:val="auto"/>
                <w:w w:val="99"/>
              </w:rPr>
              <w:t>December 31,</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center"/>
              <w:ind w:right="21"/>
              <w:spacing w:after="0"/>
              <w:rPr>
                <w:sz w:val="20"/>
                <w:szCs w:val="20"/>
                <w:color w:val="auto"/>
              </w:rPr>
            </w:pPr>
            <w:r>
              <w:rPr>
                <w:rFonts w:ascii="Arial" w:cs="Arial" w:eastAsia="Arial" w:hAnsi="Arial"/>
                <w:sz w:val="20"/>
                <w:szCs w:val="20"/>
                <w:b w:val="1"/>
                <w:bCs w:val="1"/>
                <w:color w:val="auto"/>
                <w:w w:val="98"/>
              </w:rPr>
              <w:t>2022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20"/>
              <w:spacing w:after="0"/>
              <w:rPr>
                <w:sz w:val="20"/>
                <w:szCs w:val="20"/>
                <w:color w:val="auto"/>
              </w:rPr>
            </w:pPr>
            <w:r>
              <w:rPr>
                <w:rFonts w:ascii="Arial" w:cs="Arial" w:eastAsia="Arial" w:hAnsi="Arial"/>
                <w:sz w:val="20"/>
                <w:szCs w:val="20"/>
                <w:b w:val="1"/>
                <w:bCs w:val="1"/>
                <w:color w:val="auto"/>
                <w:w w:val="98"/>
              </w:rPr>
              <w:t>2021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20"/>
                <w:szCs w:val="20"/>
                <w:b w:val="1"/>
                <w:bCs w:val="1"/>
                <w:color w:val="auto"/>
              </w:rPr>
              <w:t>Operating expenses</w:t>
            </w: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1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2860" w:type="dxa"/>
            <w:vAlign w:val="bottom"/>
            <w:gridSpan w:val="5"/>
          </w:tcPr>
          <w:p>
            <w:pPr>
              <w:jc w:val="right"/>
              <w:ind w:right="1080"/>
              <w:spacing w:after="0"/>
              <w:rPr>
                <w:sz w:val="20"/>
                <w:szCs w:val="20"/>
                <w:color w:val="auto"/>
              </w:rPr>
            </w:pPr>
            <w:r>
              <w:rPr>
                <w:rFonts w:ascii="Arial" w:cs="Arial" w:eastAsia="Arial" w:hAnsi="Arial"/>
                <w:sz w:val="16"/>
                <w:szCs w:val="16"/>
                <w:color w:val="auto"/>
              </w:rPr>
              <w:t>(in millions)</w:t>
            </w:r>
          </w:p>
        </w:tc>
        <w:tc>
          <w:tcPr>
            <w:tcW w:w="0" w:type="dxa"/>
            <w:vAlign w:val="bottom"/>
          </w:tcPr>
          <w:p>
            <w:pPr>
              <w:spacing w:after="0"/>
              <w:rPr>
                <w:sz w:val="1"/>
                <w:szCs w:val="1"/>
                <w:color w:val="auto"/>
              </w:rPr>
            </w:pPr>
          </w:p>
        </w:tc>
      </w:tr>
      <w:tr>
        <w:trPr>
          <w:trHeight w:val="216"/>
        </w:trPr>
        <w:tc>
          <w:tcPr>
            <w:tcW w:w="618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6"/>
              </w:rPr>
              <w:t>Energy operating costs . . . . . . . . . . . . . . . . . . . . . . . . . . . . . . . . . . . . .</w:t>
            </w:r>
          </w:p>
        </w:tc>
        <w:tc>
          <w:tcPr>
            <w:tcW w:w="140" w:type="dxa"/>
            <w:vAlign w:val="bottom"/>
          </w:tcPr>
          <w:p>
            <w:pPr>
              <w:jc w:val="right"/>
              <w:spacing w:after="0" w:line="216" w:lineRule="exact"/>
              <w:rPr>
                <w:sz w:val="20"/>
                <w:szCs w:val="20"/>
                <w:color w:val="auto"/>
              </w:rPr>
            </w:pPr>
            <w:r>
              <w:rPr>
                <w:rFonts w:ascii="Arial" w:cs="Arial" w:eastAsia="Arial" w:hAnsi="Arial"/>
                <w:sz w:val="20"/>
                <w:szCs w:val="20"/>
                <w:color w:val="auto"/>
                <w:w w:val="89"/>
              </w:rPr>
              <w:t>$</w:t>
            </w:r>
          </w:p>
        </w:tc>
        <w:tc>
          <w:tcPr>
            <w:tcW w:w="1240" w:type="dxa"/>
            <w:vAlign w:val="bottom"/>
          </w:tcPr>
          <w:p>
            <w:pPr>
              <w:jc w:val="right"/>
              <w:spacing w:after="0" w:line="216" w:lineRule="exact"/>
              <w:rPr>
                <w:sz w:val="20"/>
                <w:szCs w:val="20"/>
                <w:color w:val="auto"/>
              </w:rPr>
            </w:pPr>
            <w:r>
              <w:rPr>
                <w:rFonts w:ascii="Arial" w:cs="Arial" w:eastAsia="Arial" w:hAnsi="Arial"/>
                <w:sz w:val="20"/>
                <w:szCs w:val="20"/>
                <w:color w:val="auto"/>
              </w:rPr>
              <w:t>323</w:t>
            </w:r>
          </w:p>
        </w:tc>
        <w:tc>
          <w:tcPr>
            <w:tcW w:w="200" w:type="dxa"/>
            <w:vAlign w:val="bottom"/>
          </w:tcPr>
          <w:p>
            <w:pPr>
              <w:spacing w:after="0"/>
              <w:rPr>
                <w:sz w:val="18"/>
                <w:szCs w:val="18"/>
                <w:color w:val="auto"/>
              </w:rPr>
            </w:pPr>
          </w:p>
        </w:tc>
        <w:tc>
          <w:tcPr>
            <w:tcW w:w="120" w:type="dxa"/>
            <w:vAlign w:val="bottom"/>
          </w:tcPr>
          <w:p>
            <w:pPr>
              <w:jc w:val="right"/>
              <w:spacing w:after="0" w:line="216" w:lineRule="exact"/>
              <w:rPr>
                <w:sz w:val="20"/>
                <w:szCs w:val="20"/>
                <w:color w:val="auto"/>
              </w:rPr>
            </w:pPr>
            <w:r>
              <w:rPr>
                <w:rFonts w:ascii="Arial" w:cs="Arial" w:eastAsia="Arial" w:hAnsi="Arial"/>
                <w:sz w:val="20"/>
                <w:szCs w:val="20"/>
                <w:color w:val="auto"/>
                <w:w w:val="89"/>
              </w:rPr>
              <w:t>$</w:t>
            </w:r>
          </w:p>
        </w:tc>
        <w:tc>
          <w:tcPr>
            <w:tcW w:w="1300" w:type="dxa"/>
            <w:vAlign w:val="bottom"/>
            <w:gridSpan w:val="2"/>
          </w:tcPr>
          <w:p>
            <w:pPr>
              <w:jc w:val="right"/>
              <w:ind w:right="60"/>
              <w:spacing w:after="0" w:line="216" w:lineRule="exact"/>
              <w:rPr>
                <w:sz w:val="20"/>
                <w:szCs w:val="20"/>
                <w:color w:val="auto"/>
              </w:rPr>
            </w:pPr>
            <w:r>
              <w:rPr>
                <w:rFonts w:ascii="Arial" w:cs="Arial" w:eastAsia="Arial" w:hAnsi="Arial"/>
                <w:sz w:val="20"/>
                <w:szCs w:val="20"/>
                <w:color w:val="auto"/>
              </w:rPr>
              <w:t>255</w:t>
            </w:r>
          </w:p>
        </w:tc>
        <w:tc>
          <w:tcPr>
            <w:tcW w:w="0" w:type="dxa"/>
            <w:vAlign w:val="bottom"/>
          </w:tcPr>
          <w:p>
            <w:pPr>
              <w:spacing w:after="0"/>
              <w:rPr>
                <w:sz w:val="1"/>
                <w:szCs w:val="1"/>
                <w:color w:val="auto"/>
              </w:rPr>
            </w:pPr>
          </w:p>
        </w:tc>
      </w:tr>
      <w:tr>
        <w:trPr>
          <w:trHeight w:val="216"/>
        </w:trPr>
        <w:tc>
          <w:tcPr>
            <w:tcW w:w="618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7"/>
              </w:rPr>
              <w:t>Gas processing costs . . . . . . . . . . . . . . . . . . . . . . . . . . . . . . . . . . . . . .</w:t>
            </w:r>
          </w:p>
        </w:tc>
        <w:tc>
          <w:tcPr>
            <w:tcW w:w="14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Arial" w:cs="Arial" w:eastAsia="Arial" w:hAnsi="Arial"/>
                <w:sz w:val="20"/>
                <w:szCs w:val="20"/>
                <w:color w:val="auto"/>
              </w:rPr>
              <w:t>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0"/>
              <w:spacing w:after="0" w:line="216" w:lineRule="exact"/>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216"/>
        </w:trPr>
        <w:tc>
          <w:tcPr>
            <w:tcW w:w="618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7"/>
              </w:rPr>
              <w:t>Non-energy operating costs . . . . . . . . . . . . . . . . . . . . . . . . . . . . . . . . .</w:t>
            </w:r>
          </w:p>
        </w:tc>
        <w:tc>
          <w:tcPr>
            <w:tcW w:w="14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Arial" w:cs="Arial" w:eastAsia="Arial" w:hAnsi="Arial"/>
                <w:sz w:val="20"/>
                <w:szCs w:val="20"/>
                <w:color w:val="auto"/>
              </w:rPr>
              <w:t>445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0"/>
              <w:spacing w:after="0" w:line="216" w:lineRule="exact"/>
              <w:rPr>
                <w:sz w:val="20"/>
                <w:szCs w:val="20"/>
                <w:color w:val="auto"/>
              </w:rPr>
            </w:pPr>
            <w:r>
              <w:rPr>
                <w:rFonts w:ascii="Arial" w:cs="Arial" w:eastAsia="Arial" w:hAnsi="Arial"/>
                <w:sz w:val="20"/>
                <w:szCs w:val="20"/>
                <w:color w:val="auto"/>
              </w:rPr>
              <w:t>430</w:t>
            </w:r>
          </w:p>
        </w:tc>
        <w:tc>
          <w:tcPr>
            <w:tcW w:w="0" w:type="dxa"/>
            <w:vAlign w:val="bottom"/>
          </w:tcPr>
          <w:p>
            <w:pPr>
              <w:spacing w:after="0"/>
              <w:rPr>
                <w:sz w:val="1"/>
                <w:szCs w:val="1"/>
                <w:color w:val="auto"/>
              </w:rPr>
            </w:pPr>
          </w:p>
        </w:tc>
      </w:tr>
      <w:tr>
        <w:trPr>
          <w:trHeight w:val="216"/>
        </w:trPr>
        <w:tc>
          <w:tcPr>
            <w:tcW w:w="618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7"/>
              </w:rPr>
              <w:t>General and administrative expenses . . . . . . . . . . . . . . . . . . . . . . . . .</w:t>
            </w:r>
          </w:p>
        </w:tc>
        <w:tc>
          <w:tcPr>
            <w:tcW w:w="14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Arial" w:cs="Arial" w:eastAsia="Arial" w:hAnsi="Arial"/>
                <w:sz w:val="20"/>
                <w:szCs w:val="20"/>
                <w:color w:val="auto"/>
              </w:rPr>
              <w:t>222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0"/>
              <w:spacing w:after="0" w:line="216" w:lineRule="exact"/>
              <w:rPr>
                <w:sz w:val="20"/>
                <w:szCs w:val="20"/>
                <w:color w:val="auto"/>
              </w:rPr>
            </w:pPr>
            <w:r>
              <w:rPr>
                <w:rFonts w:ascii="Arial" w:cs="Arial" w:eastAsia="Arial" w:hAnsi="Arial"/>
                <w:sz w:val="20"/>
                <w:szCs w:val="20"/>
                <w:color w:val="auto"/>
              </w:rPr>
              <w:t>200</w:t>
            </w:r>
          </w:p>
        </w:tc>
        <w:tc>
          <w:tcPr>
            <w:tcW w:w="0" w:type="dxa"/>
            <w:vAlign w:val="bottom"/>
          </w:tcPr>
          <w:p>
            <w:pPr>
              <w:spacing w:after="0"/>
              <w:rPr>
                <w:sz w:val="1"/>
                <w:szCs w:val="1"/>
                <w:color w:val="auto"/>
              </w:rPr>
            </w:pPr>
          </w:p>
        </w:tc>
      </w:tr>
      <w:tr>
        <w:trPr>
          <w:trHeight w:val="216"/>
        </w:trPr>
        <w:tc>
          <w:tcPr>
            <w:tcW w:w="618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7"/>
              </w:rPr>
              <w:t>Depreciation, depletion and amortization  . . . . . . . . . . . . . . . . . . . . . .</w:t>
            </w:r>
          </w:p>
        </w:tc>
        <w:tc>
          <w:tcPr>
            <w:tcW w:w="14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Arial" w:cs="Arial" w:eastAsia="Arial" w:hAnsi="Arial"/>
                <w:sz w:val="20"/>
                <w:szCs w:val="20"/>
                <w:color w:val="auto"/>
              </w:rPr>
              <w:t>198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0"/>
              <w:spacing w:after="0" w:line="216" w:lineRule="exact"/>
              <w:rPr>
                <w:sz w:val="20"/>
                <w:szCs w:val="20"/>
                <w:color w:val="auto"/>
              </w:rPr>
            </w:pPr>
            <w:r>
              <w:rPr>
                <w:rFonts w:ascii="Arial" w:cs="Arial" w:eastAsia="Arial" w:hAnsi="Arial"/>
                <w:sz w:val="20"/>
                <w:szCs w:val="20"/>
                <w:color w:val="auto"/>
              </w:rPr>
              <w:t>213</w:t>
            </w:r>
          </w:p>
        </w:tc>
        <w:tc>
          <w:tcPr>
            <w:tcW w:w="0" w:type="dxa"/>
            <w:vAlign w:val="bottom"/>
          </w:tcPr>
          <w:p>
            <w:pPr>
              <w:spacing w:after="0"/>
              <w:rPr>
                <w:sz w:val="1"/>
                <w:szCs w:val="1"/>
                <w:color w:val="auto"/>
              </w:rPr>
            </w:pPr>
          </w:p>
        </w:tc>
      </w:tr>
      <w:tr>
        <w:trPr>
          <w:trHeight w:val="216"/>
        </w:trPr>
        <w:tc>
          <w:tcPr>
            <w:tcW w:w="618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6"/>
              </w:rPr>
              <w:t>Asset impairments  . . . . . . . . . . . . . . . . . . . . . . . . . . . . . . . . . . . . . . . .</w:t>
            </w:r>
          </w:p>
        </w:tc>
        <w:tc>
          <w:tcPr>
            <w:tcW w:w="14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Arial" w:cs="Arial" w:eastAsia="Arial" w:hAnsi="Arial"/>
                <w:sz w:val="20"/>
                <w:szCs w:val="20"/>
                <w:color w:val="auto"/>
              </w:rPr>
              <w:t>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0"/>
              <w:spacing w:after="0" w:line="216" w:lineRule="exact"/>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216"/>
        </w:trPr>
        <w:tc>
          <w:tcPr>
            <w:tcW w:w="618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6"/>
              </w:rPr>
              <w:t>Taxes other than on income . . . . . . . . . . . . . . . . . . . . . . . . . . . . . . . . .</w:t>
            </w:r>
          </w:p>
        </w:tc>
        <w:tc>
          <w:tcPr>
            <w:tcW w:w="14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Arial" w:cs="Arial" w:eastAsia="Arial" w:hAnsi="Arial"/>
                <w:sz w:val="20"/>
                <w:szCs w:val="20"/>
                <w:color w:val="auto"/>
              </w:rPr>
              <w:t>162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0"/>
              <w:spacing w:after="0" w:line="216" w:lineRule="exact"/>
              <w:rPr>
                <w:sz w:val="20"/>
                <w:szCs w:val="20"/>
                <w:color w:val="auto"/>
              </w:rPr>
            </w:pPr>
            <w:r>
              <w:rPr>
                <w:rFonts w:ascii="Arial" w:cs="Arial" w:eastAsia="Arial" w:hAnsi="Arial"/>
                <w:sz w:val="20"/>
                <w:szCs w:val="20"/>
                <w:color w:val="auto"/>
              </w:rPr>
              <w:t>145</w:t>
            </w:r>
          </w:p>
        </w:tc>
        <w:tc>
          <w:tcPr>
            <w:tcW w:w="0" w:type="dxa"/>
            <w:vAlign w:val="bottom"/>
          </w:tcPr>
          <w:p>
            <w:pPr>
              <w:spacing w:after="0"/>
              <w:rPr>
                <w:sz w:val="1"/>
                <w:szCs w:val="1"/>
                <w:color w:val="auto"/>
              </w:rPr>
            </w:pPr>
          </w:p>
        </w:tc>
      </w:tr>
      <w:tr>
        <w:trPr>
          <w:trHeight w:val="216"/>
        </w:trPr>
        <w:tc>
          <w:tcPr>
            <w:tcW w:w="618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6"/>
              </w:rPr>
              <w:t>Exploration expense . . . . . . . . . . . . . . . . . . . . . . . . . . . . . . . . . . . . . . .</w:t>
            </w:r>
          </w:p>
        </w:tc>
        <w:tc>
          <w:tcPr>
            <w:tcW w:w="14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Arial" w:cs="Arial" w:eastAsia="Arial" w:hAnsi="Arial"/>
                <w:sz w:val="20"/>
                <w:szCs w:val="20"/>
                <w:color w:val="auto"/>
              </w:rPr>
              <w:t>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0"/>
              <w:spacing w:after="0" w:line="216" w:lineRule="exact"/>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16"/>
        </w:trPr>
        <w:tc>
          <w:tcPr>
            <w:tcW w:w="618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7"/>
              </w:rPr>
              <w:t>Purchased natural gas expense  . . . . . . . . . . . . . . . . . . . . . . . . . . . . .</w:t>
            </w:r>
          </w:p>
        </w:tc>
        <w:tc>
          <w:tcPr>
            <w:tcW w:w="14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Arial" w:cs="Arial" w:eastAsia="Arial" w:hAnsi="Arial"/>
                <w:sz w:val="20"/>
                <w:szCs w:val="20"/>
                <w:color w:val="auto"/>
              </w:rPr>
              <w:t>273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0"/>
              <w:spacing w:after="0" w:line="216" w:lineRule="exact"/>
              <w:rPr>
                <w:sz w:val="20"/>
                <w:szCs w:val="20"/>
                <w:color w:val="auto"/>
              </w:rPr>
            </w:pPr>
            <w:r>
              <w:rPr>
                <w:rFonts w:ascii="Arial" w:cs="Arial" w:eastAsia="Arial" w:hAnsi="Arial"/>
                <w:sz w:val="20"/>
                <w:szCs w:val="20"/>
                <w:color w:val="auto"/>
              </w:rPr>
              <w:t>196</w:t>
            </w:r>
          </w:p>
        </w:tc>
        <w:tc>
          <w:tcPr>
            <w:tcW w:w="0" w:type="dxa"/>
            <w:vAlign w:val="bottom"/>
          </w:tcPr>
          <w:p>
            <w:pPr>
              <w:spacing w:after="0"/>
              <w:rPr>
                <w:sz w:val="1"/>
                <w:szCs w:val="1"/>
                <w:color w:val="auto"/>
              </w:rPr>
            </w:pPr>
          </w:p>
        </w:tc>
      </w:tr>
      <w:tr>
        <w:trPr>
          <w:trHeight w:val="216"/>
        </w:trPr>
        <w:tc>
          <w:tcPr>
            <w:tcW w:w="618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7"/>
              </w:rPr>
              <w:t>Electricity generation expenses . . . . . . . . . . . . . . . . . . . . . . . . . . . . . .</w:t>
            </w:r>
          </w:p>
        </w:tc>
        <w:tc>
          <w:tcPr>
            <w:tcW w:w="14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Arial" w:cs="Arial" w:eastAsia="Arial" w:hAnsi="Arial"/>
                <w:sz w:val="20"/>
                <w:szCs w:val="20"/>
                <w:color w:val="auto"/>
              </w:rPr>
              <w:t>167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0"/>
              <w:spacing w:after="0" w:line="216" w:lineRule="exact"/>
              <w:rPr>
                <w:sz w:val="20"/>
                <w:szCs w:val="20"/>
                <w:color w:val="auto"/>
              </w:rPr>
            </w:pPr>
            <w:r>
              <w:rPr>
                <w:rFonts w:ascii="Arial" w:cs="Arial" w:eastAsia="Arial" w:hAnsi="Arial"/>
                <w:sz w:val="20"/>
                <w:szCs w:val="20"/>
                <w:color w:val="auto"/>
              </w:rPr>
              <w:t>96</w:t>
            </w:r>
          </w:p>
        </w:tc>
        <w:tc>
          <w:tcPr>
            <w:tcW w:w="0" w:type="dxa"/>
            <w:vAlign w:val="bottom"/>
          </w:tcPr>
          <w:p>
            <w:pPr>
              <w:spacing w:after="0"/>
              <w:rPr>
                <w:sz w:val="1"/>
                <w:szCs w:val="1"/>
                <w:color w:val="auto"/>
              </w:rPr>
            </w:pPr>
          </w:p>
        </w:tc>
      </w:tr>
      <w:tr>
        <w:trPr>
          <w:trHeight w:val="216"/>
        </w:trPr>
        <w:tc>
          <w:tcPr>
            <w:tcW w:w="618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6"/>
              </w:rPr>
              <w:t>Transportation costs . . . . . . . . . . . . . . . . . . . . . . . . . . . . . . . . . . . . . . .</w:t>
            </w:r>
          </w:p>
        </w:tc>
        <w:tc>
          <w:tcPr>
            <w:tcW w:w="14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Arial" w:cs="Arial" w:eastAsia="Arial" w:hAnsi="Arial"/>
                <w:sz w:val="20"/>
                <w:szCs w:val="20"/>
                <w:color w:val="auto"/>
              </w:rPr>
              <w:t>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0"/>
              <w:spacing w:after="0" w:line="216" w:lineRule="exact"/>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198"/>
        </w:trPr>
        <w:tc>
          <w:tcPr>
            <w:tcW w:w="6180" w:type="dxa"/>
            <w:vAlign w:val="bottom"/>
          </w:tcPr>
          <w:p>
            <w:pPr>
              <w:jc w:val="right"/>
              <w:ind w:right="100"/>
              <w:spacing w:after="0" w:line="198" w:lineRule="exact"/>
              <w:rPr>
                <w:sz w:val="20"/>
                <w:szCs w:val="20"/>
                <w:color w:val="auto"/>
              </w:rPr>
            </w:pPr>
            <w:r>
              <w:rPr>
                <w:rFonts w:ascii="Arial" w:cs="Arial" w:eastAsia="Arial" w:hAnsi="Arial"/>
                <w:sz w:val="20"/>
                <w:szCs w:val="20"/>
                <w:color w:val="auto"/>
                <w:w w:val="96"/>
              </w:rPr>
              <w:t>Accretion expense  . . . . . . . . . . . . . . . . . . . . . . . . . . . . . . . . . . . . . . . .</w:t>
            </w:r>
          </w:p>
        </w:tc>
        <w:tc>
          <w:tcPr>
            <w:tcW w:w="140" w:type="dxa"/>
            <w:vAlign w:val="bottom"/>
          </w:tcPr>
          <w:p>
            <w:pPr>
              <w:spacing w:after="0"/>
              <w:rPr>
                <w:sz w:val="17"/>
                <w:szCs w:val="17"/>
                <w:color w:val="auto"/>
              </w:rPr>
            </w:pPr>
          </w:p>
        </w:tc>
        <w:tc>
          <w:tcPr>
            <w:tcW w:w="1240" w:type="dxa"/>
            <w:vAlign w:val="bottom"/>
          </w:tcPr>
          <w:p>
            <w:pPr>
              <w:jc w:val="right"/>
              <w:spacing w:after="0" w:line="198" w:lineRule="exact"/>
              <w:rPr>
                <w:sz w:val="20"/>
                <w:szCs w:val="20"/>
                <w:color w:val="auto"/>
              </w:rPr>
            </w:pPr>
            <w:r>
              <w:rPr>
                <w:rFonts w:ascii="Arial" w:cs="Arial" w:eastAsia="Arial" w:hAnsi="Arial"/>
                <w:sz w:val="20"/>
                <w:szCs w:val="20"/>
                <w:color w:val="auto"/>
              </w:rPr>
              <w:t>43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60"/>
              <w:spacing w:after="0" w:line="198" w:lineRule="exact"/>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226"/>
        </w:trPr>
        <w:tc>
          <w:tcPr>
            <w:tcW w:w="6180" w:type="dxa"/>
            <w:vAlign w:val="bottom"/>
          </w:tcPr>
          <w:p>
            <w:pPr>
              <w:jc w:val="right"/>
              <w:ind w:right="100"/>
              <w:spacing w:after="0" w:line="226" w:lineRule="exact"/>
              <w:rPr>
                <w:sz w:val="20"/>
                <w:szCs w:val="20"/>
                <w:color w:val="auto"/>
              </w:rPr>
            </w:pPr>
            <w:r>
              <w:rPr>
                <w:rFonts w:ascii="Arial" w:cs="Arial" w:eastAsia="Arial" w:hAnsi="Arial"/>
                <w:sz w:val="20"/>
                <w:szCs w:val="20"/>
                <w:color w:val="auto"/>
                <w:w w:val="97"/>
              </w:rPr>
              <w:t>Other operating expenses, net . . . . . . . . . . . . . . . . . . . . . . . . . . . . . . .</w:t>
            </w:r>
          </w:p>
        </w:tc>
        <w:tc>
          <w:tcPr>
            <w:tcW w:w="140" w:type="dxa"/>
            <w:vAlign w:val="bottom"/>
          </w:tcPr>
          <w:p>
            <w:pPr>
              <w:spacing w:after="0"/>
              <w:rPr>
                <w:sz w:val="19"/>
                <w:szCs w:val="19"/>
                <w:color w:val="auto"/>
              </w:rPr>
            </w:pPr>
          </w:p>
        </w:tc>
        <w:tc>
          <w:tcPr>
            <w:tcW w:w="1240" w:type="dxa"/>
            <w:vAlign w:val="bottom"/>
          </w:tcPr>
          <w:p>
            <w:pPr>
              <w:jc w:val="right"/>
              <w:spacing w:after="0" w:line="226" w:lineRule="exact"/>
              <w:rPr>
                <w:sz w:val="20"/>
                <w:szCs w:val="20"/>
                <w:color w:val="auto"/>
              </w:rPr>
            </w:pPr>
            <w:r>
              <w:rPr>
                <w:rFonts w:ascii="Arial" w:cs="Arial" w:eastAsia="Arial" w:hAnsi="Arial"/>
                <w:sz w:val="20"/>
                <w:szCs w:val="20"/>
                <w:color w:val="auto"/>
              </w:rPr>
              <w:t>48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60"/>
              <w:spacing w:after="0" w:line="226" w:lineRule="exact"/>
              <w:rPr>
                <w:sz w:val="20"/>
                <w:szCs w:val="20"/>
                <w:color w:val="auto"/>
              </w:rPr>
            </w:pPr>
            <w:r>
              <w:rPr>
                <w:rFonts w:ascii="Arial" w:cs="Arial" w:eastAsia="Arial" w:hAnsi="Arial"/>
                <w:sz w:val="20"/>
                <w:szCs w:val="20"/>
                <w:color w:val="auto"/>
              </w:rPr>
              <w:t>29</w:t>
            </w:r>
          </w:p>
        </w:tc>
        <w:tc>
          <w:tcPr>
            <w:tcW w:w="0" w:type="dxa"/>
            <w:vAlign w:val="bottom"/>
          </w:tcPr>
          <w:p>
            <w:pPr>
              <w:spacing w:after="0"/>
              <w:rPr>
                <w:sz w:val="1"/>
                <w:szCs w:val="1"/>
                <w:color w:val="auto"/>
              </w:rPr>
            </w:pPr>
          </w:p>
        </w:tc>
      </w:tr>
      <w:tr>
        <w:trPr>
          <w:trHeight w:val="28"/>
        </w:trPr>
        <w:tc>
          <w:tcPr>
            <w:tcW w:w="6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6180" w:type="dxa"/>
            <w:vAlign w:val="bottom"/>
          </w:tcPr>
          <w:p>
            <w:pPr>
              <w:jc w:val="right"/>
              <w:ind w:right="100"/>
              <w:spacing w:after="0" w:line="228" w:lineRule="exact"/>
              <w:rPr>
                <w:sz w:val="20"/>
                <w:szCs w:val="20"/>
                <w:color w:val="auto"/>
              </w:rPr>
            </w:pPr>
            <w:r>
              <w:rPr>
                <w:rFonts w:ascii="Arial" w:cs="Arial" w:eastAsia="Arial" w:hAnsi="Arial"/>
                <w:sz w:val="20"/>
                <w:szCs w:val="20"/>
                <w:color w:val="auto"/>
              </w:rPr>
              <w:t>Total operating expenses . . . . . . . . . . . . . . . . . . . . . . . . . . . . . . . . .</w:t>
            </w:r>
          </w:p>
        </w:tc>
        <w:tc>
          <w:tcPr>
            <w:tcW w:w="140" w:type="dxa"/>
            <w:vAlign w:val="bottom"/>
          </w:tcPr>
          <w:p>
            <w:pPr>
              <w:jc w:val="right"/>
              <w:spacing w:after="0" w:line="228" w:lineRule="exact"/>
              <w:rPr>
                <w:sz w:val="20"/>
                <w:szCs w:val="20"/>
                <w:color w:val="auto"/>
              </w:rPr>
            </w:pPr>
            <w:r>
              <w:rPr>
                <w:rFonts w:ascii="Arial" w:cs="Arial" w:eastAsia="Arial" w:hAnsi="Arial"/>
                <w:sz w:val="20"/>
                <w:szCs w:val="20"/>
                <w:color w:val="auto"/>
                <w:w w:val="89"/>
              </w:rPr>
              <w:t>$</w:t>
            </w:r>
          </w:p>
        </w:tc>
        <w:tc>
          <w:tcPr>
            <w:tcW w:w="1240" w:type="dxa"/>
            <w:vAlign w:val="bottom"/>
          </w:tcPr>
          <w:p>
            <w:pPr>
              <w:jc w:val="right"/>
              <w:spacing w:after="0" w:line="228" w:lineRule="exact"/>
              <w:rPr>
                <w:sz w:val="20"/>
                <w:szCs w:val="20"/>
                <w:color w:val="auto"/>
              </w:rPr>
            </w:pPr>
            <w:r>
              <w:rPr>
                <w:rFonts w:ascii="Arial" w:cs="Arial" w:eastAsia="Arial" w:hAnsi="Arial"/>
                <w:sz w:val="20"/>
                <w:szCs w:val="20"/>
                <w:color w:val="auto"/>
              </w:rPr>
              <w:t>1,954</w:t>
            </w:r>
          </w:p>
        </w:tc>
        <w:tc>
          <w:tcPr>
            <w:tcW w:w="200" w:type="dxa"/>
            <w:vAlign w:val="bottom"/>
          </w:tcPr>
          <w:p>
            <w:pPr>
              <w:spacing w:after="0"/>
              <w:rPr>
                <w:sz w:val="19"/>
                <w:szCs w:val="19"/>
                <w:color w:val="auto"/>
              </w:rPr>
            </w:pPr>
          </w:p>
        </w:tc>
        <w:tc>
          <w:tcPr>
            <w:tcW w:w="120" w:type="dxa"/>
            <w:vAlign w:val="bottom"/>
          </w:tcPr>
          <w:p>
            <w:pPr>
              <w:jc w:val="right"/>
              <w:spacing w:after="0" w:line="228" w:lineRule="exact"/>
              <w:rPr>
                <w:sz w:val="20"/>
                <w:szCs w:val="20"/>
                <w:color w:val="auto"/>
              </w:rPr>
            </w:pPr>
            <w:r>
              <w:rPr>
                <w:rFonts w:ascii="Arial" w:cs="Arial" w:eastAsia="Arial" w:hAnsi="Arial"/>
                <w:sz w:val="20"/>
                <w:szCs w:val="20"/>
                <w:color w:val="auto"/>
                <w:w w:val="89"/>
              </w:rPr>
              <w:t>$</w:t>
            </w:r>
          </w:p>
        </w:tc>
        <w:tc>
          <w:tcPr>
            <w:tcW w:w="1300" w:type="dxa"/>
            <w:vAlign w:val="bottom"/>
            <w:gridSpan w:val="2"/>
          </w:tcPr>
          <w:p>
            <w:pPr>
              <w:jc w:val="right"/>
              <w:ind w:right="60"/>
              <w:spacing w:after="0" w:line="228" w:lineRule="exact"/>
              <w:rPr>
                <w:sz w:val="20"/>
                <w:szCs w:val="20"/>
                <w:color w:val="auto"/>
              </w:rPr>
            </w:pPr>
            <w:r>
              <w:rPr>
                <w:rFonts w:ascii="Arial" w:cs="Arial" w:eastAsia="Arial" w:hAnsi="Arial"/>
                <w:sz w:val="20"/>
                <w:szCs w:val="20"/>
                <w:color w:val="auto"/>
              </w:rPr>
              <w:t>1,720</w:t>
            </w:r>
          </w:p>
        </w:tc>
        <w:tc>
          <w:tcPr>
            <w:tcW w:w="0" w:type="dxa"/>
            <w:vAlign w:val="bottom"/>
          </w:tcPr>
          <w:p>
            <w:pPr>
              <w:spacing w:after="0"/>
              <w:rPr>
                <w:sz w:val="1"/>
                <w:szCs w:val="1"/>
                <w:color w:val="auto"/>
              </w:rPr>
            </w:pPr>
          </w:p>
        </w:tc>
      </w:tr>
      <w:tr>
        <w:trPr>
          <w:trHeight w:val="30"/>
        </w:trPr>
        <w:tc>
          <w:tcPr>
            <w:tcW w:w="6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180" w:type="dxa"/>
            <w:vAlign w:val="bottom"/>
          </w:tcPr>
          <w:p>
            <w:pPr>
              <w:jc w:val="right"/>
              <w:ind w:right="100"/>
              <w:spacing w:after="0" w:line="203" w:lineRule="exact"/>
              <w:rPr>
                <w:sz w:val="20"/>
                <w:szCs w:val="20"/>
                <w:color w:val="auto"/>
              </w:rPr>
            </w:pPr>
            <w:r>
              <w:rPr>
                <w:rFonts w:ascii="Arial" w:cs="Arial" w:eastAsia="Arial" w:hAnsi="Arial"/>
                <w:sz w:val="20"/>
                <w:szCs w:val="20"/>
                <w:color w:val="auto"/>
                <w:w w:val="97"/>
              </w:rPr>
              <w:t>Net gain on asset divestitures  . . . . . . . . . . . . . . . . . . . . . . . . . . . . . . .</w:t>
            </w:r>
          </w:p>
        </w:tc>
        <w:tc>
          <w:tcPr>
            <w:tcW w:w="14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20"/>
                <w:szCs w:val="20"/>
                <w:color w:val="auto"/>
              </w:rPr>
              <w:t>59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60"/>
              <w:spacing w:after="0" w:line="203" w:lineRule="exact"/>
              <w:rPr>
                <w:sz w:val="20"/>
                <w:szCs w:val="20"/>
                <w:color w:val="auto"/>
              </w:rPr>
            </w:pPr>
            <w:r>
              <w:rPr>
                <w:rFonts w:ascii="Arial" w:cs="Arial" w:eastAsia="Arial" w:hAnsi="Arial"/>
                <w:sz w:val="20"/>
                <w:szCs w:val="20"/>
                <w:color w:val="auto"/>
              </w:rPr>
              <w:t>124</w:t>
            </w:r>
          </w:p>
        </w:tc>
        <w:tc>
          <w:tcPr>
            <w:tcW w:w="0" w:type="dxa"/>
            <w:vAlign w:val="bottom"/>
          </w:tcPr>
          <w:p>
            <w:pPr>
              <w:spacing w:after="0"/>
              <w:rPr>
                <w:sz w:val="1"/>
                <w:szCs w:val="1"/>
                <w:color w:val="auto"/>
              </w:rPr>
            </w:pPr>
          </w:p>
        </w:tc>
      </w:tr>
      <w:tr>
        <w:trPr>
          <w:trHeight w:val="226"/>
        </w:trPr>
        <w:tc>
          <w:tcPr>
            <w:tcW w:w="6180" w:type="dxa"/>
            <w:vAlign w:val="bottom"/>
          </w:tcPr>
          <w:p>
            <w:pPr>
              <w:jc w:val="right"/>
              <w:ind w:right="100"/>
              <w:spacing w:after="0" w:line="226" w:lineRule="exact"/>
              <w:rPr>
                <w:sz w:val="20"/>
                <w:szCs w:val="20"/>
                <w:color w:val="auto"/>
              </w:rPr>
            </w:pPr>
            <w:r>
              <w:rPr>
                <w:rFonts w:ascii="Arial" w:cs="Arial" w:eastAsia="Arial" w:hAnsi="Arial"/>
                <w:sz w:val="20"/>
                <w:szCs w:val="20"/>
                <w:color w:val="auto"/>
              </w:rPr>
              <w:t>Operating income (loss) . . . . . . . . . . . . . . . . . . . . . . . . . . . . . . . . . .</w:t>
            </w:r>
          </w:p>
        </w:tc>
        <w:tc>
          <w:tcPr>
            <w:tcW w:w="140" w:type="dxa"/>
            <w:vAlign w:val="bottom"/>
          </w:tcPr>
          <w:p>
            <w:pPr>
              <w:spacing w:after="0"/>
              <w:rPr>
                <w:sz w:val="19"/>
                <w:szCs w:val="19"/>
                <w:color w:val="auto"/>
              </w:rPr>
            </w:pPr>
          </w:p>
        </w:tc>
        <w:tc>
          <w:tcPr>
            <w:tcW w:w="1240" w:type="dxa"/>
            <w:vAlign w:val="bottom"/>
          </w:tcPr>
          <w:p>
            <w:pPr>
              <w:jc w:val="right"/>
              <w:spacing w:after="0" w:line="226" w:lineRule="exact"/>
              <w:rPr>
                <w:sz w:val="20"/>
                <w:szCs w:val="20"/>
                <w:color w:val="auto"/>
              </w:rPr>
            </w:pPr>
            <w:r>
              <w:rPr>
                <w:rFonts w:ascii="Arial" w:cs="Arial" w:eastAsia="Arial" w:hAnsi="Arial"/>
                <w:sz w:val="20"/>
                <w:szCs w:val="20"/>
                <w:color w:val="auto"/>
              </w:rPr>
              <w:t>812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60"/>
              <w:spacing w:after="0" w:line="226" w:lineRule="exact"/>
              <w:rPr>
                <w:sz w:val="20"/>
                <w:szCs w:val="20"/>
                <w:color w:val="auto"/>
              </w:rPr>
            </w:pPr>
            <w:r>
              <w:rPr>
                <w:rFonts w:ascii="Arial" w:cs="Arial" w:eastAsia="Arial" w:hAnsi="Arial"/>
                <w:sz w:val="20"/>
                <w:szCs w:val="20"/>
                <w:color w:val="auto"/>
              </w:rPr>
              <w:t>293</w:t>
            </w:r>
          </w:p>
        </w:tc>
        <w:tc>
          <w:tcPr>
            <w:tcW w:w="0" w:type="dxa"/>
            <w:vAlign w:val="bottom"/>
          </w:tcPr>
          <w:p>
            <w:pPr>
              <w:spacing w:after="0"/>
              <w:rPr>
                <w:sz w:val="1"/>
                <w:szCs w:val="1"/>
                <w:color w:val="auto"/>
              </w:rPr>
            </w:pPr>
          </w:p>
        </w:tc>
      </w:tr>
      <w:tr>
        <w:trPr>
          <w:trHeight w:val="386"/>
        </w:trPr>
        <w:tc>
          <w:tcPr>
            <w:tcW w:w="6180" w:type="dxa"/>
            <w:vAlign w:val="bottom"/>
          </w:tcPr>
          <w:p>
            <w:pPr>
              <w:spacing w:after="0"/>
              <w:rPr>
                <w:sz w:val="20"/>
                <w:szCs w:val="20"/>
                <w:color w:val="auto"/>
              </w:rPr>
            </w:pPr>
            <w:r>
              <w:rPr>
                <w:rFonts w:ascii="Arial" w:cs="Arial" w:eastAsia="Arial" w:hAnsi="Arial"/>
                <w:sz w:val="20"/>
                <w:szCs w:val="20"/>
                <w:b w:val="1"/>
                <w:bCs w:val="1"/>
                <w:color w:val="auto"/>
              </w:rPr>
              <w:t>Non-operating (expenses) income</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18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6"/>
              </w:rPr>
              <w:t>Reorganization items, net . . . . . . . . . . . . . . . . . . . . . . . . . . . . . . . . . . .</w:t>
            </w:r>
          </w:p>
        </w:tc>
        <w:tc>
          <w:tcPr>
            <w:tcW w:w="140" w:type="dxa"/>
            <w:vAlign w:val="bottom"/>
          </w:tcPr>
          <w:p>
            <w:pPr>
              <w:spacing w:after="0"/>
              <w:rPr>
                <w:sz w:val="18"/>
                <w:szCs w:val="18"/>
                <w:color w:val="auto"/>
              </w:rPr>
            </w:pPr>
          </w:p>
        </w:tc>
        <w:tc>
          <w:tcPr>
            <w:tcW w:w="1440" w:type="dxa"/>
            <w:vAlign w:val="bottom"/>
            <w:gridSpan w:val="2"/>
          </w:tcPr>
          <w:p>
            <w:pPr>
              <w:jc w:val="right"/>
              <w:ind w:right="200"/>
              <w:spacing w:after="0" w:line="216"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8"/>
                <w:szCs w:val="18"/>
                <w:color w:val="auto"/>
              </w:rPr>
            </w:pPr>
          </w:p>
        </w:tc>
        <w:tc>
          <w:tcPr>
            <w:tcW w:w="130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16"/>
        </w:trPr>
        <w:tc>
          <w:tcPr>
            <w:tcW w:w="618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6"/>
              </w:rPr>
              <w:t>Interest and debt expense  . . . . . . . . . . . . . . . . . . . . . . . . . . . . . . . . . .</w:t>
            </w:r>
          </w:p>
        </w:tc>
        <w:tc>
          <w:tcPr>
            <w:tcW w:w="140" w:type="dxa"/>
            <w:vAlign w:val="bottom"/>
          </w:tcPr>
          <w:p>
            <w:pPr>
              <w:spacing w:after="0"/>
              <w:rPr>
                <w:sz w:val="18"/>
                <w:szCs w:val="18"/>
                <w:color w:val="auto"/>
              </w:rPr>
            </w:pPr>
          </w:p>
        </w:tc>
        <w:tc>
          <w:tcPr>
            <w:tcW w:w="1440" w:type="dxa"/>
            <w:vAlign w:val="bottom"/>
            <w:gridSpan w:val="2"/>
          </w:tcPr>
          <w:p>
            <w:pPr>
              <w:jc w:val="right"/>
              <w:ind w:right="140"/>
              <w:spacing w:after="0" w:line="216" w:lineRule="exact"/>
              <w:rPr>
                <w:sz w:val="20"/>
                <w:szCs w:val="20"/>
                <w:color w:val="auto"/>
              </w:rPr>
            </w:pPr>
            <w:r>
              <w:rPr>
                <w:rFonts w:ascii="Arial" w:cs="Arial" w:eastAsia="Arial" w:hAnsi="Arial"/>
                <w:sz w:val="20"/>
                <w:szCs w:val="20"/>
                <w:color w:val="auto"/>
              </w:rPr>
              <w:t>(53)</w:t>
            </w:r>
          </w:p>
        </w:tc>
        <w:tc>
          <w:tcPr>
            <w:tcW w:w="120" w:type="dxa"/>
            <w:vAlign w:val="bottom"/>
          </w:tcPr>
          <w:p>
            <w:pPr>
              <w:spacing w:after="0"/>
              <w:rPr>
                <w:sz w:val="18"/>
                <w:szCs w:val="18"/>
                <w:color w:val="auto"/>
              </w:rPr>
            </w:pPr>
          </w:p>
        </w:tc>
        <w:tc>
          <w:tcPr>
            <w:tcW w:w="130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(54)</w:t>
            </w:r>
          </w:p>
        </w:tc>
        <w:tc>
          <w:tcPr>
            <w:tcW w:w="0" w:type="dxa"/>
            <w:vAlign w:val="bottom"/>
          </w:tcPr>
          <w:p>
            <w:pPr>
              <w:spacing w:after="0"/>
              <w:rPr>
                <w:sz w:val="1"/>
                <w:szCs w:val="1"/>
                <w:color w:val="auto"/>
              </w:rPr>
            </w:pPr>
          </w:p>
        </w:tc>
      </w:tr>
      <w:tr>
        <w:trPr>
          <w:trHeight w:val="216"/>
        </w:trPr>
        <w:tc>
          <w:tcPr>
            <w:tcW w:w="618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9"/>
              </w:rPr>
              <w:t>Net (loss) gain on early extinguishment of debt . . . . . . . . . . . . . . . . .</w:t>
            </w:r>
          </w:p>
        </w:tc>
        <w:tc>
          <w:tcPr>
            <w:tcW w:w="140" w:type="dxa"/>
            <w:vAlign w:val="bottom"/>
          </w:tcPr>
          <w:p>
            <w:pPr>
              <w:spacing w:after="0"/>
              <w:rPr>
                <w:sz w:val="18"/>
                <w:szCs w:val="18"/>
                <w:color w:val="auto"/>
              </w:rPr>
            </w:pPr>
          </w:p>
        </w:tc>
        <w:tc>
          <w:tcPr>
            <w:tcW w:w="1440" w:type="dxa"/>
            <w:vAlign w:val="bottom"/>
            <w:gridSpan w:val="2"/>
          </w:tcPr>
          <w:p>
            <w:pPr>
              <w:jc w:val="right"/>
              <w:ind w:right="200"/>
              <w:spacing w:after="0" w:line="216"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8"/>
                <w:szCs w:val="18"/>
                <w:color w:val="auto"/>
              </w:rPr>
            </w:pPr>
          </w:p>
        </w:tc>
        <w:tc>
          <w:tcPr>
            <w:tcW w:w="130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198"/>
        </w:trPr>
        <w:tc>
          <w:tcPr>
            <w:tcW w:w="6180" w:type="dxa"/>
            <w:vAlign w:val="bottom"/>
          </w:tcPr>
          <w:p>
            <w:pPr>
              <w:jc w:val="right"/>
              <w:ind w:right="100"/>
              <w:spacing w:after="0" w:line="198" w:lineRule="exact"/>
              <w:rPr>
                <w:sz w:val="20"/>
                <w:szCs w:val="20"/>
                <w:color w:val="auto"/>
              </w:rPr>
            </w:pPr>
            <w:r>
              <w:rPr>
                <w:rFonts w:ascii="Arial" w:cs="Arial" w:eastAsia="Arial" w:hAnsi="Arial"/>
                <w:sz w:val="20"/>
                <w:szCs w:val="20"/>
                <w:color w:val="auto"/>
                <w:w w:val="98"/>
              </w:rPr>
              <w:t>Loss from investment in unconsolidated subsidiary . . . . . . . . . . . . . .</w:t>
            </w:r>
          </w:p>
        </w:tc>
        <w:tc>
          <w:tcPr>
            <w:tcW w:w="140" w:type="dxa"/>
            <w:vAlign w:val="bottom"/>
          </w:tcPr>
          <w:p>
            <w:pPr>
              <w:spacing w:after="0"/>
              <w:rPr>
                <w:sz w:val="17"/>
                <w:szCs w:val="17"/>
                <w:color w:val="auto"/>
              </w:rPr>
            </w:pPr>
          </w:p>
        </w:tc>
        <w:tc>
          <w:tcPr>
            <w:tcW w:w="1440" w:type="dxa"/>
            <w:vAlign w:val="bottom"/>
            <w:gridSpan w:val="2"/>
          </w:tcPr>
          <w:p>
            <w:pPr>
              <w:jc w:val="right"/>
              <w:ind w:right="140"/>
              <w:spacing w:after="0" w:line="198" w:lineRule="exact"/>
              <w:rPr>
                <w:sz w:val="20"/>
                <w:szCs w:val="20"/>
                <w:color w:val="auto"/>
              </w:rPr>
            </w:pPr>
            <w:r>
              <w:rPr>
                <w:rFonts w:ascii="Arial" w:cs="Arial" w:eastAsia="Arial" w:hAnsi="Arial"/>
                <w:sz w:val="20"/>
                <w:szCs w:val="20"/>
                <w:color w:val="auto"/>
              </w:rPr>
              <w:t>(1)</w:t>
            </w:r>
          </w:p>
        </w:tc>
        <w:tc>
          <w:tcPr>
            <w:tcW w:w="120" w:type="dxa"/>
            <w:vAlign w:val="bottom"/>
          </w:tcPr>
          <w:p>
            <w:pPr>
              <w:spacing w:after="0"/>
              <w:rPr>
                <w:sz w:val="17"/>
                <w:szCs w:val="17"/>
                <w:color w:val="auto"/>
              </w:rPr>
            </w:pPr>
          </w:p>
        </w:tc>
        <w:tc>
          <w:tcPr>
            <w:tcW w:w="1300" w:type="dxa"/>
            <w:vAlign w:val="bottom"/>
            <w:gridSpan w:val="2"/>
          </w:tcPr>
          <w:p>
            <w:pPr>
              <w:jc w:val="right"/>
              <w:ind w:right="60"/>
              <w:spacing w:after="0" w:line="198"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6"/>
        </w:trPr>
        <w:tc>
          <w:tcPr>
            <w:tcW w:w="6180" w:type="dxa"/>
            <w:vAlign w:val="bottom"/>
          </w:tcPr>
          <w:p>
            <w:pPr>
              <w:jc w:val="right"/>
              <w:ind w:right="100"/>
              <w:spacing w:after="0" w:line="226" w:lineRule="exact"/>
              <w:rPr>
                <w:sz w:val="20"/>
                <w:szCs w:val="20"/>
                <w:color w:val="auto"/>
              </w:rPr>
            </w:pPr>
            <w:r>
              <w:rPr>
                <w:rFonts w:ascii="Arial" w:cs="Arial" w:eastAsia="Arial" w:hAnsi="Arial"/>
                <w:sz w:val="20"/>
                <w:szCs w:val="20"/>
                <w:color w:val="auto"/>
                <w:w w:val="97"/>
              </w:rPr>
              <w:t>Other non-operating expenses, net . . . . . . . . . . . . . . . . . . . . . . . . . . .</w:t>
            </w:r>
          </w:p>
        </w:tc>
        <w:tc>
          <w:tcPr>
            <w:tcW w:w="140" w:type="dxa"/>
            <w:vAlign w:val="bottom"/>
          </w:tcPr>
          <w:p>
            <w:pPr>
              <w:spacing w:after="0"/>
              <w:rPr>
                <w:sz w:val="19"/>
                <w:szCs w:val="19"/>
                <w:color w:val="auto"/>
              </w:rPr>
            </w:pPr>
          </w:p>
        </w:tc>
        <w:tc>
          <w:tcPr>
            <w:tcW w:w="1240" w:type="dxa"/>
            <w:vAlign w:val="bottom"/>
          </w:tcPr>
          <w:p>
            <w:pPr>
              <w:jc w:val="right"/>
              <w:spacing w:after="0" w:line="226" w:lineRule="exact"/>
              <w:rPr>
                <w:sz w:val="20"/>
                <w:szCs w:val="20"/>
                <w:color w:val="auto"/>
              </w:rPr>
            </w:pPr>
            <w:r>
              <w:rPr>
                <w:rFonts w:ascii="Arial" w:cs="Arial" w:eastAsia="Arial" w:hAnsi="Arial"/>
                <w:sz w:val="20"/>
                <w:szCs w:val="20"/>
                <w:color w:val="auto"/>
              </w:rPr>
              <w:t>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spacing w:after="0" w:line="226" w:lineRule="exact"/>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8"/>
        </w:trPr>
        <w:tc>
          <w:tcPr>
            <w:tcW w:w="6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180" w:type="dxa"/>
            <w:vAlign w:val="bottom"/>
          </w:tcPr>
          <w:p>
            <w:pPr>
              <w:jc w:val="right"/>
              <w:ind w:right="100"/>
              <w:spacing w:after="0" w:line="203" w:lineRule="exact"/>
              <w:rPr>
                <w:sz w:val="20"/>
                <w:szCs w:val="20"/>
                <w:color w:val="auto"/>
              </w:rPr>
            </w:pPr>
            <w:r>
              <w:rPr>
                <w:rFonts w:ascii="Arial" w:cs="Arial" w:eastAsia="Arial" w:hAnsi="Arial"/>
                <w:sz w:val="20"/>
                <w:szCs w:val="20"/>
                <w:color w:val="auto"/>
              </w:rPr>
              <w:t>Income (loss) before income taxes  . . . . . . . . . . . . . . . . . . . . . . . . .</w:t>
            </w:r>
          </w:p>
        </w:tc>
        <w:tc>
          <w:tcPr>
            <w:tcW w:w="14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20"/>
                <w:szCs w:val="20"/>
                <w:color w:val="auto"/>
              </w:rPr>
              <w:t>761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60"/>
              <w:spacing w:after="0" w:line="203" w:lineRule="exact"/>
              <w:rPr>
                <w:sz w:val="20"/>
                <w:szCs w:val="20"/>
                <w:color w:val="auto"/>
              </w:rPr>
            </w:pPr>
            <w:r>
              <w:rPr>
                <w:rFonts w:ascii="Arial" w:cs="Arial" w:eastAsia="Arial" w:hAnsi="Arial"/>
                <w:sz w:val="20"/>
                <w:szCs w:val="20"/>
                <w:color w:val="auto"/>
              </w:rPr>
              <w:t>229</w:t>
            </w:r>
          </w:p>
        </w:tc>
        <w:tc>
          <w:tcPr>
            <w:tcW w:w="0" w:type="dxa"/>
            <w:vAlign w:val="bottom"/>
          </w:tcPr>
          <w:p>
            <w:pPr>
              <w:spacing w:after="0"/>
              <w:rPr>
                <w:sz w:val="1"/>
                <w:szCs w:val="1"/>
                <w:color w:val="auto"/>
              </w:rPr>
            </w:pPr>
          </w:p>
        </w:tc>
      </w:tr>
      <w:tr>
        <w:trPr>
          <w:trHeight w:val="224"/>
        </w:trPr>
        <w:tc>
          <w:tcPr>
            <w:tcW w:w="6180" w:type="dxa"/>
            <w:vAlign w:val="bottom"/>
          </w:tcPr>
          <w:p>
            <w:pPr>
              <w:jc w:val="right"/>
              <w:ind w:right="100"/>
              <w:spacing w:after="0" w:line="224" w:lineRule="exact"/>
              <w:rPr>
                <w:sz w:val="20"/>
                <w:szCs w:val="20"/>
                <w:color w:val="auto"/>
              </w:rPr>
            </w:pPr>
            <w:r>
              <w:rPr>
                <w:rFonts w:ascii="Arial" w:cs="Arial" w:eastAsia="Arial" w:hAnsi="Arial"/>
                <w:sz w:val="20"/>
                <w:szCs w:val="20"/>
                <w:color w:val="auto"/>
                <w:w w:val="97"/>
              </w:rPr>
              <w:t>Income tax (provision) benefit  . . . . . . . . . . . . . . . . . . . . . . . . . . . . . . .</w:t>
            </w:r>
          </w:p>
        </w:tc>
        <w:tc>
          <w:tcPr>
            <w:tcW w:w="140" w:type="dxa"/>
            <w:vAlign w:val="bottom"/>
          </w:tcPr>
          <w:p>
            <w:pPr>
              <w:spacing w:after="0"/>
              <w:rPr>
                <w:sz w:val="19"/>
                <w:szCs w:val="19"/>
                <w:color w:val="auto"/>
              </w:rPr>
            </w:pPr>
          </w:p>
        </w:tc>
        <w:tc>
          <w:tcPr>
            <w:tcW w:w="1440" w:type="dxa"/>
            <w:vAlign w:val="bottom"/>
            <w:gridSpan w:val="2"/>
          </w:tcPr>
          <w:p>
            <w:pPr>
              <w:jc w:val="right"/>
              <w:ind w:right="140"/>
              <w:spacing w:after="0" w:line="224" w:lineRule="exact"/>
              <w:rPr>
                <w:sz w:val="20"/>
                <w:szCs w:val="20"/>
                <w:color w:val="auto"/>
              </w:rPr>
            </w:pPr>
            <w:r>
              <w:rPr>
                <w:rFonts w:ascii="Arial" w:cs="Arial" w:eastAsia="Arial" w:hAnsi="Arial"/>
                <w:sz w:val="20"/>
                <w:szCs w:val="20"/>
                <w:color w:val="auto"/>
              </w:rPr>
              <w:t>(237)</w:t>
            </w:r>
          </w:p>
        </w:tc>
        <w:tc>
          <w:tcPr>
            <w:tcW w:w="120" w:type="dxa"/>
            <w:vAlign w:val="bottom"/>
          </w:tcPr>
          <w:p>
            <w:pPr>
              <w:spacing w:after="0"/>
              <w:rPr>
                <w:sz w:val="19"/>
                <w:szCs w:val="19"/>
                <w:color w:val="auto"/>
              </w:rPr>
            </w:pPr>
          </w:p>
        </w:tc>
        <w:tc>
          <w:tcPr>
            <w:tcW w:w="1300" w:type="dxa"/>
            <w:vAlign w:val="bottom"/>
            <w:gridSpan w:val="2"/>
          </w:tcPr>
          <w:p>
            <w:pPr>
              <w:jc w:val="right"/>
              <w:ind w:right="60"/>
              <w:spacing w:after="0" w:line="224" w:lineRule="exact"/>
              <w:rPr>
                <w:sz w:val="20"/>
                <w:szCs w:val="20"/>
                <w:color w:val="auto"/>
              </w:rPr>
            </w:pPr>
            <w:r>
              <w:rPr>
                <w:rFonts w:ascii="Arial" w:cs="Arial" w:eastAsia="Arial" w:hAnsi="Arial"/>
                <w:sz w:val="20"/>
                <w:szCs w:val="20"/>
                <w:color w:val="auto"/>
              </w:rPr>
              <w:t>396</w:t>
            </w:r>
          </w:p>
        </w:tc>
        <w:tc>
          <w:tcPr>
            <w:tcW w:w="0" w:type="dxa"/>
            <w:vAlign w:val="bottom"/>
          </w:tcPr>
          <w:p>
            <w:pPr>
              <w:spacing w:after="0"/>
              <w:rPr>
                <w:sz w:val="1"/>
                <w:szCs w:val="1"/>
                <w:color w:val="auto"/>
              </w:rPr>
            </w:pPr>
          </w:p>
        </w:tc>
      </w:tr>
      <w:tr>
        <w:trPr>
          <w:trHeight w:val="30"/>
        </w:trPr>
        <w:tc>
          <w:tcPr>
            <w:tcW w:w="6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180" w:type="dxa"/>
            <w:vAlign w:val="bottom"/>
          </w:tcPr>
          <w:p>
            <w:pPr>
              <w:jc w:val="right"/>
              <w:ind w:right="100"/>
              <w:spacing w:after="0" w:line="203" w:lineRule="exact"/>
              <w:rPr>
                <w:sz w:val="20"/>
                <w:szCs w:val="20"/>
                <w:color w:val="auto"/>
              </w:rPr>
            </w:pPr>
            <w:r>
              <w:rPr>
                <w:rFonts w:ascii="Arial" w:cs="Arial" w:eastAsia="Arial" w:hAnsi="Arial"/>
                <w:sz w:val="20"/>
                <w:szCs w:val="20"/>
                <w:color w:val="auto"/>
              </w:rPr>
              <w:t>Net income (loss)  . . . . . . . . . . . . . . . . . . . . . . . . . . . . . . . . . . . . . . .</w:t>
            </w:r>
          </w:p>
        </w:tc>
        <w:tc>
          <w:tcPr>
            <w:tcW w:w="140" w:type="dxa"/>
            <w:vAlign w:val="bottom"/>
          </w:tcPr>
          <w:p>
            <w:pPr>
              <w:jc w:val="right"/>
              <w:spacing w:after="0" w:line="203" w:lineRule="exact"/>
              <w:rPr>
                <w:sz w:val="20"/>
                <w:szCs w:val="20"/>
                <w:color w:val="auto"/>
              </w:rPr>
            </w:pPr>
            <w:r>
              <w:rPr>
                <w:rFonts w:ascii="Arial" w:cs="Arial" w:eastAsia="Arial" w:hAnsi="Arial"/>
                <w:sz w:val="20"/>
                <w:szCs w:val="20"/>
                <w:color w:val="auto"/>
                <w:w w:val="89"/>
              </w:rPr>
              <w:t>$</w:t>
            </w:r>
          </w:p>
        </w:tc>
        <w:tc>
          <w:tcPr>
            <w:tcW w:w="1240" w:type="dxa"/>
            <w:vAlign w:val="bottom"/>
          </w:tcPr>
          <w:p>
            <w:pPr>
              <w:jc w:val="right"/>
              <w:spacing w:after="0" w:line="203" w:lineRule="exact"/>
              <w:rPr>
                <w:sz w:val="20"/>
                <w:szCs w:val="20"/>
                <w:color w:val="auto"/>
              </w:rPr>
            </w:pPr>
            <w:r>
              <w:rPr>
                <w:rFonts w:ascii="Arial" w:cs="Arial" w:eastAsia="Arial" w:hAnsi="Arial"/>
                <w:sz w:val="20"/>
                <w:szCs w:val="20"/>
                <w:color w:val="auto"/>
              </w:rPr>
              <w:t>524</w:t>
            </w:r>
          </w:p>
        </w:tc>
        <w:tc>
          <w:tcPr>
            <w:tcW w:w="2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20"/>
                <w:szCs w:val="20"/>
                <w:color w:val="auto"/>
                <w:w w:val="89"/>
              </w:rPr>
              <w:t>$</w:t>
            </w:r>
          </w:p>
        </w:tc>
        <w:tc>
          <w:tcPr>
            <w:tcW w:w="1300" w:type="dxa"/>
            <w:vAlign w:val="bottom"/>
            <w:gridSpan w:val="2"/>
          </w:tcPr>
          <w:p>
            <w:pPr>
              <w:jc w:val="right"/>
              <w:ind w:right="60"/>
              <w:spacing w:after="0" w:line="203" w:lineRule="exact"/>
              <w:rPr>
                <w:sz w:val="20"/>
                <w:szCs w:val="20"/>
                <w:color w:val="auto"/>
              </w:rPr>
            </w:pPr>
            <w:r>
              <w:rPr>
                <w:rFonts w:ascii="Arial" w:cs="Arial" w:eastAsia="Arial" w:hAnsi="Arial"/>
                <w:sz w:val="20"/>
                <w:szCs w:val="20"/>
                <w:color w:val="auto"/>
              </w:rPr>
              <w:t>625</w:t>
            </w:r>
          </w:p>
        </w:tc>
        <w:tc>
          <w:tcPr>
            <w:tcW w:w="0" w:type="dxa"/>
            <w:vAlign w:val="bottom"/>
          </w:tcPr>
          <w:p>
            <w:pPr>
              <w:spacing w:after="0"/>
              <w:rPr>
                <w:sz w:val="1"/>
                <w:szCs w:val="1"/>
                <w:color w:val="auto"/>
              </w:rPr>
            </w:pPr>
          </w:p>
        </w:tc>
      </w:tr>
      <w:tr>
        <w:trPr>
          <w:trHeight w:val="226"/>
        </w:trPr>
        <w:tc>
          <w:tcPr>
            <w:tcW w:w="6180" w:type="dxa"/>
            <w:vAlign w:val="bottom"/>
          </w:tcPr>
          <w:p>
            <w:pPr>
              <w:jc w:val="right"/>
              <w:ind w:right="100"/>
              <w:spacing w:after="0" w:line="226" w:lineRule="exact"/>
              <w:rPr>
                <w:sz w:val="20"/>
                <w:szCs w:val="20"/>
                <w:color w:val="auto"/>
              </w:rPr>
            </w:pPr>
            <w:r>
              <w:rPr>
                <w:rFonts w:ascii="Arial" w:cs="Arial" w:eastAsia="Arial" w:hAnsi="Arial"/>
                <w:sz w:val="20"/>
                <w:szCs w:val="20"/>
                <w:color w:val="auto"/>
                <w:w w:val="99"/>
              </w:rPr>
              <w:t>Net (income) loss attributable to noncontrolling interests  . . . . . . . . .</w:t>
            </w:r>
          </w:p>
        </w:tc>
        <w:tc>
          <w:tcPr>
            <w:tcW w:w="140" w:type="dxa"/>
            <w:vAlign w:val="bottom"/>
          </w:tcPr>
          <w:p>
            <w:pPr>
              <w:jc w:val="right"/>
              <w:spacing w:after="0" w:line="226" w:lineRule="exact"/>
              <w:rPr>
                <w:sz w:val="20"/>
                <w:szCs w:val="20"/>
                <w:color w:val="auto"/>
              </w:rPr>
            </w:pPr>
            <w:r>
              <w:rPr>
                <w:rFonts w:ascii="Arial" w:cs="Arial" w:eastAsia="Arial" w:hAnsi="Arial"/>
                <w:sz w:val="20"/>
                <w:szCs w:val="20"/>
                <w:color w:val="auto"/>
                <w:w w:val="89"/>
              </w:rPr>
              <w:t>$</w:t>
            </w:r>
          </w:p>
        </w:tc>
        <w:tc>
          <w:tcPr>
            <w:tcW w:w="1440" w:type="dxa"/>
            <w:vAlign w:val="bottom"/>
            <w:gridSpan w:val="2"/>
          </w:tcPr>
          <w:p>
            <w:pPr>
              <w:jc w:val="right"/>
              <w:ind w:right="200"/>
              <w:spacing w:after="0" w:line="226" w:lineRule="exact"/>
              <w:rPr>
                <w:sz w:val="20"/>
                <w:szCs w:val="20"/>
                <w:color w:val="auto"/>
              </w:rPr>
            </w:pPr>
            <w:r>
              <w:rPr>
                <w:rFonts w:ascii="Arial" w:cs="Arial" w:eastAsia="Arial" w:hAnsi="Arial"/>
                <w:sz w:val="20"/>
                <w:szCs w:val="20"/>
                <w:color w:val="auto"/>
              </w:rPr>
              <w:t>—</w:t>
            </w:r>
          </w:p>
        </w:tc>
        <w:tc>
          <w:tcPr>
            <w:tcW w:w="120" w:type="dxa"/>
            <w:vAlign w:val="bottom"/>
          </w:tcPr>
          <w:p>
            <w:pPr>
              <w:jc w:val="right"/>
              <w:spacing w:after="0" w:line="226" w:lineRule="exact"/>
              <w:rPr>
                <w:sz w:val="20"/>
                <w:szCs w:val="20"/>
                <w:color w:val="auto"/>
              </w:rPr>
            </w:pPr>
            <w:r>
              <w:rPr>
                <w:rFonts w:ascii="Arial" w:cs="Arial" w:eastAsia="Arial" w:hAnsi="Arial"/>
                <w:sz w:val="20"/>
                <w:szCs w:val="20"/>
                <w:color w:val="auto"/>
                <w:w w:val="89"/>
              </w:rPr>
              <w:t>$</w:t>
            </w:r>
          </w:p>
        </w:tc>
        <w:tc>
          <w:tcPr>
            <w:tcW w:w="1300" w:type="dxa"/>
            <w:vAlign w:val="bottom"/>
            <w:gridSpan w:val="2"/>
          </w:tcPr>
          <w:p>
            <w:pPr>
              <w:jc w:val="right"/>
              <w:spacing w:after="0" w:line="226" w:lineRule="exact"/>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right="120" w:firstLine="300"/>
        <w:spacing w:after="0" w:line="249" w:lineRule="auto"/>
        <w:rPr>
          <w:sz w:val="20"/>
          <w:szCs w:val="20"/>
          <w:color w:val="auto"/>
        </w:rPr>
      </w:pPr>
      <w:r>
        <w:rPr>
          <w:rFonts w:ascii="Arial" w:cs="Arial" w:eastAsia="Arial" w:hAnsi="Arial"/>
          <w:sz w:val="20"/>
          <w:szCs w:val="20"/>
          <w:i w:val="1"/>
          <w:iCs w:val="1"/>
          <w:color w:val="auto"/>
        </w:rPr>
        <w:t xml:space="preserve">Energy operating costs </w:t>
      </w:r>
      <w:r>
        <w:rPr>
          <w:rFonts w:ascii="Arial" w:cs="Arial" w:eastAsia="Arial" w:hAnsi="Arial"/>
          <w:sz w:val="20"/>
          <w:szCs w:val="20"/>
          <w:color w:val="auto"/>
        </w:rPr>
        <w:t>– Energy operating costs were $323 million for the year ended December 31,</w:t>
      </w:r>
      <w:r>
        <w:rPr>
          <w:rFonts w:ascii="Arial" w:cs="Arial" w:eastAsia="Arial" w:hAnsi="Arial"/>
          <w:sz w:val="20"/>
          <w:szCs w:val="20"/>
          <w:i w:val="1"/>
          <w:iCs w:val="1"/>
          <w:color w:val="auto"/>
        </w:rPr>
        <w:t xml:space="preserve"> </w:t>
      </w:r>
      <w:r>
        <w:rPr>
          <w:rFonts w:ascii="Arial" w:cs="Arial" w:eastAsia="Arial" w:hAnsi="Arial"/>
          <w:sz w:val="20"/>
          <w:szCs w:val="20"/>
          <w:color w:val="auto"/>
        </w:rPr>
        <w:t>2022, which was an increase of 27% or $68 million compared to $255 million for the year ended December 31, 2021. The increase was predominantly a result of higher prices for purchased natural gas, which we use to generate electricity for our operations and steam for our steamfloods, and for purchased electricity.</w:t>
      </w:r>
    </w:p>
    <w:p>
      <w:pPr>
        <w:spacing w:after="0" w:line="207" w:lineRule="exact"/>
        <w:rPr>
          <w:sz w:val="20"/>
          <w:szCs w:val="20"/>
          <w:color w:val="auto"/>
        </w:rPr>
      </w:pPr>
    </w:p>
    <w:p>
      <w:pPr>
        <w:ind w:right="260" w:firstLine="300"/>
        <w:spacing w:after="0" w:line="249" w:lineRule="auto"/>
        <w:rPr>
          <w:sz w:val="20"/>
          <w:szCs w:val="20"/>
          <w:color w:val="auto"/>
        </w:rPr>
      </w:pPr>
      <w:r>
        <w:rPr>
          <w:rFonts w:ascii="Arial" w:cs="Arial" w:eastAsia="Arial" w:hAnsi="Arial"/>
          <w:sz w:val="20"/>
          <w:szCs w:val="20"/>
          <w:i w:val="1"/>
          <w:iCs w:val="1"/>
          <w:color w:val="auto"/>
        </w:rPr>
        <w:t xml:space="preserve">Non-energy operating costs </w:t>
      </w:r>
      <w:r>
        <w:rPr>
          <w:rFonts w:ascii="Arial" w:cs="Arial" w:eastAsia="Arial" w:hAnsi="Arial"/>
          <w:sz w:val="20"/>
          <w:szCs w:val="20"/>
          <w:color w:val="auto"/>
        </w:rPr>
        <w:t>– Non-energy operating costs for the year ended December 31, 2022</w:t>
      </w:r>
      <w:r>
        <w:rPr>
          <w:rFonts w:ascii="Arial" w:cs="Arial" w:eastAsia="Arial" w:hAnsi="Arial"/>
          <w:sz w:val="20"/>
          <w:szCs w:val="20"/>
          <w:i w:val="1"/>
          <w:iCs w:val="1"/>
          <w:color w:val="auto"/>
        </w:rPr>
        <w:t xml:space="preserve"> </w:t>
      </w:r>
      <w:r>
        <w:rPr>
          <w:rFonts w:ascii="Arial" w:cs="Arial" w:eastAsia="Arial" w:hAnsi="Arial"/>
          <w:sz w:val="20"/>
          <w:szCs w:val="20"/>
          <w:color w:val="auto"/>
        </w:rPr>
        <w:t>were $445 million, which was an increase of $15 million or 3% from $430 million for the year ended December 31, 2021 was primarily a result of increased surface and downhole maintenance activity in 2022.</w:t>
      </w:r>
    </w:p>
    <w:p>
      <w:pPr>
        <w:sectPr>
          <w:pgSz w:w="11880" w:h="15480" w:orient="portrait"/>
          <w:cols w:equalWidth="0" w:num="1">
            <w:col w:w="9180"/>
          </w:cols>
          <w:pgMar w:left="1380" w:top="1316" w:right="132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76</w:t>
      </w:r>
    </w:p>
    <w:p>
      <w:pPr>
        <w:sectPr>
          <w:pgSz w:w="11880" w:h="15480" w:orient="portrait"/>
          <w:cols w:equalWidth="0" w:num="1">
            <w:col w:w="9180"/>
          </w:cols>
          <w:pgMar w:left="1380" w:top="1316" w:right="1320" w:bottom="655" w:gutter="0" w:footer="0" w:header="0"/>
          <w:type w:val="continuous"/>
        </w:sectPr>
      </w:pPr>
    </w:p>
    <w:bookmarkStart w:id="80" w:name="page81"/>
    <w:bookmarkEnd w:id="80"/>
    <w:p>
      <w:pPr>
        <w:ind w:right="60" w:firstLine="300"/>
        <w:spacing w:after="0" w:line="249" w:lineRule="auto"/>
        <w:rPr>
          <w:sz w:val="20"/>
          <w:szCs w:val="20"/>
          <w:color w:val="auto"/>
        </w:rPr>
      </w:pPr>
      <w:r>
        <w:rPr>
          <w:rFonts w:ascii="Arial" w:cs="Arial" w:eastAsia="Arial" w:hAnsi="Arial"/>
          <w:sz w:val="20"/>
          <w:szCs w:val="20"/>
          <w:i w:val="1"/>
          <w:iCs w:val="1"/>
          <w:color w:val="auto"/>
        </w:rPr>
        <w:t xml:space="preserve">General and administrative expenses </w:t>
      </w:r>
      <w:r>
        <w:rPr>
          <w:rFonts w:ascii="Arial" w:cs="Arial" w:eastAsia="Arial" w:hAnsi="Arial"/>
          <w:sz w:val="20"/>
          <w:szCs w:val="20"/>
          <w:color w:val="auto"/>
        </w:rPr>
        <w:t>– General and administrative expenses were $222 million for</w:t>
      </w:r>
      <w:r>
        <w:rPr>
          <w:rFonts w:ascii="Arial" w:cs="Arial" w:eastAsia="Arial" w:hAnsi="Arial"/>
          <w:sz w:val="20"/>
          <w:szCs w:val="20"/>
          <w:i w:val="1"/>
          <w:iCs w:val="1"/>
          <w:color w:val="auto"/>
        </w:rPr>
        <w:t xml:space="preserve"> </w:t>
      </w:r>
      <w:r>
        <w:rPr>
          <w:rFonts w:ascii="Arial" w:cs="Arial" w:eastAsia="Arial" w:hAnsi="Arial"/>
          <w:sz w:val="20"/>
          <w:szCs w:val="20"/>
          <w:color w:val="auto"/>
        </w:rPr>
        <w:t>the year ended December 31, 2022, which was an increase of $22 million from $200 million for the year ended December 31, 2021. The increase in G&amp;A expenses was primarily attributable to compensation-related expenses and additional headcount related to developing our carbon management business. The table below shows the portion of total G&amp;A expenses which are directly attributable to our carbon management business:</w:t>
      </w:r>
    </w:p>
    <w:p>
      <w:pPr>
        <w:sectPr>
          <w:pgSz w:w="11880" w:h="15480" w:orient="portrait"/>
          <w:cols w:equalWidth="0" w:num="1">
            <w:col w:w="9120"/>
          </w:cols>
          <w:pgMar w:left="1380" w:top="1314" w:right="138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9"/>
          <w:szCs w:val="19"/>
          <w:color w:val="auto"/>
        </w:rPr>
        <w:t>Exploration and production, corp . . . . . . . . . . . . . . . . . . . . . . . . . . . . . .</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orate and other  . . . . . . . . . . . . . . . . . . . . . . . . . . . . . . . . . . . . . . . . . . . .</w:t>
      </w:r>
    </w:p>
    <w:p>
      <w:pPr>
        <w:spacing w:after="0" w:line="15" w:lineRule="exact"/>
        <w:rPr>
          <w:sz w:val="20"/>
          <w:szCs w:val="20"/>
          <w:color w:val="auto"/>
        </w:rPr>
      </w:pPr>
    </w:p>
    <w:p>
      <w:pPr>
        <w:spacing w:after="0"/>
        <w:tabs>
          <w:tab w:leader="none" w:pos="2840" w:val="left"/>
        </w:tabs>
        <w:rPr>
          <w:sz w:val="20"/>
          <w:szCs w:val="20"/>
          <w:color w:val="auto"/>
        </w:rPr>
      </w:pPr>
      <w:r>
        <w:rPr>
          <w:rFonts w:ascii="Arial" w:cs="Arial" w:eastAsia="Arial" w:hAnsi="Arial"/>
          <w:sz w:val="20"/>
          <w:szCs w:val="20"/>
          <w:color w:val="auto"/>
        </w:rPr>
        <w:t>Carbon management business</w:t>
      </w:r>
      <w:r>
        <w:rPr>
          <w:sz w:val="20"/>
          <w:szCs w:val="20"/>
          <w:color w:val="auto"/>
        </w:rPr>
        <w:tab/>
      </w:r>
      <w:r>
        <w:rPr>
          <w:rFonts w:ascii="Arial" w:cs="Arial" w:eastAsia="Arial" w:hAnsi="Arial"/>
          <w:sz w:val="19"/>
          <w:szCs w:val="19"/>
          <w:color w:val="auto"/>
        </w:rPr>
        <w:t>. . . . . . . . . . . . . . . . . . . . . . . . . . . . . . .</w:t>
      </w:r>
    </w:p>
    <w:p>
      <w:pPr>
        <w:spacing w:after="0" w:line="96" w:lineRule="exact"/>
        <w:rPr>
          <w:sz w:val="20"/>
          <w:szCs w:val="20"/>
          <w:color w:val="auto"/>
        </w:rPr>
      </w:pPr>
    </w:p>
    <w:p>
      <w:pPr>
        <w:jc w:val="center"/>
        <w:ind w:left="200"/>
        <w:spacing w:after="0"/>
        <w:rPr>
          <w:sz w:val="20"/>
          <w:szCs w:val="20"/>
          <w:color w:val="auto"/>
        </w:rPr>
      </w:pPr>
      <w:r>
        <w:rPr>
          <w:rFonts w:ascii="Arial" w:cs="Arial" w:eastAsia="Arial" w:hAnsi="Arial"/>
          <w:sz w:val="19"/>
          <w:szCs w:val="19"/>
          <w:color w:val="auto"/>
        </w:rPr>
        <w:t>Total general and administrative expenses . . . . . . . . . . . . . . . . . . . .</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19050</wp:posOffset>
                </wp:positionV>
                <wp:extent cx="179197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919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5pt" to="141pt,1.5pt" o:allowincell="f" strokecolor="#000000" strokeweight="1pt"/>
            </w:pict>
          </mc:Fallback>
        </mc:AlternateConten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19"/>
                <w:szCs w:val="19"/>
                <w:color w:val="auto"/>
              </w:rPr>
            </w:pPr>
          </w:p>
        </w:tc>
        <w:tc>
          <w:tcPr>
            <w:tcW w:w="1020" w:type="dxa"/>
            <w:vAlign w:val="bottom"/>
          </w:tcPr>
          <w:p>
            <w:pPr>
              <w:jc w:val="right"/>
              <w:ind w:right="324"/>
              <w:spacing w:after="0"/>
              <w:rPr>
                <w:sz w:val="20"/>
                <w:szCs w:val="20"/>
                <w:color w:val="auto"/>
              </w:rPr>
            </w:pPr>
            <w:r>
              <w:rPr>
                <w:rFonts w:ascii="Arial" w:cs="Arial" w:eastAsia="Arial" w:hAnsi="Arial"/>
                <w:sz w:val="20"/>
                <w:szCs w:val="20"/>
                <w:b w:val="1"/>
                <w:bCs w:val="1"/>
                <w:color w:val="auto"/>
              </w:rPr>
              <w:t>2022</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ind w:right="340"/>
              <w:spacing w:after="0"/>
              <w:rPr>
                <w:sz w:val="20"/>
                <w:szCs w:val="20"/>
                <w:color w:val="auto"/>
              </w:rPr>
            </w:pPr>
            <w:r>
              <w:rPr>
                <w:rFonts w:ascii="Arial" w:cs="Arial" w:eastAsia="Arial" w:hAnsi="Arial"/>
                <w:sz w:val="20"/>
                <w:szCs w:val="20"/>
                <w:b w:val="1"/>
                <w:bCs w:val="1"/>
                <w:color w:val="auto"/>
              </w:rPr>
              <w:t>2021</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2"/>
        </w:trPr>
        <w:tc>
          <w:tcPr>
            <w:tcW w:w="280" w:type="dxa"/>
            <w:vAlign w:val="bottom"/>
          </w:tcPr>
          <w:p>
            <w:pPr>
              <w:spacing w:after="0"/>
              <w:rPr>
                <w:sz w:val="16"/>
                <w:szCs w:val="16"/>
                <w:color w:val="auto"/>
              </w:rPr>
            </w:pPr>
          </w:p>
        </w:tc>
        <w:tc>
          <w:tcPr>
            <w:tcW w:w="1600" w:type="dxa"/>
            <w:vAlign w:val="bottom"/>
            <w:gridSpan w:val="3"/>
          </w:tcPr>
          <w:p>
            <w:pPr>
              <w:jc w:val="right"/>
              <w:ind w:right="60"/>
              <w:spacing w:after="0"/>
              <w:rPr>
                <w:sz w:val="20"/>
                <w:szCs w:val="20"/>
                <w:color w:val="auto"/>
              </w:rPr>
            </w:pPr>
            <w:r>
              <w:rPr>
                <w:rFonts w:ascii="Arial" w:cs="Arial" w:eastAsia="Arial" w:hAnsi="Arial"/>
                <w:sz w:val="16"/>
                <w:szCs w:val="16"/>
                <w:color w:val="auto"/>
              </w:rPr>
              <w:t>(in millions)</w:t>
            </w:r>
          </w:p>
        </w:tc>
        <w:tc>
          <w:tcPr>
            <w:tcW w:w="940" w:type="dxa"/>
            <w:vAlign w:val="bottom"/>
          </w:tcPr>
          <w:p>
            <w:pPr>
              <w:spacing w:after="0"/>
              <w:rPr>
                <w:sz w:val="16"/>
                <w:szCs w:val="16"/>
                <w:color w:val="auto"/>
              </w:rPr>
            </w:pPr>
          </w:p>
        </w:tc>
      </w:tr>
      <w:tr>
        <w:trPr>
          <w:trHeight w:val="488"/>
        </w:trPr>
        <w:tc>
          <w:tcPr>
            <w:tcW w:w="280" w:type="dxa"/>
            <w:vAlign w:val="bottom"/>
          </w:tcPr>
          <w:p>
            <w:pPr>
              <w:jc w:val="right"/>
              <w:ind w:right="80"/>
              <w:spacing w:after="0"/>
              <w:rPr>
                <w:sz w:val="20"/>
                <w:szCs w:val="20"/>
                <w:color w:val="auto"/>
              </w:rPr>
            </w:pPr>
            <w:r>
              <w:rPr>
                <w:rFonts w:ascii="Arial" w:cs="Arial" w:eastAsia="Arial" w:hAnsi="Arial"/>
                <w:sz w:val="20"/>
                <w:szCs w:val="20"/>
                <w:color w:val="auto"/>
                <w:w w:val="71"/>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210</w:t>
            </w:r>
          </w:p>
        </w:tc>
        <w:tc>
          <w:tcPr>
            <w:tcW w:w="58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200</w:t>
            </w:r>
          </w:p>
        </w:tc>
      </w:tr>
      <w:tr>
        <w:trPr>
          <w:trHeight w:val="240"/>
        </w:trPr>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12</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30"/>
        </w:trPr>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0"/>
        </w:trPr>
        <w:tc>
          <w:tcPr>
            <w:tcW w:w="280" w:type="dxa"/>
            <w:vAlign w:val="bottom"/>
          </w:tcPr>
          <w:p>
            <w:pPr>
              <w:jc w:val="right"/>
              <w:ind w:right="80"/>
              <w:spacing w:after="0"/>
              <w:rPr>
                <w:sz w:val="20"/>
                <w:szCs w:val="20"/>
                <w:color w:val="auto"/>
              </w:rPr>
            </w:pPr>
            <w:r>
              <w:rPr>
                <w:rFonts w:ascii="Arial" w:cs="Arial" w:eastAsia="Arial" w:hAnsi="Arial"/>
                <w:sz w:val="20"/>
                <w:szCs w:val="20"/>
                <w:color w:val="auto"/>
                <w:w w:val="71"/>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222</w:t>
            </w:r>
          </w:p>
        </w:tc>
        <w:tc>
          <w:tcPr>
            <w:tcW w:w="58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200</w:t>
            </w:r>
          </w:p>
        </w:tc>
      </w:tr>
      <w:tr>
        <w:trPr>
          <w:trHeight w:val="30"/>
        </w:trPr>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2">
            <w:col w:w="6100" w:space="200"/>
            <w:col w:w="2820"/>
          </w:cols>
          <w:pgMar w:left="1380" w:top="1314" w:right="1380" w:bottom="653" w:gutter="0" w:footer="0" w:header="0"/>
          <w:type w:val="continuous"/>
        </w:sectPr>
      </w:pPr>
    </w:p>
    <w:p>
      <w:pPr>
        <w:spacing w:after="0" w:line="50" w:lineRule="exact"/>
        <w:rPr>
          <w:sz w:val="20"/>
          <w:szCs w:val="20"/>
          <w:color w:val="auto"/>
        </w:rPr>
      </w:pPr>
    </w:p>
    <w:p>
      <w:pPr>
        <w:jc w:val="center"/>
        <w:ind w:right="340"/>
        <w:spacing w:after="0"/>
        <w:rPr>
          <w:sz w:val="20"/>
          <w:szCs w:val="20"/>
          <w:color w:val="auto"/>
        </w:rPr>
      </w:pPr>
      <w:r>
        <w:rPr>
          <w:rFonts w:ascii="Arial" w:cs="Arial" w:eastAsia="Arial" w:hAnsi="Arial"/>
          <w:sz w:val="20"/>
          <w:szCs w:val="20"/>
          <w:i w:val="1"/>
          <w:iCs w:val="1"/>
          <w:color w:val="auto"/>
        </w:rPr>
        <w:t xml:space="preserve">Depreciation, depletion and amortization </w:t>
      </w:r>
      <w:r>
        <w:rPr>
          <w:rFonts w:ascii="Arial" w:cs="Arial" w:eastAsia="Arial" w:hAnsi="Arial"/>
          <w:sz w:val="20"/>
          <w:szCs w:val="20"/>
          <w:color w:val="auto"/>
        </w:rPr>
        <w:t>– Depreciation, depletion and amortization decreased</w:t>
      </w:r>
    </w:p>
    <w:p>
      <w:pPr>
        <w:spacing w:after="0" w:line="16" w:lineRule="exact"/>
        <w:rPr>
          <w:sz w:val="20"/>
          <w:szCs w:val="20"/>
          <w:color w:val="auto"/>
        </w:rPr>
      </w:pPr>
    </w:p>
    <w:p>
      <w:pPr>
        <w:ind w:right="120"/>
        <w:spacing w:after="0" w:line="249" w:lineRule="auto"/>
        <w:rPr>
          <w:sz w:val="20"/>
          <w:szCs w:val="20"/>
          <w:color w:val="auto"/>
        </w:rPr>
      </w:pPr>
      <w:r>
        <w:rPr>
          <w:rFonts w:ascii="Arial" w:cs="Arial" w:eastAsia="Arial" w:hAnsi="Arial"/>
          <w:sz w:val="20"/>
          <w:szCs w:val="20"/>
          <w:color w:val="auto"/>
        </w:rPr>
        <w:t xml:space="preserve">$15 million to $198 million for the year ended December 31, 2022 from $213 million for the same prior year period. The decrease was primarily the result of a lower carrying value in our exploration and production assets due to asset divestitures which occurred during the fourth quarter of 2021 and the first quarter of 2022. For further detail about our asset divestitures see </w:t>
      </w:r>
      <w:r>
        <w:rPr>
          <w:rFonts w:ascii="Arial" w:cs="Arial" w:eastAsia="Arial" w:hAnsi="Arial"/>
          <w:sz w:val="20"/>
          <w:szCs w:val="20"/>
          <w:i w:val="1"/>
          <w:iCs w:val="1"/>
          <w:color w:val="auto"/>
        </w:rPr>
        <w:t>Part II, Item 8 – Financial Statements</w:t>
      </w:r>
      <w:r>
        <w:rPr>
          <w:rFonts w:ascii="Arial" w:cs="Arial" w:eastAsia="Arial" w:hAnsi="Arial"/>
          <w:sz w:val="20"/>
          <w:szCs w:val="20"/>
          <w:color w:val="auto"/>
        </w:rPr>
        <w:t xml:space="preserve"> </w:t>
      </w:r>
      <w:r>
        <w:rPr>
          <w:rFonts w:ascii="Arial" w:cs="Arial" w:eastAsia="Arial" w:hAnsi="Arial"/>
          <w:sz w:val="20"/>
          <w:szCs w:val="20"/>
          <w:i w:val="1"/>
          <w:iCs w:val="1"/>
          <w:color w:val="auto"/>
        </w:rPr>
        <w:t>and Supplementary Data, Note 3 Divestitures and Acquisitions.</w:t>
      </w:r>
    </w:p>
    <w:p>
      <w:pPr>
        <w:spacing w:after="0" w:line="205" w:lineRule="exact"/>
        <w:rPr>
          <w:sz w:val="20"/>
          <w:szCs w:val="20"/>
          <w:color w:val="auto"/>
        </w:rPr>
      </w:pPr>
    </w:p>
    <w:p>
      <w:pPr>
        <w:ind w:right="100" w:firstLine="300"/>
        <w:spacing w:after="0" w:line="264" w:lineRule="auto"/>
        <w:rPr>
          <w:sz w:val="20"/>
          <w:szCs w:val="20"/>
          <w:color w:val="auto"/>
        </w:rPr>
      </w:pPr>
      <w:r>
        <w:rPr>
          <w:rFonts w:ascii="Arial" w:cs="Arial" w:eastAsia="Arial" w:hAnsi="Arial"/>
          <w:sz w:val="19"/>
          <w:szCs w:val="19"/>
          <w:i w:val="1"/>
          <w:iCs w:val="1"/>
          <w:color w:val="auto"/>
        </w:rPr>
        <w:t xml:space="preserve">Asset impairments </w:t>
      </w:r>
      <w:r>
        <w:rPr>
          <w:rFonts w:ascii="Arial" w:cs="Arial" w:eastAsia="Arial" w:hAnsi="Arial"/>
          <w:sz w:val="19"/>
          <w:szCs w:val="19"/>
          <w:color w:val="auto"/>
        </w:rPr>
        <w:t>– Asset impairments were $2 million for the year ended December 31, 2022</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compared to $28 million for the year ended December 31, 2021. The asset impairment charge in 2022 related to the write-down of a commercial office building located in Bakersfield, California to fair market value. For the year ended December 31, 2021 we recorded a write-down of $25 million related to the same commercial office building and a $3 million write-off of capitalized costs related to projects which were abandoned. The decline in asset value of our commercial office building primarily related to limited demand for office space of this size and type in the Bakersfield market and general trends in commercial real estate in 2021 due to the COVID-19 pandemic. For further detail about our asset impairments see </w:t>
      </w:r>
      <w:r>
        <w:rPr>
          <w:rFonts w:ascii="Arial" w:cs="Arial" w:eastAsia="Arial" w:hAnsi="Arial"/>
          <w:sz w:val="19"/>
          <w:szCs w:val="19"/>
          <w:i w:val="1"/>
          <w:iCs w:val="1"/>
          <w:color w:val="auto"/>
        </w:rPr>
        <w:t xml:space="preserve">Part II, Item 8 </w:t>
      </w:r>
      <w:r>
        <w:rPr>
          <w:rFonts w:ascii="Arial" w:cs="Arial" w:eastAsia="Arial" w:hAnsi="Arial"/>
          <w:sz w:val="19"/>
          <w:szCs w:val="19"/>
          <w:color w:val="auto"/>
        </w:rPr>
        <w:t>–</w:t>
      </w:r>
      <w:r>
        <w:rPr>
          <w:rFonts w:ascii="Arial" w:cs="Arial" w:eastAsia="Arial" w:hAnsi="Arial"/>
          <w:sz w:val="19"/>
          <w:szCs w:val="19"/>
          <w:i w:val="1"/>
          <w:iCs w:val="1"/>
          <w:color w:val="auto"/>
        </w:rPr>
        <w:t xml:space="preserve"> Financial Statements and Supplementary Data, Note 2 Property, Plant and Equipment</w:t>
      </w:r>
      <w:r>
        <w:rPr>
          <w:rFonts w:ascii="Arial" w:cs="Arial" w:eastAsia="Arial" w:hAnsi="Arial"/>
          <w:sz w:val="19"/>
          <w:szCs w:val="19"/>
          <w:color w:val="auto"/>
        </w:rPr>
        <w:t>.</w:t>
      </w:r>
    </w:p>
    <w:p>
      <w:pPr>
        <w:spacing w:after="0" w:line="197" w:lineRule="exact"/>
        <w:rPr>
          <w:sz w:val="20"/>
          <w:szCs w:val="20"/>
          <w:color w:val="auto"/>
        </w:rPr>
      </w:pPr>
    </w:p>
    <w:p>
      <w:pPr>
        <w:ind w:right="100" w:firstLine="300"/>
        <w:spacing w:after="0" w:line="249" w:lineRule="auto"/>
        <w:rPr>
          <w:sz w:val="20"/>
          <w:szCs w:val="20"/>
          <w:color w:val="auto"/>
        </w:rPr>
      </w:pPr>
      <w:r>
        <w:rPr>
          <w:rFonts w:ascii="Arial" w:cs="Arial" w:eastAsia="Arial" w:hAnsi="Arial"/>
          <w:sz w:val="20"/>
          <w:szCs w:val="20"/>
          <w:i w:val="1"/>
          <w:iCs w:val="1"/>
          <w:color w:val="auto"/>
        </w:rPr>
        <w:t xml:space="preserve">Taxes other than on income </w:t>
      </w:r>
      <w:r>
        <w:rPr>
          <w:rFonts w:ascii="Arial" w:cs="Arial" w:eastAsia="Arial" w:hAnsi="Arial"/>
          <w:sz w:val="20"/>
          <w:szCs w:val="20"/>
          <w:color w:val="auto"/>
        </w:rPr>
        <w:t>– Taxes other than on income were $162 million for the year ended</w:t>
      </w:r>
      <w:r>
        <w:rPr>
          <w:rFonts w:ascii="Arial" w:cs="Arial" w:eastAsia="Arial" w:hAnsi="Arial"/>
          <w:sz w:val="20"/>
          <w:szCs w:val="20"/>
          <w:i w:val="1"/>
          <w:iCs w:val="1"/>
          <w:color w:val="auto"/>
        </w:rPr>
        <w:t xml:space="preserve"> </w:t>
      </w:r>
      <w:r>
        <w:rPr>
          <w:rFonts w:ascii="Arial" w:cs="Arial" w:eastAsia="Arial" w:hAnsi="Arial"/>
          <w:sz w:val="20"/>
          <w:szCs w:val="20"/>
          <w:color w:val="auto"/>
        </w:rPr>
        <w:t>December 31, 2022, which was an increase of $17 million from $145 million for the year ended December 31, 2021. Taxes other than on income were higher in 2022 due to increased production taxes from higher tax rates and GHG taxes which increased as market prices for GHG allowances rose. This increase was partially offset by a decrease in ad valorem taxes.</w:t>
      </w:r>
    </w:p>
    <w:p>
      <w:pPr>
        <w:spacing w:after="0" w:line="207" w:lineRule="exact"/>
        <w:rPr>
          <w:sz w:val="20"/>
          <w:szCs w:val="20"/>
          <w:color w:val="auto"/>
        </w:rPr>
      </w:pPr>
    </w:p>
    <w:p>
      <w:pPr>
        <w:ind w:right="380" w:firstLine="300"/>
        <w:spacing w:after="0" w:line="248" w:lineRule="auto"/>
        <w:rPr>
          <w:sz w:val="20"/>
          <w:szCs w:val="20"/>
          <w:color w:val="auto"/>
        </w:rPr>
      </w:pPr>
      <w:r>
        <w:rPr>
          <w:rFonts w:ascii="Arial" w:cs="Arial" w:eastAsia="Arial" w:hAnsi="Arial"/>
          <w:sz w:val="20"/>
          <w:szCs w:val="20"/>
          <w:i w:val="1"/>
          <w:iCs w:val="1"/>
          <w:color w:val="auto"/>
        </w:rPr>
        <w:t xml:space="preserve">Purchased natural gas expense </w:t>
      </w:r>
      <w:r>
        <w:rPr>
          <w:rFonts w:ascii="Arial" w:cs="Arial" w:eastAsia="Arial" w:hAnsi="Arial"/>
          <w:sz w:val="20"/>
          <w:szCs w:val="20"/>
          <w:color w:val="auto"/>
        </w:rPr>
        <w:t>– Purchased natural gas expense was $273 million for the year</w:t>
      </w:r>
      <w:r>
        <w:rPr>
          <w:rFonts w:ascii="Arial" w:cs="Arial" w:eastAsia="Arial" w:hAnsi="Arial"/>
          <w:sz w:val="20"/>
          <w:szCs w:val="20"/>
          <w:i w:val="1"/>
          <w:iCs w:val="1"/>
          <w:color w:val="auto"/>
        </w:rPr>
        <w:t xml:space="preserve"> </w:t>
      </w:r>
      <w:r>
        <w:rPr>
          <w:rFonts w:ascii="Arial" w:cs="Arial" w:eastAsia="Arial" w:hAnsi="Arial"/>
          <w:sz w:val="20"/>
          <w:szCs w:val="20"/>
          <w:color w:val="auto"/>
        </w:rPr>
        <w:t>ended December 31, 2022, which was an increase of $77 million, or 39%, from $196 million for the year ended December 31, 2021 primarily due to higher prices in 2022 for purchased natural gas related to our trading activities.</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9"/>
          <w:szCs w:val="19"/>
          <w:i w:val="1"/>
          <w:iCs w:val="1"/>
          <w:color w:val="auto"/>
        </w:rPr>
        <w:t xml:space="preserve">Electricity generation expense </w:t>
      </w:r>
      <w:r>
        <w:rPr>
          <w:rFonts w:ascii="Arial" w:cs="Arial" w:eastAsia="Arial" w:hAnsi="Arial"/>
          <w:sz w:val="19"/>
          <w:szCs w:val="19"/>
          <w:color w:val="auto"/>
        </w:rPr>
        <w:t>– Electricity generation expenses increased to $167 million for the year</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ended December 31, 2022 from $96 million for the year ended December 31, 2021. The increase of</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$71 million, or 74%, was predominantly a result of higher natural gas prices used in electricity generation.</w:t>
      </w:r>
    </w:p>
    <w:p>
      <w:pPr>
        <w:sectPr>
          <w:pgSz w:w="11880" w:h="15480" w:orient="portrait"/>
          <w:cols w:equalWidth="0" w:num="1">
            <w:col w:w="9120"/>
          </w:cols>
          <w:pgMar w:left="1380" w:top="1314" w:right="1380" w:bottom="65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ectPr>
          <w:pgSz w:w="11880" w:h="15480" w:orient="portrait"/>
          <w:cols w:equalWidth="0" w:num="1">
            <w:col w:w="9120"/>
          </w:cols>
          <w:pgMar w:left="1380" w:top="1314" w:right="1380" w:bottom="653" w:gutter="0" w:footer="0" w:header="0"/>
          <w:type w:val="continuous"/>
        </w:sectPr>
      </w:pPr>
    </w:p>
    <w:bookmarkStart w:id="81" w:name="page82"/>
    <w:bookmarkEnd w:id="81"/>
    <w:p>
      <w:pPr>
        <w:ind w:right="260" w:firstLine="300"/>
        <w:spacing w:after="0" w:line="248" w:lineRule="auto"/>
        <w:rPr>
          <w:sz w:val="20"/>
          <w:szCs w:val="20"/>
          <w:color w:val="auto"/>
        </w:rPr>
      </w:pPr>
      <w:r>
        <w:rPr>
          <w:rFonts w:ascii="Arial" w:cs="Arial" w:eastAsia="Arial" w:hAnsi="Arial"/>
          <w:sz w:val="20"/>
          <w:szCs w:val="20"/>
          <w:i w:val="1"/>
          <w:iCs w:val="1"/>
          <w:color w:val="auto"/>
        </w:rPr>
        <w:t xml:space="preserve">Other operating expenses, net </w:t>
      </w:r>
      <w:r>
        <w:rPr>
          <w:rFonts w:ascii="Arial" w:cs="Arial" w:eastAsia="Arial" w:hAnsi="Arial"/>
          <w:sz w:val="20"/>
          <w:szCs w:val="20"/>
          <w:color w:val="auto"/>
        </w:rPr>
        <w:t>– Other operating expenses, net was $48 million for the year ended</w:t>
      </w:r>
      <w:r>
        <w:rPr>
          <w:rFonts w:ascii="Arial" w:cs="Arial" w:eastAsia="Arial" w:hAnsi="Arial"/>
          <w:sz w:val="20"/>
          <w:szCs w:val="20"/>
          <w:i w:val="1"/>
          <w:iCs w:val="1"/>
          <w:color w:val="auto"/>
        </w:rPr>
        <w:t xml:space="preserve"> </w:t>
      </w:r>
      <w:r>
        <w:rPr>
          <w:rFonts w:ascii="Arial" w:cs="Arial" w:eastAsia="Arial" w:hAnsi="Arial"/>
          <w:sz w:val="20"/>
          <w:szCs w:val="20"/>
          <w:color w:val="auto"/>
        </w:rPr>
        <w:t>December 31, 2022, which was an increase of $19 million, or 66%, from $29 million for the year ended December 31, 2021. The table below shows the portion of other operating expenses, net directly attributable to our carbon management business: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spacing w:after="0"/>
              <w:rPr>
                <w:sz w:val="19"/>
                <w:szCs w:val="19"/>
                <w:color w:val="auto"/>
              </w:rPr>
            </w:pPr>
          </w:p>
        </w:tc>
        <w:tc>
          <w:tcPr>
            <w:tcW w:w="2560" w:type="dxa"/>
            <w:vAlign w:val="bottom"/>
            <w:gridSpan w:val="5"/>
          </w:tcPr>
          <w:p>
            <w:pPr>
              <w:jc w:val="right"/>
              <w:spacing w:after="0"/>
              <w:rPr>
                <w:sz w:val="20"/>
                <w:szCs w:val="20"/>
                <w:color w:val="auto"/>
              </w:rPr>
            </w:pPr>
            <w:r>
              <w:rPr>
                <w:rFonts w:ascii="Arial" w:cs="Arial" w:eastAsia="Arial" w:hAnsi="Arial"/>
                <w:sz w:val="20"/>
                <w:szCs w:val="20"/>
                <w:b w:val="1"/>
                <w:bCs w:val="1"/>
                <w:color w:val="auto"/>
              </w:rPr>
              <w:t>Year ended December 31,</w:t>
            </w:r>
          </w:p>
        </w:tc>
      </w:tr>
      <w:tr>
        <w:trPr>
          <w:trHeight w:val="20"/>
        </w:trPr>
        <w:tc>
          <w:tcPr>
            <w:tcW w:w="6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40"/>
        </w:trPr>
        <w:tc>
          <w:tcPr>
            <w:tcW w:w="65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2022</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260"/>
              <w:spacing w:after="0"/>
              <w:rPr>
                <w:sz w:val="20"/>
                <w:szCs w:val="20"/>
                <w:color w:val="auto"/>
              </w:rPr>
            </w:pPr>
            <w:r>
              <w:rPr>
                <w:rFonts w:ascii="Arial" w:cs="Arial" w:eastAsia="Arial" w:hAnsi="Arial"/>
                <w:sz w:val="20"/>
                <w:szCs w:val="20"/>
                <w:b w:val="1"/>
                <w:bCs w:val="1"/>
                <w:color w:val="auto"/>
              </w:rPr>
              <w:t>2021</w:t>
            </w:r>
          </w:p>
        </w:tc>
      </w:tr>
      <w:tr>
        <w:trPr>
          <w:trHeight w:val="20"/>
        </w:trPr>
        <w:tc>
          <w:tcPr>
            <w:tcW w:w="6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2"/>
        </w:trPr>
        <w:tc>
          <w:tcPr>
            <w:tcW w:w="6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6"/>
                <w:szCs w:val="16"/>
                <w:color w:val="auto"/>
              </w:rPr>
              <w:t>(in millions)</w:t>
            </w:r>
          </w:p>
        </w:tc>
        <w:tc>
          <w:tcPr>
            <w:tcW w:w="840" w:type="dxa"/>
            <w:vAlign w:val="bottom"/>
          </w:tcPr>
          <w:p>
            <w:pPr>
              <w:spacing w:after="0"/>
              <w:rPr>
                <w:sz w:val="16"/>
                <w:szCs w:val="16"/>
                <w:color w:val="auto"/>
              </w:rPr>
            </w:pPr>
          </w:p>
        </w:tc>
      </w:tr>
      <w:tr>
        <w:trPr>
          <w:trHeight w:val="248"/>
        </w:trPr>
        <w:tc>
          <w:tcPr>
            <w:tcW w:w="6560" w:type="dxa"/>
            <w:vAlign w:val="bottom"/>
          </w:tcPr>
          <w:p>
            <w:pPr>
              <w:jc w:val="right"/>
              <w:ind w:right="100"/>
              <w:spacing w:after="0"/>
              <w:rPr>
                <w:sz w:val="20"/>
                <w:szCs w:val="20"/>
                <w:color w:val="auto"/>
              </w:rPr>
            </w:pPr>
            <w:r>
              <w:rPr>
                <w:rFonts w:ascii="Arial" w:cs="Arial" w:eastAsia="Arial" w:hAnsi="Arial"/>
                <w:sz w:val="20"/>
                <w:szCs w:val="20"/>
                <w:color w:val="auto"/>
                <w:w w:val="98"/>
              </w:rPr>
              <w:t>Exploration and production, corporate and other  . . . . . . . . . . . . . . . . . . .</w:t>
            </w:r>
          </w:p>
        </w:tc>
        <w:tc>
          <w:tcPr>
            <w:tcW w:w="840" w:type="dxa"/>
            <w:vAlign w:val="bottom"/>
          </w:tcPr>
          <w:p>
            <w:pPr>
              <w:jc w:val="right"/>
              <w:ind w:right="640"/>
              <w:spacing w:after="0"/>
              <w:rPr>
                <w:sz w:val="20"/>
                <w:szCs w:val="20"/>
                <w:color w:val="auto"/>
              </w:rPr>
            </w:pPr>
            <w:r>
              <w:rPr>
                <w:rFonts w:ascii="Arial" w:cs="Arial" w:eastAsia="Arial" w:hAnsi="Arial"/>
                <w:sz w:val="20"/>
                <w:szCs w:val="20"/>
                <w:color w:val="auto"/>
                <w:w w:val="71"/>
              </w:rPr>
              <w:t>$</w:t>
            </w:r>
          </w:p>
        </w:tc>
        <w:tc>
          <w:tcPr>
            <w:tcW w:w="340" w:type="dxa"/>
            <w:vAlign w:val="bottom"/>
          </w:tcPr>
          <w:p>
            <w:pPr>
              <w:jc w:val="right"/>
              <w:spacing w:after="0"/>
              <w:rPr>
                <w:sz w:val="20"/>
                <w:szCs w:val="20"/>
                <w:color w:val="auto"/>
              </w:rPr>
            </w:pPr>
            <w:r>
              <w:rPr>
                <w:rFonts w:ascii="Arial" w:cs="Arial" w:eastAsia="Arial" w:hAnsi="Arial"/>
                <w:sz w:val="20"/>
                <w:szCs w:val="20"/>
                <w:color w:val="auto"/>
              </w:rPr>
              <w:t>34</w:t>
            </w:r>
          </w:p>
        </w:tc>
        <w:tc>
          <w:tcPr>
            <w:tcW w:w="54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40"/>
        </w:trPr>
        <w:tc>
          <w:tcPr>
            <w:tcW w:w="6560" w:type="dxa"/>
            <w:vAlign w:val="bottom"/>
          </w:tcPr>
          <w:p>
            <w:pPr>
              <w:jc w:val="right"/>
              <w:ind w:right="100"/>
              <w:spacing w:after="0"/>
              <w:rPr>
                <w:sz w:val="20"/>
                <w:szCs w:val="20"/>
                <w:color w:val="auto"/>
              </w:rPr>
            </w:pPr>
            <w:r>
              <w:rPr>
                <w:rFonts w:ascii="Arial" w:cs="Arial" w:eastAsia="Arial" w:hAnsi="Arial"/>
                <w:sz w:val="20"/>
                <w:szCs w:val="20"/>
                <w:color w:val="auto"/>
                <w:w w:val="97"/>
              </w:rPr>
              <w:t>Carbon management business . . . . . . . . . . . . . . . . . . . . . . . . . . . . . . . . . .</w:t>
            </w:r>
          </w:p>
        </w:tc>
        <w:tc>
          <w:tcPr>
            <w:tcW w:w="8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20"/>
                <w:szCs w:val="20"/>
                <w:color w:val="auto"/>
              </w:rPr>
              <w:t>14</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30"/>
        </w:trPr>
        <w:tc>
          <w:tcPr>
            <w:tcW w:w="65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70"/>
        </w:trPr>
        <w:tc>
          <w:tcPr>
            <w:tcW w:w="6560" w:type="dxa"/>
            <w:vAlign w:val="bottom"/>
          </w:tcPr>
          <w:p>
            <w:pPr>
              <w:jc w:val="right"/>
              <w:ind w:right="100"/>
              <w:spacing w:after="0"/>
              <w:rPr>
                <w:sz w:val="20"/>
                <w:szCs w:val="20"/>
                <w:color w:val="auto"/>
              </w:rPr>
            </w:pPr>
            <w:r>
              <w:rPr>
                <w:rFonts w:ascii="Arial" w:cs="Arial" w:eastAsia="Arial" w:hAnsi="Arial"/>
                <w:sz w:val="20"/>
                <w:szCs w:val="20"/>
                <w:color w:val="auto"/>
              </w:rPr>
              <w:t>Total other operating expenses, net . . . . . . . . . . . . . . . . . . . . . . . . . . . .</w:t>
            </w:r>
          </w:p>
        </w:tc>
        <w:tc>
          <w:tcPr>
            <w:tcW w:w="840" w:type="dxa"/>
            <w:vAlign w:val="bottom"/>
          </w:tcPr>
          <w:p>
            <w:pPr>
              <w:jc w:val="right"/>
              <w:ind w:right="640"/>
              <w:spacing w:after="0"/>
              <w:rPr>
                <w:sz w:val="20"/>
                <w:szCs w:val="20"/>
                <w:color w:val="auto"/>
              </w:rPr>
            </w:pPr>
            <w:r>
              <w:rPr>
                <w:rFonts w:ascii="Arial" w:cs="Arial" w:eastAsia="Arial" w:hAnsi="Arial"/>
                <w:sz w:val="20"/>
                <w:szCs w:val="20"/>
                <w:color w:val="auto"/>
                <w:w w:val="71"/>
              </w:rPr>
              <w:t>$</w:t>
            </w:r>
          </w:p>
        </w:tc>
        <w:tc>
          <w:tcPr>
            <w:tcW w:w="340" w:type="dxa"/>
            <w:vAlign w:val="bottom"/>
          </w:tcPr>
          <w:p>
            <w:pPr>
              <w:jc w:val="right"/>
              <w:spacing w:after="0"/>
              <w:rPr>
                <w:sz w:val="20"/>
                <w:szCs w:val="20"/>
                <w:color w:val="auto"/>
              </w:rPr>
            </w:pPr>
            <w:r>
              <w:rPr>
                <w:rFonts w:ascii="Arial" w:cs="Arial" w:eastAsia="Arial" w:hAnsi="Arial"/>
                <w:sz w:val="20"/>
                <w:szCs w:val="20"/>
                <w:color w:val="auto"/>
              </w:rPr>
              <w:t>48</w:t>
            </w:r>
          </w:p>
        </w:tc>
        <w:tc>
          <w:tcPr>
            <w:tcW w:w="54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30"/>
        </w:trPr>
        <w:tc>
          <w:tcPr>
            <w:tcW w:w="65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6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00" w:firstLine="300"/>
        <w:spacing w:after="0" w:line="249" w:lineRule="auto"/>
        <w:rPr>
          <w:sz w:val="20"/>
          <w:szCs w:val="20"/>
          <w:color w:val="auto"/>
        </w:rPr>
      </w:pPr>
      <w:r>
        <w:rPr>
          <w:rFonts w:ascii="Arial" w:cs="Arial" w:eastAsia="Arial" w:hAnsi="Arial"/>
          <w:sz w:val="20"/>
          <w:szCs w:val="20"/>
          <w:color w:val="auto"/>
        </w:rPr>
        <w:t>Other operating expenses, net for exploration and production, corporate and other includes higher maintenance costs for offshore platforms and purchased NGL volumes which were acquired to meet our delivery commitments while one of our cryogenic gas processing facilities was undergoing maintenance. The prior comparative period included $15 million of severance costs related to the reduction in our workforce and the departure of certain executive and other senior officers. Other operating expense, net for our carbon management business includes lease cost for sequestration easements, advocacy, and other startup-related costs.</w:t>
      </w:r>
    </w:p>
    <w:p>
      <w:pPr>
        <w:spacing w:after="0" w:line="208" w:lineRule="exact"/>
        <w:rPr>
          <w:sz w:val="20"/>
          <w:szCs w:val="20"/>
          <w:color w:val="auto"/>
        </w:rPr>
      </w:pPr>
    </w:p>
    <w:p>
      <w:pPr>
        <w:ind w:right="60" w:firstLine="300"/>
        <w:spacing w:after="0" w:line="265" w:lineRule="auto"/>
        <w:rPr>
          <w:sz w:val="20"/>
          <w:szCs w:val="20"/>
          <w:color w:val="auto"/>
        </w:rPr>
      </w:pPr>
      <w:r>
        <w:rPr>
          <w:rFonts w:ascii="Arial" w:cs="Arial" w:eastAsia="Arial" w:hAnsi="Arial"/>
          <w:sz w:val="19"/>
          <w:szCs w:val="19"/>
          <w:i w:val="1"/>
          <w:iCs w:val="1"/>
          <w:color w:val="auto"/>
        </w:rPr>
        <w:t xml:space="preserve">Net gain on asset divestitures </w:t>
      </w:r>
      <w:r>
        <w:rPr>
          <w:rFonts w:ascii="Arial" w:cs="Arial" w:eastAsia="Arial" w:hAnsi="Arial"/>
          <w:sz w:val="19"/>
          <w:szCs w:val="19"/>
          <w:color w:val="auto"/>
        </w:rPr>
        <w:t>– Net gain on asset divestitures for the year ended December 31, 2022</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was $59 million primarily related to the sale of our 50% non-operated working interest in certain horizons within our Lost Hills field and certain Ventura basin assets. Gain on asset divestitures for the year ended December 31, 2021 was $124 million related to the sale of the majority of our Ventura basin operations, unimproved land and other non-core assets. For more information on our asset divestitures, see </w:t>
      </w:r>
      <w:r>
        <w:rPr>
          <w:rFonts w:ascii="Arial" w:cs="Arial" w:eastAsia="Arial" w:hAnsi="Arial"/>
          <w:sz w:val="19"/>
          <w:szCs w:val="19"/>
          <w:i w:val="1"/>
          <w:iCs w:val="1"/>
          <w:color w:val="auto"/>
        </w:rPr>
        <w:t>Part II,</w:t>
      </w:r>
      <w:r>
        <w:rPr>
          <w:rFonts w:ascii="Arial" w:cs="Arial" w:eastAsia="Arial" w:hAnsi="Arial"/>
          <w:sz w:val="19"/>
          <w:szCs w:val="19"/>
          <w:color w:val="auto"/>
        </w:rPr>
        <w:t xml:space="preserve"> </w:t>
      </w:r>
      <w:r>
        <w:rPr>
          <w:rFonts w:ascii="Arial" w:cs="Arial" w:eastAsia="Arial" w:hAnsi="Arial"/>
          <w:sz w:val="19"/>
          <w:szCs w:val="19"/>
          <w:i w:val="1"/>
          <w:iCs w:val="1"/>
          <w:color w:val="auto"/>
        </w:rPr>
        <w:t>Item 8 – Financial Statements and Supplementary Data, Note 3 Divestitures and Acquisitions.</w:t>
      </w:r>
    </w:p>
    <w:p>
      <w:pPr>
        <w:spacing w:after="0" w:line="193" w:lineRule="exact"/>
        <w:rPr>
          <w:sz w:val="20"/>
          <w:szCs w:val="20"/>
          <w:color w:val="auto"/>
        </w:rPr>
      </w:pPr>
    </w:p>
    <w:p>
      <w:pPr>
        <w:ind w:right="40" w:firstLine="300"/>
        <w:spacing w:after="0" w:line="250" w:lineRule="auto"/>
        <w:rPr>
          <w:sz w:val="20"/>
          <w:szCs w:val="20"/>
          <w:color w:val="auto"/>
        </w:rPr>
      </w:pPr>
      <w:r>
        <w:rPr>
          <w:rFonts w:ascii="Arial" w:cs="Arial" w:eastAsia="Arial" w:hAnsi="Arial"/>
          <w:sz w:val="20"/>
          <w:szCs w:val="20"/>
          <w:i w:val="1"/>
          <w:iCs w:val="1"/>
          <w:color w:val="auto"/>
        </w:rPr>
        <w:t xml:space="preserve">Income tax (provision) benefit </w:t>
      </w:r>
      <w:r>
        <w:rPr>
          <w:rFonts w:ascii="Arial" w:cs="Arial" w:eastAsia="Arial" w:hAnsi="Arial"/>
          <w:sz w:val="20"/>
          <w:szCs w:val="20"/>
          <w:color w:val="auto"/>
        </w:rPr>
        <w:t>– The income tax provision for the year ended December 31, 2022 was</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$237 million (effective tax rate of 31%), which included a $35 million provision for a valuation allowance recorded in the first quarter of 2022 at the time of our Lost Hills divestiture. This compares to an income tax benefit of $396 million for the year ended December 31, 2021 which included the release of a valuation allowance in the fourth quarter of 2021. See </w:t>
      </w:r>
      <w:r>
        <w:rPr>
          <w:rFonts w:ascii="Arial" w:cs="Arial" w:eastAsia="Arial" w:hAnsi="Arial"/>
          <w:sz w:val="20"/>
          <w:szCs w:val="20"/>
          <w:i w:val="1"/>
          <w:iCs w:val="1"/>
          <w:color w:val="auto"/>
        </w:rPr>
        <w:t>Part II, Item 8 – Financial Statements and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Supplementary Data, Note 9 Income Taxes </w:t>
      </w:r>
      <w:r>
        <w:rPr>
          <w:rFonts w:ascii="Arial" w:cs="Arial" w:eastAsia="Arial" w:hAnsi="Arial"/>
          <w:sz w:val="20"/>
          <w:szCs w:val="20"/>
          <w:color w:val="auto"/>
        </w:rPr>
        <w:t>for more information on our ability to realize deferred tax</w:t>
      </w:r>
      <w:r>
        <w:rPr>
          <w:rFonts w:ascii="Arial" w:cs="Arial" w:eastAsia="Arial" w:hAnsi="Arial"/>
          <w:sz w:val="20"/>
          <w:szCs w:val="20"/>
          <w:i w:val="1"/>
          <w:iCs w:val="1"/>
          <w:color w:val="auto"/>
        </w:rPr>
        <w:t xml:space="preserve"> </w:t>
      </w:r>
      <w:r>
        <w:rPr>
          <w:rFonts w:ascii="Arial" w:cs="Arial" w:eastAsia="Arial" w:hAnsi="Arial"/>
          <w:sz w:val="20"/>
          <w:szCs w:val="20"/>
          <w:color w:val="auto"/>
        </w:rPr>
        <w:t>assets.</w:t>
      </w:r>
    </w:p>
    <w:p>
      <w:pPr>
        <w:spacing w:after="0" w:line="203" w:lineRule="exact"/>
        <w:rPr>
          <w:sz w:val="20"/>
          <w:szCs w:val="20"/>
          <w:color w:val="auto"/>
        </w:rPr>
      </w:pPr>
    </w:p>
    <w:p>
      <w:pPr>
        <w:ind w:firstLine="300"/>
        <w:spacing w:after="0" w:line="266" w:lineRule="auto"/>
        <w:rPr>
          <w:sz w:val="20"/>
          <w:szCs w:val="20"/>
          <w:color w:val="auto"/>
        </w:rPr>
      </w:pPr>
      <w:r>
        <w:rPr>
          <w:rFonts w:ascii="Arial" w:cs="Arial" w:eastAsia="Arial" w:hAnsi="Arial"/>
          <w:sz w:val="19"/>
          <w:szCs w:val="19"/>
          <w:i w:val="1"/>
          <w:iCs w:val="1"/>
          <w:color w:val="auto"/>
        </w:rPr>
        <w:t xml:space="preserve">Net income attributable to noncontrolling interests </w:t>
      </w:r>
      <w:r>
        <w:rPr>
          <w:rFonts w:ascii="Arial" w:cs="Arial" w:eastAsia="Arial" w:hAnsi="Arial"/>
          <w:sz w:val="19"/>
          <w:szCs w:val="19"/>
          <w:color w:val="auto"/>
        </w:rPr>
        <w:t>– BSP’s preferred interest in the BSP JV was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automatically redeemed in full in September 2021 and income was allocated to BSP up to the redemption date. See </w:t>
      </w:r>
      <w:r>
        <w:rPr>
          <w:rFonts w:ascii="Arial" w:cs="Arial" w:eastAsia="Arial" w:hAnsi="Arial"/>
          <w:sz w:val="19"/>
          <w:szCs w:val="19"/>
          <w:i w:val="1"/>
          <w:iCs w:val="1"/>
          <w:color w:val="auto"/>
        </w:rPr>
        <w:t>Part II, Item 8 – Financial Statements and Supplementary Data, Note 11 Stockholders’ Equity</w:t>
      </w:r>
      <w:r>
        <w:rPr>
          <w:rFonts w:ascii="Arial" w:cs="Arial" w:eastAsia="Arial" w:hAnsi="Arial"/>
          <w:sz w:val="19"/>
          <w:szCs w:val="19"/>
          <w:color w:val="auto"/>
        </w:rPr>
        <w:t xml:space="preserve"> for more information on the redemption of the preferred member interest from BSP.</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Year Ended December 31, 2021 vs. the Successor and Predecessor Periods of 2020</w:t>
      </w:r>
    </w:p>
    <w:p>
      <w:pPr>
        <w:spacing w:after="0" w:line="212"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auto"/>
        </w:rPr>
        <w:t xml:space="preserve">See </w:t>
      </w:r>
      <w:r>
        <w:rPr>
          <w:rFonts w:ascii="Arial" w:cs="Arial" w:eastAsia="Arial" w:hAnsi="Arial"/>
          <w:sz w:val="20"/>
          <w:szCs w:val="20"/>
          <w:i w:val="1"/>
          <w:iCs w:val="1"/>
          <w:color w:val="auto"/>
        </w:rPr>
        <w:t>Part II, Item 7 – Management’s Discussion and Analysis of Financial Condition and Results of</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Operations, Statement of Operations Analysis </w:t>
      </w:r>
      <w:r>
        <w:rPr>
          <w:rFonts w:ascii="Arial" w:cs="Arial" w:eastAsia="Arial" w:hAnsi="Arial"/>
          <w:sz w:val="20"/>
          <w:szCs w:val="20"/>
          <w:color w:val="auto"/>
        </w:rPr>
        <w:t>in our 2021 Form 10-K for our analysis of the changes in</w:t>
      </w:r>
      <w:r>
        <w:rPr>
          <w:rFonts w:ascii="Arial" w:cs="Arial" w:eastAsia="Arial" w:hAnsi="Arial"/>
          <w:sz w:val="20"/>
          <w:szCs w:val="20"/>
          <w:i w:val="1"/>
          <w:iCs w:val="1"/>
          <w:color w:val="auto"/>
        </w:rPr>
        <w:t xml:space="preserve"> </w:t>
      </w:r>
      <w:r>
        <w:rPr>
          <w:rFonts w:ascii="Arial" w:cs="Arial" w:eastAsia="Arial" w:hAnsi="Arial"/>
          <w:sz w:val="20"/>
          <w:szCs w:val="20"/>
          <w:color w:val="auto"/>
        </w:rPr>
        <w:t>our consolidated statements of operations for the year ended December 31, 2021 compared to the Successor period from November 1, 2020 through December 31, 2020 and the Predecessor period from January 1, 2020 through October 31, 2020 along with supplemental information for the combined year ended December 31, 2020.</w:t>
      </w:r>
    </w:p>
    <w:p>
      <w:pPr>
        <w:sectPr>
          <w:pgSz w:w="11880" w:h="15480" w:orient="portrait"/>
          <w:cols w:equalWidth="0" w:num="1">
            <w:col w:w="9120"/>
          </w:cols>
          <w:pgMar w:left="1380" w:top="1314"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ectPr>
          <w:pgSz w:w="11880" w:h="15480" w:orient="portrait"/>
          <w:cols w:equalWidth="0" w:num="1">
            <w:col w:w="9120"/>
          </w:cols>
          <w:pgMar w:left="1380" w:top="1314" w:right="1380" w:bottom="655" w:gutter="0" w:footer="0" w:header="0"/>
          <w:type w:val="continuous"/>
        </w:sectPr>
      </w:pPr>
    </w:p>
    <w:bookmarkStart w:id="82" w:name="page83"/>
    <w:bookmarkEnd w:id="82"/>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Liquidity</w:t>
      </w:r>
    </w:p>
    <w:p>
      <w:pPr>
        <w:spacing w:after="0" w:line="215" w:lineRule="exact"/>
        <w:rPr>
          <w:sz w:val="20"/>
          <w:szCs w:val="20"/>
          <w:color w:val="auto"/>
        </w:rPr>
      </w:pPr>
    </w:p>
    <w:p>
      <w:pPr>
        <w:ind w:right="220" w:firstLine="300"/>
        <w:spacing w:after="0" w:line="248" w:lineRule="auto"/>
        <w:rPr>
          <w:sz w:val="20"/>
          <w:szCs w:val="20"/>
          <w:color w:val="auto"/>
        </w:rPr>
      </w:pPr>
      <w:r>
        <w:rPr>
          <w:rFonts w:ascii="Arial" w:cs="Arial" w:eastAsia="Arial" w:hAnsi="Arial"/>
          <w:sz w:val="20"/>
          <w:szCs w:val="20"/>
          <w:color w:val="auto"/>
        </w:rPr>
        <w:t>Our primary sources of liquidity and capital resources are cash flows from operations, cash and cash equivalents on hand and available borrowing capacity under our Revolving Credit Facility which matures in April 2024. We also generated additional cash flow of $80 million from strategic asset divestitures during 2022. Our primary uses of operating cash flow for 2022 were capital investments, repurchase shares of our common stock and dividends.</w:t>
      </w:r>
    </w:p>
    <w:p>
      <w:pPr>
        <w:spacing w:after="0" w:line="245" w:lineRule="exact"/>
        <w:rPr>
          <w:sz w:val="20"/>
          <w:szCs w:val="20"/>
          <w:color w:val="auto"/>
        </w:rPr>
      </w:pPr>
    </w:p>
    <w:p>
      <w:pPr>
        <w:ind w:left="300"/>
        <w:spacing w:after="0"/>
        <w:rPr>
          <w:sz w:val="20"/>
          <w:szCs w:val="20"/>
          <w:color w:val="auto"/>
        </w:rPr>
      </w:pPr>
      <w:r>
        <w:rPr>
          <w:rFonts w:ascii="Arial" w:cs="Arial" w:eastAsia="Arial" w:hAnsi="Arial"/>
          <w:sz w:val="20"/>
          <w:szCs w:val="20"/>
          <w:color w:val="auto"/>
        </w:rPr>
        <w:t>The following table summarizes our liquidity: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2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20"/>
                <w:szCs w:val="20"/>
                <w:b w:val="1"/>
                <w:bCs w:val="1"/>
                <w:color w:val="auto"/>
                <w:w w:val="98"/>
              </w:rPr>
              <w:t>December 31,</w:t>
            </w:r>
          </w:p>
        </w:tc>
        <w:tc>
          <w:tcPr>
            <w:tcW w:w="0" w:type="dxa"/>
            <w:vAlign w:val="bottom"/>
          </w:tcPr>
          <w:p>
            <w:pPr>
              <w:spacing w:after="0"/>
              <w:rPr>
                <w:sz w:val="1"/>
                <w:szCs w:val="1"/>
                <w:color w:val="auto"/>
              </w:rPr>
            </w:pPr>
          </w:p>
        </w:tc>
      </w:tr>
      <w:tr>
        <w:trPr>
          <w:trHeight w:val="228"/>
        </w:trPr>
        <w:tc>
          <w:tcPr>
            <w:tcW w:w="7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323"/>
              <w:spacing w:after="0" w:line="228" w:lineRule="exact"/>
              <w:rPr>
                <w:sz w:val="20"/>
                <w:szCs w:val="20"/>
                <w:color w:val="auto"/>
              </w:rPr>
            </w:pPr>
            <w:r>
              <w:rPr>
                <w:rFonts w:ascii="Arial" w:cs="Arial" w:eastAsia="Arial" w:hAnsi="Arial"/>
                <w:sz w:val="20"/>
                <w:szCs w:val="20"/>
                <w:b w:val="1"/>
                <w:bCs w:val="1"/>
                <w:color w:val="auto"/>
              </w:rPr>
              <w:t>2022</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center"/>
              <w:ind w:right="83"/>
              <w:spacing w:after="0"/>
              <w:rPr>
                <w:sz w:val="20"/>
                <w:szCs w:val="20"/>
                <w:color w:val="auto"/>
              </w:rPr>
            </w:pPr>
            <w:r>
              <w:rPr>
                <w:rFonts w:ascii="Arial" w:cs="Arial" w:eastAsia="Arial" w:hAnsi="Arial"/>
                <w:sz w:val="16"/>
                <w:szCs w:val="16"/>
                <w:color w:val="auto"/>
              </w:rPr>
              <w:t>(in millions)</w:t>
            </w:r>
          </w:p>
        </w:tc>
        <w:tc>
          <w:tcPr>
            <w:tcW w:w="0" w:type="dxa"/>
            <w:vAlign w:val="bottom"/>
          </w:tcPr>
          <w:p>
            <w:pPr>
              <w:spacing w:after="0"/>
              <w:rPr>
                <w:sz w:val="1"/>
                <w:szCs w:val="1"/>
                <w:color w:val="auto"/>
              </w:rPr>
            </w:pPr>
          </w:p>
        </w:tc>
      </w:tr>
      <w:tr>
        <w:trPr>
          <w:trHeight w:val="248"/>
        </w:trPr>
        <w:tc>
          <w:tcPr>
            <w:tcW w:w="7820" w:type="dxa"/>
            <w:vAlign w:val="bottom"/>
          </w:tcPr>
          <w:p>
            <w:pPr>
              <w:jc w:val="right"/>
              <w:ind w:right="100"/>
              <w:spacing w:after="0"/>
              <w:rPr>
                <w:sz w:val="20"/>
                <w:szCs w:val="20"/>
                <w:color w:val="auto"/>
              </w:rPr>
            </w:pPr>
            <w:r>
              <w:rPr>
                <w:rFonts w:ascii="Arial" w:cs="Arial" w:eastAsia="Arial" w:hAnsi="Arial"/>
                <w:sz w:val="20"/>
                <w:szCs w:val="20"/>
                <w:color w:val="auto"/>
                <w:w w:val="96"/>
              </w:rPr>
              <w:t>Cash and cash equivalents . . . . . . . . . . . . . . . . . . . . . . . . . . . . . . . . . . . . . . . . . . . . . . . . .</w:t>
            </w:r>
          </w:p>
        </w:tc>
        <w:tc>
          <w:tcPr>
            <w:tcW w:w="180" w:type="dxa"/>
            <w:vAlign w:val="bottom"/>
          </w:tcPr>
          <w:p>
            <w:pPr>
              <w:spacing w:after="0"/>
              <w:rPr>
                <w:sz w:val="20"/>
                <w:szCs w:val="20"/>
                <w:color w:val="auto"/>
              </w:rPr>
            </w:pPr>
            <w:r>
              <w:rPr>
                <w:rFonts w:ascii="Arial" w:cs="Arial" w:eastAsia="Arial" w:hAnsi="Arial"/>
                <w:sz w:val="20"/>
                <w:szCs w:val="20"/>
                <w:color w:val="auto"/>
              </w:rPr>
              <w:t>$</w:t>
            </w:r>
          </w:p>
        </w:tc>
        <w:tc>
          <w:tcPr>
            <w:tcW w:w="1120" w:type="dxa"/>
            <w:vAlign w:val="bottom"/>
          </w:tcPr>
          <w:p>
            <w:pPr>
              <w:jc w:val="center"/>
              <w:ind w:left="583"/>
              <w:spacing w:after="0"/>
              <w:rPr>
                <w:sz w:val="20"/>
                <w:szCs w:val="20"/>
                <w:color w:val="auto"/>
              </w:rPr>
            </w:pPr>
            <w:r>
              <w:rPr>
                <w:rFonts w:ascii="Arial" w:cs="Arial" w:eastAsia="Arial" w:hAnsi="Arial"/>
                <w:sz w:val="20"/>
                <w:szCs w:val="20"/>
                <w:color w:val="auto"/>
                <w:w w:val="95"/>
              </w:rPr>
              <w:t>307</w:t>
            </w:r>
          </w:p>
        </w:tc>
        <w:tc>
          <w:tcPr>
            <w:tcW w:w="0" w:type="dxa"/>
            <w:vAlign w:val="bottom"/>
          </w:tcPr>
          <w:p>
            <w:pPr>
              <w:spacing w:after="0"/>
              <w:rPr>
                <w:sz w:val="1"/>
                <w:szCs w:val="1"/>
                <w:color w:val="auto"/>
              </w:rPr>
            </w:pPr>
          </w:p>
        </w:tc>
      </w:tr>
      <w:tr>
        <w:trPr>
          <w:trHeight w:val="240"/>
        </w:trPr>
        <w:tc>
          <w:tcPr>
            <w:tcW w:w="7820" w:type="dxa"/>
            <w:vAlign w:val="bottom"/>
          </w:tcPr>
          <w:p>
            <w:pPr>
              <w:jc w:val="right"/>
              <w:ind w:right="5520"/>
              <w:spacing w:after="0"/>
              <w:rPr>
                <w:sz w:val="20"/>
                <w:szCs w:val="20"/>
                <w:color w:val="auto"/>
              </w:rPr>
            </w:pPr>
            <w:r>
              <w:rPr>
                <w:rFonts w:ascii="Arial" w:cs="Arial" w:eastAsia="Arial" w:hAnsi="Arial"/>
                <w:sz w:val="20"/>
                <w:szCs w:val="20"/>
                <w:color w:val="auto"/>
                <w:w w:val="99"/>
              </w:rPr>
              <w:t>Revolving Credit Facility:</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820" w:type="dxa"/>
            <w:vAlign w:val="bottom"/>
          </w:tcPr>
          <w:p>
            <w:pPr>
              <w:jc w:val="right"/>
              <w:ind w:right="100"/>
              <w:spacing w:after="0"/>
              <w:rPr>
                <w:sz w:val="20"/>
                <w:szCs w:val="20"/>
                <w:color w:val="auto"/>
              </w:rPr>
            </w:pPr>
            <w:r>
              <w:rPr>
                <w:rFonts w:ascii="Arial" w:cs="Arial" w:eastAsia="Arial" w:hAnsi="Arial"/>
                <w:sz w:val="20"/>
                <w:szCs w:val="20"/>
                <w:color w:val="auto"/>
                <w:w w:val="98"/>
              </w:rPr>
              <w:t>Borrowing capacity . . . . . . . . . . . . . . . . . . . . . . . . . . . . . . . . . . . . . . . . . . . . . . . . . . . . . .</w:t>
            </w:r>
          </w:p>
        </w:tc>
        <w:tc>
          <w:tcPr>
            <w:tcW w:w="180" w:type="dxa"/>
            <w:vAlign w:val="bottom"/>
          </w:tcPr>
          <w:p>
            <w:pPr>
              <w:spacing w:after="0"/>
              <w:rPr>
                <w:sz w:val="21"/>
                <w:szCs w:val="21"/>
                <w:color w:val="auto"/>
              </w:rPr>
            </w:pPr>
          </w:p>
        </w:tc>
        <w:tc>
          <w:tcPr>
            <w:tcW w:w="1120" w:type="dxa"/>
            <w:vAlign w:val="bottom"/>
          </w:tcPr>
          <w:p>
            <w:pPr>
              <w:jc w:val="center"/>
              <w:ind w:left="583"/>
              <w:spacing w:after="0"/>
              <w:rPr>
                <w:sz w:val="20"/>
                <w:szCs w:val="20"/>
                <w:color w:val="auto"/>
              </w:rPr>
            </w:pPr>
            <w:r>
              <w:rPr>
                <w:rFonts w:ascii="Arial" w:cs="Arial" w:eastAsia="Arial" w:hAnsi="Arial"/>
                <w:sz w:val="20"/>
                <w:szCs w:val="20"/>
                <w:color w:val="auto"/>
                <w:w w:val="95"/>
              </w:rPr>
              <w:t>602</w:t>
            </w:r>
          </w:p>
        </w:tc>
        <w:tc>
          <w:tcPr>
            <w:tcW w:w="0" w:type="dxa"/>
            <w:vAlign w:val="bottom"/>
          </w:tcPr>
          <w:p>
            <w:pPr>
              <w:spacing w:after="0"/>
              <w:rPr>
                <w:sz w:val="1"/>
                <w:szCs w:val="1"/>
                <w:color w:val="auto"/>
              </w:rPr>
            </w:pPr>
          </w:p>
        </w:tc>
      </w:tr>
      <w:tr>
        <w:trPr>
          <w:trHeight w:val="240"/>
        </w:trPr>
        <w:tc>
          <w:tcPr>
            <w:tcW w:w="7820" w:type="dxa"/>
            <w:vAlign w:val="bottom"/>
          </w:tcPr>
          <w:p>
            <w:pPr>
              <w:jc w:val="right"/>
              <w:ind w:right="100"/>
              <w:spacing w:after="0"/>
              <w:rPr>
                <w:sz w:val="20"/>
                <w:szCs w:val="20"/>
                <w:color w:val="auto"/>
              </w:rPr>
            </w:pPr>
            <w:r>
              <w:rPr>
                <w:rFonts w:ascii="Arial" w:cs="Arial" w:eastAsia="Arial" w:hAnsi="Arial"/>
                <w:sz w:val="20"/>
                <w:szCs w:val="20"/>
                <w:color w:val="auto"/>
                <w:w w:val="99"/>
              </w:rPr>
              <w:t>Outstanding letters of credit  . . . . . . . . . . . . . . . . . . . . . . . . . . . . . . . . . . . . . . . . . . . . . .</w:t>
            </w:r>
          </w:p>
        </w:tc>
        <w:tc>
          <w:tcPr>
            <w:tcW w:w="180" w:type="dxa"/>
            <w:vAlign w:val="bottom"/>
          </w:tcPr>
          <w:p>
            <w:pPr>
              <w:spacing w:after="0"/>
              <w:rPr>
                <w:sz w:val="20"/>
                <w:szCs w:val="20"/>
                <w:color w:val="auto"/>
              </w:rPr>
            </w:pPr>
          </w:p>
        </w:tc>
        <w:tc>
          <w:tcPr>
            <w:tcW w:w="1120" w:type="dxa"/>
            <w:vAlign w:val="bottom"/>
          </w:tcPr>
          <w:p>
            <w:pPr>
              <w:jc w:val="center"/>
              <w:ind w:left="563"/>
              <w:spacing w:after="0"/>
              <w:rPr>
                <w:sz w:val="20"/>
                <w:szCs w:val="20"/>
                <w:color w:val="auto"/>
              </w:rPr>
            </w:pPr>
            <w:r>
              <w:rPr>
                <w:rFonts w:ascii="Arial" w:cs="Arial" w:eastAsia="Arial" w:hAnsi="Arial"/>
                <w:sz w:val="20"/>
                <w:szCs w:val="20"/>
                <w:color w:val="auto"/>
                <w:w w:val="98"/>
              </w:rPr>
              <w:t>(144)</w:t>
            </w:r>
          </w:p>
        </w:tc>
        <w:tc>
          <w:tcPr>
            <w:tcW w:w="0" w:type="dxa"/>
            <w:vAlign w:val="bottom"/>
          </w:tcPr>
          <w:p>
            <w:pPr>
              <w:spacing w:after="0"/>
              <w:rPr>
                <w:sz w:val="1"/>
                <w:szCs w:val="1"/>
                <w:color w:val="auto"/>
              </w:rPr>
            </w:pPr>
          </w:p>
        </w:tc>
      </w:tr>
      <w:tr>
        <w:trPr>
          <w:trHeight w:val="28"/>
        </w:trPr>
        <w:tc>
          <w:tcPr>
            <w:tcW w:w="7820" w:type="dxa"/>
            <w:vAlign w:val="bottom"/>
            <w:vMerge w:val="restart"/>
          </w:tcPr>
          <w:p>
            <w:pPr>
              <w:jc w:val="right"/>
              <w:ind w:right="100"/>
              <w:spacing w:after="0"/>
              <w:rPr>
                <w:sz w:val="20"/>
                <w:szCs w:val="20"/>
                <w:color w:val="auto"/>
              </w:rPr>
            </w:pPr>
            <w:r>
              <w:rPr>
                <w:rFonts w:ascii="Arial" w:cs="Arial" w:eastAsia="Arial" w:hAnsi="Arial"/>
                <w:sz w:val="20"/>
                <w:szCs w:val="20"/>
                <w:b w:val="1"/>
                <w:bCs w:val="1"/>
                <w:color w:val="auto"/>
              </w:rPr>
              <w:t xml:space="preserve">Availability </w:t>
            </w:r>
            <w:r>
              <w:rPr>
                <w:rFonts w:ascii="Arial" w:cs="Arial" w:eastAsia="Arial" w:hAnsi="Arial"/>
                <w:sz w:val="20"/>
                <w:szCs w:val="20"/>
                <w:color w:val="auto"/>
              </w:rPr>
              <w:t>. . . . . . . . . . . . . . . . . . . . . . . . . . . . . . . . . . . . . . . . . . . . . . . . . . . . . . . . . .</w:t>
            </w: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820" w:type="dxa"/>
            <w:vAlign w:val="bottom"/>
            <w:vMerge w:val="continue"/>
          </w:tcPr>
          <w:p>
            <w:pPr>
              <w:spacing w:after="0"/>
              <w:rPr>
                <w:sz w:val="23"/>
                <w:szCs w:val="23"/>
                <w:color w:val="auto"/>
              </w:rPr>
            </w:pPr>
          </w:p>
        </w:tc>
        <w:tc>
          <w:tcPr>
            <w:tcW w:w="180" w:type="dxa"/>
            <w:vAlign w:val="bottom"/>
          </w:tcPr>
          <w:p>
            <w:pPr>
              <w:spacing w:after="0"/>
              <w:rPr>
                <w:sz w:val="20"/>
                <w:szCs w:val="20"/>
                <w:color w:val="auto"/>
              </w:rPr>
            </w:pPr>
            <w:r>
              <w:rPr>
                <w:rFonts w:ascii="Arial" w:cs="Arial" w:eastAsia="Arial" w:hAnsi="Arial"/>
                <w:sz w:val="20"/>
                <w:szCs w:val="20"/>
                <w:color w:val="auto"/>
              </w:rPr>
              <w:t>$</w:t>
            </w:r>
          </w:p>
        </w:tc>
        <w:tc>
          <w:tcPr>
            <w:tcW w:w="1120" w:type="dxa"/>
            <w:vAlign w:val="bottom"/>
          </w:tcPr>
          <w:p>
            <w:pPr>
              <w:jc w:val="center"/>
              <w:ind w:left="583"/>
              <w:spacing w:after="0"/>
              <w:rPr>
                <w:sz w:val="20"/>
                <w:szCs w:val="20"/>
                <w:color w:val="auto"/>
              </w:rPr>
            </w:pPr>
            <w:r>
              <w:rPr>
                <w:rFonts w:ascii="Arial" w:cs="Arial" w:eastAsia="Arial" w:hAnsi="Arial"/>
                <w:sz w:val="20"/>
                <w:szCs w:val="20"/>
                <w:color w:val="auto"/>
                <w:w w:val="95"/>
              </w:rPr>
              <w:t>458</w:t>
            </w:r>
          </w:p>
        </w:tc>
        <w:tc>
          <w:tcPr>
            <w:tcW w:w="0" w:type="dxa"/>
            <w:vAlign w:val="bottom"/>
          </w:tcPr>
          <w:p>
            <w:pPr>
              <w:spacing w:after="0"/>
              <w:rPr>
                <w:sz w:val="1"/>
                <w:szCs w:val="1"/>
                <w:color w:val="auto"/>
              </w:rPr>
            </w:pPr>
          </w:p>
        </w:tc>
      </w:tr>
      <w:tr>
        <w:trPr>
          <w:trHeight w:val="28"/>
        </w:trPr>
        <w:tc>
          <w:tcPr>
            <w:tcW w:w="7820" w:type="dxa"/>
            <w:vAlign w:val="bottom"/>
            <w:vMerge w:val="restart"/>
          </w:tcPr>
          <w:p>
            <w:pPr>
              <w:jc w:val="right"/>
              <w:ind w:right="100"/>
              <w:spacing w:after="0"/>
              <w:rPr>
                <w:sz w:val="20"/>
                <w:szCs w:val="20"/>
                <w:color w:val="auto"/>
              </w:rPr>
            </w:pPr>
            <w:r>
              <w:rPr>
                <w:rFonts w:ascii="Arial" w:cs="Arial" w:eastAsia="Arial" w:hAnsi="Arial"/>
                <w:sz w:val="20"/>
                <w:szCs w:val="20"/>
                <w:b w:val="1"/>
                <w:bCs w:val="1"/>
                <w:color w:val="auto"/>
              </w:rPr>
              <w:t xml:space="preserve">Liquidity </w:t>
            </w:r>
            <w:r>
              <w:rPr>
                <w:rFonts w:ascii="Arial" w:cs="Arial" w:eastAsia="Arial" w:hAnsi="Arial"/>
                <w:sz w:val="20"/>
                <w:szCs w:val="20"/>
                <w:color w:val="auto"/>
              </w:rPr>
              <w:t>. . . . . . . . . . . . . . . . . . . . . . . . . . . . . . . . . . . . . . . . . . . . . . . . . . . . . . . . . . . .</w:t>
            </w: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820" w:type="dxa"/>
            <w:vAlign w:val="bottom"/>
            <w:vMerge w:val="continue"/>
          </w:tcPr>
          <w:p>
            <w:pPr>
              <w:spacing w:after="0"/>
              <w:rPr>
                <w:sz w:val="23"/>
                <w:szCs w:val="23"/>
                <w:color w:val="auto"/>
              </w:rPr>
            </w:pPr>
          </w:p>
        </w:tc>
        <w:tc>
          <w:tcPr>
            <w:tcW w:w="180" w:type="dxa"/>
            <w:vAlign w:val="bottom"/>
          </w:tcPr>
          <w:p>
            <w:pPr>
              <w:spacing w:after="0"/>
              <w:rPr>
                <w:sz w:val="20"/>
                <w:szCs w:val="20"/>
                <w:color w:val="auto"/>
              </w:rPr>
            </w:pPr>
            <w:r>
              <w:rPr>
                <w:rFonts w:ascii="Arial" w:cs="Arial" w:eastAsia="Arial" w:hAnsi="Arial"/>
                <w:sz w:val="20"/>
                <w:szCs w:val="20"/>
                <w:color w:val="auto"/>
              </w:rPr>
              <w:t>$</w:t>
            </w:r>
          </w:p>
        </w:tc>
        <w:tc>
          <w:tcPr>
            <w:tcW w:w="1120" w:type="dxa"/>
            <w:vAlign w:val="bottom"/>
          </w:tcPr>
          <w:p>
            <w:pPr>
              <w:jc w:val="center"/>
              <w:ind w:left="583"/>
              <w:spacing w:after="0"/>
              <w:rPr>
                <w:sz w:val="20"/>
                <w:szCs w:val="20"/>
                <w:color w:val="auto"/>
              </w:rPr>
            </w:pPr>
            <w:r>
              <w:rPr>
                <w:rFonts w:ascii="Arial" w:cs="Arial" w:eastAsia="Arial" w:hAnsi="Arial"/>
                <w:sz w:val="20"/>
                <w:szCs w:val="20"/>
                <w:color w:val="auto"/>
                <w:w w:val="95"/>
              </w:rPr>
              <w:t>765</w:t>
            </w:r>
          </w:p>
        </w:tc>
        <w:tc>
          <w:tcPr>
            <w:tcW w:w="0" w:type="dxa"/>
            <w:vAlign w:val="bottom"/>
          </w:tcPr>
          <w:p>
            <w:pPr>
              <w:spacing w:after="0"/>
              <w:rPr>
                <w:sz w:val="1"/>
                <w:szCs w:val="1"/>
                <w:color w:val="auto"/>
              </w:rPr>
            </w:pPr>
          </w:p>
        </w:tc>
      </w:tr>
      <w:tr>
        <w:trPr>
          <w:trHeight w:val="28"/>
        </w:trPr>
        <w:tc>
          <w:tcPr>
            <w:tcW w:w="7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300"/>
        <w:spacing w:after="0"/>
        <w:rPr>
          <w:sz w:val="20"/>
          <w:szCs w:val="20"/>
          <w:color w:val="auto"/>
        </w:rPr>
      </w:pPr>
      <w:r>
        <w:rPr>
          <w:rFonts w:ascii="Arial" w:cs="Arial" w:eastAsia="Arial" w:hAnsi="Arial"/>
          <w:sz w:val="20"/>
          <w:szCs w:val="20"/>
          <w:color w:val="auto"/>
        </w:rPr>
        <w:t>The aggregate commitments from our Revolving Credit Facility increased to $602 million from</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$492 million at December 31, 2021 due to additional commitments from new lenders that joined this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facility. As of December 31, 2022, we were in compliance with all of the covenants of our Revolving</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Credit Facility. For a description of the terms and conditions of our long-term debt, see </w:t>
      </w:r>
      <w:r>
        <w:rPr>
          <w:rFonts w:ascii="Arial" w:cs="Arial" w:eastAsia="Arial" w:hAnsi="Arial"/>
          <w:sz w:val="20"/>
          <w:szCs w:val="20"/>
          <w:i w:val="1"/>
          <w:iCs w:val="1"/>
          <w:color w:val="auto"/>
        </w:rPr>
        <w:t>Part II, Item 8 –</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Financial Statements and Supplementary Data, Note 4 Debt.</w:t>
      </w:r>
    </w:p>
    <w:p>
      <w:pPr>
        <w:spacing w:after="0" w:line="214" w:lineRule="exact"/>
        <w:rPr>
          <w:sz w:val="20"/>
          <w:szCs w:val="20"/>
          <w:color w:val="auto"/>
        </w:rPr>
      </w:pPr>
    </w:p>
    <w:p>
      <w:pPr>
        <w:ind w:right="280" w:firstLine="300"/>
        <w:spacing w:after="0" w:line="248" w:lineRule="auto"/>
        <w:rPr>
          <w:sz w:val="20"/>
          <w:szCs w:val="20"/>
          <w:color w:val="auto"/>
        </w:rPr>
      </w:pPr>
      <w:r>
        <w:rPr>
          <w:rFonts w:ascii="Arial" w:cs="Arial" w:eastAsia="Arial" w:hAnsi="Arial"/>
          <w:sz w:val="20"/>
          <w:szCs w:val="20"/>
          <w:color w:val="auto"/>
        </w:rPr>
        <w:t>We consider our low leverage and ability to adjust our capital plan and overall spending to be a core strength and strategic advantage, which we are focused on maintaining. At current commodity prices, we expect to generate operating cash flow to support and invest in our core assets and preserve financial flexibility. We regularly review our financial position and evaluate whether we may</w:t>
      </w:r>
    </w:p>
    <w:p>
      <w:pPr>
        <w:spacing w:after="0" w:line="9" w:lineRule="exact"/>
        <w:rPr>
          <w:sz w:val="20"/>
          <w:szCs w:val="20"/>
          <w:color w:val="auto"/>
        </w:rPr>
      </w:pPr>
    </w:p>
    <w:p>
      <w:pPr>
        <w:ind w:right="100"/>
        <w:spacing w:after="0" w:line="249" w:lineRule="auto"/>
        <w:tabs>
          <w:tab w:leader="none" w:pos="234" w:val="left"/>
        </w:tabs>
        <w:numPr>
          <w:ilvl w:val="0"/>
          <w:numId w:val="41"/>
        </w:numPr>
        <w:rPr>
          <w:rFonts w:ascii="Arial" w:cs="Arial" w:eastAsia="Arial" w:hAnsi="Arial"/>
          <w:sz w:val="20"/>
          <w:szCs w:val="20"/>
          <w:color w:val="auto"/>
        </w:rPr>
      </w:pPr>
      <w:r>
        <w:rPr>
          <w:rFonts w:ascii="Arial" w:cs="Arial" w:eastAsia="Arial" w:hAnsi="Arial"/>
          <w:sz w:val="20"/>
          <w:szCs w:val="20"/>
          <w:color w:val="auto"/>
        </w:rPr>
        <w:t xml:space="preserve">increase investments in our drilling program to accelerate value, (ii) return available cash to shareholders through dividends or stock buybacks to the extent permitted under our Revolving Credit Facility and Senior Notes indenture, (iii) advance carbon management activities, or (iv) maintain cash on our balance sheet. We believe we have sufficient sources of liquidity to meet our obligations for the next twelve months. See </w:t>
      </w:r>
      <w:r>
        <w:rPr>
          <w:rFonts w:ascii="Arial" w:cs="Arial" w:eastAsia="Arial" w:hAnsi="Arial"/>
          <w:sz w:val="20"/>
          <w:szCs w:val="20"/>
          <w:i w:val="1"/>
          <w:iCs w:val="1"/>
          <w:color w:val="auto"/>
        </w:rPr>
        <w:t>Other Uses of Cash</w:t>
      </w:r>
      <w:r>
        <w:rPr>
          <w:rFonts w:ascii="Arial" w:cs="Arial" w:eastAsia="Arial" w:hAnsi="Arial"/>
          <w:sz w:val="20"/>
          <w:szCs w:val="20"/>
          <w:color w:val="auto"/>
        </w:rPr>
        <w:t xml:space="preserve"> below for our long-term obligations.</w:t>
      </w:r>
    </w:p>
    <w:p>
      <w:pPr>
        <w:spacing w:after="0" w:line="207" w:lineRule="exact"/>
        <w:rPr>
          <w:sz w:val="20"/>
          <w:szCs w:val="20"/>
          <w:color w:val="auto"/>
        </w:rPr>
      </w:pPr>
    </w:p>
    <w:p>
      <w:pPr>
        <w:ind w:right="40" w:firstLine="300"/>
        <w:spacing w:after="0" w:line="266" w:lineRule="auto"/>
        <w:rPr>
          <w:sz w:val="20"/>
          <w:szCs w:val="20"/>
          <w:color w:val="auto"/>
        </w:rPr>
      </w:pPr>
      <w:r>
        <w:rPr>
          <w:rFonts w:ascii="Arial" w:cs="Arial" w:eastAsia="Arial" w:hAnsi="Arial"/>
          <w:sz w:val="19"/>
          <w:szCs w:val="19"/>
          <w:color w:val="auto"/>
        </w:rPr>
        <w:t>We are evaluating options to amend and extend or replace our Revolving Credit Facility, as well as refinancing options for our Senior Notes, which we expect to provide us with greater operating and financial flexibility to bolster our ongoing shareholder return program. We also intend to pursue financing options for our carbon management business that are separate from the rest of our business.</w:t>
      </w:r>
    </w:p>
    <w:p>
      <w:pPr>
        <w:sectPr>
          <w:pgSz w:w="11880" w:h="15480" w:orient="portrait"/>
          <w:cols w:equalWidth="0" w:num="1">
            <w:col w:w="9120"/>
          </w:cols>
          <w:pgMar w:left="1380" w:top="1310"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ectPr>
          <w:pgSz w:w="11880" w:h="15480" w:orient="portrait"/>
          <w:cols w:equalWidth="0" w:num="1">
            <w:col w:w="9120"/>
          </w:cols>
          <w:pgMar w:left="1380" w:top="1310" w:right="1380" w:bottom="655" w:gutter="0" w:footer="0" w:header="0"/>
          <w:type w:val="continuous"/>
        </w:sectPr>
      </w:pPr>
    </w:p>
    <w:bookmarkStart w:id="83" w:name="page84"/>
    <w:bookmarkEnd w:id="83"/>
    <w:p>
      <w:pPr>
        <w:spacing w:after="0"/>
        <w:rPr>
          <w:sz w:val="20"/>
          <w:szCs w:val="20"/>
          <w:color w:val="auto"/>
        </w:rPr>
      </w:pPr>
      <w:r>
        <w:rPr>
          <w:rFonts w:ascii="Arial" w:cs="Arial" w:eastAsia="Arial" w:hAnsi="Arial"/>
          <w:sz w:val="20"/>
          <w:szCs w:val="20"/>
          <w:b w:val="1"/>
          <w:bCs w:val="1"/>
          <w:i w:val="1"/>
          <w:iCs w:val="1"/>
          <w:color w:val="auto"/>
        </w:rPr>
        <w:t>Derivatives</w:t>
      </w:r>
    </w:p>
    <w:p>
      <w:pPr>
        <w:spacing w:after="0" w:line="215"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auto"/>
        </w:rPr>
        <w:t>Significant changes in oil and natural gas prices may have a material impact on our liquidity. Our hedging strategy seeks to mitigate our exposure to commodity price volatility and ensure our financial strength and liquidity by protecting our operating cash flows. Prior to April 2022, our Revolving Credit Facility included covenants that required us to maintain a certain level of hedges at all times. We also entered into hedges above and beyond those that were required for certain periods. In prior years, these hedges prevented us from realizing the full benefits of price increases. Our existing hedges, including the 2023 hedges entered into by us in 2020 to comply with our Revolving Credit Facility, may also negatively impact our realized prices in the future. Following an amendment to our Revolving Credit Facility in April 2022, we are only required to maintain hedges in the event the ratio of our consolidated total debt to consolidated EBITDAX (as defined in our Revolving Credit Facility) exceeds 1:1. As of December 31, 2022, this ratio was not exceeded. We will continue to evaluate our hedging strategy based on prevailing market prices and conditions.</w:t>
      </w:r>
    </w:p>
    <w:p>
      <w:pPr>
        <w:spacing w:after="0" w:line="197" w:lineRule="exact"/>
        <w:rPr>
          <w:sz w:val="20"/>
          <w:szCs w:val="20"/>
          <w:color w:val="auto"/>
        </w:rPr>
      </w:pPr>
    </w:p>
    <w:p>
      <w:pPr>
        <w:ind w:right="340" w:firstLine="300"/>
        <w:spacing w:after="0" w:line="231" w:lineRule="auto"/>
        <w:rPr>
          <w:sz w:val="20"/>
          <w:szCs w:val="20"/>
          <w:color w:val="auto"/>
        </w:rPr>
      </w:pPr>
      <w:r>
        <w:rPr>
          <w:rFonts w:ascii="Arial" w:cs="Arial" w:eastAsia="Arial" w:hAnsi="Arial"/>
          <w:sz w:val="20"/>
          <w:szCs w:val="20"/>
          <w:color w:val="auto"/>
        </w:rPr>
        <w:t>Unless otherwise indicated, we use the term “hedge” to describe derivative instruments that are designed to achieve our hedging requirements and program goals, even though they are not accounted for as cash-flow or fair-value hedges. We did not have any commodity derivatives designated as accounting hedges as of and during the year ended December 31, 2022.</w:t>
      </w:r>
    </w:p>
    <w:p>
      <w:pPr>
        <w:spacing w:after="0" w:line="193" w:lineRule="exact"/>
        <w:rPr>
          <w:sz w:val="20"/>
          <w:szCs w:val="20"/>
          <w:color w:val="auto"/>
        </w:rPr>
      </w:pPr>
    </w:p>
    <w:p>
      <w:pPr>
        <w:ind w:right="40" w:firstLine="300"/>
        <w:spacing w:after="0" w:line="232" w:lineRule="auto"/>
        <w:rPr>
          <w:sz w:val="20"/>
          <w:szCs w:val="20"/>
          <w:color w:val="auto"/>
        </w:rPr>
      </w:pPr>
      <w:r>
        <w:rPr>
          <w:rFonts w:ascii="Arial" w:cs="Arial" w:eastAsia="Arial" w:hAnsi="Arial"/>
          <w:sz w:val="20"/>
          <w:szCs w:val="20"/>
          <w:color w:val="auto"/>
        </w:rPr>
        <w:t xml:space="preserve">Refer to </w:t>
      </w:r>
      <w:r>
        <w:rPr>
          <w:rFonts w:ascii="Arial" w:cs="Arial" w:eastAsia="Arial" w:hAnsi="Arial"/>
          <w:sz w:val="20"/>
          <w:szCs w:val="20"/>
          <w:i w:val="1"/>
          <w:iCs w:val="1"/>
          <w:color w:val="auto"/>
        </w:rPr>
        <w:t>Part II, Item 8 – Financial Statements and Supplementary Data, Note 7 Derivatives</w:t>
      </w:r>
      <w:r>
        <w:rPr>
          <w:rFonts w:ascii="Arial" w:cs="Arial" w:eastAsia="Arial" w:hAnsi="Arial"/>
          <w:sz w:val="20"/>
          <w:szCs w:val="20"/>
          <w:color w:val="auto"/>
        </w:rPr>
        <w:t xml:space="preserve"> for more information on our open derivative contracts as of December 31, 2022 and </w:t>
      </w:r>
      <w:r>
        <w:rPr>
          <w:rFonts w:ascii="Arial" w:cs="Arial" w:eastAsia="Arial" w:hAnsi="Arial"/>
          <w:sz w:val="20"/>
          <w:szCs w:val="20"/>
          <w:i w:val="1"/>
          <w:iCs w:val="1"/>
          <w:color w:val="auto"/>
        </w:rPr>
        <w:t>Note 4 Debt</w:t>
      </w:r>
      <w:r>
        <w:rPr>
          <w:rFonts w:ascii="Arial" w:cs="Arial" w:eastAsia="Arial" w:hAnsi="Arial"/>
          <w:sz w:val="20"/>
          <w:szCs w:val="20"/>
          <w:color w:val="auto"/>
        </w:rPr>
        <w:t xml:space="preserve"> for more information on an amendment to the hedging requirements included in our Revolving Credit Facility.</w:t>
      </w:r>
    </w:p>
    <w:p>
      <w:pPr>
        <w:sectPr>
          <w:pgSz w:w="11880" w:h="15480" w:orient="portrait"/>
          <w:cols w:equalWidth="0" w:num="1">
            <w:col w:w="9060"/>
          </w:cols>
          <w:pgMar w:left="1380" w:top="1311" w:right="144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80</w:t>
      </w:r>
    </w:p>
    <w:p>
      <w:pPr>
        <w:sectPr>
          <w:pgSz w:w="11880" w:h="15480" w:orient="portrait"/>
          <w:cols w:equalWidth="0" w:num="1">
            <w:col w:w="9060"/>
          </w:cols>
          <w:pgMar w:left="1380" w:top="1311" w:right="1440" w:bottom="655" w:gutter="0" w:footer="0" w:header="0"/>
          <w:type w:val="continuous"/>
        </w:sectPr>
      </w:pPr>
    </w:p>
    <w:bookmarkStart w:id="84" w:name="page85"/>
    <w:bookmarkEnd w:id="84"/>
    <w:p>
      <w:pPr>
        <w:spacing w:after="0"/>
        <w:rPr>
          <w:sz w:val="20"/>
          <w:szCs w:val="20"/>
          <w:color w:val="auto"/>
        </w:rPr>
      </w:pPr>
      <w:r>
        <w:rPr>
          <w:rFonts w:ascii="Arial" w:cs="Arial" w:eastAsia="Arial" w:hAnsi="Arial"/>
          <w:sz w:val="20"/>
          <w:szCs w:val="20"/>
          <w:b w:val="1"/>
          <w:bCs w:val="1"/>
          <w:color w:val="auto"/>
        </w:rPr>
        <w:t>Uses of Cash</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2023 Capital Program</w:t>
      </w:r>
    </w:p>
    <w:p>
      <w:pPr>
        <w:spacing w:after="0" w:line="215"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 xml:space="preserve">We expect our 2023 capital program to range between $200 and $245 million assuming normal operating conditions. Of this amount, $165 to $195 million is related to oil and natural gas development (including approximately $10 to $15 million to build replacement water injection facilities which will allow us to use one of our depleted oil and natural gas reservoirs for CCS), $5 to $15 million for carbon management projects and $30 to $35 million for corporate and other activities (including procuring long-lead time items for planned maintenance at our Elk Hills power plant in 2024). We expect our capital program related to oil and natural gas development to be focused primarily on executing projects using existing permits outside of Kern County. The foregoing amounts related to carbon management projects do not include amounts funded by Brookfield through the Carbon TerraVault JV. See </w:t>
      </w:r>
      <w:r>
        <w:rPr>
          <w:rFonts w:ascii="Arial" w:cs="Arial" w:eastAsia="Arial" w:hAnsi="Arial"/>
          <w:sz w:val="20"/>
          <w:szCs w:val="20"/>
          <w:i w:val="1"/>
          <w:iCs w:val="1"/>
          <w:color w:val="auto"/>
        </w:rPr>
        <w:t>Part II, Item 8 – Financial Statements and Supplementary Data, Note 8 Investment in</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Unconsolidated Subsidiary and Related Party Transactions </w:t>
      </w:r>
      <w:r>
        <w:rPr>
          <w:rFonts w:ascii="Arial" w:cs="Arial" w:eastAsia="Arial" w:hAnsi="Arial"/>
          <w:sz w:val="20"/>
          <w:szCs w:val="20"/>
          <w:color w:val="auto"/>
        </w:rPr>
        <w:t>for more information on our joint venture</w:t>
      </w:r>
      <w:r>
        <w:rPr>
          <w:rFonts w:ascii="Arial" w:cs="Arial" w:eastAsia="Arial" w:hAnsi="Arial"/>
          <w:sz w:val="20"/>
          <w:szCs w:val="20"/>
          <w:i w:val="1"/>
          <w:iCs w:val="1"/>
          <w:color w:val="auto"/>
        </w:rPr>
        <w:t xml:space="preserve"> </w:t>
      </w:r>
      <w:r>
        <w:rPr>
          <w:rFonts w:ascii="Arial" w:cs="Arial" w:eastAsia="Arial" w:hAnsi="Arial"/>
          <w:sz w:val="20"/>
          <w:szCs w:val="20"/>
          <w:color w:val="auto"/>
        </w:rPr>
        <w:t>with Brookfield.</w:t>
      </w:r>
    </w:p>
    <w:p>
      <w:pPr>
        <w:spacing w:after="0" w:line="217"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color w:val="auto"/>
        </w:rPr>
        <w:t>The actual amount of spending under our 2023 capital program will depend on a variety of factors. In particular, our ability to obtain additional permits during the course of the year may cause us to adjust our capital spending. There are also a number of other factors that could affect the size of our capital program, including other changes in regulation and permitting, commodity prices, the success of our drilling program, operating costs and other general market conditions. In particular, as the Kern County EIR Litigation remains ongoing and in order to reduce the uncertainty surrounding permitting in Kern County, we will seek CEQA permits for updated field level EIRs to reduce reliance on the Kern County EIR in future years. Because we own and operate substantially all of our assets, the amount and timing of our capital spending is largely within our control and we are able to shift our development activities to projects so as to minimize the impact of external factors. Any curtailment of the development of our oil and natural gas properties for regulatory or operational reasons could lead to a decline in our production and may lower our reserves. A continued decline in our production and reserves would negatively impact our cash flow from operations and the value of our assets.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Uses of Cash</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Other than our 2023 capital program, our expected material uses of cash during 2023 include:</w:t>
      </w:r>
    </w:p>
    <w:p>
      <w:pPr>
        <w:spacing w:after="0" w:line="14" w:lineRule="exact"/>
        <w:rPr>
          <w:sz w:val="20"/>
          <w:szCs w:val="20"/>
          <w:color w:val="auto"/>
        </w:rPr>
      </w:pPr>
    </w:p>
    <w:p>
      <w:pPr>
        <w:ind w:right="20"/>
        <w:spacing w:after="0" w:line="248" w:lineRule="auto"/>
        <w:tabs>
          <w:tab w:leader="none" w:pos="301" w:val="left"/>
        </w:tabs>
        <w:numPr>
          <w:ilvl w:val="0"/>
          <w:numId w:val="42"/>
        </w:numPr>
        <w:rPr>
          <w:rFonts w:ascii="Arial" w:cs="Arial" w:eastAsia="Arial" w:hAnsi="Arial"/>
          <w:sz w:val="20"/>
          <w:szCs w:val="20"/>
          <w:color w:val="auto"/>
        </w:rPr>
      </w:pPr>
      <w:r>
        <w:rPr>
          <w:rFonts w:ascii="Arial" w:cs="Arial" w:eastAsia="Arial" w:hAnsi="Arial"/>
          <w:sz w:val="20"/>
          <w:szCs w:val="20"/>
          <w:color w:val="auto"/>
        </w:rPr>
        <w:t>dividends and share repurchases; (2) settlements on commodity derivative contracts; (3) income taxes; (4) settlement of asset retirement obligations; (5) funds used in operations; and (6) costs related to advancing our carbon management activities not included in our capital program, such as employee costs and engineering studies.</w:t>
      </w:r>
    </w:p>
    <w:p>
      <w:pPr>
        <w:sectPr>
          <w:pgSz w:w="11880" w:h="15480" w:orient="portrait"/>
          <w:cols w:equalWidth="0" w:num="1">
            <w:col w:w="9080"/>
          </w:cols>
          <w:pgMar w:left="1380" w:top="1310" w:right="142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81</w:t>
      </w:r>
    </w:p>
    <w:p>
      <w:pPr>
        <w:sectPr>
          <w:pgSz w:w="11880" w:h="15480" w:orient="portrait"/>
          <w:cols w:equalWidth="0" w:num="1">
            <w:col w:w="9080"/>
          </w:cols>
          <w:pgMar w:left="1380" w:top="1310" w:right="1420" w:bottom="655" w:gutter="0" w:footer="0" w:header="0"/>
          <w:type w:val="continuous"/>
        </w:sectPr>
      </w:pPr>
    </w:p>
    <w:bookmarkStart w:id="85" w:name="page86"/>
    <w:bookmarkEnd w:id="85"/>
    <w:p>
      <w:pPr>
        <w:ind w:left="300"/>
        <w:spacing w:after="0"/>
        <w:rPr>
          <w:sz w:val="20"/>
          <w:szCs w:val="20"/>
          <w:color w:val="auto"/>
        </w:rPr>
      </w:pPr>
      <w:r>
        <w:rPr>
          <w:rFonts w:ascii="Arial" w:cs="Arial" w:eastAsia="Arial" w:hAnsi="Arial"/>
          <w:sz w:val="20"/>
          <w:szCs w:val="20"/>
          <w:color w:val="auto"/>
        </w:rPr>
        <w:t>The table below summarizes our current and long-term material cash requirements as of</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2022 that we expect to fund with operating cash flow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80" w:type="dxa"/>
            <w:vAlign w:val="bottom"/>
            <w:gridSpan w:val="7"/>
          </w:tcPr>
          <w:p>
            <w:pPr>
              <w:jc w:val="right"/>
              <w:ind w:right="280"/>
              <w:spacing w:after="0"/>
              <w:rPr>
                <w:sz w:val="20"/>
                <w:szCs w:val="20"/>
                <w:color w:val="auto"/>
              </w:rPr>
            </w:pPr>
            <w:r>
              <w:rPr>
                <w:rFonts w:ascii="Arial" w:cs="Arial" w:eastAsia="Arial" w:hAnsi="Arial"/>
                <w:sz w:val="20"/>
                <w:szCs w:val="20"/>
                <w:b w:val="1"/>
                <w:bCs w:val="1"/>
                <w:color w:val="auto"/>
              </w:rPr>
              <w:t>Payments Due by Year</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spacing w:after="0" w:line="212" w:lineRule="exact"/>
              <w:rPr>
                <w:sz w:val="20"/>
                <w:szCs w:val="20"/>
                <w:color w:val="auto"/>
              </w:rPr>
            </w:pPr>
            <w:r>
              <w:rPr>
                <w:rFonts w:ascii="Arial" w:cs="Arial" w:eastAsia="Arial" w:hAnsi="Arial"/>
                <w:sz w:val="20"/>
                <w:szCs w:val="20"/>
                <w:b w:val="1"/>
                <w:bCs w:val="1"/>
                <w:color w:val="auto"/>
                <w:w w:val="98"/>
              </w:rPr>
              <w:t>Less than</w:t>
            </w:r>
          </w:p>
        </w:tc>
        <w:tc>
          <w:tcPr>
            <w:tcW w:w="200" w:type="dxa"/>
            <w:vAlign w:val="bottom"/>
          </w:tcPr>
          <w:p>
            <w:pPr>
              <w:spacing w:after="0"/>
              <w:rPr>
                <w:sz w:val="18"/>
                <w:szCs w:val="18"/>
                <w:color w:val="auto"/>
              </w:rPr>
            </w:pPr>
          </w:p>
        </w:tc>
        <w:tc>
          <w:tcPr>
            <w:tcW w:w="800" w:type="dxa"/>
            <w:vAlign w:val="bottom"/>
            <w:gridSpan w:val="2"/>
          </w:tcPr>
          <w:p>
            <w:pPr>
              <w:jc w:val="right"/>
              <w:spacing w:after="0" w:line="212" w:lineRule="exact"/>
              <w:rPr>
                <w:sz w:val="20"/>
                <w:szCs w:val="20"/>
                <w:color w:val="auto"/>
              </w:rPr>
            </w:pPr>
            <w:r>
              <w:rPr>
                <w:rFonts w:ascii="Arial" w:cs="Arial" w:eastAsia="Arial" w:hAnsi="Arial"/>
                <w:sz w:val="20"/>
                <w:szCs w:val="20"/>
                <w:b w:val="1"/>
                <w:bCs w:val="1"/>
                <w:color w:val="auto"/>
              </w:rPr>
              <w:t>Years 2</w:t>
            </w:r>
          </w:p>
        </w:tc>
        <w:tc>
          <w:tcPr>
            <w:tcW w:w="200" w:type="dxa"/>
            <w:vAlign w:val="bottom"/>
          </w:tcPr>
          <w:p>
            <w:pPr>
              <w:spacing w:after="0"/>
              <w:rPr>
                <w:sz w:val="18"/>
                <w:szCs w:val="18"/>
                <w:color w:val="auto"/>
              </w:rPr>
            </w:pPr>
          </w:p>
        </w:tc>
        <w:tc>
          <w:tcPr>
            <w:tcW w:w="780" w:type="dxa"/>
            <w:vAlign w:val="bottom"/>
            <w:gridSpan w:val="2"/>
          </w:tcPr>
          <w:p>
            <w:pPr>
              <w:jc w:val="right"/>
              <w:spacing w:after="0" w:line="212" w:lineRule="exact"/>
              <w:rPr>
                <w:sz w:val="20"/>
                <w:szCs w:val="20"/>
                <w:color w:val="auto"/>
              </w:rPr>
            </w:pPr>
            <w:r>
              <w:rPr>
                <w:rFonts w:ascii="Arial" w:cs="Arial" w:eastAsia="Arial" w:hAnsi="Arial"/>
                <w:sz w:val="20"/>
                <w:szCs w:val="20"/>
                <w:b w:val="1"/>
                <w:bCs w:val="1"/>
                <w:color w:val="auto"/>
              </w:rPr>
              <w:t>Years 4</w:t>
            </w:r>
          </w:p>
        </w:tc>
        <w:tc>
          <w:tcPr>
            <w:tcW w:w="200" w:type="dxa"/>
            <w:vAlign w:val="bottom"/>
          </w:tcPr>
          <w:p>
            <w:pPr>
              <w:spacing w:after="0"/>
              <w:rPr>
                <w:sz w:val="18"/>
                <w:szCs w:val="18"/>
                <w:color w:val="auto"/>
              </w:rPr>
            </w:pPr>
          </w:p>
        </w:tc>
        <w:tc>
          <w:tcPr>
            <w:tcW w:w="960" w:type="dxa"/>
            <w:vAlign w:val="bottom"/>
            <w:gridSpan w:val="4"/>
          </w:tcPr>
          <w:p>
            <w:pPr>
              <w:spacing w:after="0" w:line="212" w:lineRule="exact"/>
              <w:rPr>
                <w:sz w:val="20"/>
                <w:szCs w:val="20"/>
                <w:color w:val="auto"/>
              </w:rPr>
            </w:pPr>
            <w:r>
              <w:rPr>
                <w:rFonts w:ascii="Arial" w:cs="Arial" w:eastAsia="Arial" w:hAnsi="Arial"/>
                <w:sz w:val="20"/>
                <w:szCs w:val="20"/>
                <w:b w:val="1"/>
                <w:bCs w:val="1"/>
                <w:color w:val="auto"/>
                <w:w w:val="98"/>
              </w:rPr>
              <w:t>More than</w:t>
            </w:r>
          </w:p>
        </w:tc>
        <w:tc>
          <w:tcPr>
            <w:tcW w:w="0" w:type="dxa"/>
            <w:vAlign w:val="bottom"/>
          </w:tcPr>
          <w:p>
            <w:pPr>
              <w:spacing w:after="0"/>
              <w:rPr>
                <w:sz w:val="1"/>
                <w:szCs w:val="1"/>
                <w:color w:val="auto"/>
              </w:rPr>
            </w:pPr>
          </w:p>
        </w:tc>
      </w:tr>
      <w:tr>
        <w:trPr>
          <w:trHeight w:val="228"/>
        </w:trPr>
        <w:tc>
          <w:tcPr>
            <w:tcW w:w="3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160"/>
              <w:spacing w:after="0" w:line="228" w:lineRule="exact"/>
              <w:rPr>
                <w:sz w:val="20"/>
                <w:szCs w:val="20"/>
                <w:color w:val="auto"/>
              </w:rPr>
            </w:pPr>
            <w:r>
              <w:rPr>
                <w:rFonts w:ascii="Arial" w:cs="Arial" w:eastAsia="Arial" w:hAnsi="Arial"/>
                <w:sz w:val="20"/>
                <w:szCs w:val="20"/>
                <w:b w:val="1"/>
                <w:bCs w:val="1"/>
                <w:color w:val="auto"/>
              </w:rPr>
              <w:t>Total</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80"/>
              <w:spacing w:after="0" w:line="228" w:lineRule="exact"/>
              <w:rPr>
                <w:sz w:val="20"/>
                <w:szCs w:val="20"/>
                <w:color w:val="auto"/>
              </w:rPr>
            </w:pPr>
            <w:r>
              <w:rPr>
                <w:rFonts w:ascii="Arial" w:cs="Arial" w:eastAsia="Arial" w:hAnsi="Arial"/>
                <w:sz w:val="20"/>
                <w:szCs w:val="20"/>
                <w:b w:val="1"/>
                <w:bCs w:val="1"/>
                <w:color w:val="auto"/>
                <w:w w:val="99"/>
              </w:rPr>
              <w:t>1 Year</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40"/>
              <w:spacing w:after="0" w:line="228" w:lineRule="exact"/>
              <w:rPr>
                <w:sz w:val="20"/>
                <w:szCs w:val="20"/>
                <w:color w:val="auto"/>
              </w:rPr>
            </w:pPr>
            <w:r>
              <w:rPr>
                <w:rFonts w:ascii="Arial" w:cs="Arial" w:eastAsia="Arial" w:hAnsi="Arial"/>
                <w:sz w:val="20"/>
                <w:szCs w:val="20"/>
                <w:b w:val="1"/>
                <w:bCs w:val="1"/>
                <w:color w:val="auto"/>
                <w:w w:val="99"/>
              </w:rPr>
              <w:t>and 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40"/>
              <w:spacing w:after="0" w:line="228" w:lineRule="exact"/>
              <w:rPr>
                <w:sz w:val="20"/>
                <w:szCs w:val="20"/>
                <w:color w:val="auto"/>
              </w:rPr>
            </w:pPr>
            <w:r>
              <w:rPr>
                <w:rFonts w:ascii="Arial" w:cs="Arial" w:eastAsia="Arial" w:hAnsi="Arial"/>
                <w:sz w:val="20"/>
                <w:szCs w:val="20"/>
                <w:b w:val="1"/>
                <w:bCs w:val="1"/>
                <w:color w:val="auto"/>
                <w:w w:val="95"/>
              </w:rPr>
              <w:t>and 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spacing w:after="0" w:line="228" w:lineRule="exact"/>
              <w:rPr>
                <w:sz w:val="20"/>
                <w:szCs w:val="20"/>
                <w:color w:val="auto"/>
              </w:rPr>
            </w:pPr>
            <w:r>
              <w:rPr>
                <w:rFonts w:ascii="Arial" w:cs="Arial" w:eastAsia="Arial" w:hAnsi="Arial"/>
                <w:sz w:val="20"/>
                <w:szCs w:val="20"/>
                <w:b w:val="1"/>
                <w:bCs w:val="1"/>
                <w:color w:val="auto"/>
              </w:rPr>
              <w:t>5 Years</w:t>
            </w:r>
          </w:p>
        </w:tc>
        <w:tc>
          <w:tcPr>
            <w:tcW w:w="0" w:type="dxa"/>
            <w:vAlign w:val="bottom"/>
          </w:tcPr>
          <w:p>
            <w:pPr>
              <w:spacing w:after="0"/>
              <w:rPr>
                <w:sz w:val="1"/>
                <w:szCs w:val="1"/>
                <w:color w:val="auto"/>
              </w:rPr>
            </w:pPr>
          </w:p>
        </w:tc>
      </w:tr>
      <w:tr>
        <w:trPr>
          <w:trHeight w:val="20"/>
        </w:trPr>
        <w:tc>
          <w:tcPr>
            <w:tcW w:w="3880" w:type="dxa"/>
            <w:vAlign w:val="bottom"/>
            <w:vMerge w:val="restart"/>
          </w:tcPr>
          <w:p>
            <w:pPr>
              <w:jc w:val="right"/>
              <w:ind w:right="2140"/>
              <w:spacing w:after="0"/>
              <w:rPr>
                <w:sz w:val="20"/>
                <w:szCs w:val="20"/>
                <w:color w:val="auto"/>
              </w:rPr>
            </w:pPr>
            <w:r>
              <w:rPr>
                <w:rFonts w:ascii="Arial" w:cs="Arial" w:eastAsia="Arial" w:hAnsi="Arial"/>
                <w:sz w:val="20"/>
                <w:szCs w:val="20"/>
                <w:color w:val="auto"/>
                <w:w w:val="99"/>
              </w:rPr>
              <w:t>On-Balance Sheet</w:t>
            </w: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8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(in millions)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880" w:type="dxa"/>
            <w:vAlign w:val="bottom"/>
          </w:tcPr>
          <w:p>
            <w:pPr>
              <w:jc w:val="right"/>
              <w:ind w:right="100"/>
              <w:spacing w:after="0" w:line="256" w:lineRule="exact"/>
              <w:rPr>
                <w:sz w:val="20"/>
                <w:szCs w:val="20"/>
                <w:color w:val="auto"/>
              </w:rPr>
            </w:pPr>
            <w:r>
              <w:rPr>
                <w:rFonts w:ascii="Arial" w:cs="Arial" w:eastAsia="Arial" w:hAnsi="Arial"/>
                <w:sz w:val="20"/>
                <w:szCs w:val="20"/>
                <w:color w:val="auto"/>
              </w:rPr>
              <w:t>Long-term debt</w:t>
            </w:r>
            <w:r>
              <w:rPr>
                <w:rFonts w:ascii="Arial" w:cs="Arial" w:eastAsia="Arial" w:hAnsi="Arial"/>
                <w:sz w:val="26"/>
                <w:szCs w:val="26"/>
                <w:color w:val="auto"/>
                <w:vertAlign w:val="superscript"/>
              </w:rPr>
              <w:t>(a)</w:t>
            </w:r>
            <w:r>
              <w:rPr>
                <w:rFonts w:ascii="Arial" w:cs="Arial" w:eastAsia="Arial" w:hAnsi="Arial"/>
                <w:sz w:val="20"/>
                <w:szCs w:val="20"/>
                <w:color w:val="auto"/>
              </w:rPr>
              <w:t xml:space="preserve">  . . . . . . . . . . . . . . . . . .</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600</w:t>
            </w:r>
          </w:p>
        </w:tc>
        <w:tc>
          <w:tcPr>
            <w:tcW w:w="340" w:type="dxa"/>
            <w:vAlign w:val="bottom"/>
            <w:gridSpan w:val="2"/>
          </w:tcPr>
          <w:p>
            <w:pPr>
              <w:ind w:left="20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600</w:t>
            </w:r>
          </w:p>
        </w:tc>
        <w:tc>
          <w:tcPr>
            <w:tcW w:w="320" w:type="dxa"/>
            <w:vAlign w:val="bottom"/>
            <w:gridSpan w:val="3"/>
          </w:tcPr>
          <w:p>
            <w:pPr>
              <w:ind w:left="220"/>
              <w:spacing w:after="0"/>
              <w:rPr>
                <w:sz w:val="20"/>
                <w:szCs w:val="20"/>
                <w:color w:val="auto"/>
              </w:rPr>
            </w:pPr>
            <w:r>
              <w:rPr>
                <w:rFonts w:ascii="Arial" w:cs="Arial" w:eastAsia="Arial" w:hAnsi="Arial"/>
                <w:sz w:val="20"/>
                <w:szCs w:val="20"/>
                <w:color w:val="auto"/>
                <w:w w:val="71"/>
              </w:rPr>
              <w:t>$</w:t>
            </w:r>
          </w:p>
        </w:tc>
        <w:tc>
          <w:tcPr>
            <w:tcW w:w="84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4"/>
        </w:trPr>
        <w:tc>
          <w:tcPr>
            <w:tcW w:w="3880" w:type="dxa"/>
            <w:vAlign w:val="bottom"/>
          </w:tcPr>
          <w:p>
            <w:pPr>
              <w:jc w:val="right"/>
              <w:ind w:right="100"/>
              <w:spacing w:after="0" w:line="224" w:lineRule="exact"/>
              <w:rPr>
                <w:sz w:val="20"/>
                <w:szCs w:val="20"/>
                <w:color w:val="auto"/>
              </w:rPr>
            </w:pPr>
            <w:r>
              <w:rPr>
                <w:rFonts w:ascii="Arial" w:cs="Arial" w:eastAsia="Arial" w:hAnsi="Arial"/>
                <w:sz w:val="20"/>
                <w:szCs w:val="20"/>
                <w:color w:val="auto"/>
              </w:rPr>
              <w:t>Interest on long-term debt . . . . . . . . . . .</w:t>
            </w:r>
          </w:p>
        </w:tc>
        <w:tc>
          <w:tcPr>
            <w:tcW w:w="160" w:type="dxa"/>
            <w:vAlign w:val="bottom"/>
          </w:tcPr>
          <w:p>
            <w:pPr>
              <w:spacing w:after="0"/>
              <w:rPr>
                <w:sz w:val="19"/>
                <w:szCs w:val="19"/>
                <w:color w:val="auto"/>
              </w:rPr>
            </w:pPr>
          </w:p>
        </w:tc>
        <w:tc>
          <w:tcPr>
            <w:tcW w:w="800" w:type="dxa"/>
            <w:vAlign w:val="bottom"/>
          </w:tcPr>
          <w:p>
            <w:pPr>
              <w:jc w:val="right"/>
              <w:spacing w:after="0" w:line="224" w:lineRule="exact"/>
              <w:rPr>
                <w:sz w:val="20"/>
                <w:szCs w:val="20"/>
                <w:color w:val="auto"/>
              </w:rPr>
            </w:pPr>
            <w:r>
              <w:rPr>
                <w:rFonts w:ascii="Arial" w:cs="Arial" w:eastAsia="Arial" w:hAnsi="Arial"/>
                <w:sz w:val="20"/>
                <w:szCs w:val="20"/>
                <w:color w:val="auto"/>
              </w:rPr>
              <w:t>132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line="224" w:lineRule="exact"/>
              <w:rPr>
                <w:sz w:val="20"/>
                <w:szCs w:val="20"/>
                <w:color w:val="auto"/>
              </w:rPr>
            </w:pPr>
            <w:r>
              <w:rPr>
                <w:rFonts w:ascii="Arial" w:cs="Arial" w:eastAsia="Arial" w:hAnsi="Arial"/>
                <w:sz w:val="20"/>
                <w:szCs w:val="20"/>
                <w:color w:val="auto"/>
              </w:rPr>
              <w:t>43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line="224" w:lineRule="exact"/>
              <w:rPr>
                <w:sz w:val="20"/>
                <w:szCs w:val="20"/>
                <w:color w:val="auto"/>
              </w:rPr>
            </w:pPr>
            <w:r>
              <w:rPr>
                <w:rFonts w:ascii="Arial" w:cs="Arial" w:eastAsia="Arial" w:hAnsi="Arial"/>
                <w:sz w:val="20"/>
                <w:szCs w:val="20"/>
                <w:color w:val="auto"/>
              </w:rPr>
              <w:t>85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line="224" w:lineRule="exact"/>
              <w:rPr>
                <w:sz w:val="20"/>
                <w:szCs w:val="20"/>
                <w:color w:val="auto"/>
              </w:rPr>
            </w:pPr>
            <w:r>
              <w:rPr>
                <w:rFonts w:ascii="Arial" w:cs="Arial" w:eastAsia="Arial" w:hAnsi="Arial"/>
                <w:sz w:val="20"/>
                <w:szCs w:val="20"/>
                <w:color w:val="auto"/>
              </w:rPr>
              <w:t>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line="224"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6"/>
        </w:trPr>
        <w:tc>
          <w:tcPr>
            <w:tcW w:w="3880" w:type="dxa"/>
            <w:vAlign w:val="bottom"/>
          </w:tcPr>
          <w:p>
            <w:pPr>
              <w:jc w:val="right"/>
              <w:ind w:right="100"/>
              <w:spacing w:after="0" w:line="256" w:lineRule="exact"/>
              <w:rPr>
                <w:sz w:val="20"/>
                <w:szCs w:val="20"/>
                <w:color w:val="auto"/>
              </w:rPr>
            </w:pPr>
            <w:r>
              <w:rPr>
                <w:rFonts w:ascii="Arial" w:cs="Arial" w:eastAsia="Arial" w:hAnsi="Arial"/>
                <w:sz w:val="20"/>
                <w:szCs w:val="20"/>
                <w:color w:val="auto"/>
              </w:rPr>
              <w:t>Pension and postretirement</w:t>
            </w:r>
            <w:r>
              <w:rPr>
                <w:rFonts w:ascii="Arial" w:cs="Arial" w:eastAsia="Arial" w:hAnsi="Arial"/>
                <w:sz w:val="26"/>
                <w:szCs w:val="26"/>
                <w:color w:val="auto"/>
                <w:vertAlign w:val="superscript"/>
              </w:rPr>
              <w:t>(b)</w:t>
            </w:r>
            <w:r>
              <w:rPr>
                <w:rFonts w:ascii="Arial" w:cs="Arial" w:eastAsia="Arial" w:hAnsi="Arial"/>
                <w:sz w:val="20"/>
                <w:szCs w:val="20"/>
                <w:color w:val="auto"/>
              </w:rPr>
              <w:t xml:space="preserve"> . . . . . . . .</w:t>
            </w: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86</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14</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18</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15</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3880" w:type="dxa"/>
            <w:vAlign w:val="bottom"/>
          </w:tcPr>
          <w:p>
            <w:pPr>
              <w:jc w:val="right"/>
              <w:ind w:right="100"/>
              <w:spacing w:after="0" w:line="240" w:lineRule="exact"/>
              <w:rPr>
                <w:sz w:val="20"/>
                <w:szCs w:val="20"/>
                <w:color w:val="auto"/>
              </w:rPr>
            </w:pPr>
            <w:r>
              <w:rPr>
                <w:rFonts w:ascii="Arial" w:cs="Arial" w:eastAsia="Arial" w:hAnsi="Arial"/>
                <w:sz w:val="20"/>
                <w:szCs w:val="20"/>
                <w:color w:val="auto"/>
              </w:rPr>
              <w:t>Operating leases</w:t>
            </w:r>
            <w:r>
              <w:rPr>
                <w:rFonts w:ascii="Arial" w:cs="Arial" w:eastAsia="Arial" w:hAnsi="Arial"/>
                <w:sz w:val="26"/>
                <w:szCs w:val="26"/>
                <w:color w:val="auto"/>
                <w:vertAlign w:val="superscript"/>
              </w:rPr>
              <w:t>(c)</w:t>
            </w:r>
            <w:r>
              <w:rPr>
                <w:rFonts w:ascii="Arial" w:cs="Arial" w:eastAsia="Arial" w:hAnsi="Arial"/>
                <w:sz w:val="20"/>
                <w:szCs w:val="20"/>
                <w:color w:val="auto"/>
              </w:rPr>
              <w:t xml:space="preserve"> . . . . . . . . . . . . . . . . .</w:t>
            </w:r>
          </w:p>
        </w:tc>
        <w:tc>
          <w:tcPr>
            <w:tcW w:w="160" w:type="dxa"/>
            <w:vAlign w:val="bottom"/>
          </w:tcPr>
          <w:p>
            <w:pPr>
              <w:spacing w:after="0"/>
              <w:rPr>
                <w:sz w:val="20"/>
                <w:szCs w:val="20"/>
                <w:color w:val="auto"/>
              </w:rPr>
            </w:pPr>
          </w:p>
        </w:tc>
        <w:tc>
          <w:tcPr>
            <w:tcW w:w="800" w:type="dxa"/>
            <w:vAlign w:val="bottom"/>
          </w:tcPr>
          <w:p>
            <w:pPr>
              <w:jc w:val="right"/>
              <w:spacing w:after="0" w:line="224" w:lineRule="exact"/>
              <w:rPr>
                <w:sz w:val="20"/>
                <w:szCs w:val="20"/>
                <w:color w:val="auto"/>
              </w:rPr>
            </w:pPr>
            <w:r>
              <w:rPr>
                <w:rFonts w:ascii="Arial" w:cs="Arial" w:eastAsia="Arial" w:hAnsi="Arial"/>
                <w:sz w:val="20"/>
                <w:szCs w:val="20"/>
                <w:color w:val="auto"/>
              </w:rPr>
              <w:t>85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line="224" w:lineRule="exact"/>
              <w:rPr>
                <w:sz w:val="20"/>
                <w:szCs w:val="20"/>
                <w:color w:val="auto"/>
              </w:rPr>
            </w:pPr>
            <w:r>
              <w:rPr>
                <w:rFonts w:ascii="Arial" w:cs="Arial" w:eastAsia="Arial" w:hAnsi="Arial"/>
                <w:sz w:val="20"/>
                <w:szCs w:val="20"/>
                <w:color w:val="auto"/>
              </w:rPr>
              <w:t>21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line="224" w:lineRule="exact"/>
              <w:rPr>
                <w:sz w:val="20"/>
                <w:szCs w:val="20"/>
                <w:color w:val="auto"/>
              </w:rPr>
            </w:pPr>
            <w:r>
              <w:rPr>
                <w:rFonts w:ascii="Arial" w:cs="Arial" w:eastAsia="Arial" w:hAnsi="Arial"/>
                <w:sz w:val="20"/>
                <w:szCs w:val="20"/>
                <w:color w:val="auto"/>
              </w:rPr>
              <w:t>27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line="224" w:lineRule="exact"/>
              <w:rPr>
                <w:sz w:val="20"/>
                <w:szCs w:val="20"/>
                <w:color w:val="auto"/>
              </w:rPr>
            </w:pPr>
            <w:r>
              <w:rPr>
                <w:rFonts w:ascii="Arial" w:cs="Arial" w:eastAsia="Arial" w:hAnsi="Arial"/>
                <w:sz w:val="20"/>
                <w:szCs w:val="20"/>
                <w:color w:val="auto"/>
              </w:rPr>
              <w:t>17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line="224" w:lineRule="exact"/>
              <w:rPr>
                <w:sz w:val="20"/>
                <w:szCs w:val="20"/>
                <w:color w:val="auto"/>
              </w:rPr>
            </w:pPr>
            <w:r>
              <w:rPr>
                <w:rFonts w:ascii="Arial" w:cs="Arial" w:eastAsia="Arial" w:hAnsi="Arial"/>
                <w:sz w:val="20"/>
                <w:szCs w:val="20"/>
                <w:color w:val="auto"/>
              </w:rPr>
              <w:t>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80" w:type="dxa"/>
            <w:vAlign w:val="bottom"/>
          </w:tcPr>
          <w:p>
            <w:pPr>
              <w:jc w:val="right"/>
              <w:ind w:right="2140"/>
              <w:spacing w:after="0" w:line="224" w:lineRule="exact"/>
              <w:rPr>
                <w:sz w:val="20"/>
                <w:szCs w:val="20"/>
                <w:color w:val="auto"/>
              </w:rPr>
            </w:pPr>
            <w:r>
              <w:rPr>
                <w:rFonts w:ascii="Arial" w:cs="Arial" w:eastAsia="Arial" w:hAnsi="Arial"/>
                <w:sz w:val="20"/>
                <w:szCs w:val="20"/>
                <w:color w:val="auto"/>
                <w:w w:val="99"/>
              </w:rPr>
              <w:t>Off-Balance Sheet</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880" w:type="dxa"/>
            <w:vAlign w:val="bottom"/>
          </w:tcPr>
          <w:p>
            <w:pPr>
              <w:jc w:val="right"/>
              <w:ind w:right="100"/>
              <w:spacing w:after="0" w:line="270" w:lineRule="exact"/>
              <w:rPr>
                <w:sz w:val="20"/>
                <w:szCs w:val="20"/>
                <w:color w:val="auto"/>
              </w:rPr>
            </w:pPr>
            <w:r>
              <w:rPr>
                <w:rFonts w:ascii="Arial" w:cs="Arial" w:eastAsia="Arial" w:hAnsi="Arial"/>
                <w:sz w:val="20"/>
                <w:szCs w:val="20"/>
                <w:color w:val="auto"/>
              </w:rPr>
              <w:t>Purchase obligations</w:t>
            </w:r>
            <w:r>
              <w:rPr>
                <w:rFonts w:ascii="Arial" w:cs="Arial" w:eastAsia="Arial" w:hAnsi="Arial"/>
                <w:sz w:val="26"/>
                <w:szCs w:val="26"/>
                <w:color w:val="auto"/>
                <w:vertAlign w:val="superscript"/>
              </w:rPr>
              <w:t>(d)</w:t>
            </w:r>
            <w:r>
              <w:rPr>
                <w:rFonts w:ascii="Arial" w:cs="Arial" w:eastAsia="Arial" w:hAnsi="Arial"/>
                <w:sz w:val="20"/>
                <w:szCs w:val="20"/>
                <w:color w:val="auto"/>
              </w:rPr>
              <w:t xml:space="preserve">  . . . . . . . . . . . . .</w:t>
            </w:r>
          </w:p>
        </w:tc>
        <w:tc>
          <w:tcPr>
            <w:tcW w:w="1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112</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80" w:type="dxa"/>
            <w:vAlign w:val="bottom"/>
          </w:tcPr>
          <w:p>
            <w:pPr>
              <w:jc w:val="right"/>
              <w:ind w:right="100"/>
              <w:spacing w:after="0"/>
              <w:rPr>
                <w:sz w:val="20"/>
                <w:szCs w:val="20"/>
                <w:color w:val="auto"/>
              </w:rPr>
            </w:pPr>
            <w:r>
              <w:rPr>
                <w:rFonts w:ascii="Arial" w:cs="Arial" w:eastAsia="Arial" w:hAnsi="Arial"/>
                <w:sz w:val="20"/>
                <w:szCs w:val="20"/>
                <w:color w:val="auto"/>
                <w:w w:val="96"/>
              </w:rPr>
              <w:t>Total . . . . . . . . . . . . . . . . . . . . . . . . . . . . . .</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1,015</w:t>
            </w:r>
          </w:p>
        </w:tc>
        <w:tc>
          <w:tcPr>
            <w:tcW w:w="340" w:type="dxa"/>
            <w:vAlign w:val="bottom"/>
            <w:gridSpan w:val="2"/>
          </w:tcPr>
          <w:p>
            <w:pPr>
              <w:ind w:left="20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139</w:t>
            </w: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145</w:t>
            </w: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647</w:t>
            </w:r>
          </w:p>
        </w:tc>
        <w:tc>
          <w:tcPr>
            <w:tcW w:w="320" w:type="dxa"/>
            <w:vAlign w:val="bottom"/>
            <w:gridSpan w:val="3"/>
          </w:tcPr>
          <w:p>
            <w:pPr>
              <w:ind w:left="220"/>
              <w:spacing w:after="0"/>
              <w:rPr>
                <w:sz w:val="20"/>
                <w:szCs w:val="20"/>
                <w:color w:val="auto"/>
              </w:rPr>
            </w:pPr>
            <w:r>
              <w:rPr>
                <w:rFonts w:ascii="Arial" w:cs="Arial" w:eastAsia="Arial" w:hAnsi="Arial"/>
                <w:sz w:val="20"/>
                <w:szCs w:val="20"/>
                <w:color w:val="auto"/>
                <w:w w:val="71"/>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84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
        </w:trPr>
        <w:tc>
          <w:tcPr>
            <w:tcW w:w="3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1" w:lineRule="exact"/>
        <w:rPr>
          <w:sz w:val="20"/>
          <w:szCs w:val="20"/>
          <w:color w:val="auto"/>
        </w:rPr>
      </w:pPr>
    </w:p>
    <w:p>
      <w:pPr>
        <w:ind w:left="480" w:right="120" w:hanging="320"/>
        <w:spacing w:after="0" w:line="256" w:lineRule="auto"/>
        <w:tabs>
          <w:tab w:leader="none" w:pos="4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Represents the outstanding long-term debt balance as of December 31, 2022. See </w:t>
      </w:r>
      <w:r>
        <w:rPr>
          <w:rFonts w:ascii="Arial" w:cs="Arial" w:eastAsia="Arial" w:hAnsi="Arial"/>
          <w:sz w:val="16"/>
          <w:szCs w:val="16"/>
          <w:i w:val="1"/>
          <w:iCs w:val="1"/>
          <w:color w:val="auto"/>
        </w:rPr>
        <w:t>Part II, Item 8 – Financial Statements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Supplementary Data, Note 4 Debt </w:t>
      </w:r>
      <w:r>
        <w:rPr>
          <w:rFonts w:ascii="Arial" w:cs="Arial" w:eastAsia="Arial" w:hAnsi="Arial"/>
          <w:sz w:val="16"/>
          <w:szCs w:val="16"/>
          <w:color w:val="auto"/>
        </w:rPr>
        <w:t>for more information on our long-term debt agreements.</w:t>
      </w:r>
    </w:p>
    <w:p>
      <w:pPr>
        <w:spacing w:after="0" w:line="4" w:lineRule="exact"/>
        <w:rPr>
          <w:rFonts w:ascii="Arial" w:cs="Arial" w:eastAsia="Arial" w:hAnsi="Arial"/>
          <w:sz w:val="16"/>
          <w:szCs w:val="16"/>
          <w:color w:val="auto"/>
        </w:rPr>
      </w:pPr>
    </w:p>
    <w:p>
      <w:pPr>
        <w:ind w:left="480" w:hanging="320"/>
        <w:spacing w:after="0"/>
        <w:tabs>
          <w:tab w:leader="none" w:pos="4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Represents undiscounted future obligations for defined benefit and post-employment benefit plans.</w:t>
      </w:r>
    </w:p>
    <w:p>
      <w:pPr>
        <w:spacing w:after="0" w:line="16" w:lineRule="exact"/>
        <w:rPr>
          <w:rFonts w:ascii="Arial" w:cs="Arial" w:eastAsia="Arial" w:hAnsi="Arial"/>
          <w:sz w:val="16"/>
          <w:szCs w:val="16"/>
          <w:color w:val="auto"/>
        </w:rPr>
      </w:pPr>
    </w:p>
    <w:p>
      <w:pPr>
        <w:ind w:left="480" w:hanging="320"/>
        <w:spacing w:after="0"/>
        <w:tabs>
          <w:tab w:leader="none" w:pos="4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operating leases include drilling rigs, commercial office space, fleet vehicles, easements and certain facilities.</w:t>
      </w:r>
    </w:p>
    <w:p>
      <w:pPr>
        <w:spacing w:after="0" w:line="21" w:lineRule="exact"/>
        <w:rPr>
          <w:rFonts w:ascii="Arial" w:cs="Arial" w:eastAsia="Arial" w:hAnsi="Arial"/>
          <w:sz w:val="16"/>
          <w:szCs w:val="16"/>
          <w:color w:val="auto"/>
        </w:rPr>
      </w:pPr>
    </w:p>
    <w:p>
      <w:pPr>
        <w:ind w:left="480" w:right="180" w:hanging="320"/>
        <w:spacing w:after="0" w:line="258" w:lineRule="auto"/>
        <w:tabs>
          <w:tab w:leader="none" w:pos="4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Reflects amounts that will become due under long-term agreements to purchase goods and services used in the normal course of business. Purchase obligations for pipeline capacity include ship or pay arrangements that are based on contractual volumes and current market rates for firm transportation capacity during the contract period. Oil and natural gas leases reflect obligations for fixed payments under our contracts.</w:t>
      </w:r>
    </w:p>
    <w:p>
      <w:pPr>
        <w:sectPr>
          <w:pgSz w:w="11880" w:h="15480" w:orient="portrait"/>
          <w:cols w:equalWidth="0" w:num="1">
            <w:col w:w="9120"/>
          </w:cols>
          <w:pgMar w:left="1380" w:top="1310" w:right="138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ectPr>
          <w:pgSz w:w="11880" w:h="15480" w:orient="portrait"/>
          <w:cols w:equalWidth="0" w:num="1">
            <w:col w:w="9120"/>
          </w:cols>
          <w:pgMar w:left="1380" w:top="1310" w:right="1380" w:bottom="653" w:gutter="0" w:footer="0" w:header="0"/>
          <w:type w:val="continuous"/>
        </w:sectPr>
      </w:pPr>
    </w:p>
    <w:bookmarkStart w:id="86" w:name="page87"/>
    <w:bookmarkEnd w:id="86"/>
    <w:p>
      <w:pPr>
        <w:spacing w:after="0"/>
        <w:rPr>
          <w:sz w:val="20"/>
          <w:szCs w:val="20"/>
          <w:color w:val="auto"/>
        </w:rPr>
      </w:pPr>
      <w:r>
        <w:rPr>
          <w:rFonts w:ascii="Arial" w:cs="Arial" w:eastAsia="Arial" w:hAnsi="Arial"/>
          <w:sz w:val="20"/>
          <w:szCs w:val="20"/>
          <w:b w:val="1"/>
          <w:bCs w:val="1"/>
          <w:i w:val="1"/>
          <w:iCs w:val="1"/>
          <w:color w:val="auto"/>
        </w:rPr>
        <w:t>Cash Flow Analysis</w:t>
      </w:r>
    </w:p>
    <w:p>
      <w:pPr>
        <w:spacing w:after="0" w:line="213" w:lineRule="exact"/>
        <w:rPr>
          <w:sz w:val="20"/>
          <w:szCs w:val="20"/>
          <w:color w:val="auto"/>
        </w:rPr>
      </w:pPr>
    </w:p>
    <w:p>
      <w:pPr>
        <w:ind w:right="140" w:firstLine="300"/>
        <w:spacing w:after="0" w:line="248" w:lineRule="auto"/>
        <w:rPr>
          <w:sz w:val="20"/>
          <w:szCs w:val="20"/>
          <w:color w:val="auto"/>
        </w:rPr>
      </w:pPr>
      <w:r>
        <w:rPr>
          <w:rFonts w:ascii="Arial" w:cs="Arial" w:eastAsia="Arial" w:hAnsi="Arial"/>
          <w:sz w:val="20"/>
          <w:szCs w:val="20"/>
          <w:i w:val="1"/>
          <w:iCs w:val="1"/>
          <w:color w:val="auto"/>
        </w:rPr>
        <w:t xml:space="preserve">Cash flows from operating activities </w:t>
      </w:r>
      <w:r>
        <w:rPr>
          <w:rFonts w:ascii="Arial" w:cs="Arial" w:eastAsia="Arial" w:hAnsi="Arial"/>
          <w:sz w:val="20"/>
          <w:szCs w:val="20"/>
          <w:color w:val="auto"/>
        </w:rPr>
        <w:t>– Our net cash provided by operating activities is sensitive to</w:t>
      </w:r>
      <w:r>
        <w:rPr>
          <w:rFonts w:ascii="Arial" w:cs="Arial" w:eastAsia="Arial" w:hAnsi="Arial"/>
          <w:sz w:val="20"/>
          <w:szCs w:val="20"/>
          <w:i w:val="1"/>
          <w:iCs w:val="1"/>
          <w:color w:val="auto"/>
        </w:rPr>
        <w:t xml:space="preserve"> </w:t>
      </w:r>
      <w:r>
        <w:rPr>
          <w:rFonts w:ascii="Arial" w:cs="Arial" w:eastAsia="Arial" w:hAnsi="Arial"/>
          <w:sz w:val="20"/>
          <w:szCs w:val="20"/>
          <w:color w:val="auto"/>
        </w:rPr>
        <w:t>many variables, particularly changes in commodity prices. Commodity price movements may also lead to changes in other variables in our business, including adjustments to our capital program.</w:t>
      </w:r>
    </w:p>
    <w:p>
      <w:pPr>
        <w:spacing w:after="0" w:line="209" w:lineRule="exact"/>
        <w:rPr>
          <w:sz w:val="20"/>
          <w:szCs w:val="20"/>
          <w:color w:val="auto"/>
        </w:rPr>
      </w:pPr>
    </w:p>
    <w:p>
      <w:pPr>
        <w:ind w:right="120" w:firstLine="300"/>
        <w:spacing w:after="0" w:line="264" w:lineRule="auto"/>
        <w:rPr>
          <w:sz w:val="20"/>
          <w:szCs w:val="20"/>
          <w:color w:val="auto"/>
        </w:rPr>
      </w:pPr>
      <w:r>
        <w:rPr>
          <w:rFonts w:ascii="Arial" w:cs="Arial" w:eastAsia="Arial" w:hAnsi="Arial"/>
          <w:sz w:val="19"/>
          <w:szCs w:val="19"/>
          <w:color w:val="auto"/>
        </w:rPr>
        <w:t>Our operating cash flow for the year ended December 31, 2022 was $690 million, which was an increase of $30 million, or 5%, from $660 million for the year ended December 31, 2021. The increase was primarily related to higher average realized prices (including the effects of settlements on our commodity derivatives) partially offset by declining production and increased operating costs. The increase in operating costs in 2022 as compared to 2021 primarily related to higher prices for purchased natural gas and electricity used in our operations as well as cost increases we experienced due to inflation.</w:t>
      </w:r>
    </w:p>
    <w:p>
      <w:pPr>
        <w:spacing w:after="0" w:line="196" w:lineRule="exact"/>
        <w:rPr>
          <w:sz w:val="20"/>
          <w:szCs w:val="20"/>
          <w:color w:val="auto"/>
        </w:rPr>
      </w:pPr>
    </w:p>
    <w:p>
      <w:pPr>
        <w:ind w:right="660" w:firstLine="300"/>
        <w:spacing w:after="0" w:line="245" w:lineRule="auto"/>
        <w:rPr>
          <w:sz w:val="20"/>
          <w:szCs w:val="20"/>
          <w:color w:val="auto"/>
        </w:rPr>
      </w:pPr>
      <w:r>
        <w:rPr>
          <w:rFonts w:ascii="Arial" w:cs="Arial" w:eastAsia="Arial" w:hAnsi="Arial"/>
          <w:sz w:val="20"/>
          <w:szCs w:val="20"/>
          <w:i w:val="1"/>
          <w:iCs w:val="1"/>
          <w:color w:val="auto"/>
        </w:rPr>
        <w:t xml:space="preserve">Cash flows from investing activities – </w:t>
      </w:r>
      <w:r>
        <w:rPr>
          <w:rFonts w:ascii="Arial" w:cs="Arial" w:eastAsia="Arial" w:hAnsi="Arial"/>
          <w:sz w:val="20"/>
          <w:szCs w:val="20"/>
          <w:color w:val="auto"/>
        </w:rPr>
        <w:t>The table below summarizes net cash used in investing</w:t>
      </w:r>
      <w:r>
        <w:rPr>
          <w:rFonts w:ascii="Arial" w:cs="Arial" w:eastAsia="Arial" w:hAnsi="Arial"/>
          <w:sz w:val="20"/>
          <w:szCs w:val="20"/>
          <w:i w:val="1"/>
          <w:iCs w:val="1"/>
          <w:color w:val="auto"/>
        </w:rPr>
        <w:t xml:space="preserve"> </w:t>
      </w:r>
      <w:r>
        <w:rPr>
          <w:rFonts w:ascii="Arial" w:cs="Arial" w:eastAsia="Arial" w:hAnsi="Arial"/>
          <w:sz w:val="20"/>
          <w:szCs w:val="20"/>
          <w:color w:val="auto"/>
        </w:rPr>
        <w:t>activities: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gridSpan w:val="4"/>
          </w:tcPr>
          <w:p>
            <w:pPr>
              <w:jc w:val="right"/>
              <w:ind w:right="300"/>
              <w:spacing w:after="0"/>
              <w:rPr>
                <w:sz w:val="20"/>
                <w:szCs w:val="20"/>
                <w:color w:val="auto"/>
              </w:rPr>
            </w:pPr>
            <w:r>
              <w:rPr>
                <w:rFonts w:ascii="Arial" w:cs="Arial" w:eastAsia="Arial" w:hAnsi="Arial"/>
                <w:sz w:val="20"/>
                <w:szCs w:val="20"/>
                <w:b w:val="1"/>
                <w:bCs w:val="1"/>
                <w:color w:val="auto"/>
              </w:rPr>
              <w:t>Year ended</w:t>
            </w: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20"/>
                <w:szCs w:val="20"/>
                <w:b w:val="1"/>
                <w:bCs w:val="1"/>
                <w:color w:val="auto"/>
              </w:rPr>
              <w:t>Year ended</w:t>
            </w:r>
          </w:p>
        </w:tc>
      </w:tr>
      <w:tr>
        <w:trPr>
          <w:trHeight w:val="248"/>
        </w:trPr>
        <w:tc>
          <w:tcPr>
            <w:tcW w:w="6280" w:type="dxa"/>
            <w:vAlign w:val="bottom"/>
          </w:tcPr>
          <w:p>
            <w:pPr>
              <w:spacing w:after="0"/>
              <w:rPr>
                <w:sz w:val="21"/>
                <w:szCs w:val="21"/>
                <w:color w:val="auto"/>
              </w:rPr>
            </w:pPr>
          </w:p>
        </w:tc>
        <w:tc>
          <w:tcPr>
            <w:tcW w:w="1500" w:type="dxa"/>
            <w:vAlign w:val="bottom"/>
            <w:gridSpan w:val="5"/>
          </w:tcPr>
          <w:p>
            <w:pPr>
              <w:spacing w:after="0"/>
              <w:rPr>
                <w:sz w:val="20"/>
                <w:szCs w:val="20"/>
                <w:color w:val="auto"/>
              </w:rPr>
            </w:pPr>
            <w:r>
              <w:rPr>
                <w:rFonts w:ascii="Arial" w:cs="Arial" w:eastAsia="Arial" w:hAnsi="Arial"/>
                <w:sz w:val="20"/>
                <w:szCs w:val="20"/>
                <w:b w:val="1"/>
                <w:bCs w:val="1"/>
                <w:color w:val="auto"/>
              </w:rPr>
              <w:t>December 31,</w:t>
            </w:r>
          </w:p>
        </w:tc>
        <w:tc>
          <w:tcPr>
            <w:tcW w:w="1400" w:type="dxa"/>
            <w:vAlign w:val="bottom"/>
            <w:gridSpan w:val="3"/>
          </w:tcPr>
          <w:p>
            <w:pPr>
              <w:ind w:left="20"/>
              <w:spacing w:after="0"/>
              <w:rPr>
                <w:sz w:val="20"/>
                <w:szCs w:val="20"/>
                <w:color w:val="auto"/>
              </w:rPr>
            </w:pPr>
            <w:r>
              <w:rPr>
                <w:rFonts w:ascii="Arial" w:cs="Arial" w:eastAsia="Arial" w:hAnsi="Arial"/>
                <w:sz w:val="20"/>
                <w:szCs w:val="20"/>
                <w:b w:val="1"/>
                <w:bCs w:val="1"/>
                <w:color w:val="auto"/>
              </w:rPr>
              <w:t>December 31,</w:t>
            </w:r>
          </w:p>
        </w:tc>
      </w:tr>
      <w:tr>
        <w:trPr>
          <w:trHeight w:val="260"/>
        </w:trPr>
        <w:tc>
          <w:tcPr>
            <w:tcW w:w="62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20"/>
                <w:szCs w:val="20"/>
                <w:b w:val="1"/>
                <w:bCs w:val="1"/>
                <w:color w:val="auto"/>
              </w:rPr>
              <w:t>2022</w:t>
            </w:r>
          </w:p>
        </w:tc>
        <w:tc>
          <w:tcPr>
            <w:tcW w:w="20" w:type="dxa"/>
            <w:vAlign w:val="bottom"/>
            <w:tcBorders>
              <w:top w:val="single" w:sz="8" w:color="auto"/>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20"/>
                <w:szCs w:val="20"/>
                <w:b w:val="1"/>
                <w:bCs w:val="1"/>
                <w:color w:val="auto"/>
              </w:rPr>
              <w:t>2021</w:t>
            </w:r>
          </w:p>
        </w:tc>
        <w:tc>
          <w:tcPr>
            <w:tcW w:w="60" w:type="dxa"/>
            <w:vAlign w:val="bottom"/>
          </w:tcPr>
          <w:p>
            <w:pPr>
              <w:spacing w:after="0"/>
              <w:rPr>
                <w:sz w:val="22"/>
                <w:szCs w:val="22"/>
                <w:color w:val="auto"/>
              </w:rPr>
            </w:pPr>
          </w:p>
        </w:tc>
      </w:tr>
      <w:tr>
        <w:trPr>
          <w:trHeight w:val="192"/>
        </w:trPr>
        <w:tc>
          <w:tcPr>
            <w:tcW w:w="6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6"/>
          </w:tcPr>
          <w:p>
            <w:pPr>
              <w:jc w:val="right"/>
              <w:ind w:right="1080"/>
              <w:spacing w:after="0"/>
              <w:rPr>
                <w:sz w:val="20"/>
                <w:szCs w:val="20"/>
                <w:color w:val="auto"/>
              </w:rPr>
            </w:pPr>
            <w:r>
              <w:rPr>
                <w:rFonts w:ascii="Arial" w:cs="Arial" w:eastAsia="Arial" w:hAnsi="Arial"/>
                <w:sz w:val="16"/>
                <w:szCs w:val="16"/>
                <w:color w:val="auto"/>
              </w:rPr>
              <w:t>(in millions)</w:t>
            </w:r>
          </w:p>
        </w:tc>
      </w:tr>
      <w:tr>
        <w:trPr>
          <w:trHeight w:val="216"/>
        </w:trPr>
        <w:tc>
          <w:tcPr>
            <w:tcW w:w="628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6"/>
              </w:rPr>
              <w:t>Capital investments  . . . . . . . . . . . . . . . . . . . . . . . . . . . . . . . . . . . . . . . .</w:t>
            </w:r>
          </w:p>
        </w:tc>
        <w:tc>
          <w:tcPr>
            <w:tcW w:w="280" w:type="dxa"/>
            <w:vAlign w:val="bottom"/>
            <w:gridSpan w:val="2"/>
          </w:tcPr>
          <w:p>
            <w:pPr>
              <w:ind w:left="20"/>
              <w:spacing w:after="0" w:line="216" w:lineRule="exact"/>
              <w:rPr>
                <w:sz w:val="20"/>
                <w:szCs w:val="20"/>
                <w:color w:val="auto"/>
              </w:rPr>
            </w:pPr>
            <w:r>
              <w:rPr>
                <w:rFonts w:ascii="Arial" w:cs="Arial" w:eastAsia="Arial" w:hAnsi="Arial"/>
                <w:sz w:val="20"/>
                <w:szCs w:val="20"/>
                <w:color w:val="auto"/>
              </w:rPr>
              <w:t>$</w:t>
            </w:r>
          </w:p>
        </w:tc>
        <w:tc>
          <w:tcPr>
            <w:tcW w:w="1220" w:type="dxa"/>
            <w:vAlign w:val="bottom"/>
            <w:gridSpan w:val="3"/>
          </w:tcPr>
          <w:p>
            <w:pPr>
              <w:jc w:val="right"/>
              <w:ind w:right="140"/>
              <w:spacing w:after="0" w:line="216" w:lineRule="exact"/>
              <w:rPr>
                <w:sz w:val="20"/>
                <w:szCs w:val="20"/>
                <w:color w:val="auto"/>
              </w:rPr>
            </w:pPr>
            <w:r>
              <w:rPr>
                <w:rFonts w:ascii="Arial" w:cs="Arial" w:eastAsia="Arial" w:hAnsi="Arial"/>
                <w:sz w:val="20"/>
                <w:szCs w:val="20"/>
                <w:color w:val="auto"/>
              </w:rPr>
              <w:t>(379)</w:t>
            </w:r>
          </w:p>
        </w:tc>
        <w:tc>
          <w:tcPr>
            <w:tcW w:w="120" w:type="dxa"/>
            <w:vAlign w:val="bottom"/>
          </w:tcPr>
          <w:p>
            <w:pPr>
              <w:spacing w:after="0" w:line="216" w:lineRule="exact"/>
              <w:rPr>
                <w:sz w:val="20"/>
                <w:szCs w:val="20"/>
                <w:color w:val="auto"/>
              </w:rPr>
            </w:pPr>
            <w:r>
              <w:rPr>
                <w:rFonts w:ascii="Arial" w:cs="Arial" w:eastAsia="Arial" w:hAnsi="Arial"/>
                <w:sz w:val="20"/>
                <w:szCs w:val="20"/>
                <w:color w:val="auto"/>
                <w:w w:val="89"/>
              </w:rPr>
              <w:t>$</w:t>
            </w:r>
          </w:p>
        </w:tc>
        <w:tc>
          <w:tcPr>
            <w:tcW w:w="128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(194)</w:t>
            </w:r>
          </w:p>
        </w:tc>
      </w:tr>
      <w:tr>
        <w:trPr>
          <w:trHeight w:val="216"/>
        </w:trPr>
        <w:tc>
          <w:tcPr>
            <w:tcW w:w="628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7"/>
              </w:rPr>
              <w:t>Changes in capital accruals . . . . . . . . . . . . . . . . . . . . . . . . . . . . . . . . . .</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0"/>
              <w:spacing w:after="0" w:line="216" w:lineRule="exact"/>
              <w:rPr>
                <w:sz w:val="20"/>
                <w:szCs w:val="20"/>
                <w:color w:val="auto"/>
              </w:rPr>
            </w:pPr>
            <w:r>
              <w:rPr>
                <w:rFonts w:ascii="Arial" w:cs="Arial" w:eastAsia="Arial" w:hAnsi="Arial"/>
                <w:sz w:val="20"/>
                <w:szCs w:val="20"/>
                <w:color w:val="auto"/>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0"/>
              <w:spacing w:after="0" w:line="216" w:lineRule="exact"/>
              <w:rPr>
                <w:sz w:val="20"/>
                <w:szCs w:val="20"/>
                <w:color w:val="auto"/>
              </w:rPr>
            </w:pPr>
            <w:r>
              <w:rPr>
                <w:rFonts w:ascii="Arial" w:cs="Arial" w:eastAsia="Arial" w:hAnsi="Arial"/>
                <w:sz w:val="20"/>
                <w:szCs w:val="20"/>
                <w:color w:val="auto"/>
              </w:rPr>
              <w:t>20</w:t>
            </w:r>
          </w:p>
        </w:tc>
      </w:tr>
      <w:tr>
        <w:trPr>
          <w:trHeight w:val="216"/>
        </w:trPr>
        <w:tc>
          <w:tcPr>
            <w:tcW w:w="628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7"/>
              </w:rPr>
              <w:t>Proceeds from divestitures, net . . . . . . . . . . . . . . . . . . . . . . . . . . . . . . .</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0"/>
              <w:spacing w:after="0" w:line="216" w:lineRule="exact"/>
              <w:rPr>
                <w:sz w:val="20"/>
                <w:szCs w:val="20"/>
                <w:color w:val="auto"/>
              </w:rPr>
            </w:pPr>
            <w:r>
              <w:rPr>
                <w:rFonts w:ascii="Arial" w:cs="Arial" w:eastAsia="Arial" w:hAnsi="Arial"/>
                <w:sz w:val="20"/>
                <w:szCs w:val="20"/>
                <w:color w:val="auto"/>
              </w:rPr>
              <w:t>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0"/>
              <w:spacing w:after="0" w:line="216" w:lineRule="exact"/>
              <w:rPr>
                <w:sz w:val="20"/>
                <w:szCs w:val="20"/>
                <w:color w:val="auto"/>
              </w:rPr>
            </w:pPr>
            <w:r>
              <w:rPr>
                <w:rFonts w:ascii="Arial" w:cs="Arial" w:eastAsia="Arial" w:hAnsi="Arial"/>
                <w:sz w:val="20"/>
                <w:szCs w:val="20"/>
                <w:color w:val="auto"/>
              </w:rPr>
              <w:t>67</w:t>
            </w:r>
          </w:p>
        </w:tc>
      </w:tr>
      <w:tr>
        <w:trPr>
          <w:trHeight w:val="216"/>
        </w:trPr>
        <w:tc>
          <w:tcPr>
            <w:tcW w:w="628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6"/>
              </w:rPr>
              <w:t>Acquisitions . . . . . . . . . . . . . . . . . . . . . . . . . . . . . . . . . . . . . . . . . . . . . . .</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3"/>
          </w:tcPr>
          <w:p>
            <w:pPr>
              <w:jc w:val="right"/>
              <w:ind w:right="140"/>
              <w:spacing w:after="0" w:line="216" w:lineRule="exact"/>
              <w:rPr>
                <w:sz w:val="20"/>
                <w:szCs w:val="20"/>
                <w:color w:val="auto"/>
              </w:rPr>
            </w:pPr>
            <w:r>
              <w:rPr>
                <w:rFonts w:ascii="Arial" w:cs="Arial" w:eastAsia="Arial" w:hAnsi="Arial"/>
                <w:sz w:val="20"/>
                <w:szCs w:val="20"/>
                <w:color w:val="auto"/>
              </w:rPr>
              <w:t>(17)</w:t>
            </w:r>
          </w:p>
        </w:tc>
        <w:tc>
          <w:tcPr>
            <w:tcW w:w="120" w:type="dxa"/>
            <w:vAlign w:val="bottom"/>
          </w:tcPr>
          <w:p>
            <w:pPr>
              <w:spacing w:after="0"/>
              <w:rPr>
                <w:sz w:val="18"/>
                <w:szCs w:val="18"/>
                <w:color w:val="auto"/>
              </w:rPr>
            </w:pPr>
          </w:p>
        </w:tc>
        <w:tc>
          <w:tcPr>
            <w:tcW w:w="128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(52)</w:t>
            </w:r>
          </w:p>
        </w:tc>
      </w:tr>
      <w:tr>
        <w:trPr>
          <w:trHeight w:val="216"/>
        </w:trPr>
        <w:tc>
          <w:tcPr>
            <w:tcW w:w="628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8"/>
              </w:rPr>
              <w:t>Distributions related to the Carbon TerraVault JV  . . . . . . . . . . . . . . . .</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0"/>
              <w:spacing w:after="0" w:line="216" w:lineRule="exact"/>
              <w:rPr>
                <w:sz w:val="20"/>
                <w:szCs w:val="20"/>
                <w:color w:val="auto"/>
              </w:rPr>
            </w:pPr>
            <w:r>
              <w:rPr>
                <w:rFonts w:ascii="Arial" w:cs="Arial" w:eastAsia="Arial" w:hAnsi="Arial"/>
                <w:sz w:val="20"/>
                <w:szCs w:val="20"/>
                <w:color w:val="auto"/>
              </w:rPr>
              <w:t>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0"/>
              <w:spacing w:after="0" w:line="216" w:lineRule="exact"/>
              <w:rPr>
                <w:sz w:val="20"/>
                <w:szCs w:val="20"/>
                <w:color w:val="auto"/>
              </w:rPr>
            </w:pPr>
            <w:r>
              <w:rPr>
                <w:rFonts w:ascii="Arial" w:cs="Arial" w:eastAsia="Arial" w:hAnsi="Arial"/>
                <w:sz w:val="20"/>
                <w:szCs w:val="20"/>
                <w:color w:val="auto"/>
              </w:rPr>
              <w:t>—</w:t>
            </w:r>
          </w:p>
        </w:tc>
      </w:tr>
      <w:tr>
        <w:trPr>
          <w:trHeight w:val="216"/>
        </w:trPr>
        <w:tc>
          <w:tcPr>
            <w:tcW w:w="628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7"/>
              </w:rPr>
              <w:t>Capitalized joint venture transaction costs  . . . . . . . . . . . . . . . . . . . . . .</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3"/>
          </w:tcPr>
          <w:p>
            <w:pPr>
              <w:jc w:val="right"/>
              <w:ind w:right="140"/>
              <w:spacing w:after="0" w:line="216" w:lineRule="exact"/>
              <w:rPr>
                <w:sz w:val="20"/>
                <w:szCs w:val="20"/>
                <w:color w:val="auto"/>
              </w:rPr>
            </w:pPr>
            <w:r>
              <w:rPr>
                <w:rFonts w:ascii="Arial" w:cs="Arial" w:eastAsia="Arial" w:hAnsi="Arial"/>
                <w:sz w:val="20"/>
                <w:szCs w:val="20"/>
                <w:color w:val="auto"/>
              </w:rPr>
              <w:t>(12)</w:t>
            </w:r>
          </w:p>
        </w:tc>
        <w:tc>
          <w:tcPr>
            <w:tcW w:w="120" w:type="dxa"/>
            <w:vAlign w:val="bottom"/>
          </w:tcPr>
          <w:p>
            <w:pPr>
              <w:spacing w:after="0"/>
              <w:rPr>
                <w:sz w:val="18"/>
                <w:szCs w:val="18"/>
                <w:color w:val="auto"/>
              </w:rPr>
            </w:pPr>
          </w:p>
        </w:tc>
        <w:tc>
          <w:tcPr>
            <w:tcW w:w="1280" w:type="dxa"/>
            <w:vAlign w:val="bottom"/>
            <w:gridSpan w:val="2"/>
          </w:tcPr>
          <w:p>
            <w:pPr>
              <w:jc w:val="right"/>
              <w:ind w:right="60"/>
              <w:spacing w:after="0" w:line="216" w:lineRule="exact"/>
              <w:rPr>
                <w:sz w:val="20"/>
                <w:szCs w:val="20"/>
                <w:color w:val="auto"/>
              </w:rPr>
            </w:pPr>
            <w:r>
              <w:rPr>
                <w:rFonts w:ascii="Arial" w:cs="Arial" w:eastAsia="Arial" w:hAnsi="Arial"/>
                <w:sz w:val="20"/>
                <w:szCs w:val="20"/>
                <w:color w:val="auto"/>
              </w:rPr>
              <w:t>—</w:t>
            </w:r>
          </w:p>
        </w:tc>
      </w:tr>
      <w:tr>
        <w:trPr>
          <w:trHeight w:val="226"/>
        </w:trPr>
        <w:tc>
          <w:tcPr>
            <w:tcW w:w="6280" w:type="dxa"/>
            <w:vAlign w:val="bottom"/>
          </w:tcPr>
          <w:p>
            <w:pPr>
              <w:jc w:val="right"/>
              <w:ind w:right="100"/>
              <w:spacing w:after="0" w:line="226" w:lineRule="exact"/>
              <w:rPr>
                <w:sz w:val="20"/>
                <w:szCs w:val="20"/>
                <w:color w:val="auto"/>
              </w:rPr>
            </w:pPr>
            <w:r>
              <w:rPr>
                <w:rFonts w:ascii="Arial" w:cs="Arial" w:eastAsia="Arial" w:hAnsi="Arial"/>
                <w:sz w:val="20"/>
                <w:szCs w:val="20"/>
                <w:color w:val="auto"/>
                <w:w w:val="95"/>
              </w:rPr>
              <w:t>Other  . . . . . . . . . . . . . . . . . . . . . . . . . . . . . . . . . . . . . . . . . . . . . . . . . . . .</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3"/>
          </w:tcPr>
          <w:p>
            <w:pPr>
              <w:jc w:val="right"/>
              <w:ind w:right="140"/>
              <w:spacing w:after="0" w:line="226" w:lineRule="exact"/>
              <w:rPr>
                <w:sz w:val="20"/>
                <w:szCs w:val="20"/>
                <w:color w:val="auto"/>
              </w:rPr>
            </w:pPr>
            <w:r>
              <w:rPr>
                <w:rFonts w:ascii="Arial" w:cs="Arial" w:eastAsia="Arial" w:hAnsi="Arial"/>
                <w:sz w:val="20"/>
                <w:szCs w:val="20"/>
                <w:color w:val="auto"/>
              </w:rPr>
              <w:t>(2)</w:t>
            </w:r>
          </w:p>
        </w:tc>
        <w:tc>
          <w:tcPr>
            <w:tcW w:w="120" w:type="dxa"/>
            <w:vAlign w:val="bottom"/>
          </w:tcPr>
          <w:p>
            <w:pPr>
              <w:spacing w:after="0"/>
              <w:rPr>
                <w:sz w:val="19"/>
                <w:szCs w:val="19"/>
                <w:color w:val="auto"/>
              </w:rPr>
            </w:pPr>
          </w:p>
        </w:tc>
        <w:tc>
          <w:tcPr>
            <w:tcW w:w="1280" w:type="dxa"/>
            <w:vAlign w:val="bottom"/>
            <w:gridSpan w:val="2"/>
          </w:tcPr>
          <w:p>
            <w:pPr>
              <w:jc w:val="right"/>
              <w:spacing w:after="0" w:line="226" w:lineRule="exact"/>
              <w:rPr>
                <w:sz w:val="20"/>
                <w:szCs w:val="20"/>
                <w:color w:val="auto"/>
              </w:rPr>
            </w:pPr>
            <w:r>
              <w:rPr>
                <w:rFonts w:ascii="Arial" w:cs="Arial" w:eastAsia="Arial" w:hAnsi="Arial"/>
                <w:sz w:val="20"/>
                <w:szCs w:val="20"/>
                <w:color w:val="auto"/>
              </w:rPr>
              <w:t>(2)</w:t>
            </w:r>
          </w:p>
        </w:tc>
      </w:tr>
      <w:tr>
        <w:trPr>
          <w:trHeight w:val="28"/>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8"/>
        </w:trPr>
        <w:tc>
          <w:tcPr>
            <w:tcW w:w="6280" w:type="dxa"/>
            <w:vAlign w:val="bottom"/>
          </w:tcPr>
          <w:p>
            <w:pPr>
              <w:jc w:val="right"/>
              <w:ind w:right="100"/>
              <w:spacing w:after="0"/>
              <w:rPr>
                <w:sz w:val="20"/>
                <w:szCs w:val="20"/>
                <w:color w:val="auto"/>
              </w:rPr>
            </w:pPr>
            <w:r>
              <w:rPr>
                <w:rFonts w:ascii="Arial" w:cs="Arial" w:eastAsia="Arial" w:hAnsi="Arial"/>
                <w:sz w:val="20"/>
                <w:szCs w:val="20"/>
                <w:color w:val="auto"/>
              </w:rPr>
              <w:t>Net cash used in investing activities  . . . . . . . . . . . . . . . . . . . . . . . . .</w:t>
            </w:r>
          </w:p>
        </w:tc>
        <w:tc>
          <w:tcPr>
            <w:tcW w:w="280" w:type="dxa"/>
            <w:vAlign w:val="bottom"/>
            <w:gridSpan w:val="2"/>
          </w:tcPr>
          <w:p>
            <w:pPr>
              <w:ind w:left="20"/>
              <w:spacing w:after="0"/>
              <w:rPr>
                <w:sz w:val="20"/>
                <w:szCs w:val="20"/>
                <w:color w:val="auto"/>
              </w:rPr>
            </w:pPr>
            <w:r>
              <w:rPr>
                <w:rFonts w:ascii="Arial" w:cs="Arial" w:eastAsia="Arial" w:hAnsi="Arial"/>
                <w:sz w:val="20"/>
                <w:szCs w:val="20"/>
                <w:color w:val="auto"/>
              </w:rPr>
              <w:t>$</w:t>
            </w:r>
          </w:p>
        </w:tc>
        <w:tc>
          <w:tcPr>
            <w:tcW w:w="1220" w:type="dxa"/>
            <w:vAlign w:val="bottom"/>
            <w:gridSpan w:val="3"/>
          </w:tcPr>
          <w:p>
            <w:pPr>
              <w:jc w:val="right"/>
              <w:ind w:right="140"/>
              <w:spacing w:after="0"/>
              <w:rPr>
                <w:sz w:val="20"/>
                <w:szCs w:val="20"/>
                <w:color w:val="auto"/>
              </w:rPr>
            </w:pPr>
            <w:r>
              <w:rPr>
                <w:rFonts w:ascii="Arial" w:cs="Arial" w:eastAsia="Arial" w:hAnsi="Arial"/>
                <w:sz w:val="20"/>
                <w:szCs w:val="20"/>
                <w:color w:val="auto"/>
              </w:rPr>
              <w:t>(317)</w:t>
            </w:r>
          </w:p>
        </w:tc>
        <w:tc>
          <w:tcPr>
            <w:tcW w:w="120" w:type="dxa"/>
            <w:vAlign w:val="bottom"/>
          </w:tcPr>
          <w:p>
            <w:pPr>
              <w:spacing w:after="0"/>
              <w:rPr>
                <w:sz w:val="20"/>
                <w:szCs w:val="20"/>
                <w:color w:val="auto"/>
              </w:rPr>
            </w:pPr>
            <w:r>
              <w:rPr>
                <w:rFonts w:ascii="Arial" w:cs="Arial" w:eastAsia="Arial" w:hAnsi="Arial"/>
                <w:sz w:val="20"/>
                <w:szCs w:val="20"/>
                <w:color w:val="auto"/>
                <w:w w:val="89"/>
              </w:rPr>
              <w:t>$</w:t>
            </w:r>
          </w:p>
        </w:tc>
        <w:tc>
          <w:tcPr>
            <w:tcW w:w="1280" w:type="dxa"/>
            <w:vAlign w:val="bottom"/>
            <w:gridSpan w:val="2"/>
          </w:tcPr>
          <w:p>
            <w:pPr>
              <w:jc w:val="right"/>
              <w:spacing w:after="0"/>
              <w:rPr>
                <w:sz w:val="20"/>
                <w:szCs w:val="20"/>
                <w:color w:val="auto"/>
              </w:rPr>
            </w:pPr>
            <w:r>
              <w:rPr>
                <w:rFonts w:ascii="Arial" w:cs="Arial" w:eastAsia="Arial" w:hAnsi="Arial"/>
                <w:sz w:val="20"/>
                <w:szCs w:val="20"/>
                <w:color w:val="auto"/>
              </w:rPr>
              <w:t>(161)</w:t>
            </w:r>
          </w:p>
        </w:tc>
      </w:tr>
      <w:tr>
        <w:trPr>
          <w:trHeight w:val="28"/>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0" w:firstLine="300"/>
        <w:spacing w:after="0" w:line="263" w:lineRule="auto"/>
        <w:rPr>
          <w:sz w:val="20"/>
          <w:szCs w:val="20"/>
          <w:color w:val="auto"/>
        </w:rPr>
      </w:pPr>
      <w:r>
        <w:rPr>
          <w:rFonts w:ascii="Arial" w:cs="Arial" w:eastAsia="Arial" w:hAnsi="Arial"/>
          <w:sz w:val="19"/>
          <w:szCs w:val="19"/>
          <w:color w:val="auto"/>
        </w:rPr>
        <w:t>The increase in the use of cash primarily related to a higher capital program in 2022 as compared to 2021. In 2022, we invested $16 million in our carbon management activities including $12 million to build replacement water injection facilities which will allow us to use one of our depleted oil and natural gas reservoirs for CCS. Proceeds from divestitures, net for the year ended December 31, 2022 included the sale of our 50% non-operated working interest in certain horizons within our Lost Hills field, certain of our Ventura basin assets and our commercial office building in Bakersfield, California. We sold the majority of our Ventura basin operations in 2021 and other non-core assets including unimproved land. In 2022, our acquisitions related to our carbon management business. In 2021, we acquired working interests in certain</w:t>
      </w:r>
    </w:p>
    <w:p>
      <w:pPr>
        <w:spacing w:after="0" w:line="3" w:lineRule="exact"/>
        <w:rPr>
          <w:sz w:val="20"/>
          <w:szCs w:val="20"/>
          <w:color w:val="auto"/>
        </w:rPr>
      </w:pPr>
    </w:p>
    <w:p>
      <w:pPr>
        <w:ind w:right="360"/>
        <w:spacing w:after="0" w:line="247" w:lineRule="auto"/>
        <w:rPr>
          <w:sz w:val="20"/>
          <w:szCs w:val="20"/>
          <w:color w:val="auto"/>
        </w:rPr>
      </w:pPr>
      <w:r>
        <w:rPr>
          <w:rFonts w:ascii="Arial" w:cs="Arial" w:eastAsia="Arial" w:hAnsi="Arial"/>
          <w:sz w:val="20"/>
          <w:szCs w:val="20"/>
          <w:color w:val="auto"/>
        </w:rPr>
        <w:t xml:space="preserve">joint venture wells held by MIRA. </w:t>
      </w:r>
      <w:r>
        <w:rPr>
          <w:rFonts w:ascii="Arial" w:cs="Arial" w:eastAsia="Arial" w:hAnsi="Arial"/>
          <w:sz w:val="20"/>
          <w:szCs w:val="20"/>
          <w:i w:val="1"/>
          <w:iCs w:val="1"/>
          <w:color w:val="auto"/>
        </w:rPr>
        <w:t>Part II, Item 8 – Financial Statements and Supplementary Data, Note 3</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Divestitures and Acquisitions </w:t>
      </w:r>
      <w:r>
        <w:rPr>
          <w:rFonts w:ascii="Arial" w:cs="Arial" w:eastAsia="Arial" w:hAnsi="Arial"/>
          <w:sz w:val="20"/>
          <w:szCs w:val="20"/>
          <w:color w:val="auto"/>
        </w:rPr>
        <w:t>for more information on our divestitures and acquisitions.</w:t>
      </w:r>
    </w:p>
    <w:p>
      <w:pPr>
        <w:spacing w:after="0" w:line="207" w:lineRule="exact"/>
        <w:rPr>
          <w:sz w:val="20"/>
          <w:szCs w:val="20"/>
          <w:color w:val="auto"/>
        </w:rPr>
      </w:pPr>
    </w:p>
    <w:p>
      <w:pPr>
        <w:ind w:right="580" w:firstLine="300"/>
        <w:spacing w:after="0" w:line="247" w:lineRule="auto"/>
        <w:rPr>
          <w:sz w:val="20"/>
          <w:szCs w:val="20"/>
          <w:color w:val="auto"/>
        </w:rPr>
      </w:pPr>
      <w:r>
        <w:rPr>
          <w:rFonts w:ascii="Arial" w:cs="Arial" w:eastAsia="Arial" w:hAnsi="Arial"/>
          <w:sz w:val="20"/>
          <w:szCs w:val="20"/>
          <w:i w:val="1"/>
          <w:iCs w:val="1"/>
          <w:color w:val="auto"/>
        </w:rPr>
        <w:t xml:space="preserve">Cash flows from financing activities – </w:t>
      </w:r>
      <w:r>
        <w:rPr>
          <w:rFonts w:ascii="Arial" w:cs="Arial" w:eastAsia="Arial" w:hAnsi="Arial"/>
          <w:sz w:val="20"/>
          <w:szCs w:val="20"/>
          <w:color w:val="auto"/>
        </w:rPr>
        <w:t>The table below summarizes net cash used by financing</w:t>
      </w:r>
      <w:r>
        <w:rPr>
          <w:rFonts w:ascii="Arial" w:cs="Arial" w:eastAsia="Arial" w:hAnsi="Arial"/>
          <w:sz w:val="20"/>
          <w:szCs w:val="20"/>
          <w:i w:val="1"/>
          <w:iCs w:val="1"/>
          <w:color w:val="auto"/>
        </w:rPr>
        <w:t xml:space="preserve"> </w:t>
      </w:r>
      <w:r>
        <w:rPr>
          <w:rFonts w:ascii="Arial" w:cs="Arial" w:eastAsia="Arial" w:hAnsi="Arial"/>
          <w:sz w:val="20"/>
          <w:szCs w:val="20"/>
          <w:color w:val="auto"/>
        </w:rPr>
        <w:t>activities: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20"/>
                <w:szCs w:val="20"/>
                <w:b w:val="1"/>
                <w:bCs w:val="1"/>
                <w:color w:val="auto"/>
                <w:w w:val="98"/>
              </w:rPr>
              <w:t>Year ended</w:t>
            </w:r>
          </w:p>
        </w:tc>
        <w:tc>
          <w:tcPr>
            <w:tcW w:w="20" w:type="dxa"/>
            <w:vAlign w:val="bottom"/>
          </w:tcPr>
          <w:p>
            <w:pPr>
              <w:spacing w:after="0"/>
              <w:rPr>
                <w:sz w:val="19"/>
                <w:szCs w:val="19"/>
                <w:color w:val="auto"/>
              </w:rPr>
            </w:pPr>
          </w:p>
        </w:tc>
        <w:tc>
          <w:tcPr>
            <w:tcW w:w="1340" w:type="dxa"/>
            <w:vAlign w:val="bottom"/>
            <w:gridSpan w:val="4"/>
          </w:tcPr>
          <w:p>
            <w:pPr>
              <w:jc w:val="center"/>
              <w:ind w:right="80"/>
              <w:spacing w:after="0"/>
              <w:rPr>
                <w:sz w:val="20"/>
                <w:szCs w:val="20"/>
                <w:color w:val="auto"/>
              </w:rPr>
            </w:pPr>
            <w:r>
              <w:rPr>
                <w:rFonts w:ascii="Arial" w:cs="Arial" w:eastAsia="Arial" w:hAnsi="Arial"/>
                <w:sz w:val="20"/>
                <w:szCs w:val="20"/>
                <w:b w:val="1"/>
                <w:bCs w:val="1"/>
                <w:color w:val="auto"/>
                <w:w w:val="98"/>
              </w:rPr>
              <w:t>Year ended</w:t>
            </w:r>
          </w:p>
        </w:tc>
      </w:tr>
      <w:tr>
        <w:trPr>
          <w:trHeight w:val="248"/>
        </w:trPr>
        <w:tc>
          <w:tcPr>
            <w:tcW w:w="6200" w:type="dxa"/>
            <w:vAlign w:val="bottom"/>
          </w:tcPr>
          <w:p>
            <w:pPr>
              <w:spacing w:after="0"/>
              <w:rPr>
                <w:sz w:val="21"/>
                <w:szCs w:val="21"/>
                <w:color w:val="auto"/>
              </w:rPr>
            </w:pPr>
          </w:p>
        </w:tc>
        <w:tc>
          <w:tcPr>
            <w:tcW w:w="1620" w:type="dxa"/>
            <w:vAlign w:val="bottom"/>
            <w:gridSpan w:val="3"/>
          </w:tcPr>
          <w:p>
            <w:pPr>
              <w:jc w:val="center"/>
              <w:ind w:right="200"/>
              <w:spacing w:after="0"/>
              <w:rPr>
                <w:sz w:val="20"/>
                <w:szCs w:val="20"/>
                <w:color w:val="auto"/>
              </w:rPr>
            </w:pPr>
            <w:r>
              <w:rPr>
                <w:rFonts w:ascii="Arial" w:cs="Arial" w:eastAsia="Arial" w:hAnsi="Arial"/>
                <w:sz w:val="20"/>
                <w:szCs w:val="20"/>
                <w:b w:val="1"/>
                <w:bCs w:val="1"/>
                <w:color w:val="auto"/>
                <w:w w:val="99"/>
              </w:rPr>
              <w:t>December 31,</w:t>
            </w:r>
          </w:p>
        </w:tc>
        <w:tc>
          <w:tcPr>
            <w:tcW w:w="1360" w:type="dxa"/>
            <w:vAlign w:val="bottom"/>
            <w:gridSpan w:val="5"/>
          </w:tcPr>
          <w:p>
            <w:pPr>
              <w:spacing w:after="0"/>
              <w:rPr>
                <w:sz w:val="20"/>
                <w:szCs w:val="20"/>
                <w:color w:val="auto"/>
              </w:rPr>
            </w:pPr>
            <w:r>
              <w:rPr>
                <w:rFonts w:ascii="Arial" w:cs="Arial" w:eastAsia="Arial" w:hAnsi="Arial"/>
                <w:sz w:val="20"/>
                <w:szCs w:val="20"/>
                <w:b w:val="1"/>
                <w:bCs w:val="1"/>
                <w:color w:val="auto"/>
              </w:rPr>
              <w:t>December 31,</w:t>
            </w:r>
          </w:p>
        </w:tc>
      </w:tr>
      <w:tr>
        <w:trPr>
          <w:trHeight w:val="260"/>
        </w:trPr>
        <w:tc>
          <w:tcPr>
            <w:tcW w:w="62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center"/>
              <w:ind w:right="42"/>
              <w:spacing w:after="0"/>
              <w:rPr>
                <w:sz w:val="20"/>
                <w:szCs w:val="20"/>
                <w:color w:val="auto"/>
              </w:rPr>
            </w:pPr>
            <w:r>
              <w:rPr>
                <w:rFonts w:ascii="Arial" w:cs="Arial" w:eastAsia="Arial" w:hAnsi="Arial"/>
                <w:sz w:val="20"/>
                <w:szCs w:val="20"/>
                <w:b w:val="1"/>
                <w:bCs w:val="1"/>
                <w:color w:val="auto"/>
              </w:rPr>
              <w:t>2022</w:t>
            </w:r>
          </w:p>
        </w:tc>
        <w:tc>
          <w:tcPr>
            <w:tcW w:w="2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20"/>
                <w:szCs w:val="20"/>
                <w:b w:val="1"/>
                <w:bCs w:val="1"/>
                <w:color w:val="auto"/>
              </w:rPr>
              <w:t>2021</w:t>
            </w:r>
          </w:p>
        </w:tc>
        <w:tc>
          <w:tcPr>
            <w:tcW w:w="2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192"/>
        </w:trPr>
        <w:tc>
          <w:tcPr>
            <w:tcW w:w="6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gridSpan w:val="4"/>
          </w:tcPr>
          <w:p>
            <w:pPr>
              <w:ind w:left="920"/>
              <w:spacing w:after="0"/>
              <w:rPr>
                <w:sz w:val="20"/>
                <w:szCs w:val="20"/>
                <w:color w:val="auto"/>
              </w:rPr>
            </w:pPr>
            <w:r>
              <w:rPr>
                <w:rFonts w:ascii="Arial" w:cs="Arial" w:eastAsia="Arial" w:hAnsi="Arial"/>
                <w:sz w:val="16"/>
                <w:szCs w:val="16"/>
                <w:color w:val="auto"/>
              </w:rPr>
              <w:t>(in millions)</w:t>
            </w: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620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6"/>
              </w:rPr>
              <w:t>Debt transactions  . . . . . . . . . . . . . . . . . . . . . . . . . . . . . . . . . . . . . . . . .</w:t>
            </w:r>
          </w:p>
        </w:tc>
        <w:tc>
          <w:tcPr>
            <w:tcW w:w="140" w:type="dxa"/>
            <w:vAlign w:val="bottom"/>
          </w:tcPr>
          <w:p>
            <w:pPr>
              <w:jc w:val="right"/>
              <w:spacing w:after="0" w:line="216" w:lineRule="exact"/>
              <w:rPr>
                <w:sz w:val="20"/>
                <w:szCs w:val="20"/>
                <w:color w:val="auto"/>
              </w:rPr>
            </w:pPr>
            <w:r>
              <w:rPr>
                <w:rFonts w:ascii="Arial" w:cs="Arial" w:eastAsia="Arial" w:hAnsi="Arial"/>
                <w:sz w:val="20"/>
                <w:szCs w:val="20"/>
                <w:color w:val="auto"/>
                <w:w w:val="71"/>
              </w:rPr>
              <w:t>$</w:t>
            </w:r>
          </w:p>
        </w:tc>
        <w:tc>
          <w:tcPr>
            <w:tcW w:w="1480" w:type="dxa"/>
            <w:vAlign w:val="bottom"/>
            <w:gridSpan w:val="2"/>
          </w:tcPr>
          <w:p>
            <w:pPr>
              <w:jc w:val="right"/>
              <w:ind w:right="200"/>
              <w:spacing w:after="0" w:line="216" w:lineRule="exact"/>
              <w:rPr>
                <w:sz w:val="20"/>
                <w:szCs w:val="20"/>
                <w:color w:val="auto"/>
              </w:rPr>
            </w:pPr>
            <w:r>
              <w:rPr>
                <w:rFonts w:ascii="Arial" w:cs="Arial" w:eastAsia="Arial" w:hAnsi="Arial"/>
                <w:sz w:val="20"/>
                <w:szCs w:val="20"/>
                <w:color w:val="auto"/>
              </w:rPr>
              <w:t>—</w:t>
            </w:r>
          </w:p>
        </w:tc>
        <w:tc>
          <w:tcPr>
            <w:tcW w:w="340" w:type="dxa"/>
            <w:vAlign w:val="bottom"/>
            <w:gridSpan w:val="2"/>
          </w:tcPr>
          <w:p>
            <w:pPr>
              <w:ind w:left="20"/>
              <w:spacing w:after="0" w:line="216" w:lineRule="exact"/>
              <w:rPr>
                <w:sz w:val="20"/>
                <w:szCs w:val="20"/>
                <w:color w:val="auto"/>
              </w:rPr>
            </w:pPr>
            <w:r>
              <w:rPr>
                <w:rFonts w:ascii="Arial" w:cs="Arial" w:eastAsia="Arial" w:hAnsi="Arial"/>
                <w:sz w:val="20"/>
                <w:szCs w:val="20"/>
                <w:color w:val="auto"/>
              </w:rPr>
              <w:t>$</w:t>
            </w:r>
          </w:p>
        </w:tc>
        <w:tc>
          <w:tcPr>
            <w:tcW w:w="1020" w:type="dxa"/>
            <w:vAlign w:val="bottom"/>
            <w:gridSpan w:val="3"/>
          </w:tcPr>
          <w:p>
            <w:pPr>
              <w:jc w:val="right"/>
              <w:spacing w:after="0" w:line="216" w:lineRule="exact"/>
              <w:rPr>
                <w:sz w:val="20"/>
                <w:szCs w:val="20"/>
                <w:color w:val="auto"/>
              </w:rPr>
            </w:pPr>
            <w:r>
              <w:rPr>
                <w:rFonts w:ascii="Arial" w:cs="Arial" w:eastAsia="Arial" w:hAnsi="Arial"/>
                <w:sz w:val="20"/>
                <w:szCs w:val="20"/>
                <w:color w:val="auto"/>
              </w:rPr>
              <w:t>(12)</w:t>
            </w:r>
          </w:p>
        </w:tc>
      </w:tr>
      <w:tr>
        <w:trPr>
          <w:trHeight w:val="216"/>
        </w:trPr>
        <w:tc>
          <w:tcPr>
            <w:tcW w:w="620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8"/>
              </w:rPr>
              <w:t>Distributions to noncontrolling interest holders . . . . . . . . . . . . . . . . . .</w:t>
            </w:r>
          </w:p>
        </w:tc>
        <w:tc>
          <w:tcPr>
            <w:tcW w:w="140" w:type="dxa"/>
            <w:vAlign w:val="bottom"/>
          </w:tcPr>
          <w:p>
            <w:pPr>
              <w:spacing w:after="0"/>
              <w:rPr>
                <w:sz w:val="18"/>
                <w:szCs w:val="18"/>
                <w:color w:val="auto"/>
              </w:rPr>
            </w:pPr>
          </w:p>
        </w:tc>
        <w:tc>
          <w:tcPr>
            <w:tcW w:w="1480" w:type="dxa"/>
            <w:vAlign w:val="bottom"/>
            <w:gridSpan w:val="2"/>
          </w:tcPr>
          <w:p>
            <w:pPr>
              <w:jc w:val="right"/>
              <w:ind w:right="200"/>
              <w:spacing w:after="0" w:line="216"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3"/>
          </w:tcPr>
          <w:p>
            <w:pPr>
              <w:jc w:val="right"/>
              <w:spacing w:after="0" w:line="216" w:lineRule="exact"/>
              <w:rPr>
                <w:sz w:val="20"/>
                <w:szCs w:val="20"/>
                <w:color w:val="auto"/>
              </w:rPr>
            </w:pPr>
            <w:r>
              <w:rPr>
                <w:rFonts w:ascii="Arial" w:cs="Arial" w:eastAsia="Arial" w:hAnsi="Arial"/>
                <w:sz w:val="20"/>
                <w:szCs w:val="20"/>
                <w:color w:val="auto"/>
              </w:rPr>
              <w:t>(50)</w:t>
            </w:r>
          </w:p>
        </w:tc>
      </w:tr>
      <w:tr>
        <w:trPr>
          <w:trHeight w:val="216"/>
        </w:trPr>
        <w:tc>
          <w:tcPr>
            <w:tcW w:w="620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7"/>
              </w:rPr>
              <w:t>Repurchases of common stock  . . . . . . . . . . . . . . . . . . . . . . . . . . . . . .</w:t>
            </w:r>
          </w:p>
        </w:tc>
        <w:tc>
          <w:tcPr>
            <w:tcW w:w="140" w:type="dxa"/>
            <w:vAlign w:val="bottom"/>
          </w:tcPr>
          <w:p>
            <w:pPr>
              <w:spacing w:after="0"/>
              <w:rPr>
                <w:sz w:val="18"/>
                <w:szCs w:val="18"/>
                <w:color w:val="auto"/>
              </w:rPr>
            </w:pPr>
          </w:p>
        </w:tc>
        <w:tc>
          <w:tcPr>
            <w:tcW w:w="1480" w:type="dxa"/>
            <w:vAlign w:val="bottom"/>
            <w:gridSpan w:val="2"/>
          </w:tcPr>
          <w:p>
            <w:pPr>
              <w:jc w:val="right"/>
              <w:ind w:right="140"/>
              <w:spacing w:after="0" w:line="216" w:lineRule="exact"/>
              <w:rPr>
                <w:sz w:val="20"/>
                <w:szCs w:val="20"/>
                <w:color w:val="auto"/>
              </w:rPr>
            </w:pPr>
            <w:r>
              <w:rPr>
                <w:rFonts w:ascii="Arial" w:cs="Arial" w:eastAsia="Arial" w:hAnsi="Arial"/>
                <w:sz w:val="20"/>
                <w:szCs w:val="20"/>
                <w:color w:val="auto"/>
              </w:rPr>
              <w:t>(313)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3"/>
          </w:tcPr>
          <w:p>
            <w:pPr>
              <w:jc w:val="right"/>
              <w:spacing w:after="0" w:line="216" w:lineRule="exact"/>
              <w:rPr>
                <w:sz w:val="20"/>
                <w:szCs w:val="20"/>
                <w:color w:val="auto"/>
              </w:rPr>
            </w:pPr>
            <w:r>
              <w:rPr>
                <w:rFonts w:ascii="Arial" w:cs="Arial" w:eastAsia="Arial" w:hAnsi="Arial"/>
                <w:sz w:val="20"/>
                <w:szCs w:val="20"/>
                <w:color w:val="auto"/>
              </w:rPr>
              <w:t>(148)</w:t>
            </w:r>
          </w:p>
        </w:tc>
      </w:tr>
      <w:tr>
        <w:trPr>
          <w:trHeight w:val="216"/>
        </w:trPr>
        <w:tc>
          <w:tcPr>
            <w:tcW w:w="6200" w:type="dxa"/>
            <w:vAlign w:val="bottom"/>
          </w:tcPr>
          <w:p>
            <w:pPr>
              <w:jc w:val="right"/>
              <w:ind w:right="100"/>
              <w:spacing w:after="0" w:line="216" w:lineRule="exact"/>
              <w:rPr>
                <w:sz w:val="20"/>
                <w:szCs w:val="20"/>
                <w:color w:val="auto"/>
              </w:rPr>
            </w:pPr>
            <w:r>
              <w:rPr>
                <w:rFonts w:ascii="Arial" w:cs="Arial" w:eastAsia="Arial" w:hAnsi="Arial"/>
                <w:sz w:val="20"/>
                <w:szCs w:val="20"/>
                <w:color w:val="auto"/>
                <w:w w:val="97"/>
              </w:rPr>
              <w:t>Issuance of common stock . . . . . . . . . . . . . . . . . . . . . . . . . . . . . . . . . .</w:t>
            </w:r>
          </w:p>
        </w:tc>
        <w:tc>
          <w:tcPr>
            <w:tcW w:w="140" w:type="dxa"/>
            <w:vAlign w:val="bottom"/>
          </w:tcPr>
          <w:p>
            <w:pPr>
              <w:spacing w:after="0"/>
              <w:rPr>
                <w:sz w:val="18"/>
                <w:szCs w:val="18"/>
                <w:color w:val="auto"/>
              </w:rPr>
            </w:pPr>
          </w:p>
        </w:tc>
        <w:tc>
          <w:tcPr>
            <w:tcW w:w="1480" w:type="dxa"/>
            <w:vAlign w:val="bottom"/>
            <w:gridSpan w:val="2"/>
          </w:tcPr>
          <w:p>
            <w:pPr>
              <w:jc w:val="right"/>
              <w:ind w:right="200"/>
              <w:spacing w:after="0" w:line="216" w:lineRule="exact"/>
              <w:rPr>
                <w:sz w:val="20"/>
                <w:szCs w:val="20"/>
                <w:color w:val="auto"/>
              </w:rPr>
            </w:pPr>
            <w:r>
              <w:rPr>
                <w:rFonts w:ascii="Arial" w:cs="Arial" w:eastAsia="Arial" w:hAnsi="Arial"/>
                <w:sz w:val="20"/>
                <w:szCs w:val="20"/>
                <w:color w:val="auto"/>
              </w:rPr>
              <w:t>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20"/>
              <w:spacing w:after="0" w:line="216" w:lineRule="exact"/>
              <w:rPr>
                <w:sz w:val="20"/>
                <w:szCs w:val="20"/>
                <w:color w:val="auto"/>
              </w:rPr>
            </w:pPr>
            <w:r>
              <w:rPr>
                <w:rFonts w:ascii="Arial" w:cs="Arial" w:eastAsia="Arial" w:hAnsi="Arial"/>
                <w:sz w:val="20"/>
                <w:szCs w:val="20"/>
                <w:color w:val="auto"/>
              </w:rPr>
              <w:t>2</w:t>
            </w:r>
          </w:p>
        </w:tc>
        <w:tc>
          <w:tcPr>
            <w:tcW w:w="60" w:type="dxa"/>
            <w:vAlign w:val="bottom"/>
          </w:tcPr>
          <w:p>
            <w:pPr>
              <w:spacing w:after="0"/>
              <w:rPr>
                <w:sz w:val="18"/>
                <w:szCs w:val="18"/>
                <w:color w:val="auto"/>
              </w:rPr>
            </w:pPr>
          </w:p>
        </w:tc>
      </w:tr>
      <w:tr>
        <w:trPr>
          <w:trHeight w:val="224"/>
        </w:trPr>
        <w:tc>
          <w:tcPr>
            <w:tcW w:w="6200" w:type="dxa"/>
            <w:vAlign w:val="bottom"/>
          </w:tcPr>
          <w:p>
            <w:pPr>
              <w:jc w:val="right"/>
              <w:ind w:right="100"/>
              <w:spacing w:after="0" w:line="224" w:lineRule="exact"/>
              <w:rPr>
                <w:sz w:val="20"/>
                <w:szCs w:val="20"/>
                <w:color w:val="auto"/>
              </w:rPr>
            </w:pPr>
            <w:r>
              <w:rPr>
                <w:rFonts w:ascii="Arial" w:cs="Arial" w:eastAsia="Arial" w:hAnsi="Arial"/>
                <w:sz w:val="20"/>
                <w:szCs w:val="20"/>
                <w:color w:val="auto"/>
                <w:w w:val="97"/>
              </w:rPr>
              <w:t>Common stock dividends . . . . . . . . . . . . . . . . . . . . . . . . . . . . . . . . . . .</w:t>
            </w:r>
          </w:p>
        </w:tc>
        <w:tc>
          <w:tcPr>
            <w:tcW w:w="140" w:type="dxa"/>
            <w:vAlign w:val="bottom"/>
          </w:tcPr>
          <w:p>
            <w:pPr>
              <w:spacing w:after="0"/>
              <w:rPr>
                <w:sz w:val="19"/>
                <w:szCs w:val="19"/>
                <w:color w:val="auto"/>
              </w:rPr>
            </w:pPr>
          </w:p>
        </w:tc>
        <w:tc>
          <w:tcPr>
            <w:tcW w:w="1480" w:type="dxa"/>
            <w:vAlign w:val="bottom"/>
            <w:gridSpan w:val="2"/>
          </w:tcPr>
          <w:p>
            <w:pPr>
              <w:jc w:val="right"/>
              <w:ind w:right="140"/>
              <w:spacing w:after="0" w:line="224" w:lineRule="exact"/>
              <w:rPr>
                <w:sz w:val="20"/>
                <w:szCs w:val="20"/>
                <w:color w:val="auto"/>
              </w:rPr>
            </w:pPr>
            <w:r>
              <w:rPr>
                <w:rFonts w:ascii="Arial" w:cs="Arial" w:eastAsia="Arial" w:hAnsi="Arial"/>
                <w:sz w:val="20"/>
                <w:szCs w:val="20"/>
                <w:color w:val="auto"/>
              </w:rPr>
              <w:t>(59)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3"/>
          </w:tcPr>
          <w:p>
            <w:pPr>
              <w:jc w:val="right"/>
              <w:spacing w:after="0" w:line="224" w:lineRule="exact"/>
              <w:rPr>
                <w:sz w:val="20"/>
                <w:szCs w:val="20"/>
                <w:color w:val="auto"/>
              </w:rPr>
            </w:pPr>
            <w:r>
              <w:rPr>
                <w:rFonts w:ascii="Arial" w:cs="Arial" w:eastAsia="Arial" w:hAnsi="Arial"/>
                <w:sz w:val="20"/>
                <w:szCs w:val="20"/>
                <w:color w:val="auto"/>
              </w:rPr>
              <w:t>(14)</w:t>
            </w:r>
          </w:p>
        </w:tc>
      </w:tr>
      <w:tr>
        <w:trPr>
          <w:trHeight w:val="30"/>
        </w:trPr>
        <w:tc>
          <w:tcPr>
            <w:tcW w:w="6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gridSpan w:val="2"/>
          </w:tcPr>
          <w:p>
            <w:pPr>
              <w:spacing w:after="0"/>
              <w:rPr>
                <w:sz w:val="2"/>
                <w:szCs w:val="2"/>
                <w:color w:val="auto"/>
              </w:rPr>
            </w:pPr>
          </w:p>
        </w:tc>
      </w:tr>
      <w:tr>
        <w:trPr>
          <w:trHeight w:val="248"/>
        </w:trPr>
        <w:tc>
          <w:tcPr>
            <w:tcW w:w="6200" w:type="dxa"/>
            <w:vAlign w:val="bottom"/>
          </w:tcPr>
          <w:p>
            <w:pPr>
              <w:jc w:val="right"/>
              <w:ind w:right="100"/>
              <w:spacing w:after="0"/>
              <w:rPr>
                <w:sz w:val="20"/>
                <w:szCs w:val="20"/>
                <w:color w:val="auto"/>
              </w:rPr>
            </w:pPr>
            <w:r>
              <w:rPr>
                <w:rFonts w:ascii="Arial" w:cs="Arial" w:eastAsia="Arial" w:hAnsi="Arial"/>
                <w:sz w:val="20"/>
                <w:szCs w:val="20"/>
                <w:color w:val="auto"/>
              </w:rPr>
              <w:t>Net cash used by financing activities . . . . . . . . . . . . . . . . . . . . . . . .</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480" w:type="dxa"/>
            <w:vAlign w:val="bottom"/>
            <w:gridSpan w:val="2"/>
          </w:tcPr>
          <w:p>
            <w:pPr>
              <w:jc w:val="right"/>
              <w:ind w:right="140"/>
              <w:spacing w:after="0"/>
              <w:rPr>
                <w:sz w:val="20"/>
                <w:szCs w:val="20"/>
                <w:color w:val="auto"/>
              </w:rPr>
            </w:pPr>
            <w:r>
              <w:rPr>
                <w:rFonts w:ascii="Arial" w:cs="Arial" w:eastAsia="Arial" w:hAnsi="Arial"/>
                <w:sz w:val="20"/>
                <w:szCs w:val="20"/>
                <w:color w:val="auto"/>
              </w:rPr>
              <w:t>(371)</w:t>
            </w:r>
          </w:p>
        </w:tc>
        <w:tc>
          <w:tcPr>
            <w:tcW w:w="340" w:type="dxa"/>
            <w:vAlign w:val="bottom"/>
            <w:gridSpan w:val="2"/>
          </w:tcPr>
          <w:p>
            <w:pPr>
              <w:ind w:left="20"/>
              <w:spacing w:after="0"/>
              <w:rPr>
                <w:sz w:val="20"/>
                <w:szCs w:val="20"/>
                <w:color w:val="auto"/>
              </w:rPr>
            </w:pPr>
            <w:r>
              <w:rPr>
                <w:rFonts w:ascii="Arial" w:cs="Arial" w:eastAsia="Arial" w:hAnsi="Arial"/>
                <w:sz w:val="20"/>
                <w:szCs w:val="20"/>
                <w:color w:val="auto"/>
              </w:rPr>
              <w:t>$</w:t>
            </w:r>
          </w:p>
        </w:tc>
        <w:tc>
          <w:tcPr>
            <w:tcW w:w="1020" w:type="dxa"/>
            <w:vAlign w:val="bottom"/>
            <w:gridSpan w:val="3"/>
          </w:tcPr>
          <w:p>
            <w:pPr>
              <w:jc w:val="right"/>
              <w:spacing w:after="0"/>
              <w:rPr>
                <w:sz w:val="20"/>
                <w:szCs w:val="20"/>
                <w:color w:val="auto"/>
              </w:rPr>
            </w:pPr>
            <w:r>
              <w:rPr>
                <w:rFonts w:ascii="Arial" w:cs="Arial" w:eastAsia="Arial" w:hAnsi="Arial"/>
                <w:sz w:val="20"/>
                <w:szCs w:val="20"/>
                <w:color w:val="auto"/>
              </w:rPr>
              <w:t>(222)</w:t>
            </w:r>
          </w:p>
        </w:tc>
      </w:tr>
      <w:tr>
        <w:trPr>
          <w:trHeight w:val="28"/>
        </w:trPr>
        <w:tc>
          <w:tcPr>
            <w:tcW w:w="6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80"/>
          </w:cols>
          <w:pgMar w:left="1380" w:top="1311" w:right="1320" w:bottom="653" w:gutter="0" w:footer="0" w:header="0"/>
        </w:sectPr>
      </w:pPr>
    </w:p>
    <w:p>
      <w:pPr>
        <w:spacing w:after="0" w:line="68"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83</w:t>
      </w:r>
    </w:p>
    <w:p>
      <w:pPr>
        <w:sectPr>
          <w:pgSz w:w="11880" w:h="15480" w:orient="portrait"/>
          <w:cols w:equalWidth="0" w:num="1">
            <w:col w:w="9180"/>
          </w:cols>
          <w:pgMar w:left="1380" w:top="1311" w:right="1320" w:bottom="653" w:gutter="0" w:footer="0" w:header="0"/>
          <w:type w:val="continuous"/>
        </w:sectPr>
      </w:pPr>
    </w:p>
    <w:bookmarkStart w:id="87" w:name="page88"/>
    <w:bookmarkEnd w:id="87"/>
    <w:p>
      <w:pPr>
        <w:ind w:right="240" w:firstLine="300"/>
        <w:spacing w:after="0" w:line="248" w:lineRule="auto"/>
        <w:rPr>
          <w:sz w:val="20"/>
          <w:szCs w:val="20"/>
          <w:color w:val="auto"/>
        </w:rPr>
      </w:pPr>
      <w:r>
        <w:rPr>
          <w:rFonts w:ascii="Arial" w:cs="Arial" w:eastAsia="Arial" w:hAnsi="Arial"/>
          <w:sz w:val="20"/>
          <w:szCs w:val="20"/>
          <w:color w:val="auto"/>
        </w:rPr>
        <w:t xml:space="preserve">Our net cash used in financing activities for the year ended December 31, 2022 related to repurchases of our common stock under our Share Repurchase Program and dividends. See </w:t>
      </w:r>
      <w:r>
        <w:rPr>
          <w:rFonts w:ascii="Arial" w:cs="Arial" w:eastAsia="Arial" w:hAnsi="Arial"/>
          <w:sz w:val="20"/>
          <w:szCs w:val="20"/>
          <w:i w:val="1"/>
          <w:iCs w:val="1"/>
          <w:color w:val="auto"/>
        </w:rPr>
        <w:t>Part II,</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Item 8 – Financial Statements and Supplementary Data, Note 11 Stockholders’ Equity </w:t>
      </w:r>
      <w:r>
        <w:rPr>
          <w:rFonts w:ascii="Arial" w:cs="Arial" w:eastAsia="Arial" w:hAnsi="Arial"/>
          <w:sz w:val="20"/>
          <w:szCs w:val="20"/>
          <w:color w:val="auto"/>
        </w:rPr>
        <w:t>for more</w:t>
      </w:r>
      <w:r>
        <w:rPr>
          <w:rFonts w:ascii="Arial" w:cs="Arial" w:eastAsia="Arial" w:hAnsi="Arial"/>
          <w:sz w:val="20"/>
          <w:szCs w:val="20"/>
          <w:i w:val="1"/>
          <w:iCs w:val="1"/>
          <w:color w:val="auto"/>
        </w:rPr>
        <w:t xml:space="preserve"> </w:t>
      </w:r>
      <w:r>
        <w:rPr>
          <w:rFonts w:ascii="Arial" w:cs="Arial" w:eastAsia="Arial" w:hAnsi="Arial"/>
          <w:sz w:val="20"/>
          <w:szCs w:val="20"/>
          <w:color w:val="auto"/>
        </w:rPr>
        <w:t>information on our cash dividends.</w:t>
      </w:r>
    </w:p>
    <w:p>
      <w:pPr>
        <w:spacing w:after="0" w:line="209" w:lineRule="exact"/>
        <w:rPr>
          <w:sz w:val="20"/>
          <w:szCs w:val="20"/>
          <w:color w:val="auto"/>
        </w:rPr>
      </w:pPr>
    </w:p>
    <w:p>
      <w:pPr>
        <w:ind w:firstLine="300"/>
        <w:spacing w:after="0" w:line="248" w:lineRule="auto"/>
        <w:rPr>
          <w:sz w:val="20"/>
          <w:szCs w:val="20"/>
          <w:color w:val="auto"/>
        </w:rPr>
      </w:pPr>
      <w:r>
        <w:rPr>
          <w:rFonts w:ascii="Arial" w:cs="Arial" w:eastAsia="Arial" w:hAnsi="Arial"/>
          <w:sz w:val="20"/>
          <w:szCs w:val="20"/>
          <w:color w:val="auto"/>
        </w:rPr>
        <w:t xml:space="preserve">Our net cash used in financing activities for the year ended December 31, 2021 primarily related to distributions to BSP as well as repurchases of our common stock under our Share Repurchase Program. </w:t>
      </w:r>
      <w:r>
        <w:rPr>
          <w:rFonts w:ascii="Arial" w:cs="Arial" w:eastAsia="Arial" w:hAnsi="Arial"/>
          <w:sz w:val="20"/>
          <w:szCs w:val="20"/>
          <w:i w:val="1"/>
          <w:iCs w:val="1"/>
          <w:color w:val="auto"/>
        </w:rPr>
        <w:t>Part II, Item 8 – Financial Statements and Supplementary Data, Note 11 Stockholders’ Equity</w:t>
      </w:r>
      <w:r>
        <w:rPr>
          <w:rFonts w:ascii="Arial" w:cs="Arial" w:eastAsia="Arial" w:hAnsi="Arial"/>
          <w:sz w:val="20"/>
          <w:szCs w:val="20"/>
          <w:color w:val="auto"/>
        </w:rPr>
        <w:t xml:space="preserve"> for additional information on our BSP JV.</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Lawsuits, Claims, Commitments and Contingencies</w:t>
      </w:r>
    </w:p>
    <w:p>
      <w:pPr>
        <w:spacing w:after="0" w:line="216" w:lineRule="exact"/>
        <w:rPr>
          <w:sz w:val="20"/>
          <w:szCs w:val="20"/>
          <w:color w:val="auto"/>
        </w:rPr>
      </w:pPr>
    </w:p>
    <w:p>
      <w:pPr>
        <w:ind w:right="40" w:firstLine="300"/>
        <w:spacing w:after="0" w:line="248" w:lineRule="auto"/>
        <w:rPr>
          <w:sz w:val="20"/>
          <w:szCs w:val="20"/>
          <w:color w:val="auto"/>
        </w:rPr>
      </w:pPr>
      <w:r>
        <w:rPr>
          <w:rFonts w:ascii="Arial" w:cs="Arial" w:eastAsia="Arial" w:hAnsi="Arial"/>
          <w:sz w:val="20"/>
          <w:szCs w:val="20"/>
          <w:color w:val="auto"/>
        </w:rPr>
        <w:t>We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209" w:lineRule="exact"/>
        <w:rPr>
          <w:sz w:val="20"/>
          <w:szCs w:val="20"/>
          <w:color w:val="auto"/>
        </w:rPr>
      </w:pPr>
    </w:p>
    <w:p>
      <w:pPr>
        <w:ind w:right="140" w:firstLine="300"/>
        <w:spacing w:after="0" w:line="267" w:lineRule="auto"/>
        <w:rPr>
          <w:sz w:val="20"/>
          <w:szCs w:val="20"/>
          <w:color w:val="auto"/>
        </w:rPr>
      </w:pPr>
      <w:r>
        <w:rPr>
          <w:rFonts w:ascii="Arial" w:cs="Arial" w:eastAsia="Arial" w:hAnsi="Arial"/>
          <w:sz w:val="19"/>
          <w:szCs w:val="19"/>
          <w:color w:val="auto"/>
        </w:rPr>
        <w:t>We accrue reserves for currently outstanding lawsuits, claims and proceedings when it is probable that a liability has been incurred and the liability can be reasonably estimated. Reserve balances at December 31, 2022 and 2021 were not material to our consolidated balance sheets as of such dates.</w:t>
      </w:r>
    </w:p>
    <w:p>
      <w:pPr>
        <w:spacing w:after="0" w:line="191"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In October 2020, Signal Hill Services, Inc. defaulted on its decommissioning obligations associated with two offshore platforms. The Bureau of Safety and Environmental Enforcement (BSEE) determined that former lessees, including our former parent, Occidental Petroleum Corporation (Oxy) with a 37.5% share, are responsible for accrued decommissioning obligations associated with these offshore platforms. Oxy sold its interest in the platforms approximately 30 years ago and it is our understanding that Oxy has not had any connection to the operations since that time and challenged BSEE’s order. Oxy notified us of the claim under the indemnification provisions of the Separation and Distribution Agreement between us and Oxy. In September 2021, we accepted the indemnification claim from Oxy and we are now appealing the order from BSEE.</w:t>
      </w:r>
    </w:p>
    <w:p>
      <w:pPr>
        <w:spacing w:after="0" w:line="213" w:lineRule="exact"/>
        <w:rPr>
          <w:sz w:val="20"/>
          <w:szCs w:val="20"/>
          <w:color w:val="auto"/>
        </w:rPr>
      </w:pPr>
    </w:p>
    <w:p>
      <w:pPr>
        <w:ind w:right="100" w:firstLine="300"/>
        <w:spacing w:after="0" w:line="248" w:lineRule="auto"/>
        <w:rPr>
          <w:sz w:val="20"/>
          <w:szCs w:val="20"/>
          <w:color w:val="auto"/>
        </w:rPr>
      </w:pPr>
      <w:r>
        <w:rPr>
          <w:rFonts w:ascii="Arial" w:cs="Arial" w:eastAsia="Arial" w:hAnsi="Arial"/>
          <w:sz w:val="20"/>
          <w:szCs w:val="20"/>
          <w:color w:val="auto"/>
        </w:rPr>
        <w:t>We also evaluate the amount of reasonably possible losses that we could incur as a result of these matters. We believe that reasonably possible losses that we could incur in excess of reserves cannot be accurately determined.</w:t>
      </w:r>
    </w:p>
    <w:p>
      <w:pPr>
        <w:spacing w:after="0" w:line="205" w:lineRule="exact"/>
        <w:rPr>
          <w:sz w:val="20"/>
          <w:szCs w:val="20"/>
          <w:color w:val="auto"/>
        </w:rPr>
      </w:pPr>
    </w:p>
    <w:p>
      <w:pPr>
        <w:ind w:right="540" w:firstLine="300"/>
        <w:spacing w:after="0" w:line="247" w:lineRule="auto"/>
        <w:rPr>
          <w:sz w:val="20"/>
          <w:szCs w:val="20"/>
          <w:color w:val="auto"/>
        </w:rPr>
      </w:pPr>
      <w:r>
        <w:rPr>
          <w:rFonts w:ascii="Arial" w:cs="Arial" w:eastAsia="Arial" w:hAnsi="Arial"/>
          <w:sz w:val="20"/>
          <w:szCs w:val="20"/>
          <w:color w:val="auto"/>
        </w:rPr>
        <w:t xml:space="preserve">See </w:t>
      </w:r>
      <w:r>
        <w:rPr>
          <w:rFonts w:ascii="Arial" w:cs="Arial" w:eastAsia="Arial" w:hAnsi="Arial"/>
          <w:sz w:val="20"/>
          <w:szCs w:val="20"/>
          <w:i w:val="1"/>
          <w:iCs w:val="1"/>
          <w:color w:val="auto"/>
        </w:rPr>
        <w:t>Part II, Item 8 – Financial Statements and Supplementary Data, Note 6 Lawsuits, Claims,</w:t>
      </w:r>
      <w:r>
        <w:rPr>
          <w:rFonts w:ascii="Arial" w:cs="Arial" w:eastAsia="Arial" w:hAnsi="Arial"/>
          <w:sz w:val="20"/>
          <w:szCs w:val="20"/>
          <w:color w:val="auto"/>
        </w:rPr>
        <w:t xml:space="preserve"> </w:t>
      </w:r>
      <w:r>
        <w:rPr>
          <w:rFonts w:ascii="Arial" w:cs="Arial" w:eastAsia="Arial" w:hAnsi="Arial"/>
          <w:sz w:val="20"/>
          <w:szCs w:val="20"/>
          <w:i w:val="1"/>
          <w:iCs w:val="1"/>
          <w:color w:val="auto"/>
        </w:rPr>
        <w:t>Commitments and Contingencies</w:t>
      </w:r>
      <w:r>
        <w:rPr>
          <w:rFonts w:ascii="Arial" w:cs="Arial" w:eastAsia="Arial" w:hAnsi="Arial"/>
          <w:sz w:val="20"/>
          <w:szCs w:val="20"/>
          <w:color w:val="auto"/>
        </w:rPr>
        <w:t>.</w:t>
      </w:r>
    </w:p>
    <w:p>
      <w:pPr>
        <w:sectPr>
          <w:pgSz w:w="11880" w:h="15480" w:orient="portrait"/>
          <w:cols w:equalWidth="0" w:num="1">
            <w:col w:w="9120"/>
          </w:cols>
          <w:pgMar w:left="1380" w:top="1316"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ectPr>
          <w:pgSz w:w="11880" w:h="15480" w:orient="portrait"/>
          <w:cols w:equalWidth="0" w:num="1">
            <w:col w:w="9120"/>
          </w:cols>
          <w:pgMar w:left="1380" w:top="1316" w:right="1380" w:bottom="655" w:gutter="0" w:footer="0" w:header="0"/>
          <w:type w:val="continuous"/>
        </w:sectPr>
      </w:pPr>
    </w:p>
    <w:bookmarkStart w:id="88" w:name="page89"/>
    <w:bookmarkEnd w:id="88"/>
    <w:p>
      <w:pPr>
        <w:spacing w:after="0"/>
        <w:rPr>
          <w:sz w:val="20"/>
          <w:szCs w:val="20"/>
          <w:color w:val="auto"/>
        </w:rPr>
      </w:pPr>
      <w:r>
        <w:rPr>
          <w:rFonts w:ascii="Arial" w:cs="Arial" w:eastAsia="Arial" w:hAnsi="Arial"/>
          <w:sz w:val="20"/>
          <w:szCs w:val="20"/>
          <w:b w:val="1"/>
          <w:bCs w:val="1"/>
          <w:color w:val="auto"/>
        </w:rPr>
        <w:t>Critical Accounting Estimates</w:t>
      </w:r>
    </w:p>
    <w:p>
      <w:pPr>
        <w:spacing w:after="0" w:line="216" w:lineRule="exact"/>
        <w:rPr>
          <w:sz w:val="20"/>
          <w:szCs w:val="20"/>
          <w:color w:val="auto"/>
        </w:rPr>
      </w:pPr>
    </w:p>
    <w:p>
      <w:pPr>
        <w:ind w:right="140" w:firstLine="300"/>
        <w:spacing w:after="0" w:line="243" w:lineRule="auto"/>
        <w:rPr>
          <w:sz w:val="20"/>
          <w:szCs w:val="20"/>
          <w:color w:val="auto"/>
        </w:rPr>
      </w:pPr>
      <w:r>
        <w:rPr>
          <w:rFonts w:ascii="Arial" w:cs="Arial" w:eastAsia="Arial" w:hAnsi="Arial"/>
          <w:sz w:val="20"/>
          <w:szCs w:val="20"/>
          <w:color w:val="auto"/>
        </w:rPr>
        <w:t>Our critical accounting estimates that could result in a material impact to the consolidated financial statements due to the levels of subjectivity and management judgment include the following:</w:t>
      </w:r>
    </w:p>
    <w:p>
      <w:pPr>
        <w:sectPr>
          <w:pgSz w:w="11880" w:h="15480" w:orient="portrait"/>
          <w:cols w:equalWidth="0" w:num="1">
            <w:col w:w="9120"/>
          </w:cols>
          <w:pgMar w:left="1380" w:top="1310" w:right="1380" w:bottom="653" w:gutter="0" w:footer="0" w:header="0"/>
        </w:sect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ind w:left="460"/>
              <w:spacing w:after="0"/>
              <w:rPr>
                <w:sz w:val="20"/>
                <w:szCs w:val="20"/>
                <w:color w:val="auto"/>
              </w:rPr>
            </w:pPr>
            <w:r>
              <w:rPr>
                <w:rFonts w:ascii="Arial" w:cs="Arial" w:eastAsia="Arial" w:hAnsi="Arial"/>
                <w:sz w:val="18"/>
                <w:szCs w:val="18"/>
                <w:b w:val="1"/>
                <w:bCs w:val="1"/>
                <w:color w:val="auto"/>
              </w:rPr>
              <w:t>Title</w:t>
            </w:r>
          </w:p>
        </w:tc>
        <w:tc>
          <w:tcPr>
            <w:tcW w:w="140" w:type="dxa"/>
            <w:vAlign w:val="bottom"/>
          </w:tcPr>
          <w:p>
            <w:pPr>
              <w:spacing w:after="0"/>
              <w:rPr>
                <w:sz w:val="17"/>
                <w:szCs w:val="17"/>
                <w:color w:val="auto"/>
              </w:rPr>
            </w:pPr>
          </w:p>
        </w:tc>
        <w:tc>
          <w:tcPr>
            <w:tcW w:w="2440" w:type="dxa"/>
            <w:vAlign w:val="bottom"/>
          </w:tcPr>
          <w:p>
            <w:pPr>
              <w:ind w:left="720"/>
              <w:spacing w:after="0"/>
              <w:rPr>
                <w:sz w:val="20"/>
                <w:szCs w:val="20"/>
                <w:color w:val="auto"/>
              </w:rPr>
            </w:pPr>
            <w:r>
              <w:rPr>
                <w:rFonts w:ascii="Arial" w:cs="Arial" w:eastAsia="Arial" w:hAnsi="Arial"/>
                <w:sz w:val="18"/>
                <w:szCs w:val="18"/>
                <w:b w:val="1"/>
                <w:bCs w:val="1"/>
                <w:color w:val="auto"/>
              </w:rPr>
              <w:t>Description</w:t>
            </w:r>
          </w:p>
        </w:tc>
      </w:tr>
      <w:tr>
        <w:trPr>
          <w:trHeight w:val="24"/>
        </w:trPr>
        <w:tc>
          <w:tcPr>
            <w:tcW w:w="1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45"/>
        </w:trPr>
        <w:tc>
          <w:tcPr>
            <w:tcW w:w="1300" w:type="dxa"/>
            <w:vAlign w:val="bottom"/>
          </w:tcPr>
          <w:p>
            <w:pPr>
              <w:spacing w:after="0"/>
              <w:rPr>
                <w:sz w:val="20"/>
                <w:szCs w:val="20"/>
                <w:color w:val="auto"/>
              </w:rPr>
            </w:pPr>
            <w:r>
              <w:rPr>
                <w:rFonts w:ascii="Arial" w:cs="Arial" w:eastAsia="Arial" w:hAnsi="Arial"/>
                <w:sz w:val="18"/>
                <w:szCs w:val="18"/>
                <w:color w:val="auto"/>
              </w:rPr>
              <w:t>Oil and Natural</w:t>
            </w:r>
          </w:p>
        </w:tc>
        <w:tc>
          <w:tcPr>
            <w:tcW w:w="140" w:type="dxa"/>
            <w:vAlign w:val="bottom"/>
          </w:tcPr>
          <w:p>
            <w:pPr>
              <w:spacing w:after="0"/>
              <w:rPr>
                <w:sz w:val="21"/>
                <w:szCs w:val="21"/>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The carrying value of our</w:t>
            </w:r>
          </w:p>
        </w:tc>
      </w:tr>
      <w:tr>
        <w:trPr>
          <w:trHeight w:val="209"/>
        </w:trPr>
        <w:tc>
          <w:tcPr>
            <w:tcW w:w="1300" w:type="dxa"/>
            <w:vAlign w:val="bottom"/>
          </w:tcPr>
          <w:p>
            <w:pPr>
              <w:spacing w:after="0"/>
              <w:rPr>
                <w:sz w:val="20"/>
                <w:szCs w:val="20"/>
                <w:color w:val="auto"/>
              </w:rPr>
            </w:pPr>
            <w:r>
              <w:rPr>
                <w:rFonts w:ascii="Arial" w:cs="Arial" w:eastAsia="Arial" w:hAnsi="Arial"/>
                <w:sz w:val="18"/>
                <w:szCs w:val="18"/>
                <w:color w:val="auto"/>
              </w:rPr>
              <w:t>Gas Properties</w:t>
            </w: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property, plant and equipment</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represents the costs incurred</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to acquire or develop the</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asset, including any asset</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retirement obligations, net of</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accumulated depreciation,</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depletion and amortization</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and impairment charges, if</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any. We use the successful</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efforts method of accounting</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for our oil and gas producing</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activities. Under this method,</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we capitalize the costs of</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acquiring properties,</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development costs and the</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costs of drilling successful</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exploration wells.</w:t>
            </w:r>
          </w:p>
        </w:tc>
      </w:tr>
      <w:tr>
        <w:trPr>
          <w:trHeight w:val="409"/>
        </w:trPr>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The estimated amount of</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proved reserve volumes are</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used as the basis for</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recording depletion expense.</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We determine depletion on</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our oil and natural gas</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w w:val="99"/>
              </w:rPr>
              <w:t>producing properties using the</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unit-of-production method.</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w w:val="99"/>
              </w:rPr>
              <w:t>Under this method, acquisition</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costs are amortized based on</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total proved oil and gas</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reserves and capitalized</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development and successful</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exploration costs are depleted</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based on proved developed</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oil and natural gas reserves.</w:t>
            </w:r>
          </w:p>
        </w:tc>
      </w:tr>
      <w:tr>
        <w:trPr>
          <w:trHeight w:val="409"/>
        </w:trPr>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Future cash flows from</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expected reserve volumes for</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producing properties may be</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used in an impairment</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analysis or a determination of</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whether sufficient future</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taxable income will be</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w w:val="99"/>
              </w:rPr>
              <w:t>generated to permit realization</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of existing deferred tax</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assets. We also use reserves</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to predict when a producing</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well will become inactive, and</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then idle, to schedule the</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timing of abandonment in</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estimating certain of our asset</w:t>
            </w:r>
          </w:p>
        </w:tc>
      </w:tr>
      <w:tr>
        <w:trPr>
          <w:trHeight w:val="209"/>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retirement obligations.</w:t>
            </w:r>
          </w:p>
        </w:tc>
      </w:tr>
    </w:tbl>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Estimation and</w:t>
      </w:r>
    </w:p>
    <w:p>
      <w:pPr>
        <w:jc w:val="center"/>
        <w:spacing w:after="0" w:line="208" w:lineRule="auto"/>
        <w:rPr>
          <w:sz w:val="20"/>
          <w:szCs w:val="20"/>
          <w:color w:val="auto"/>
        </w:rPr>
      </w:pPr>
      <w:r>
        <w:rPr>
          <w:rFonts w:ascii="Arial" w:cs="Arial" w:eastAsia="Arial" w:hAnsi="Arial"/>
          <w:sz w:val="18"/>
          <w:szCs w:val="18"/>
          <w:b w:val="1"/>
          <w:bCs w:val="1"/>
          <w:color w:val="auto"/>
        </w:rPr>
        <w:t>Uncertainties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21590</wp:posOffset>
                </wp:positionV>
                <wp:extent cx="154432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432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7pt" to="121.25pt,1.7pt" o:allowincell="f" strokecolor="#000000" strokeweight="1pt"/>
            </w:pict>
          </mc:Fallback>
        </mc:AlternateContent>
      </w:r>
    </w:p>
    <w:p>
      <w:pPr>
        <w:spacing w:after="0" w:line="68"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The determination of quantities of proved reserves is a highly technical process performed by our petroleum engineers and geoscientists. The analysis is based on drilling results, reservoir performance, subsurface interpretation and future development plans. Production rate forecasts are primarily derived from estimates from decline-curve analysis and type-curve analysis. Secondary inputs may include material balance calculations, which consider the volumes of substances replacing the volumes produced and associated reservoir pressure changes. Additional inputs may also include seismic analysis and computer simulations of reservoir performance. These field-tested technologies have demonstrated reasonably certain results with consistency and repeatability in the formations being evaluated or in analogous formations. The data for a given reservoir may also change over time as a result of numerous factors including, but not limited to, additional development activity and future development costs, production history and continuous reassessment of the viability of future production volumes under varying economic conditions. Several other factors could change our proved oil and gas reserves including changes in energy costs, inflation, deflation and the political and regulatory environment, all of which are beyond our control.</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Sensitivities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21590</wp:posOffset>
                </wp:positionV>
                <wp:extent cx="160972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097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7pt" to="127pt,1.7pt" o:allowincell="f" strokecolor="#000000" strokeweight="1pt"/>
            </w:pict>
          </mc:Fallback>
        </mc:AlternateContent>
      </w:r>
    </w:p>
    <w:p>
      <w:pPr>
        <w:spacing w:after="0" w:line="67"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Our total proved reserves were 417 MMBoe and our total proved developed reserves were 363 MMBoe at December 31, 2022. We estimate our 2023 depletion rate for oil and natural gas producing properties using the unit-of-production method will be approximately $5.80/Boe. A 5% change in our reserves would increase or decrease this DD&amp;A rate by approximately $0.30/Boe.</w:t>
      </w:r>
    </w:p>
    <w:p>
      <w:pPr>
        <w:spacing w:after="0" w:line="216"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If realized prices used in our year-end reserve estimates increased or decreased by 10%, our proved reserve quantities at December 31, 2022 would have increased by 3 MMBoe or decreased by 4 MMBoe, respectively.</w:t>
      </w:r>
    </w:p>
    <w:p>
      <w:pPr>
        <w:spacing w:after="0" w:line="6253" w:lineRule="exact"/>
        <w:rPr>
          <w:sz w:val="20"/>
          <w:szCs w:val="20"/>
          <w:color w:val="auto"/>
        </w:rPr>
      </w:pPr>
    </w:p>
    <w:p>
      <w:pPr>
        <w:sectPr>
          <w:pgSz w:w="11880" w:h="15480" w:orient="portrait"/>
          <w:cols w:equalWidth="0" w:num="3">
            <w:col w:w="3880" w:space="140"/>
            <w:col w:w="2420" w:space="140"/>
            <w:col w:w="2540"/>
          </w:cols>
          <w:pgMar w:left="1380" w:top="1310" w:right="1380" w:bottom="653" w:gutter="0" w:footer="0" w:header="0"/>
          <w:type w:val="continuous"/>
        </w:sectPr>
      </w:pPr>
    </w:p>
    <w:p>
      <w:pPr>
        <w:spacing w:after="0" w:line="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ectPr>
          <w:pgSz w:w="11880" w:h="15480" w:orient="portrait"/>
          <w:cols w:equalWidth="0" w:num="1">
            <w:col w:w="9120"/>
          </w:cols>
          <w:pgMar w:left="1380" w:top="1310" w:right="1380" w:bottom="653"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rPr>
              <w:t>Estimation and</w:t>
            </w:r>
          </w:p>
        </w:tc>
        <w:tc>
          <w:tcPr>
            <w:tcW w:w="1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1300" w:type="dxa"/>
            <w:vAlign w:val="bottom"/>
          </w:tcPr>
          <w:p>
            <w:pPr>
              <w:ind w:left="460"/>
              <w:spacing w:after="0" w:line="203" w:lineRule="exact"/>
              <w:rPr>
                <w:sz w:val="20"/>
                <w:szCs w:val="20"/>
                <w:color w:val="auto"/>
              </w:rPr>
            </w:pPr>
            <w:r>
              <w:rPr>
                <w:rFonts w:ascii="Arial" w:cs="Arial" w:eastAsia="Arial" w:hAnsi="Arial"/>
                <w:sz w:val="18"/>
                <w:szCs w:val="18"/>
                <w:b w:val="1"/>
                <w:bCs w:val="1"/>
                <w:color w:val="auto"/>
              </w:rPr>
              <w:t>Title</w:t>
            </w:r>
          </w:p>
        </w:tc>
        <w:tc>
          <w:tcPr>
            <w:tcW w:w="140" w:type="dxa"/>
            <w:vAlign w:val="bottom"/>
          </w:tcPr>
          <w:p>
            <w:pPr>
              <w:spacing w:after="0"/>
              <w:rPr>
                <w:sz w:val="17"/>
                <w:szCs w:val="17"/>
                <w:color w:val="auto"/>
              </w:rPr>
            </w:pPr>
          </w:p>
        </w:tc>
        <w:tc>
          <w:tcPr>
            <w:tcW w:w="2440" w:type="dxa"/>
            <w:vAlign w:val="bottom"/>
          </w:tcPr>
          <w:p>
            <w:pPr>
              <w:ind w:left="720"/>
              <w:spacing w:after="0" w:line="203" w:lineRule="exact"/>
              <w:rPr>
                <w:sz w:val="20"/>
                <w:szCs w:val="20"/>
                <w:color w:val="auto"/>
              </w:rPr>
            </w:pPr>
            <w:r>
              <w:rPr>
                <w:rFonts w:ascii="Arial" w:cs="Arial" w:eastAsia="Arial" w:hAnsi="Arial"/>
                <w:sz w:val="18"/>
                <w:szCs w:val="18"/>
                <w:b w:val="1"/>
                <w:bCs w:val="1"/>
                <w:color w:val="auto"/>
              </w:rPr>
              <w:t>Description</w:t>
            </w:r>
          </w:p>
        </w:tc>
        <w:tc>
          <w:tcPr>
            <w:tcW w:w="140" w:type="dxa"/>
            <w:vAlign w:val="bottom"/>
          </w:tcPr>
          <w:p>
            <w:pPr>
              <w:spacing w:after="0"/>
              <w:rPr>
                <w:sz w:val="17"/>
                <w:szCs w:val="17"/>
                <w:color w:val="auto"/>
              </w:rPr>
            </w:pPr>
          </w:p>
        </w:tc>
        <w:tc>
          <w:tcPr>
            <w:tcW w:w="2420" w:type="dxa"/>
            <w:vAlign w:val="bottom"/>
          </w:tcPr>
          <w:p>
            <w:pPr>
              <w:jc w:val="center"/>
              <w:spacing w:after="0" w:line="203" w:lineRule="exact"/>
              <w:rPr>
                <w:sz w:val="20"/>
                <w:szCs w:val="20"/>
                <w:color w:val="auto"/>
              </w:rPr>
            </w:pPr>
            <w:r>
              <w:rPr>
                <w:rFonts w:ascii="Arial" w:cs="Arial" w:eastAsia="Arial" w:hAnsi="Arial"/>
                <w:sz w:val="18"/>
                <w:szCs w:val="18"/>
                <w:b w:val="1"/>
                <w:bCs w:val="1"/>
                <w:color w:val="auto"/>
                <w:w w:val="99"/>
              </w:rPr>
              <w:t>Uncertainties</w:t>
            </w:r>
          </w:p>
        </w:tc>
        <w:tc>
          <w:tcPr>
            <w:tcW w:w="140" w:type="dxa"/>
            <w:vAlign w:val="bottom"/>
          </w:tcPr>
          <w:p>
            <w:pPr>
              <w:spacing w:after="0"/>
              <w:rPr>
                <w:sz w:val="17"/>
                <w:szCs w:val="17"/>
                <w:color w:val="auto"/>
              </w:rPr>
            </w:pPr>
          </w:p>
        </w:tc>
        <w:tc>
          <w:tcPr>
            <w:tcW w:w="2540" w:type="dxa"/>
            <w:vAlign w:val="bottom"/>
          </w:tcPr>
          <w:p>
            <w:pPr>
              <w:ind w:left="740"/>
              <w:spacing w:after="0" w:line="203" w:lineRule="exact"/>
              <w:rPr>
                <w:sz w:val="20"/>
                <w:szCs w:val="20"/>
                <w:color w:val="auto"/>
              </w:rPr>
            </w:pPr>
            <w:r>
              <w:rPr>
                <w:rFonts w:ascii="Arial" w:cs="Arial" w:eastAsia="Arial" w:hAnsi="Arial"/>
                <w:sz w:val="18"/>
                <w:szCs w:val="18"/>
                <w:b w:val="1"/>
                <w:bCs w:val="1"/>
                <w:color w:val="auto"/>
              </w:rPr>
              <w:t>Sensitivities</w:t>
            </w:r>
          </w:p>
        </w:tc>
      </w:tr>
      <w:tr>
        <w:trPr>
          <w:trHeight w:val="24"/>
        </w:trPr>
        <w:tc>
          <w:tcPr>
            <w:tcW w:w="1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bl>
    <w:p>
      <w:pPr>
        <w:spacing w:after="0" w:line="50" w:lineRule="exact"/>
        <w:rPr>
          <w:sz w:val="20"/>
          <w:szCs w:val="20"/>
          <w:color w:val="auto"/>
        </w:rPr>
      </w:pPr>
    </w:p>
    <w:p>
      <w:pPr>
        <w:sectPr>
          <w:pgSz w:w="11880" w:h="15480" w:orient="portrait"/>
          <w:cols w:equalWidth="0" w:num="1">
            <w:col w:w="9120"/>
          </w:cols>
          <w:pgMar w:left="1380" w:top="1245" w:right="1380" w:bottom="655" w:gutter="0" w:footer="0" w:header="0"/>
        </w:sectPr>
      </w:pPr>
    </w:p>
    <w:p>
      <w:pPr>
        <w:spacing w:after="0"/>
        <w:tabs>
          <w:tab w:leader="none" w:pos="1420" w:val="left"/>
        </w:tabs>
        <w:rPr>
          <w:sz w:val="20"/>
          <w:szCs w:val="20"/>
          <w:color w:val="auto"/>
        </w:rPr>
      </w:pPr>
      <w:r>
        <w:rPr>
          <w:rFonts w:ascii="Arial" w:cs="Arial" w:eastAsia="Arial" w:hAnsi="Arial"/>
          <w:sz w:val="20"/>
          <w:szCs w:val="20"/>
          <w:color w:val="auto"/>
        </w:rPr>
        <w:t>Asset</w:t>
      </w:r>
      <w:r>
        <w:rPr>
          <w:sz w:val="20"/>
          <w:szCs w:val="20"/>
          <w:color w:val="auto"/>
        </w:rPr>
        <w:tab/>
      </w:r>
      <w:r>
        <w:rPr>
          <w:rFonts w:ascii="Arial" w:cs="Arial" w:eastAsia="Arial" w:hAnsi="Arial"/>
          <w:sz w:val="20"/>
          <w:szCs w:val="20"/>
          <w:color w:val="auto"/>
        </w:rPr>
        <w:t>The majority of our asset</w:t>
      </w:r>
    </w:p>
    <w:p>
      <w:pPr>
        <w:spacing w:after="0" w:line="10"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color w:val="auto"/>
        </w:rPr>
        <w:t>Retirement</w:t>
      </w:r>
      <w:r>
        <w:rPr>
          <w:sz w:val="20"/>
          <w:szCs w:val="20"/>
          <w:color w:val="auto"/>
        </w:rPr>
        <w:tab/>
      </w:r>
      <w:r>
        <w:rPr>
          <w:rFonts w:ascii="Arial" w:cs="Arial" w:eastAsia="Arial" w:hAnsi="Arial"/>
          <w:sz w:val="20"/>
          <w:szCs w:val="20"/>
          <w:color w:val="auto"/>
        </w:rPr>
        <w:t>retirement obligations</w:t>
      </w:r>
    </w:p>
    <w:p>
      <w:pPr>
        <w:spacing w:after="0" w:line="10"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color w:val="auto"/>
        </w:rPr>
        <w:t>Obligations</w:t>
      </w:r>
      <w:r>
        <w:rPr>
          <w:sz w:val="20"/>
          <w:szCs w:val="20"/>
          <w:color w:val="auto"/>
        </w:rPr>
        <w:tab/>
      </w:r>
      <w:r>
        <w:rPr>
          <w:rFonts w:ascii="Arial" w:cs="Arial" w:eastAsia="Arial" w:hAnsi="Arial"/>
          <w:sz w:val="20"/>
          <w:szCs w:val="20"/>
          <w:color w:val="auto"/>
        </w:rPr>
        <w:t>relate to the plugging and</w:t>
      </w:r>
    </w:p>
    <w:p>
      <w:pPr>
        <w:spacing w:after="0" w:line="16" w:lineRule="exact"/>
        <w:rPr>
          <w:sz w:val="20"/>
          <w:szCs w:val="20"/>
          <w:color w:val="auto"/>
        </w:rPr>
      </w:pPr>
    </w:p>
    <w:p>
      <w:pPr>
        <w:ind w:left="1440" w:right="320"/>
        <w:spacing w:after="0" w:line="243" w:lineRule="auto"/>
        <w:rPr>
          <w:sz w:val="20"/>
          <w:szCs w:val="20"/>
          <w:color w:val="auto"/>
        </w:rPr>
      </w:pPr>
      <w:r>
        <w:rPr>
          <w:rFonts w:ascii="Arial" w:cs="Arial" w:eastAsia="Arial" w:hAnsi="Arial"/>
          <w:sz w:val="20"/>
          <w:szCs w:val="20"/>
          <w:color w:val="auto"/>
        </w:rPr>
        <w:t>abandonment of oil and natural gas wells.</w:t>
      </w:r>
    </w:p>
    <w:p>
      <w:pPr>
        <w:spacing w:after="0" w:line="214" w:lineRule="exact"/>
        <w:rPr>
          <w:sz w:val="20"/>
          <w:szCs w:val="20"/>
          <w:color w:val="auto"/>
        </w:rPr>
      </w:pPr>
    </w:p>
    <w:p>
      <w:pPr>
        <w:ind w:left="1440"/>
        <w:spacing w:after="0" w:line="264" w:lineRule="auto"/>
        <w:rPr>
          <w:sz w:val="20"/>
          <w:szCs w:val="20"/>
          <w:color w:val="auto"/>
        </w:rPr>
      </w:pPr>
      <w:r>
        <w:rPr>
          <w:rFonts w:ascii="Arial" w:cs="Arial" w:eastAsia="Arial" w:hAnsi="Arial"/>
          <w:sz w:val="19"/>
          <w:szCs w:val="19"/>
          <w:color w:val="auto"/>
        </w:rPr>
        <w:t>We determine our asset retirement obligation for oil and natural gas wells by calculating the present value of estimated future cash outflows related to the abandonment obligation. The asset retirement cost is capitalized as part of the carrying amount of the related long-lived asset. In periods subsequent to initial measurement, the asset retirement cost is depreciated using the unit-of-production method, while increases in the ARO liability resulting from the passage of time (accretion expense) is included in operating expenses on our consolidated statements of operations.</w:t>
      </w:r>
    </w:p>
    <w:p>
      <w:pPr>
        <w:spacing w:after="0" w:line="20" w:lineRule="exact"/>
        <w:rPr>
          <w:sz w:val="20"/>
          <w:szCs w:val="20"/>
          <w:color w:val="auto"/>
        </w:rPr>
      </w:pPr>
      <w:r>
        <w:rPr>
          <w:sz w:val="20"/>
          <w:szCs w:val="20"/>
          <w:color w:val="auto"/>
        </w:rPr>
        <w:br w:type="column"/>
      </w:r>
    </w:p>
    <w:p>
      <w:pPr>
        <w:spacing w:after="0" w:line="249" w:lineRule="auto"/>
        <w:rPr>
          <w:sz w:val="20"/>
          <w:szCs w:val="20"/>
          <w:color w:val="auto"/>
        </w:rPr>
      </w:pPr>
      <w:r>
        <w:rPr>
          <w:rFonts w:ascii="Arial" w:cs="Arial" w:eastAsia="Arial" w:hAnsi="Arial"/>
          <w:sz w:val="20"/>
          <w:szCs w:val="20"/>
          <w:color w:val="auto"/>
        </w:rPr>
        <w:t>The recognition of an asset retirement obligation requires us to make assumptions including an estimate of future abandonment costs and inflation rates, timing of activity and our credit-adjusted discount rate among others. Changes in the legal, regulatory and political environment could also affect our estimated future cash outflows.</w:t>
      </w:r>
    </w:p>
    <w:p>
      <w:pPr>
        <w:spacing w:after="0" w:line="20" w:lineRule="exact"/>
        <w:rPr>
          <w:sz w:val="20"/>
          <w:szCs w:val="20"/>
          <w:color w:val="auto"/>
        </w:rPr>
      </w:pPr>
      <w:r>
        <w:rPr>
          <w:sz w:val="20"/>
          <w:szCs w:val="20"/>
          <w:color w:val="auto"/>
        </w:rPr>
        <w:br w:type="column"/>
      </w:r>
    </w:p>
    <w:p>
      <w:pPr>
        <w:ind w:right="260"/>
        <w:spacing w:after="0" w:line="248" w:lineRule="auto"/>
        <w:rPr>
          <w:sz w:val="20"/>
          <w:szCs w:val="20"/>
          <w:color w:val="auto"/>
        </w:rPr>
      </w:pPr>
      <w:r>
        <w:rPr>
          <w:rFonts w:ascii="Arial" w:cs="Arial" w:eastAsia="Arial" w:hAnsi="Arial"/>
          <w:sz w:val="20"/>
          <w:szCs w:val="20"/>
          <w:color w:val="auto"/>
        </w:rPr>
        <w:t>As of December 31, 2022 and 2021, we had asset retirement obligations of $491 million and</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$489 million, respectively.</w:t>
      </w:r>
    </w:p>
    <w:p>
      <w:pPr>
        <w:spacing w:after="0" w:line="216" w:lineRule="exact"/>
        <w:rPr>
          <w:sz w:val="20"/>
          <w:szCs w:val="20"/>
          <w:color w:val="auto"/>
        </w:rPr>
      </w:pPr>
    </w:p>
    <w:p>
      <w:pPr>
        <w:ind w:right="20"/>
        <w:spacing w:after="0" w:line="249" w:lineRule="auto"/>
        <w:rPr>
          <w:sz w:val="20"/>
          <w:szCs w:val="20"/>
          <w:color w:val="auto"/>
        </w:rPr>
      </w:pPr>
      <w:r>
        <w:rPr>
          <w:rFonts w:ascii="Arial" w:cs="Arial" w:eastAsia="Arial" w:hAnsi="Arial"/>
          <w:sz w:val="20"/>
          <w:szCs w:val="20"/>
          <w:color w:val="auto"/>
        </w:rPr>
        <w:t>Excluding liabilities associated with our assets held for sale, a 1% increase in the inflation rate would increase our liability by $32 million and a 1% decrease in the inflation rate would decrease our liability by $29 million as of December 31, 2022.</w:t>
      </w:r>
    </w:p>
    <w:p>
      <w:pPr>
        <w:spacing w:after="0" w:line="3341" w:lineRule="exact"/>
        <w:rPr>
          <w:sz w:val="20"/>
          <w:szCs w:val="20"/>
          <w:color w:val="auto"/>
        </w:rPr>
      </w:pPr>
    </w:p>
    <w:p>
      <w:pPr>
        <w:sectPr>
          <w:pgSz w:w="11880" w:h="15480" w:orient="portrait"/>
          <w:cols w:equalWidth="0" w:num="3">
            <w:col w:w="3840" w:space="180"/>
            <w:col w:w="2400" w:space="160"/>
            <w:col w:w="2540"/>
          </w:cols>
          <w:pgMar w:left="1380" w:top="1245" w:right="1380" w:bottom="65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ectPr>
          <w:pgSz w:w="11880" w:h="15480" w:orient="portrait"/>
          <w:cols w:equalWidth="0" w:num="1">
            <w:col w:w="9120"/>
          </w:cols>
          <w:pgMar w:left="1380" w:top="1245" w:right="1380" w:bottom="655" w:gutter="0" w:footer="0" w:header="0"/>
          <w:type w:val="continuous"/>
        </w:sectPr>
      </w:pPr>
    </w:p>
    <w:bookmarkStart w:id="90" w:name="page91"/>
    <w:bookmarkEnd w:id="90"/>
    <w:p>
      <w:pPr>
        <w:spacing w:after="0"/>
        <w:rPr>
          <w:sz w:val="20"/>
          <w:szCs w:val="20"/>
          <w:color w:val="auto"/>
        </w:rPr>
      </w:pPr>
      <w:r>
        <w:rPr>
          <w:rFonts w:ascii="Arial" w:cs="Arial" w:eastAsia="Arial" w:hAnsi="Arial"/>
          <w:sz w:val="20"/>
          <w:szCs w:val="20"/>
          <w:b w:val="1"/>
          <w:bCs w:val="1"/>
          <w:color w:val="auto"/>
        </w:rPr>
        <w:t>FORWARD-LOOKING STATEMENTS</w:t>
      </w:r>
    </w:p>
    <w:p>
      <w:pPr>
        <w:spacing w:after="0" w:line="216" w:lineRule="exact"/>
        <w:rPr>
          <w:sz w:val="20"/>
          <w:szCs w:val="20"/>
          <w:color w:val="auto"/>
        </w:rPr>
      </w:pPr>
    </w:p>
    <w:p>
      <w:pPr>
        <w:ind w:right="140" w:firstLine="300"/>
        <w:spacing w:after="0" w:line="249" w:lineRule="auto"/>
        <w:rPr>
          <w:sz w:val="20"/>
          <w:szCs w:val="20"/>
          <w:color w:val="auto"/>
        </w:rPr>
      </w:pPr>
      <w:r>
        <w:rPr>
          <w:rFonts w:ascii="Arial" w:cs="Arial" w:eastAsia="Arial" w:hAnsi="Arial"/>
          <w:sz w:val="20"/>
          <w:szCs w:val="20"/>
          <w:color w:val="auto"/>
        </w:rPr>
        <w:t>This document contains statements that we believe to be “forward-looking statements” within the meaning of Section 27A of the Securities Act of 1933 and Section 21E of the Securities Exchange Act of 1934. All statements other than historical facts are forward-looking statements, and include statements regarding our future financial position, business strategy, projected revenues, earnings, costs, capital expenditures and plans and objectives of management for the future. Words such as “expect,” “could,” “may,” “anticipate,” “intend,” “plan,” “ability,” “believe,” “seek,” “see,” “will,” “would,” “estimate,” “forecast,” “target,” “guidance,” “outlook,” “opportunity” or “strategy” or similar expressions are generally intended to identify forward-looking statements. Such forward-looking statements are subject to risks and uncertainties that could cause actual results to differ materially from those expressed in, or implied by, such statements.</w:t>
      </w:r>
    </w:p>
    <w:p>
      <w:pPr>
        <w:spacing w:after="0" w:line="214"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auto"/>
        </w:rPr>
        <w:t>Although we believe the expectations and forecasts reflected in our forward-looking statements are reasonable, they are inherently subject to numerous risks and uncertainties, most of which are difficult to predict and many of which are beyond our control. No assurance can be given that such forward-looking statements will be correct or achieved or that the assumptions are accurate or will not change over time. Particular uncertainties that could cause our actual results to be materially different than those expressed in our forward-looking statements include:</w:t>
      </w:r>
    </w:p>
    <w:p>
      <w:pPr>
        <w:sectPr>
          <w:pgSz w:w="11880" w:h="15480" w:orient="portrait"/>
          <w:cols w:equalWidth="0" w:num="1">
            <w:col w:w="9120"/>
          </w:cols>
          <w:pgMar w:left="1380" w:top="1310" w:right="1380" w:bottom="655" w:gutter="0" w:footer="0" w:header="0"/>
        </w:sectPr>
      </w:pPr>
    </w:p>
    <w:p>
      <w:pPr>
        <w:spacing w:after="0" w:line="208" w:lineRule="exact"/>
        <w:rPr>
          <w:sz w:val="20"/>
          <w:szCs w:val="20"/>
          <w:color w:val="auto"/>
        </w:rPr>
      </w:pPr>
    </w:p>
    <w:p>
      <w:pPr>
        <w:ind w:left="600" w:right="640" w:hanging="300"/>
        <w:spacing w:after="0" w:line="248" w:lineRule="auto"/>
        <w:tabs>
          <w:tab w:leader="none" w:pos="600" w:val="left"/>
        </w:tabs>
        <w:numPr>
          <w:ilvl w:val="0"/>
          <w:numId w:val="44"/>
        </w:numPr>
        <w:rPr>
          <w:rFonts w:ascii="Arial" w:cs="Arial" w:eastAsia="Arial" w:hAnsi="Arial"/>
          <w:sz w:val="20"/>
          <w:szCs w:val="20"/>
          <w:color w:val="auto"/>
        </w:rPr>
      </w:pPr>
      <w:r>
        <w:rPr>
          <w:rFonts w:ascii="Arial" w:cs="Arial" w:eastAsia="Arial" w:hAnsi="Arial"/>
          <w:sz w:val="20"/>
          <w:szCs w:val="20"/>
          <w:color w:val="auto"/>
        </w:rPr>
        <w:t>fluctuations in commodity prices, including supply and demand considerations for our products and services;</w:t>
      </w:r>
    </w:p>
    <w:p>
      <w:pPr>
        <w:spacing w:after="0" w:line="9" w:lineRule="exact"/>
        <w:rPr>
          <w:rFonts w:ascii="Arial" w:cs="Arial" w:eastAsia="Arial" w:hAnsi="Arial"/>
          <w:sz w:val="20"/>
          <w:szCs w:val="20"/>
          <w:color w:val="auto"/>
        </w:rPr>
      </w:pPr>
    </w:p>
    <w:p>
      <w:pPr>
        <w:ind w:left="600" w:right="280" w:hanging="300"/>
        <w:spacing w:after="0" w:line="248" w:lineRule="auto"/>
        <w:tabs>
          <w:tab w:leader="none" w:pos="600" w:val="left"/>
        </w:tabs>
        <w:numPr>
          <w:ilvl w:val="0"/>
          <w:numId w:val="44"/>
        </w:numPr>
        <w:rPr>
          <w:rFonts w:ascii="Arial" w:cs="Arial" w:eastAsia="Arial" w:hAnsi="Arial"/>
          <w:sz w:val="20"/>
          <w:szCs w:val="20"/>
          <w:color w:val="auto"/>
        </w:rPr>
      </w:pPr>
      <w:r>
        <w:rPr>
          <w:rFonts w:ascii="Arial" w:cs="Arial" w:eastAsia="Arial" w:hAnsi="Arial"/>
          <w:sz w:val="20"/>
          <w:szCs w:val="20"/>
          <w:color w:val="auto"/>
        </w:rPr>
        <w:t>decisions as to production levels and/or pricing by OPEC or U.S. producers in future periods;</w:t>
      </w:r>
    </w:p>
    <w:p>
      <w:pPr>
        <w:spacing w:after="0" w:line="7" w:lineRule="exact"/>
        <w:rPr>
          <w:rFonts w:ascii="Arial" w:cs="Arial" w:eastAsia="Arial" w:hAnsi="Arial"/>
          <w:sz w:val="20"/>
          <w:szCs w:val="20"/>
          <w:color w:val="auto"/>
        </w:rPr>
      </w:pPr>
    </w:p>
    <w:p>
      <w:pPr>
        <w:ind w:left="600" w:right="240" w:hanging="300"/>
        <w:spacing w:after="0" w:line="248" w:lineRule="auto"/>
        <w:tabs>
          <w:tab w:leader="none" w:pos="600" w:val="left"/>
        </w:tabs>
        <w:numPr>
          <w:ilvl w:val="0"/>
          <w:numId w:val="44"/>
        </w:numPr>
        <w:rPr>
          <w:rFonts w:ascii="Arial" w:cs="Arial" w:eastAsia="Arial" w:hAnsi="Arial"/>
          <w:sz w:val="20"/>
          <w:szCs w:val="20"/>
          <w:color w:val="auto"/>
        </w:rPr>
      </w:pPr>
      <w:r>
        <w:rPr>
          <w:rFonts w:ascii="Arial" w:cs="Arial" w:eastAsia="Arial" w:hAnsi="Arial"/>
          <w:sz w:val="20"/>
          <w:szCs w:val="20"/>
          <w:color w:val="auto"/>
        </w:rPr>
        <w:t>government policy, war and political conditions and events, including the war in Ukraine and oil sanctions on Russia, Iran and others;</w:t>
      </w:r>
    </w:p>
    <w:p>
      <w:pPr>
        <w:spacing w:after="0" w:line="9" w:lineRule="exact"/>
        <w:rPr>
          <w:rFonts w:ascii="Arial" w:cs="Arial" w:eastAsia="Arial" w:hAnsi="Arial"/>
          <w:sz w:val="20"/>
          <w:szCs w:val="20"/>
          <w:color w:val="auto"/>
        </w:rPr>
      </w:pPr>
    </w:p>
    <w:p>
      <w:pPr>
        <w:ind w:left="600" w:right="60" w:hanging="300"/>
        <w:spacing w:after="0" w:line="250" w:lineRule="auto"/>
        <w:tabs>
          <w:tab w:leader="none" w:pos="600" w:val="left"/>
        </w:tabs>
        <w:numPr>
          <w:ilvl w:val="0"/>
          <w:numId w:val="44"/>
        </w:numPr>
        <w:rPr>
          <w:rFonts w:ascii="Arial" w:cs="Arial" w:eastAsia="Arial" w:hAnsi="Arial"/>
          <w:sz w:val="20"/>
          <w:szCs w:val="20"/>
          <w:color w:val="auto"/>
        </w:rPr>
      </w:pPr>
      <w:r>
        <w:rPr>
          <w:rFonts w:ascii="Arial" w:cs="Arial" w:eastAsia="Arial" w:hAnsi="Arial"/>
          <w:sz w:val="20"/>
          <w:szCs w:val="20"/>
          <w:color w:val="auto"/>
        </w:rPr>
        <w:t>regulatory actions and changes that affect the oil and gas industry generally and us in particular, including (1) the availability or timing of, or conditions imposed on, permits and approvals necessary for drilling or development activities or our carbon management business; (2) the management of energy, water, land, greenhouse gases (GHGs) or other emissions, (3) the protection of health, safety and the environment, or (4) the transportation, marketing and sale of our products;</w:t>
      </w:r>
    </w:p>
    <w:p>
      <w:pPr>
        <w:spacing w:after="0" w:line="5" w:lineRule="exact"/>
        <w:rPr>
          <w:rFonts w:ascii="Arial" w:cs="Arial" w:eastAsia="Arial" w:hAnsi="Arial"/>
          <w:sz w:val="20"/>
          <w:szCs w:val="20"/>
          <w:color w:val="auto"/>
        </w:rPr>
      </w:pPr>
    </w:p>
    <w:p>
      <w:pPr>
        <w:ind w:left="600" w:right="140" w:hanging="300"/>
        <w:spacing w:after="0" w:line="248" w:lineRule="auto"/>
        <w:tabs>
          <w:tab w:leader="none" w:pos="60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impact of inflation on future expenses and changes generally in the prices of goods and services;</w:t>
      </w:r>
    </w:p>
    <w:p>
      <w:pPr>
        <w:spacing w:after="0" w:line="7" w:lineRule="exact"/>
        <w:rPr>
          <w:rFonts w:ascii="Arial" w:cs="Arial" w:eastAsia="Arial" w:hAnsi="Arial"/>
          <w:sz w:val="20"/>
          <w:szCs w:val="20"/>
          <w:color w:val="auto"/>
        </w:rPr>
      </w:pPr>
    </w:p>
    <w:p>
      <w:pPr>
        <w:ind w:left="600" w:right="460" w:hanging="300"/>
        <w:spacing w:after="0" w:line="243" w:lineRule="auto"/>
        <w:tabs>
          <w:tab w:leader="none" w:pos="600" w:val="left"/>
        </w:tabs>
        <w:numPr>
          <w:ilvl w:val="0"/>
          <w:numId w:val="44"/>
        </w:numPr>
        <w:rPr>
          <w:rFonts w:ascii="Arial" w:cs="Arial" w:eastAsia="Arial" w:hAnsi="Arial"/>
          <w:sz w:val="20"/>
          <w:szCs w:val="20"/>
          <w:color w:val="auto"/>
        </w:rPr>
      </w:pPr>
      <w:r>
        <w:rPr>
          <w:rFonts w:ascii="Arial" w:cs="Arial" w:eastAsia="Arial" w:hAnsi="Arial"/>
          <w:sz w:val="20"/>
          <w:szCs w:val="20"/>
          <w:color w:val="auto"/>
        </w:rPr>
        <w:t>changes in business strategy and our capital plan;</w:t>
      </w:r>
    </w:p>
    <w:p>
      <w:pPr>
        <w:spacing w:after="0" w:line="14" w:lineRule="exact"/>
        <w:rPr>
          <w:rFonts w:ascii="Arial" w:cs="Arial" w:eastAsia="Arial" w:hAnsi="Arial"/>
          <w:sz w:val="20"/>
          <w:szCs w:val="20"/>
          <w:color w:val="auto"/>
        </w:rPr>
      </w:pPr>
    </w:p>
    <w:p>
      <w:pPr>
        <w:ind w:left="600" w:right="60" w:hanging="300"/>
        <w:spacing w:after="0" w:line="243" w:lineRule="auto"/>
        <w:tabs>
          <w:tab w:leader="none" w:pos="600" w:val="left"/>
        </w:tabs>
        <w:numPr>
          <w:ilvl w:val="0"/>
          <w:numId w:val="44"/>
        </w:numPr>
        <w:rPr>
          <w:rFonts w:ascii="Arial" w:cs="Arial" w:eastAsia="Arial" w:hAnsi="Arial"/>
          <w:sz w:val="20"/>
          <w:szCs w:val="20"/>
          <w:color w:val="auto"/>
        </w:rPr>
      </w:pPr>
      <w:r>
        <w:rPr>
          <w:rFonts w:ascii="Arial" w:cs="Arial" w:eastAsia="Arial" w:hAnsi="Arial"/>
          <w:sz w:val="20"/>
          <w:szCs w:val="20"/>
          <w:color w:val="auto"/>
        </w:rPr>
        <w:t>lower-than-expected production or higher-than-expected production decline rates;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300" w:right="40" w:hanging="300"/>
        <w:spacing w:after="0" w:line="249" w:lineRule="auto"/>
        <w:tabs>
          <w:tab w:leader="none" w:pos="3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changes to our estimates of reserves and related future cash flows, including changes arising from our inability to develop such reserves in a timely manner, and any inability to replace such reserves;</w:t>
      </w:r>
    </w:p>
    <w:p>
      <w:pPr>
        <w:spacing w:after="0" w:line="8" w:lineRule="exact"/>
        <w:rPr>
          <w:rFonts w:ascii="Arial" w:cs="Arial" w:eastAsia="Arial" w:hAnsi="Arial"/>
          <w:sz w:val="20"/>
          <w:szCs w:val="20"/>
          <w:color w:val="auto"/>
        </w:rPr>
      </w:pPr>
    </w:p>
    <w:p>
      <w:pPr>
        <w:ind w:left="300" w:right="660" w:hanging="300"/>
        <w:spacing w:after="0" w:line="245" w:lineRule="auto"/>
        <w:tabs>
          <w:tab w:leader="none" w:pos="3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recoverability of resources and unexpected geologic conditions;</w:t>
      </w:r>
    </w:p>
    <w:p>
      <w:pPr>
        <w:spacing w:after="0" w:line="10" w:lineRule="exact"/>
        <w:rPr>
          <w:rFonts w:ascii="Arial" w:cs="Arial" w:eastAsia="Arial" w:hAnsi="Arial"/>
          <w:sz w:val="20"/>
          <w:szCs w:val="20"/>
          <w:color w:val="auto"/>
        </w:rPr>
      </w:pPr>
    </w:p>
    <w:p>
      <w:pPr>
        <w:ind w:left="300" w:right="140" w:hanging="300"/>
        <w:spacing w:after="0" w:line="263" w:lineRule="auto"/>
        <w:tabs>
          <w:tab w:leader="none" w:pos="300" w:val="left"/>
        </w:tabs>
        <w:numPr>
          <w:ilvl w:val="0"/>
          <w:numId w:val="45"/>
        </w:numPr>
        <w:rPr>
          <w:rFonts w:ascii="Arial" w:cs="Arial" w:eastAsia="Arial" w:hAnsi="Arial"/>
          <w:sz w:val="19"/>
          <w:szCs w:val="19"/>
          <w:color w:val="auto"/>
        </w:rPr>
      </w:pPr>
      <w:r>
        <w:rPr>
          <w:rFonts w:ascii="Arial" w:cs="Arial" w:eastAsia="Arial" w:hAnsi="Arial"/>
          <w:sz w:val="19"/>
          <w:szCs w:val="19"/>
          <w:color w:val="auto"/>
        </w:rPr>
        <w:t>general economic conditions and trends, including conditions in the worldwide financial, trade and credit markets;</w:t>
      </w:r>
    </w:p>
    <w:p>
      <w:pPr>
        <w:spacing w:after="0" w:line="1" w:lineRule="exact"/>
        <w:rPr>
          <w:rFonts w:ascii="Arial" w:cs="Arial" w:eastAsia="Arial" w:hAnsi="Arial"/>
          <w:sz w:val="19"/>
          <w:szCs w:val="19"/>
          <w:color w:val="auto"/>
        </w:rPr>
      </w:pPr>
    </w:p>
    <w:p>
      <w:pPr>
        <w:ind w:left="300" w:right="220" w:hanging="300"/>
        <w:spacing w:after="0" w:line="245" w:lineRule="auto"/>
        <w:tabs>
          <w:tab w:leader="none" w:pos="3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production-sharing contracts’ effects on production and operating costs;</w:t>
      </w:r>
    </w:p>
    <w:p>
      <w:pPr>
        <w:spacing w:after="0" w:line="10" w:lineRule="exact"/>
        <w:rPr>
          <w:rFonts w:ascii="Arial" w:cs="Arial" w:eastAsia="Arial" w:hAnsi="Arial"/>
          <w:sz w:val="20"/>
          <w:szCs w:val="20"/>
          <w:color w:val="auto"/>
        </w:rPr>
      </w:pPr>
    </w:p>
    <w:p>
      <w:pPr>
        <w:ind w:left="300" w:right="240" w:hanging="300"/>
        <w:spacing w:after="0" w:line="245" w:lineRule="auto"/>
        <w:tabs>
          <w:tab w:leader="none" w:pos="3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lack of available equipment, service or labor price inflation;</w:t>
      </w:r>
    </w:p>
    <w:p>
      <w:pPr>
        <w:spacing w:after="0" w:line="10" w:lineRule="exact"/>
        <w:rPr>
          <w:rFonts w:ascii="Arial" w:cs="Arial" w:eastAsia="Arial" w:hAnsi="Arial"/>
          <w:sz w:val="20"/>
          <w:szCs w:val="20"/>
          <w:color w:val="auto"/>
        </w:rPr>
      </w:pPr>
    </w:p>
    <w:p>
      <w:pPr>
        <w:jc w:val="both"/>
        <w:ind w:left="300" w:right="320" w:hanging="300"/>
        <w:spacing w:after="0" w:line="263" w:lineRule="auto"/>
        <w:tabs>
          <w:tab w:leader="none" w:pos="300" w:val="left"/>
        </w:tabs>
        <w:numPr>
          <w:ilvl w:val="0"/>
          <w:numId w:val="45"/>
        </w:numPr>
        <w:rPr>
          <w:rFonts w:ascii="Arial" w:cs="Arial" w:eastAsia="Arial" w:hAnsi="Arial"/>
          <w:sz w:val="19"/>
          <w:szCs w:val="19"/>
          <w:color w:val="auto"/>
        </w:rPr>
      </w:pPr>
      <w:r>
        <w:rPr>
          <w:rFonts w:ascii="Arial" w:cs="Arial" w:eastAsia="Arial" w:hAnsi="Arial"/>
          <w:sz w:val="19"/>
          <w:szCs w:val="19"/>
          <w:color w:val="auto"/>
        </w:rPr>
        <w:t>limitations on transportation or storage capacity and the need to shut-in wells;</w:t>
      </w:r>
    </w:p>
    <w:p>
      <w:pPr>
        <w:ind w:left="300" w:hanging="300"/>
        <w:spacing w:after="0"/>
        <w:tabs>
          <w:tab w:leader="none" w:pos="3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any failure of risk management;</w:t>
      </w:r>
    </w:p>
    <w:p>
      <w:pPr>
        <w:spacing w:after="0" w:line="14" w:lineRule="exact"/>
        <w:rPr>
          <w:rFonts w:ascii="Arial" w:cs="Arial" w:eastAsia="Arial" w:hAnsi="Arial"/>
          <w:sz w:val="20"/>
          <w:szCs w:val="20"/>
          <w:color w:val="auto"/>
        </w:rPr>
      </w:pPr>
    </w:p>
    <w:p>
      <w:pPr>
        <w:ind w:left="300" w:hanging="300"/>
        <w:spacing w:after="0" w:line="245" w:lineRule="auto"/>
        <w:tabs>
          <w:tab w:leader="none" w:pos="3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results from operations and competition in the industries in which we operate;</w:t>
      </w:r>
    </w:p>
    <w:p>
      <w:pPr>
        <w:spacing w:after="0" w:line="10" w:lineRule="exact"/>
        <w:rPr>
          <w:rFonts w:ascii="Arial" w:cs="Arial" w:eastAsia="Arial" w:hAnsi="Arial"/>
          <w:sz w:val="20"/>
          <w:szCs w:val="20"/>
          <w:color w:val="auto"/>
        </w:rPr>
      </w:pPr>
    </w:p>
    <w:p>
      <w:pPr>
        <w:ind w:left="300" w:right="460" w:hanging="300"/>
        <w:spacing w:after="0" w:line="248" w:lineRule="auto"/>
        <w:tabs>
          <w:tab w:leader="none" w:pos="3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our ability to realize the anticipated benefits from prior or future efforts to reduce costs;</w:t>
      </w:r>
    </w:p>
    <w:p>
      <w:pPr>
        <w:spacing w:after="0" w:line="7" w:lineRule="exact"/>
        <w:rPr>
          <w:rFonts w:ascii="Arial" w:cs="Arial" w:eastAsia="Arial" w:hAnsi="Arial"/>
          <w:sz w:val="20"/>
          <w:szCs w:val="20"/>
          <w:color w:val="auto"/>
        </w:rPr>
      </w:pPr>
    </w:p>
    <w:p>
      <w:pPr>
        <w:ind w:left="300" w:hanging="300"/>
        <w:spacing w:after="0" w:line="249" w:lineRule="auto"/>
        <w:tabs>
          <w:tab w:leader="none" w:pos="3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environmental risks and liability under federal, regional, state, provincial, tribal, local and international environmental laws and regulations (including remedial actions);</w:t>
      </w:r>
    </w:p>
    <w:p>
      <w:pPr>
        <w:spacing w:after="0" w:line="6" w:lineRule="exact"/>
        <w:rPr>
          <w:rFonts w:ascii="Arial" w:cs="Arial" w:eastAsia="Arial" w:hAnsi="Arial"/>
          <w:sz w:val="20"/>
          <w:szCs w:val="20"/>
          <w:color w:val="auto"/>
        </w:rPr>
      </w:pPr>
    </w:p>
    <w:p>
      <w:pPr>
        <w:ind w:left="300" w:right="160" w:hanging="300"/>
        <w:spacing w:after="0" w:line="248" w:lineRule="auto"/>
        <w:tabs>
          <w:tab w:leader="none" w:pos="3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creditworthiness and performance of our counterparties, including financial institutions, operating partners, CCS project participants and other parties;</w:t>
      </w:r>
    </w:p>
    <w:p>
      <w:pPr>
        <w:spacing w:after="0" w:line="200" w:lineRule="exact"/>
        <w:rPr>
          <w:sz w:val="20"/>
          <w:szCs w:val="20"/>
          <w:color w:val="auto"/>
        </w:rPr>
      </w:pPr>
    </w:p>
    <w:p>
      <w:pPr>
        <w:sectPr>
          <w:pgSz w:w="11880" w:h="15480" w:orient="portrait"/>
          <w:cols w:equalWidth="0" w:num="2">
            <w:col w:w="4380" w:space="720"/>
            <w:col w:w="4020"/>
          </w:cols>
          <w:pgMar w:left="1380" w:top="1310" w:right="1380" w:bottom="655" w:gutter="0" w:footer="0" w:header="0"/>
          <w:type w:val="continuous"/>
        </w:sectPr>
      </w:pP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ectPr>
          <w:pgSz w:w="11880" w:h="15480" w:orient="portrait"/>
          <w:cols w:equalWidth="0" w:num="1">
            <w:col w:w="9120"/>
          </w:cols>
          <w:pgMar w:left="1380" w:top="1310" w:right="1380" w:bottom="655" w:gutter="0" w:footer="0" w:header="0"/>
          <w:type w:val="continuous"/>
        </w:sectPr>
      </w:pPr>
    </w:p>
    <w:bookmarkStart w:id="91" w:name="page92"/>
    <w:bookmarkEnd w:id="91"/>
    <w:p>
      <w:pPr>
        <w:spacing w:after="0" w:line="6" w:lineRule="exact"/>
        <w:rPr>
          <w:sz w:val="20"/>
          <w:szCs w:val="20"/>
          <w:color w:val="auto"/>
        </w:rPr>
      </w:pPr>
    </w:p>
    <w:p>
      <w:pPr>
        <w:ind w:left="600" w:right="540" w:hanging="300"/>
        <w:spacing w:after="0" w:line="243" w:lineRule="auto"/>
        <w:tabs>
          <w:tab w:leader="none" w:pos="600" w:val="left"/>
        </w:tabs>
        <w:numPr>
          <w:ilvl w:val="0"/>
          <w:numId w:val="46"/>
        </w:numPr>
        <w:rPr>
          <w:rFonts w:ascii="Arial" w:cs="Arial" w:eastAsia="Arial" w:hAnsi="Arial"/>
          <w:sz w:val="20"/>
          <w:szCs w:val="20"/>
          <w:color w:val="auto"/>
        </w:rPr>
      </w:pPr>
      <w:r>
        <w:rPr>
          <w:rFonts w:ascii="Arial" w:cs="Arial" w:eastAsia="Arial" w:hAnsi="Arial"/>
          <w:sz w:val="20"/>
          <w:szCs w:val="20"/>
          <w:color w:val="auto"/>
        </w:rPr>
        <w:t>reorganization or restructuring of our operations;</w:t>
      </w:r>
    </w:p>
    <w:p>
      <w:pPr>
        <w:spacing w:after="0" w:line="14" w:lineRule="exact"/>
        <w:rPr>
          <w:rFonts w:ascii="Arial" w:cs="Arial" w:eastAsia="Arial" w:hAnsi="Arial"/>
          <w:sz w:val="20"/>
          <w:szCs w:val="20"/>
          <w:color w:val="auto"/>
        </w:rPr>
      </w:pPr>
    </w:p>
    <w:p>
      <w:pPr>
        <w:ind w:left="600" w:right="160" w:hanging="300"/>
        <w:spacing w:after="0" w:line="247" w:lineRule="auto"/>
        <w:tabs>
          <w:tab w:leader="none" w:pos="600" w:val="left"/>
        </w:tabs>
        <w:numPr>
          <w:ilvl w:val="0"/>
          <w:numId w:val="46"/>
        </w:numPr>
        <w:rPr>
          <w:rFonts w:ascii="Arial" w:cs="Arial" w:eastAsia="Arial" w:hAnsi="Arial"/>
          <w:sz w:val="20"/>
          <w:szCs w:val="20"/>
          <w:color w:val="auto"/>
        </w:rPr>
      </w:pPr>
      <w:r>
        <w:rPr>
          <w:rFonts w:ascii="Arial" w:cs="Arial" w:eastAsia="Arial" w:hAnsi="Arial"/>
          <w:sz w:val="20"/>
          <w:szCs w:val="20"/>
          <w:color w:val="auto"/>
        </w:rPr>
        <w:t>our ability to claim and utilize tax credits or other incentives in connection with our CCS projects,</w:t>
      </w:r>
    </w:p>
    <w:p>
      <w:pPr>
        <w:spacing w:after="0" w:line="9" w:lineRule="exact"/>
        <w:rPr>
          <w:rFonts w:ascii="Arial" w:cs="Arial" w:eastAsia="Arial" w:hAnsi="Arial"/>
          <w:sz w:val="20"/>
          <w:szCs w:val="20"/>
          <w:color w:val="auto"/>
        </w:rPr>
      </w:pPr>
    </w:p>
    <w:p>
      <w:pPr>
        <w:ind w:left="600" w:right="260" w:hanging="300"/>
        <w:spacing w:after="0" w:line="248" w:lineRule="auto"/>
        <w:tabs>
          <w:tab w:leader="none" w:pos="600" w:val="left"/>
        </w:tabs>
        <w:numPr>
          <w:ilvl w:val="0"/>
          <w:numId w:val="46"/>
        </w:numPr>
        <w:rPr>
          <w:rFonts w:ascii="Arial" w:cs="Arial" w:eastAsia="Arial" w:hAnsi="Arial"/>
          <w:sz w:val="20"/>
          <w:szCs w:val="20"/>
          <w:color w:val="auto"/>
        </w:rPr>
      </w:pPr>
      <w:r>
        <w:rPr>
          <w:rFonts w:ascii="Arial" w:cs="Arial" w:eastAsia="Arial" w:hAnsi="Arial"/>
          <w:sz w:val="20"/>
          <w:szCs w:val="20"/>
          <w:color w:val="auto"/>
        </w:rPr>
        <w:t>our ability to realize the benefits contemplated by our energy transition strategies and initiatives, including CCS projects and other renewable energy efforts;</w:t>
      </w:r>
    </w:p>
    <w:p>
      <w:pPr>
        <w:spacing w:after="0" w:line="11" w:lineRule="exact"/>
        <w:rPr>
          <w:rFonts w:ascii="Arial" w:cs="Arial" w:eastAsia="Arial" w:hAnsi="Arial"/>
          <w:sz w:val="20"/>
          <w:szCs w:val="20"/>
          <w:color w:val="auto"/>
        </w:rPr>
      </w:pPr>
    </w:p>
    <w:p>
      <w:pPr>
        <w:ind w:left="600" w:right="60" w:hanging="300"/>
        <w:spacing w:after="0" w:line="248" w:lineRule="auto"/>
        <w:tabs>
          <w:tab w:leader="none" w:pos="600" w:val="left"/>
        </w:tabs>
        <w:numPr>
          <w:ilvl w:val="0"/>
          <w:numId w:val="46"/>
        </w:numPr>
        <w:rPr>
          <w:rFonts w:ascii="Arial" w:cs="Arial" w:eastAsia="Arial" w:hAnsi="Arial"/>
          <w:sz w:val="20"/>
          <w:szCs w:val="20"/>
          <w:color w:val="auto"/>
        </w:rPr>
      </w:pPr>
      <w:r>
        <w:rPr>
          <w:rFonts w:ascii="Arial" w:cs="Arial" w:eastAsia="Arial" w:hAnsi="Arial"/>
          <w:sz w:val="20"/>
          <w:szCs w:val="20"/>
          <w:color w:val="auto"/>
        </w:rPr>
        <w:t>our ability to successfully identify, develop and finance carbon capture and storage projects and other renewable energy efforts, including those in connection with the Carbon TerraVault JV;</w:t>
      </w:r>
    </w:p>
    <w:p>
      <w:pPr>
        <w:spacing w:after="0" w:line="11" w:lineRule="exact"/>
        <w:rPr>
          <w:rFonts w:ascii="Arial" w:cs="Arial" w:eastAsia="Arial" w:hAnsi="Arial"/>
          <w:sz w:val="20"/>
          <w:szCs w:val="20"/>
          <w:color w:val="auto"/>
        </w:rPr>
      </w:pPr>
    </w:p>
    <w:p>
      <w:pPr>
        <w:ind w:left="600" w:right="140" w:hanging="300"/>
        <w:spacing w:after="0" w:line="248" w:lineRule="auto"/>
        <w:tabs>
          <w:tab w:leader="none" w:pos="600" w:val="left"/>
        </w:tabs>
        <w:numPr>
          <w:ilvl w:val="0"/>
          <w:numId w:val="46"/>
        </w:numPr>
        <w:rPr>
          <w:rFonts w:ascii="Arial" w:cs="Arial" w:eastAsia="Arial" w:hAnsi="Arial"/>
          <w:sz w:val="20"/>
          <w:szCs w:val="20"/>
          <w:color w:val="auto"/>
        </w:rPr>
      </w:pPr>
      <w:r>
        <w:rPr>
          <w:rFonts w:ascii="Arial" w:cs="Arial" w:eastAsia="Arial" w:hAnsi="Arial"/>
          <w:sz w:val="20"/>
          <w:szCs w:val="20"/>
          <w:color w:val="auto"/>
        </w:rPr>
        <w:t>our ability to successfully develop infrastructure projects and enter into third party contracts on contemplated terms; and</w:t>
      </w:r>
    </w:p>
    <w:p>
      <w:pPr>
        <w:spacing w:after="0" w:line="9" w:lineRule="exact"/>
        <w:rPr>
          <w:rFonts w:ascii="Arial" w:cs="Arial" w:eastAsia="Arial" w:hAnsi="Arial"/>
          <w:sz w:val="20"/>
          <w:szCs w:val="20"/>
          <w:color w:val="auto"/>
        </w:rPr>
      </w:pPr>
    </w:p>
    <w:p>
      <w:pPr>
        <w:ind w:left="600" w:right="240" w:hanging="300"/>
        <w:spacing w:after="0" w:line="263" w:lineRule="auto"/>
        <w:tabs>
          <w:tab w:leader="none" w:pos="600" w:val="left"/>
        </w:tabs>
        <w:numPr>
          <w:ilvl w:val="0"/>
          <w:numId w:val="46"/>
        </w:numPr>
        <w:rPr>
          <w:rFonts w:ascii="Arial" w:cs="Arial" w:eastAsia="Arial" w:hAnsi="Arial"/>
          <w:sz w:val="19"/>
          <w:szCs w:val="19"/>
          <w:color w:val="auto"/>
        </w:rPr>
      </w:pPr>
      <w:r>
        <w:rPr>
          <w:rFonts w:ascii="Arial" w:cs="Arial" w:eastAsia="Arial" w:hAnsi="Arial"/>
          <w:sz w:val="19"/>
          <w:szCs w:val="19"/>
          <w:color w:val="auto"/>
        </w:rPr>
        <w:t>uncertainty around the accounting of emissions and our ability to successfully gather and verify emissions data and other environmental impacts.</w:t>
      </w:r>
    </w:p>
    <w:p>
      <w:pPr>
        <w:spacing w:after="0" w:line="2" w:lineRule="exact"/>
        <w:rPr>
          <w:rFonts w:ascii="Arial" w:cs="Arial" w:eastAsia="Arial" w:hAnsi="Arial"/>
          <w:sz w:val="19"/>
          <w:szCs w:val="19"/>
          <w:color w:val="auto"/>
        </w:rPr>
      </w:pPr>
    </w:p>
    <w:p>
      <w:pPr>
        <w:ind w:left="600" w:right="140" w:hanging="300"/>
        <w:spacing w:after="0" w:line="248" w:lineRule="auto"/>
        <w:tabs>
          <w:tab w:leader="none" w:pos="600" w:val="left"/>
        </w:tabs>
        <w:numPr>
          <w:ilvl w:val="0"/>
          <w:numId w:val="46"/>
        </w:numPr>
        <w:rPr>
          <w:rFonts w:ascii="Arial" w:cs="Arial" w:eastAsia="Arial" w:hAnsi="Arial"/>
          <w:sz w:val="20"/>
          <w:szCs w:val="20"/>
          <w:color w:val="auto"/>
        </w:rPr>
      </w:pPr>
      <w:r>
        <w:rPr>
          <w:rFonts w:ascii="Arial" w:cs="Arial" w:eastAsia="Arial" w:hAnsi="Arial"/>
          <w:sz w:val="20"/>
          <w:szCs w:val="20"/>
          <w:color w:val="auto"/>
        </w:rPr>
        <w:t>changes to our dividend policy and share repurchase program, and our ability to declare future dividends or repurchase shares under our debt agreements;</w:t>
      </w:r>
    </w:p>
    <w:p>
      <w:pPr>
        <w:spacing w:after="0" w:line="9" w:lineRule="exact"/>
        <w:rPr>
          <w:rFonts w:ascii="Arial" w:cs="Arial" w:eastAsia="Arial" w:hAnsi="Arial"/>
          <w:sz w:val="20"/>
          <w:szCs w:val="20"/>
          <w:color w:val="auto"/>
        </w:rPr>
      </w:pPr>
    </w:p>
    <w:p>
      <w:pPr>
        <w:ind w:left="600" w:right="280" w:hanging="300"/>
        <w:spacing w:after="0" w:line="245" w:lineRule="auto"/>
        <w:tabs>
          <w:tab w:leader="none" w:pos="600" w:val="left"/>
        </w:tabs>
        <w:numPr>
          <w:ilvl w:val="0"/>
          <w:numId w:val="46"/>
        </w:numPr>
        <w:rPr>
          <w:rFonts w:ascii="Arial" w:cs="Arial" w:eastAsia="Arial" w:hAnsi="Arial"/>
          <w:sz w:val="20"/>
          <w:szCs w:val="20"/>
          <w:color w:val="auto"/>
        </w:rPr>
      </w:pPr>
      <w:r>
        <w:rPr>
          <w:rFonts w:ascii="Arial" w:cs="Arial" w:eastAsia="Arial" w:hAnsi="Arial"/>
          <w:sz w:val="20"/>
          <w:szCs w:val="20"/>
          <w:color w:val="auto"/>
        </w:rPr>
        <w:t>limitations on our financial flexibility due to existing and future debt;</w:t>
      </w:r>
    </w:p>
    <w:p>
      <w:pPr>
        <w:spacing w:after="0" w:line="10" w:lineRule="exact"/>
        <w:rPr>
          <w:rFonts w:ascii="Arial" w:cs="Arial" w:eastAsia="Arial" w:hAnsi="Arial"/>
          <w:sz w:val="20"/>
          <w:szCs w:val="20"/>
          <w:color w:val="auto"/>
        </w:rPr>
      </w:pPr>
    </w:p>
    <w:p>
      <w:pPr>
        <w:ind w:left="600" w:right="220" w:hanging="300"/>
        <w:spacing w:after="0" w:line="248" w:lineRule="auto"/>
        <w:tabs>
          <w:tab w:leader="none" w:pos="600" w:val="left"/>
        </w:tabs>
        <w:numPr>
          <w:ilvl w:val="0"/>
          <w:numId w:val="46"/>
        </w:numPr>
        <w:rPr>
          <w:rFonts w:ascii="Arial" w:cs="Arial" w:eastAsia="Arial" w:hAnsi="Arial"/>
          <w:sz w:val="20"/>
          <w:szCs w:val="20"/>
          <w:color w:val="auto"/>
        </w:rPr>
      </w:pPr>
      <w:r>
        <w:rPr>
          <w:rFonts w:ascii="Arial" w:cs="Arial" w:eastAsia="Arial" w:hAnsi="Arial"/>
          <w:sz w:val="20"/>
          <w:szCs w:val="20"/>
          <w:color w:val="auto"/>
        </w:rPr>
        <w:t>insufficient cash flow to fund our capital plan and other planned investments and return capital to shareholders;</w:t>
      </w:r>
    </w:p>
    <w:p>
      <w:pPr>
        <w:spacing w:after="0" w:line="20" w:lineRule="exact"/>
        <w:rPr>
          <w:sz w:val="20"/>
          <w:szCs w:val="20"/>
          <w:color w:val="auto"/>
        </w:rPr>
      </w:pPr>
      <w:r>
        <w:rPr>
          <w:sz w:val="20"/>
          <w:szCs w:val="20"/>
          <w:color w:val="auto"/>
        </w:rPr>
        <w:br w:type="column"/>
      </w:r>
    </w:p>
    <w:p>
      <w:pPr>
        <w:ind w:left="300" w:hanging="300"/>
        <w:spacing w:after="0"/>
        <w:tabs>
          <w:tab w:leader="none" w:pos="3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changes in interest rates;</w:t>
      </w:r>
    </w:p>
    <w:p>
      <w:pPr>
        <w:spacing w:after="0" w:line="16" w:lineRule="exact"/>
        <w:rPr>
          <w:rFonts w:ascii="Arial" w:cs="Arial" w:eastAsia="Arial" w:hAnsi="Arial"/>
          <w:sz w:val="20"/>
          <w:szCs w:val="20"/>
          <w:color w:val="auto"/>
        </w:rPr>
      </w:pPr>
    </w:p>
    <w:p>
      <w:pPr>
        <w:ind w:left="300" w:right="100" w:hanging="300"/>
        <w:spacing w:after="0" w:line="263" w:lineRule="auto"/>
        <w:tabs>
          <w:tab w:leader="none" w:pos="300" w:val="left"/>
        </w:tabs>
        <w:numPr>
          <w:ilvl w:val="0"/>
          <w:numId w:val="47"/>
        </w:numPr>
        <w:rPr>
          <w:rFonts w:ascii="Arial" w:cs="Arial" w:eastAsia="Arial" w:hAnsi="Arial"/>
          <w:sz w:val="19"/>
          <w:szCs w:val="19"/>
          <w:color w:val="auto"/>
        </w:rPr>
      </w:pPr>
      <w:r>
        <w:rPr>
          <w:rFonts w:ascii="Arial" w:cs="Arial" w:eastAsia="Arial" w:hAnsi="Arial"/>
          <w:sz w:val="19"/>
          <w:szCs w:val="19"/>
          <w:color w:val="auto"/>
        </w:rPr>
        <w:t>our access to and the terms of credit in commercial banking and capital markets, including our ability to refinance our debt or obtain separate financing for our carbon management business;</w:t>
      </w:r>
    </w:p>
    <w:p>
      <w:pPr>
        <w:spacing w:after="0" w:line="2" w:lineRule="exact"/>
        <w:rPr>
          <w:rFonts w:ascii="Arial" w:cs="Arial" w:eastAsia="Arial" w:hAnsi="Arial"/>
          <w:sz w:val="19"/>
          <w:szCs w:val="19"/>
          <w:color w:val="auto"/>
        </w:rPr>
      </w:pPr>
    </w:p>
    <w:p>
      <w:pPr>
        <w:ind w:left="300" w:hanging="300"/>
        <w:spacing w:after="0" w:line="248" w:lineRule="auto"/>
        <w:tabs>
          <w:tab w:leader="none" w:pos="3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changes in state, federal or international tax rates, including our ability to utilize our net operating loss carryforwards to reduce our income tax obligations;</w:t>
      </w:r>
    </w:p>
    <w:p>
      <w:pPr>
        <w:spacing w:after="0" w:line="3" w:lineRule="exact"/>
        <w:rPr>
          <w:rFonts w:ascii="Arial" w:cs="Arial" w:eastAsia="Arial" w:hAnsi="Arial"/>
          <w:sz w:val="20"/>
          <w:szCs w:val="20"/>
          <w:color w:val="auto"/>
        </w:rPr>
      </w:pPr>
    </w:p>
    <w:p>
      <w:pPr>
        <w:ind w:left="300" w:hanging="300"/>
        <w:spacing w:after="0"/>
        <w:tabs>
          <w:tab w:leader="none" w:pos="3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effects of hedging transactions;</w:t>
      </w:r>
    </w:p>
    <w:p>
      <w:pPr>
        <w:spacing w:after="0" w:line="16" w:lineRule="exact"/>
        <w:rPr>
          <w:rFonts w:ascii="Arial" w:cs="Arial" w:eastAsia="Arial" w:hAnsi="Arial"/>
          <w:sz w:val="20"/>
          <w:szCs w:val="20"/>
          <w:color w:val="auto"/>
        </w:rPr>
      </w:pPr>
    </w:p>
    <w:p>
      <w:pPr>
        <w:ind w:left="300" w:right="160" w:hanging="300"/>
        <w:spacing w:after="0" w:line="263" w:lineRule="auto"/>
        <w:tabs>
          <w:tab w:leader="none" w:pos="300" w:val="left"/>
        </w:tabs>
        <w:numPr>
          <w:ilvl w:val="0"/>
          <w:numId w:val="47"/>
        </w:numPr>
        <w:rPr>
          <w:rFonts w:ascii="Arial" w:cs="Arial" w:eastAsia="Arial" w:hAnsi="Arial"/>
          <w:sz w:val="19"/>
          <w:szCs w:val="19"/>
          <w:color w:val="auto"/>
        </w:rPr>
      </w:pPr>
      <w:r>
        <w:rPr>
          <w:rFonts w:ascii="Arial" w:cs="Arial" w:eastAsia="Arial" w:hAnsi="Arial"/>
          <w:sz w:val="19"/>
          <w:szCs w:val="19"/>
          <w:color w:val="auto"/>
        </w:rPr>
        <w:t>the effect of our stock price on costs associated with incentive compensation;</w:t>
      </w:r>
    </w:p>
    <w:p>
      <w:pPr>
        <w:spacing w:after="0" w:line="1" w:lineRule="exact"/>
        <w:rPr>
          <w:rFonts w:ascii="Arial" w:cs="Arial" w:eastAsia="Arial" w:hAnsi="Arial"/>
          <w:sz w:val="19"/>
          <w:szCs w:val="19"/>
          <w:color w:val="auto"/>
        </w:rPr>
      </w:pPr>
    </w:p>
    <w:p>
      <w:pPr>
        <w:ind w:left="300" w:right="360" w:hanging="300"/>
        <w:spacing w:after="0" w:line="249" w:lineRule="auto"/>
        <w:tabs>
          <w:tab w:leader="none" w:pos="3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inability to enter into desirable transactions, including joint ventures, divestitures of oil and natural gas properties and real estate, and acquisitions, and our ability to achieve any expected synergies;</w:t>
      </w:r>
    </w:p>
    <w:p>
      <w:pPr>
        <w:spacing w:after="0" w:line="8" w:lineRule="exact"/>
        <w:rPr>
          <w:rFonts w:ascii="Arial" w:cs="Arial" w:eastAsia="Arial" w:hAnsi="Arial"/>
          <w:sz w:val="20"/>
          <w:szCs w:val="20"/>
          <w:color w:val="auto"/>
        </w:rPr>
      </w:pPr>
    </w:p>
    <w:p>
      <w:pPr>
        <w:ind w:left="300" w:right="80" w:hanging="300"/>
        <w:spacing w:after="0" w:line="249" w:lineRule="auto"/>
        <w:tabs>
          <w:tab w:leader="none" w:pos="3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disruptions due to earthquakes, forest fires, floods or other natural occurrences, accidents, mechanical failures, power outages, transportation or storage constraints, labor difficulties, cybersecurity breaches or attacks or other catastrophic events;</w:t>
      </w:r>
    </w:p>
    <w:p>
      <w:pPr>
        <w:spacing w:after="0" w:line="9" w:lineRule="exact"/>
        <w:rPr>
          <w:rFonts w:ascii="Arial" w:cs="Arial" w:eastAsia="Arial" w:hAnsi="Arial"/>
          <w:sz w:val="20"/>
          <w:szCs w:val="20"/>
          <w:color w:val="auto"/>
        </w:rPr>
      </w:pPr>
    </w:p>
    <w:p>
      <w:pPr>
        <w:ind w:left="300" w:right="300" w:hanging="300"/>
        <w:spacing w:after="0" w:line="248" w:lineRule="auto"/>
        <w:tabs>
          <w:tab w:leader="none" w:pos="3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pandemics, epidemics, outbreaks, or other public health events, such as the COVID-19; and</w:t>
      </w:r>
    </w:p>
    <w:p>
      <w:pPr>
        <w:spacing w:after="0" w:line="5" w:lineRule="exact"/>
        <w:rPr>
          <w:rFonts w:ascii="Arial" w:cs="Arial" w:eastAsia="Arial" w:hAnsi="Arial"/>
          <w:sz w:val="20"/>
          <w:szCs w:val="20"/>
          <w:color w:val="auto"/>
        </w:rPr>
      </w:pPr>
    </w:p>
    <w:p>
      <w:pPr>
        <w:ind w:left="300" w:right="860" w:hanging="300"/>
        <w:spacing w:after="0" w:line="247" w:lineRule="auto"/>
        <w:tabs>
          <w:tab w:leader="none" w:pos="3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 xml:space="preserve">other factors discussed in </w:t>
      </w:r>
      <w:r>
        <w:rPr>
          <w:rFonts w:ascii="Arial" w:cs="Arial" w:eastAsia="Arial" w:hAnsi="Arial"/>
          <w:sz w:val="20"/>
          <w:szCs w:val="20"/>
          <w:i w:val="1"/>
          <w:iCs w:val="1"/>
          <w:color w:val="auto"/>
        </w:rPr>
        <w:t>Part I,</w:t>
      </w:r>
      <w:r>
        <w:rPr>
          <w:rFonts w:ascii="Arial" w:cs="Arial" w:eastAsia="Arial" w:hAnsi="Arial"/>
          <w:sz w:val="20"/>
          <w:szCs w:val="20"/>
          <w:color w:val="auto"/>
        </w:rPr>
        <w:t xml:space="preserve"> </w:t>
      </w:r>
      <w:r>
        <w:rPr>
          <w:rFonts w:ascii="Arial" w:cs="Arial" w:eastAsia="Arial" w:hAnsi="Arial"/>
          <w:sz w:val="20"/>
          <w:szCs w:val="20"/>
          <w:i w:val="1"/>
          <w:iCs w:val="1"/>
          <w:color w:val="auto"/>
        </w:rPr>
        <w:t>Item 1A – Risk Factors.</w:t>
      </w:r>
    </w:p>
    <w:p>
      <w:pPr>
        <w:spacing w:after="0" w:line="441" w:lineRule="exact"/>
        <w:rPr>
          <w:sz w:val="20"/>
          <w:szCs w:val="20"/>
          <w:color w:val="auto"/>
        </w:rPr>
      </w:pPr>
    </w:p>
    <w:p>
      <w:pPr>
        <w:sectPr>
          <w:pgSz w:w="11880" w:h="15480" w:orient="portrait"/>
          <w:cols w:equalWidth="0" w:num="2">
            <w:col w:w="4380" w:space="720"/>
            <w:col w:w="4020"/>
          </w:cols>
          <w:pgMar w:left="1380" w:top="1310" w:right="1380" w:bottom="655" w:gutter="0" w:footer="0" w:header="0"/>
        </w:sectPr>
      </w:pPr>
    </w:p>
    <w:p>
      <w:pPr>
        <w:spacing w:after="0" w:line="7" w:lineRule="exact"/>
        <w:rPr>
          <w:sz w:val="20"/>
          <w:szCs w:val="20"/>
          <w:color w:val="auto"/>
        </w:rPr>
      </w:pPr>
    </w:p>
    <w:p>
      <w:pPr>
        <w:ind w:right="120" w:firstLine="300"/>
        <w:spacing w:after="0" w:line="249" w:lineRule="auto"/>
        <w:rPr>
          <w:sz w:val="20"/>
          <w:szCs w:val="20"/>
          <w:color w:val="auto"/>
        </w:rPr>
      </w:pPr>
      <w:r>
        <w:rPr>
          <w:rFonts w:ascii="Arial" w:cs="Arial" w:eastAsia="Arial" w:hAnsi="Arial"/>
          <w:sz w:val="20"/>
          <w:szCs w:val="20"/>
          <w:color w:val="auto"/>
        </w:rPr>
        <w:t>We caution you not to place undue reliance on forward-looking statements contained in this document, which speak only as of the filing date, and we undertake no obligation to update this information. This document may also contain information from third party sources. This data may involve a number of assumptions and limitations, and we have not independently verified them and do not warrant the accuracy or completeness of such third-party information.</w:t>
      </w:r>
    </w:p>
    <w:p>
      <w:pPr>
        <w:sectPr>
          <w:pgSz w:w="11880" w:h="15480" w:orient="portrait"/>
          <w:cols w:equalWidth="0" w:num="1">
            <w:col w:w="9120"/>
          </w:cols>
          <w:pgMar w:left="1380" w:top="1310" w:right="1380" w:bottom="65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ectPr>
          <w:pgSz w:w="11880" w:h="15480" w:orient="portrait"/>
          <w:cols w:equalWidth="0" w:num="1">
            <w:col w:w="9120"/>
          </w:cols>
          <w:pgMar w:left="1380" w:top="1310" w:right="1380" w:bottom="655" w:gutter="0" w:footer="0" w:header="0"/>
          <w:type w:val="continuous"/>
        </w:sectPr>
      </w:pPr>
    </w:p>
    <w:bookmarkStart w:id="92" w:name="page93"/>
    <w:bookmarkEnd w:id="92"/>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Commodity Price Risk</w:t>
      </w:r>
    </w:p>
    <w:p>
      <w:pPr>
        <w:spacing w:after="0" w:line="216" w:lineRule="exact"/>
        <w:rPr>
          <w:sz w:val="20"/>
          <w:szCs w:val="20"/>
          <w:color w:val="auto"/>
        </w:rPr>
      </w:pPr>
    </w:p>
    <w:p>
      <w:pPr>
        <w:ind w:right="200" w:firstLine="300"/>
        <w:spacing w:after="0" w:line="249" w:lineRule="auto"/>
        <w:rPr>
          <w:sz w:val="20"/>
          <w:szCs w:val="20"/>
          <w:color w:val="auto"/>
        </w:rPr>
      </w:pPr>
      <w:r>
        <w:rPr>
          <w:rFonts w:ascii="Arial" w:cs="Arial" w:eastAsia="Arial" w:hAnsi="Arial"/>
          <w:sz w:val="20"/>
          <w:szCs w:val="20"/>
          <w:color w:val="auto"/>
        </w:rPr>
        <w:t>Our financial results are sensitive to fluctuations in oil, NGL and natural gas prices. These commodity price changes also impact the volume changes under PSCs. We maintain a commodity hedging program primarily focused on crude oil to help protect our cash flows, margins and capital program from the volatility of crude oil prices. We have not designated any instruments as hedges for accounting purposes and we do not enter into such instruments for speculative trading purposes. We believe we have limited price volatility risk in the near term as a result of our current hedges in place. As of December 31, 2022, we had hedges on approximately 65% of our anticipated oil production through 2023 and approximately 5% through 2024, which are in line with the covenants of our Revolving Credit Facility.</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9"/>
          <w:szCs w:val="19"/>
          <w:color w:val="auto"/>
        </w:rPr>
        <w:t>The primary market risk relating to our derivative contracts relates to fluctuations in market prices as</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compared to the fixed contract price for a notional amount of our production. As of December 31, 2022, we</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had net liabilities of $200 million for our derivative commodity positions which are carried at fair value, using</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industry-standard models with various inputs, including the forward curve for the relevant price index. We</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estimate that a $10/bbl increase in Brent oil forward prices could increase our settlement payments by</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$123 million in 2023, limiting our upside. We estimate that a $10 decrease in Brent oil forward prices could</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decrease our settlement payments by $137 million in 2023, negating the downside price movement for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hedged volumes.</w:t>
      </w:r>
    </w:p>
    <w:p>
      <w:pPr>
        <w:spacing w:after="0" w:line="212" w:lineRule="exact"/>
        <w:rPr>
          <w:sz w:val="20"/>
          <w:szCs w:val="20"/>
          <w:color w:val="auto"/>
        </w:rPr>
      </w:pPr>
    </w:p>
    <w:p>
      <w:pPr>
        <w:ind w:right="100" w:firstLine="300"/>
        <w:spacing w:after="0" w:line="247" w:lineRule="auto"/>
        <w:rPr>
          <w:sz w:val="20"/>
          <w:szCs w:val="20"/>
          <w:color w:val="auto"/>
        </w:rPr>
      </w:pPr>
      <w:r>
        <w:rPr>
          <w:rFonts w:ascii="Arial" w:cs="Arial" w:eastAsia="Arial" w:hAnsi="Arial"/>
          <w:sz w:val="20"/>
          <w:szCs w:val="20"/>
          <w:color w:val="auto"/>
        </w:rPr>
        <w:t xml:space="preserve">A summary of our Brent-based crude oil derivative contracts at December 31, 2022 are included in </w:t>
      </w:r>
      <w:r>
        <w:rPr>
          <w:rFonts w:ascii="Arial" w:cs="Arial" w:eastAsia="Arial" w:hAnsi="Arial"/>
          <w:sz w:val="20"/>
          <w:szCs w:val="20"/>
          <w:i w:val="1"/>
          <w:iCs w:val="1"/>
          <w:color w:val="auto"/>
        </w:rPr>
        <w:t>Part</w:t>
      </w:r>
      <w:r>
        <w:rPr>
          <w:rFonts w:ascii="Arial" w:cs="Arial" w:eastAsia="Arial" w:hAnsi="Arial"/>
          <w:sz w:val="20"/>
          <w:szCs w:val="20"/>
          <w:color w:val="auto"/>
        </w:rPr>
        <w:t xml:space="preserve"> </w:t>
      </w:r>
      <w:r>
        <w:rPr>
          <w:rFonts w:ascii="Arial" w:cs="Arial" w:eastAsia="Arial" w:hAnsi="Arial"/>
          <w:sz w:val="20"/>
          <w:szCs w:val="20"/>
          <w:i w:val="1"/>
          <w:iCs w:val="1"/>
          <w:color w:val="auto"/>
        </w:rPr>
        <w:t>II, Item 8 – Financial Statements and Supplementary Data, Note 7 Derivatives</w:t>
      </w:r>
      <w:r>
        <w:rPr>
          <w:rFonts w:ascii="Arial" w:cs="Arial" w:eastAsia="Arial" w:hAnsi="Arial"/>
          <w:sz w:val="20"/>
          <w:szCs w:val="20"/>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Counterparty Credit Risk</w:t>
      </w:r>
    </w:p>
    <w:p>
      <w:pPr>
        <w:spacing w:after="0" w:line="214" w:lineRule="exact"/>
        <w:rPr>
          <w:sz w:val="20"/>
          <w:szCs w:val="20"/>
          <w:color w:val="auto"/>
        </w:rPr>
      </w:pPr>
    </w:p>
    <w:p>
      <w:pPr>
        <w:ind w:right="20" w:firstLine="300"/>
        <w:spacing w:after="0" w:line="264" w:lineRule="auto"/>
        <w:rPr>
          <w:sz w:val="20"/>
          <w:szCs w:val="20"/>
          <w:color w:val="auto"/>
        </w:rPr>
      </w:pPr>
      <w:r>
        <w:rPr>
          <w:rFonts w:ascii="Arial" w:cs="Arial" w:eastAsia="Arial" w:hAnsi="Arial"/>
          <w:sz w:val="19"/>
          <w:szCs w:val="19"/>
          <w:color w:val="auto"/>
        </w:rPr>
        <w:t>Our counterparty credit risk relates primarily to trade receivables and derivative financial instruments. Credit exposure for each counterparty is monitored for outstanding balances and current activity. Counterparty credit limits have been established based upon the financial health of counterparties, and these limits are actively monitored. In the event counterparty credit risk is heightened, we may request collateral or accelerate payment dates for product deliveries. Approximately 60% of our production during 2022 was oil which was sold predominately to refineries in California. Trade receivables for all commodities are collected within 30 to 60 days following the month of delivery. For derivative instruments entered into as part of our hedging program, we are subject to counterparty credit risk to the extent the counterparty is unable to meet its settlement commitments. We have master netting agreements with each of our derivative counterparties, which allows us to net our settlement payments for the same commodity with the same counterparty. Therefore, our loss is limited to the net amount due from a defaulting counterparty. All of our counterparties in the hedging program have an investment grade credit rating. Concentration of credit risk is regularly reviewed to ensure that counterparty credit risk is adequately diversified.</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Interest-Rate Risk</w:t>
      </w:r>
    </w:p>
    <w:p>
      <w:pPr>
        <w:spacing w:after="0" w:line="214" w:lineRule="exact"/>
        <w:rPr>
          <w:sz w:val="20"/>
          <w:szCs w:val="20"/>
          <w:color w:val="auto"/>
        </w:rPr>
      </w:pPr>
    </w:p>
    <w:p>
      <w:pPr>
        <w:ind w:firstLine="300"/>
        <w:spacing w:after="0" w:line="248" w:lineRule="auto"/>
        <w:rPr>
          <w:sz w:val="20"/>
          <w:szCs w:val="20"/>
          <w:color w:val="auto"/>
        </w:rPr>
      </w:pPr>
      <w:r>
        <w:rPr>
          <w:rFonts w:ascii="Arial" w:cs="Arial" w:eastAsia="Arial" w:hAnsi="Arial"/>
          <w:sz w:val="20"/>
          <w:szCs w:val="20"/>
          <w:color w:val="auto"/>
        </w:rPr>
        <w:t>We had no variable-rate debt outstanding as of December 31, 2022. Due to rising interest rates, we may be limited in amending, replacing or refinancing our existing Revolving Credit Facility and Senior Notes at favorable terms if at all.</w:t>
      </w:r>
    </w:p>
    <w:p>
      <w:pPr>
        <w:sectPr>
          <w:pgSz w:w="11880" w:h="15480" w:orient="portrait"/>
          <w:cols w:equalWidth="0" w:num="1">
            <w:col w:w="9120"/>
          </w:cols>
          <w:pgMar w:left="1380" w:top="1310"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w:t>
      </w:r>
    </w:p>
    <w:p>
      <w:pPr>
        <w:sectPr>
          <w:pgSz w:w="11880" w:h="15480" w:orient="portrait"/>
          <w:cols w:equalWidth="0" w:num="1">
            <w:col w:w="9120"/>
          </w:cols>
          <w:pgMar w:left="1380" w:top="1310" w:right="1380" w:bottom="655" w:gutter="0" w:footer="0" w:header="0"/>
          <w:type w:val="continuous"/>
        </w:sectPr>
      </w:pPr>
    </w:p>
    <w:bookmarkStart w:id="93" w:name="page94"/>
    <w:bookmarkEnd w:id="93"/>
    <w:p>
      <w:pPr>
        <w:spacing w:after="0"/>
        <w:tabs>
          <w:tab w:leader="none" w:pos="8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9"/>
          <w:szCs w:val="19"/>
          <w:b w:val="1"/>
          <w:bCs w:val="1"/>
          <w:color w:val="auto"/>
        </w:rPr>
        <w:t>FINANCIAL STATEMENTS AND SUPPLEMENTARY DATA</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To the Stockholders and Board of Directors</w:t>
      </w:r>
    </w:p>
    <w:p>
      <w:pPr>
        <w:spacing w:after="0"/>
        <w:rPr>
          <w:sz w:val="20"/>
          <w:szCs w:val="20"/>
          <w:color w:val="auto"/>
        </w:rPr>
      </w:pPr>
      <w:r>
        <w:rPr>
          <w:rFonts w:ascii="Arial" w:cs="Arial" w:eastAsia="Arial" w:hAnsi="Arial"/>
          <w:sz w:val="20"/>
          <w:szCs w:val="20"/>
          <w:color w:val="auto"/>
        </w:rPr>
        <w:t>California Resources Corporation: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Opinions on the Consolidated Financial Statements and Internal Control Over Financial Reporting</w:t>
      </w:r>
    </w:p>
    <w:p>
      <w:pPr>
        <w:spacing w:after="0" w:line="206" w:lineRule="exact"/>
        <w:rPr>
          <w:sz w:val="20"/>
          <w:szCs w:val="20"/>
          <w:color w:val="auto"/>
        </w:rPr>
      </w:pPr>
    </w:p>
    <w:p>
      <w:pPr>
        <w:ind w:right="100"/>
        <w:spacing w:after="0" w:line="239" w:lineRule="auto"/>
        <w:rPr>
          <w:sz w:val="20"/>
          <w:szCs w:val="20"/>
          <w:color w:val="auto"/>
        </w:rPr>
      </w:pPr>
      <w:r>
        <w:rPr>
          <w:rFonts w:ascii="Arial" w:cs="Arial" w:eastAsia="Arial" w:hAnsi="Arial"/>
          <w:sz w:val="20"/>
          <w:szCs w:val="20"/>
          <w:color w:val="auto"/>
        </w:rPr>
        <w:t xml:space="preserve">We have audited the accompanying consolidated balance sheets of California Resources Corporation and subsidiaries (the Company) as of December 31, 2022 and December 31, 2021, the related consolidated statements of operations, comprehensive income (loss), changes in stockholders’ equity (deficit), and cash flows for each of the years in the two-year period ended December 31, 2022 (Successor), for the period from November 1, 2020 to December 31, 2020 (Successor), and for the period from January 1, 2020 to October 31, 2020 (Predecessor), and the related notes and financial statement schedule II (collectively, the consolidated financial statements). We also have audited the Company’s internal control over financial reporting as of December 31, 2022, based on criteria established in </w:t>
      </w:r>
      <w:r>
        <w:rPr>
          <w:rFonts w:ascii="Arial" w:cs="Arial" w:eastAsia="Arial" w:hAnsi="Arial"/>
          <w:sz w:val="20"/>
          <w:szCs w:val="20"/>
          <w:i w:val="1"/>
          <w:iCs w:val="1"/>
          <w:color w:val="auto"/>
        </w:rPr>
        <w:t>Internal Control – Integrated Framework (2013)</w:t>
      </w:r>
      <w:r>
        <w:rPr>
          <w:rFonts w:ascii="Arial" w:cs="Arial" w:eastAsia="Arial" w:hAnsi="Arial"/>
          <w:sz w:val="20"/>
          <w:szCs w:val="20"/>
          <w:color w:val="auto"/>
        </w:rPr>
        <w:t xml:space="preserve"> issued by the Committee of Sponsoring Organizations of the Treadway Commission.</w:t>
      </w:r>
    </w:p>
    <w:p>
      <w:pPr>
        <w:spacing w:after="0" w:line="210"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 xml:space="preserve">In our opinion, the consolidated financial statements referred to above present fairly, in all material respects, the financial position of the Company as of December 31, 2022 and December 31, 2021, and the results of its operations and its cash flows for each of the years in the two-year period ended December 31, 2022 (Successor), for the period from November 1, 2020 to December 31, 2020 (Successor), and for the period from January 1, 2020 to October 31, 2020 (Predecessor), in conformity with U.S. generally accepted accounting principles. Also in our opinion, the Company maintained, in all material respects, effective internal control over financial reporting as of December 31, 2022 based on criteria established in </w:t>
      </w:r>
      <w:r>
        <w:rPr>
          <w:rFonts w:ascii="Arial" w:cs="Arial" w:eastAsia="Arial" w:hAnsi="Arial"/>
          <w:sz w:val="20"/>
          <w:szCs w:val="20"/>
          <w:i w:val="1"/>
          <w:iCs w:val="1"/>
          <w:color w:val="auto"/>
        </w:rPr>
        <w:t>Internal Control – Integrated Framework (2013)</w:t>
      </w:r>
      <w:r>
        <w:rPr>
          <w:rFonts w:ascii="Arial" w:cs="Arial" w:eastAsia="Arial" w:hAnsi="Arial"/>
          <w:sz w:val="20"/>
          <w:szCs w:val="20"/>
          <w:color w:val="auto"/>
        </w:rPr>
        <w:t xml:space="preserve"> issued by the Committee of Sponsoring Organizations of the Treadway Commission.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New Basis of Presentation</w:t>
      </w:r>
    </w:p>
    <w:p>
      <w:pPr>
        <w:spacing w:after="0" w:line="204" w:lineRule="exact"/>
        <w:rPr>
          <w:sz w:val="20"/>
          <w:szCs w:val="20"/>
          <w:color w:val="auto"/>
        </w:rPr>
      </w:pPr>
    </w:p>
    <w:p>
      <w:pPr>
        <w:ind w:right="140"/>
        <w:spacing w:after="0" w:line="239" w:lineRule="auto"/>
        <w:rPr>
          <w:sz w:val="20"/>
          <w:szCs w:val="20"/>
          <w:color w:val="auto"/>
        </w:rPr>
      </w:pPr>
      <w:r>
        <w:rPr>
          <w:rFonts w:ascii="Arial" w:cs="Arial" w:eastAsia="Arial" w:hAnsi="Arial"/>
          <w:sz w:val="20"/>
          <w:szCs w:val="20"/>
          <w:color w:val="auto"/>
        </w:rPr>
        <w:t xml:space="preserve">As discussed in Notes 1 and 15 to the consolidated financial statements, the Company emerged from Chapter 11 bankruptcy on October 27, 2020 with a reporting date of October 31, 2020. Accordingly, the accompanying consolidated financial statements as of December 31, 2022, 2021, and 2020 have been prepared in conformity with Accounting Standards Codification Topic 852, </w:t>
      </w:r>
      <w:r>
        <w:rPr>
          <w:rFonts w:ascii="Arial" w:cs="Arial" w:eastAsia="Arial" w:hAnsi="Arial"/>
          <w:sz w:val="20"/>
          <w:szCs w:val="20"/>
          <w:i w:val="1"/>
          <w:iCs w:val="1"/>
          <w:color w:val="auto"/>
        </w:rPr>
        <w:t>Reorganizations</w:t>
      </w:r>
      <w:r>
        <w:rPr>
          <w:rFonts w:ascii="Arial" w:cs="Arial" w:eastAsia="Arial" w:hAnsi="Arial"/>
          <w:sz w:val="20"/>
          <w:szCs w:val="20"/>
          <w:color w:val="auto"/>
        </w:rPr>
        <w:t>, with the Company’s assets, liabilities, and capital structure having carrying amounts that are not comparable with prior periods.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Basis for Opinions</w:t>
      </w:r>
    </w:p>
    <w:p>
      <w:pPr>
        <w:spacing w:after="0" w:line="204" w:lineRule="exact"/>
        <w:rPr>
          <w:sz w:val="20"/>
          <w:szCs w:val="20"/>
          <w:color w:val="auto"/>
        </w:rPr>
      </w:pPr>
    </w:p>
    <w:p>
      <w:pPr>
        <w:ind w:right="20"/>
        <w:spacing w:after="0" w:line="253" w:lineRule="auto"/>
        <w:rPr>
          <w:sz w:val="20"/>
          <w:szCs w:val="20"/>
          <w:color w:val="auto"/>
        </w:rPr>
      </w:pPr>
      <w:r>
        <w:rPr>
          <w:rFonts w:ascii="Arial" w:cs="Arial" w:eastAsia="Arial" w:hAnsi="Arial"/>
          <w:sz w:val="19"/>
          <w:szCs w:val="19"/>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Assessment of and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ind w:right="280"/>
        <w:spacing w:after="0" w:line="248" w:lineRule="auto"/>
        <w:rPr>
          <w:sz w:val="20"/>
          <w:szCs w:val="20"/>
          <w:color w:val="auto"/>
        </w:rPr>
      </w:pPr>
      <w:r>
        <w:rPr>
          <w:rFonts w:ascii="Arial" w:cs="Arial" w:eastAsia="Arial" w:hAnsi="Arial"/>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ectPr>
          <w:pgSz w:w="11880" w:h="15480" w:orient="portrait"/>
          <w:cols w:equalWidth="0" w:num="1">
            <w:col w:w="9100"/>
          </w:cols>
          <w:pgMar w:left="1380" w:top="1300" w:right="1400" w:bottom="655"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90</w:t>
      </w:r>
    </w:p>
    <w:p>
      <w:pPr>
        <w:sectPr>
          <w:pgSz w:w="11880" w:h="15480" w:orient="portrait"/>
          <w:cols w:equalWidth="0" w:num="1">
            <w:col w:w="9100"/>
          </w:cols>
          <w:pgMar w:left="1380" w:top="1300" w:right="1400" w:bottom="655" w:gutter="0" w:footer="0" w:header="0"/>
          <w:type w:val="continuous"/>
        </w:sectPr>
      </w:pPr>
    </w:p>
    <w:bookmarkStart w:id="94" w:name="page95"/>
    <w:bookmarkEnd w:id="94"/>
    <w:p>
      <w:pPr>
        <w:ind w:right="60"/>
        <w:spacing w:after="0" w:line="239" w:lineRule="auto"/>
        <w:rPr>
          <w:sz w:val="20"/>
          <w:szCs w:val="20"/>
          <w:color w:val="auto"/>
        </w:rPr>
      </w:pPr>
      <w:r>
        <w:rPr>
          <w:rFonts w:ascii="Arial" w:cs="Arial" w:eastAsia="Arial" w:hAnsi="Arial"/>
          <w:sz w:val="20"/>
          <w:szCs w:val="20"/>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Definition and Limitations of Internal Control Over Financial Reporting</w:t>
      </w:r>
    </w:p>
    <w:p>
      <w:pPr>
        <w:spacing w:after="0" w:line="206"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1" w:lineRule="exact"/>
        <w:rPr>
          <w:sz w:val="20"/>
          <w:szCs w:val="20"/>
          <w:color w:val="auto"/>
        </w:rPr>
      </w:pPr>
    </w:p>
    <w:p>
      <w:pPr>
        <w:ind w:right="180"/>
        <w:spacing w:after="0" w:line="238"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Critical Audit Matters</w:t>
      </w:r>
    </w:p>
    <w:p>
      <w:pPr>
        <w:spacing w:after="0" w:line="204" w:lineRule="exact"/>
        <w:rPr>
          <w:sz w:val="20"/>
          <w:szCs w:val="20"/>
          <w:color w:val="auto"/>
        </w:rPr>
      </w:pPr>
    </w:p>
    <w:p>
      <w:pPr>
        <w:ind w:right="100"/>
        <w:spacing w:after="0" w:line="253" w:lineRule="auto"/>
        <w:rPr>
          <w:sz w:val="20"/>
          <w:szCs w:val="20"/>
          <w:color w:val="auto"/>
        </w:rPr>
      </w:pPr>
      <w:r>
        <w:rPr>
          <w:rFonts w:ascii="Arial" w:cs="Arial" w:eastAsia="Arial" w:hAnsi="Arial"/>
          <w:sz w:val="19"/>
          <w:szCs w:val="19"/>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20"/>
          <w:szCs w:val="20"/>
          <w:i w:val="1"/>
          <w:iCs w:val="1"/>
          <w:color w:val="auto"/>
        </w:rPr>
        <w:t>Impact of estimated oil and gas reserves on depletion expense for proved oil and gas properties</w:t>
      </w:r>
    </w:p>
    <w:p>
      <w:pPr>
        <w:spacing w:after="0" w:line="204" w:lineRule="exact"/>
        <w:rPr>
          <w:sz w:val="20"/>
          <w:szCs w:val="20"/>
          <w:color w:val="auto"/>
        </w:rPr>
      </w:pPr>
    </w:p>
    <w:p>
      <w:pPr>
        <w:ind w:left="300"/>
        <w:spacing w:after="0" w:line="253" w:lineRule="auto"/>
        <w:rPr>
          <w:sz w:val="20"/>
          <w:szCs w:val="20"/>
          <w:color w:val="auto"/>
        </w:rPr>
      </w:pPr>
      <w:r>
        <w:rPr>
          <w:rFonts w:ascii="Arial" w:cs="Arial" w:eastAsia="Arial" w:hAnsi="Arial"/>
          <w:sz w:val="19"/>
          <w:szCs w:val="19"/>
          <w:color w:val="auto"/>
        </w:rPr>
        <w:t>As discussed in Note 1 to the consolidated financial statements, the Company determines depletion of oil and gas producing properties by the unit-of-production method. Under this method, acquisition costs are amortized based on total proved oil and gas reserves and capitalized development and successful exploration costs are amortized based on proved developed oil and gas reserves. The Company recorded depreciation, depletion, and amortization expense of $198 million for the year ended December 31, 2022 (Successor). Estimating proved oil and gas reserves requires the expertise of professional petroleum reservoir engineers, who take into consideration estimates of future production, operating and development costs and commodity prices inclusive of market differentials. The Company employs technical personnel, such as reservoir engineers and geoscientists, who estimate proved oil and gas reserves. The Company also engages independent reservoir engineering specialists to perform an independent evaluation of the Company s proved oil and gas reserves estimates.</w:t>
      </w:r>
    </w:p>
    <w:p>
      <w:pPr>
        <w:sectPr>
          <w:pgSz w:w="11880" w:h="15480" w:orient="portrait"/>
          <w:cols w:equalWidth="0" w:num="1">
            <w:col w:w="9100"/>
          </w:cols>
          <w:pgMar w:left="1380" w:top="1306" w:right="1400" w:bottom="655"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91</w:t>
      </w:r>
    </w:p>
    <w:p>
      <w:pPr>
        <w:sectPr>
          <w:pgSz w:w="11880" w:h="15480" w:orient="portrait"/>
          <w:cols w:equalWidth="0" w:num="1">
            <w:col w:w="9100"/>
          </w:cols>
          <w:pgMar w:left="1380" w:top="1306" w:right="1400" w:bottom="655" w:gutter="0" w:footer="0" w:header="0"/>
          <w:type w:val="continuous"/>
        </w:sectPr>
      </w:pPr>
    </w:p>
    <w:bookmarkStart w:id="95" w:name="page96"/>
    <w:bookmarkEnd w:id="95"/>
    <w:p>
      <w:pPr>
        <w:ind w:left="300"/>
        <w:spacing w:after="0" w:line="239" w:lineRule="auto"/>
        <w:rPr>
          <w:sz w:val="20"/>
          <w:szCs w:val="20"/>
          <w:color w:val="auto"/>
        </w:rPr>
      </w:pPr>
      <w:r>
        <w:rPr>
          <w:rFonts w:ascii="Arial" w:cs="Arial" w:eastAsia="Arial" w:hAnsi="Arial"/>
          <w:sz w:val="20"/>
          <w:szCs w:val="20"/>
          <w:color w:val="auto"/>
        </w:rPr>
        <w:t>We identified the assessment of estimated proved oil and gas reserves on the determination of depreciation, depletion and amortization expense for proved oil and gas properties as a critical audit matter. Complex auditor judgment was required to evaluate the Company’s estimate of proved oil and gas reserves, which is an input to the determination of depreciation, depletion, and amortization expense. Specifically, auditor judgment was required to evaluate the assumptions used by the Company related to estimated future oil and gas production, future commodity prices inclusive of market differentials, and future operating and development costs.</w:t>
      </w:r>
    </w:p>
    <w:p>
      <w:pPr>
        <w:spacing w:after="0" w:line="207" w:lineRule="exact"/>
        <w:rPr>
          <w:sz w:val="20"/>
          <w:szCs w:val="20"/>
          <w:color w:val="auto"/>
        </w:rPr>
      </w:pPr>
    </w:p>
    <w:p>
      <w:pPr>
        <w:ind w:left="300"/>
        <w:spacing w:after="0" w:line="239" w:lineRule="auto"/>
        <w:rPr>
          <w:sz w:val="20"/>
          <w:szCs w:val="20"/>
          <w:color w:val="auto"/>
        </w:rPr>
      </w:pPr>
      <w:r>
        <w:rPr>
          <w:rFonts w:ascii="Arial" w:cs="Arial" w:eastAsia="Arial" w:hAnsi="Arial"/>
          <w:sz w:val="20"/>
          <w:szCs w:val="20"/>
          <w:color w:val="auto"/>
        </w:rPr>
        <w:t>The following are the primary procedures we performed to address this critical audit matter. We evaluated the design of certain internal controls related to the Company’s depletion process, including controls related to the estimation of proved oil and gas reserves. We evaluated (1) the professional qualifications of the Company’s internal reservoir engineers, as well as the independent reservoir engineering specialists and external engineering firm, (2) the knowledge, skills, and ability of the Company’s internal and independent reservoir engineers, and (3) the relationship of the independent reservoir engineering specialists and external engineering firms to the Company. We assessed the methodology used by the technical personnel employed by the Company and the independent reservoir engineering specialists to estimate the reserves used in the determination of depreciation, depletion and amortization expense for compliance with industry and regulatory standards. We compared estimated future oil and gas production and estimated future operating and development costs estimated by the technical personnel employed by the Company to historical results. We compared the commodity prices used by the Company’s internal technical personnel to publicly available prices and recalculated the relevant market differentials based on actual price realizations. We read and considered the reports of the independent reservoir engineering specialists in connection with our evaluation of the Company’s proved oil and gas reserves estimates.</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9"/>
          <w:szCs w:val="19"/>
          <w:i w:val="1"/>
          <w:iCs w:val="1"/>
          <w:color w:val="auto"/>
        </w:rPr>
        <w:t>Assessment of control of the Carbon TerraVault Joint Venture under the variable interest entity model</w:t>
      </w:r>
    </w:p>
    <w:p>
      <w:pPr>
        <w:spacing w:after="0" w:line="214" w:lineRule="exact"/>
        <w:rPr>
          <w:sz w:val="20"/>
          <w:szCs w:val="20"/>
          <w:color w:val="auto"/>
        </w:rPr>
      </w:pPr>
    </w:p>
    <w:p>
      <w:pPr>
        <w:ind w:left="300" w:right="100"/>
        <w:spacing w:after="0" w:line="254" w:lineRule="auto"/>
        <w:rPr>
          <w:sz w:val="20"/>
          <w:szCs w:val="20"/>
          <w:color w:val="auto"/>
        </w:rPr>
      </w:pPr>
      <w:r>
        <w:rPr>
          <w:rFonts w:ascii="Arial" w:cs="Arial" w:eastAsia="Arial" w:hAnsi="Arial"/>
          <w:sz w:val="19"/>
          <w:szCs w:val="19"/>
          <w:color w:val="auto"/>
        </w:rPr>
        <w:t>As discussed in Note 1, if an entity is determined to be a Variable Interest Entity (VIE) but the Company does not have a controlling financial interest, the entity is accounted for under the equity method. As discussed in Note 8, the Company accounts for its investment in the Carbon TerraVault Joint Venture (Carbon TerraVault JV) under the equity method of accounting. As of December 31, 2022, the Company’s carrying value of its equity method investment in the Carbon TerraVault JV was $13 million.</w:t>
      </w:r>
    </w:p>
    <w:p>
      <w:pPr>
        <w:spacing w:after="0" w:line="194" w:lineRule="exact"/>
        <w:rPr>
          <w:sz w:val="20"/>
          <w:szCs w:val="20"/>
          <w:color w:val="auto"/>
        </w:rPr>
      </w:pPr>
    </w:p>
    <w:p>
      <w:pPr>
        <w:ind w:left="300" w:right="120"/>
        <w:spacing w:after="0" w:line="238" w:lineRule="auto"/>
        <w:rPr>
          <w:sz w:val="20"/>
          <w:szCs w:val="20"/>
          <w:color w:val="auto"/>
        </w:rPr>
      </w:pPr>
      <w:r>
        <w:rPr>
          <w:rFonts w:ascii="Arial" w:cs="Arial" w:eastAsia="Arial" w:hAnsi="Arial"/>
          <w:sz w:val="20"/>
          <w:szCs w:val="20"/>
          <w:color w:val="auto"/>
        </w:rPr>
        <w:t>We identified the evaluation of control of the Carbon TerraVault JV as a critical audit matter. Identifying the activities of the VIE that most significantly impact its economic performance and evaluating whether the Company had the ability to direct these activities required a high degree of subjective auditor judgment.</w:t>
      </w:r>
    </w:p>
    <w:p>
      <w:pPr>
        <w:spacing w:after="0" w:line="208" w:lineRule="exact"/>
        <w:rPr>
          <w:sz w:val="20"/>
          <w:szCs w:val="20"/>
          <w:color w:val="auto"/>
        </w:rPr>
      </w:pPr>
    </w:p>
    <w:p>
      <w:pPr>
        <w:ind w:left="300" w:right="120"/>
        <w:spacing w:after="0" w:line="239" w:lineRule="auto"/>
        <w:rPr>
          <w:sz w:val="20"/>
          <w:szCs w:val="20"/>
          <w:color w:val="auto"/>
        </w:rPr>
      </w:pPr>
      <w:r>
        <w:rPr>
          <w:rFonts w:ascii="Arial" w:cs="Arial" w:eastAsia="Arial" w:hAnsi="Arial"/>
          <w:sz w:val="20"/>
          <w:szCs w:val="20"/>
          <w:color w:val="auto"/>
        </w:rPr>
        <w:t>The following are the primary procedures we performed to address the critical audit matter. We evaluated the design and tested the operating effectiveness of internal controls over the evaluation of technical accounting matters, including the evaluation of control for the Carbon TerraVault JV transaction. We obtained the Company’s accounting analysis and compared the relevant information in the analysis to the joint venture agreements and other underlying documentation, including the Company’s evaluation of the significant activities of the Carbon TerraVault JV and which party has the power to direct those activities. We inspected the relevant joint venture agreements and evaluated the Company’s determination of whether power is shared.</w:t>
      </w:r>
    </w:p>
    <w:p>
      <w:pPr>
        <w:spacing w:after="0" w:line="293"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/s/ KPMG LLP</w:t>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2014.</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Los Angeles, California</w:t>
      </w:r>
    </w:p>
    <w:p>
      <w:pPr>
        <w:spacing w:after="0"/>
        <w:rPr>
          <w:sz w:val="20"/>
          <w:szCs w:val="20"/>
          <w:color w:val="auto"/>
        </w:rPr>
      </w:pPr>
      <w:r>
        <w:rPr>
          <w:rFonts w:ascii="Arial" w:cs="Arial" w:eastAsia="Arial" w:hAnsi="Arial"/>
          <w:sz w:val="20"/>
          <w:szCs w:val="20"/>
          <w:color w:val="auto"/>
        </w:rPr>
        <w:t>February 24, 2023</w:t>
      </w:r>
    </w:p>
    <w:p>
      <w:pPr>
        <w:sectPr>
          <w:pgSz w:w="11880" w:h="15480" w:orient="portrait"/>
          <w:cols w:equalWidth="0" w:num="1">
            <w:col w:w="9120"/>
          </w:cols>
          <w:pgMar w:left="1380" w:top="1306" w:right="1380" w:bottom="655"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ectPr>
          <w:pgSz w:w="11880" w:h="15480" w:orient="portrait"/>
          <w:cols w:equalWidth="0" w:num="1">
            <w:col w:w="9120"/>
          </w:cols>
          <w:pgMar w:left="1380" w:top="1306" w:right="1380" w:bottom="655" w:gutter="0" w:footer="0" w:header="0"/>
          <w:type w:val="continuous"/>
        </w:sectPr>
      </w:pPr>
    </w:p>
    <w:bookmarkStart w:id="96" w:name="page97"/>
    <w:bookmarkEnd w:id="96"/>
    <w:p>
      <w:pPr>
        <w:jc w:val="center"/>
        <w:spacing w:after="0"/>
        <w:rPr>
          <w:sz w:val="20"/>
          <w:szCs w:val="20"/>
          <w:color w:val="auto"/>
        </w:rPr>
      </w:pPr>
      <w:r>
        <w:rPr>
          <w:rFonts w:ascii="Arial" w:cs="Arial" w:eastAsia="Arial" w:hAnsi="Arial"/>
          <w:sz w:val="20"/>
          <w:szCs w:val="20"/>
          <w:b w:val="1"/>
          <w:bCs w:val="1"/>
          <w:color w:val="auto"/>
        </w:rPr>
        <w:t>CALIFORNIA RESOURCES CORPORATION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of December 31, 2022 and 2021</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millions, except share data)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340"/>
              <w:spacing w:after="0"/>
              <w:rPr>
                <w:sz w:val="20"/>
                <w:szCs w:val="20"/>
                <w:color w:val="auto"/>
              </w:rPr>
            </w:pPr>
            <w:r>
              <w:rPr>
                <w:rFonts w:ascii="Arial" w:cs="Arial" w:eastAsia="Arial" w:hAnsi="Arial"/>
                <w:sz w:val="20"/>
                <w:szCs w:val="20"/>
                <w:b w:val="1"/>
                <w:bCs w:val="1"/>
                <w:color w:val="auto"/>
              </w:rPr>
              <w:t>2022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40"/>
              <w:spacing w:after="0"/>
              <w:rPr>
                <w:sz w:val="20"/>
                <w:szCs w:val="20"/>
                <w:color w:val="auto"/>
              </w:rPr>
            </w:pPr>
            <w:r>
              <w:rPr>
                <w:rFonts w:ascii="Arial" w:cs="Arial" w:eastAsia="Arial" w:hAnsi="Arial"/>
                <w:sz w:val="20"/>
                <w:szCs w:val="20"/>
                <w:b w:val="1"/>
                <w:bCs w:val="1"/>
                <w:color w:val="auto"/>
              </w:rPr>
              <w:t>2021</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20"/>
                <w:szCs w:val="20"/>
                <w:b w:val="1"/>
                <w:bCs w:val="1"/>
                <w:color w:val="auto"/>
              </w:rPr>
              <w:t>CURRENT ASSETS</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62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260" w:type="dxa"/>
            <w:vAlign w:val="bottom"/>
          </w:tcPr>
          <w:p>
            <w:pPr>
              <w:ind w:left="300"/>
              <w:spacing w:after="0"/>
              <w:rPr>
                <w:sz w:val="20"/>
                <w:szCs w:val="20"/>
                <w:color w:val="auto"/>
              </w:rPr>
            </w:pPr>
            <w:r>
              <w:rPr>
                <w:rFonts w:ascii="Arial" w:cs="Arial" w:eastAsia="Arial" w:hAnsi="Arial"/>
                <w:sz w:val="20"/>
                <w:szCs w:val="20"/>
                <w:color w:val="auto"/>
                <w:w w:val="99"/>
              </w:rPr>
              <w:t>Cash  . . . . . . . . . . . . . . . . . . . . . . . . . . . . . . . . . . . . . . . . . . . . . . . . .</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307</w:t>
            </w:r>
          </w:p>
        </w:tc>
        <w:tc>
          <w:tcPr>
            <w:tcW w:w="5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305</w:t>
            </w:r>
          </w:p>
        </w:tc>
        <w:tc>
          <w:tcPr>
            <w:tcW w:w="0" w:type="dxa"/>
            <w:vAlign w:val="bottom"/>
          </w:tcPr>
          <w:p>
            <w:pPr>
              <w:spacing w:after="0"/>
              <w:rPr>
                <w:sz w:val="1"/>
                <w:szCs w:val="1"/>
                <w:color w:val="auto"/>
              </w:rPr>
            </w:pPr>
          </w:p>
        </w:tc>
      </w:tr>
      <w:tr>
        <w:trPr>
          <w:trHeight w:val="239"/>
        </w:trPr>
        <w:tc>
          <w:tcPr>
            <w:tcW w:w="6260" w:type="dxa"/>
            <w:vAlign w:val="bottom"/>
          </w:tcPr>
          <w:p>
            <w:pPr>
              <w:ind w:left="300"/>
              <w:spacing w:after="0"/>
              <w:rPr>
                <w:sz w:val="20"/>
                <w:szCs w:val="20"/>
                <w:color w:val="auto"/>
              </w:rPr>
            </w:pPr>
            <w:r>
              <w:rPr>
                <w:rFonts w:ascii="Arial" w:cs="Arial" w:eastAsia="Arial" w:hAnsi="Arial"/>
                <w:sz w:val="20"/>
                <w:szCs w:val="20"/>
                <w:color w:val="auto"/>
              </w:rPr>
              <w:t>Trade receivables . . . . . . . . . . . .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326</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245</w:t>
            </w:r>
          </w:p>
        </w:tc>
        <w:tc>
          <w:tcPr>
            <w:tcW w:w="0" w:type="dxa"/>
            <w:vAlign w:val="bottom"/>
          </w:tcPr>
          <w:p>
            <w:pPr>
              <w:spacing w:after="0"/>
              <w:rPr>
                <w:sz w:val="1"/>
                <w:szCs w:val="1"/>
                <w:color w:val="auto"/>
              </w:rPr>
            </w:pPr>
          </w:p>
        </w:tc>
      </w:tr>
      <w:tr>
        <w:trPr>
          <w:trHeight w:val="235"/>
        </w:trPr>
        <w:tc>
          <w:tcPr>
            <w:tcW w:w="6260" w:type="dxa"/>
            <w:vAlign w:val="bottom"/>
          </w:tcPr>
          <w:p>
            <w:pPr>
              <w:ind w:left="300"/>
              <w:spacing w:after="0"/>
              <w:rPr>
                <w:sz w:val="20"/>
                <w:szCs w:val="20"/>
                <w:color w:val="auto"/>
              </w:rPr>
            </w:pPr>
            <w:r>
              <w:rPr>
                <w:rFonts w:ascii="Arial" w:cs="Arial" w:eastAsia="Arial" w:hAnsi="Arial"/>
                <w:sz w:val="20"/>
                <w:szCs w:val="20"/>
                <w:color w:val="auto"/>
                <w:w w:val="99"/>
              </w:rPr>
              <w:t>Inventories . . . . . . . . . . . . . . . . . .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60</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60</w:t>
            </w:r>
          </w:p>
        </w:tc>
        <w:tc>
          <w:tcPr>
            <w:tcW w:w="0" w:type="dxa"/>
            <w:vAlign w:val="bottom"/>
          </w:tcPr>
          <w:p>
            <w:pPr>
              <w:spacing w:after="0"/>
              <w:rPr>
                <w:sz w:val="1"/>
                <w:szCs w:val="1"/>
                <w:color w:val="auto"/>
              </w:rPr>
            </w:pPr>
          </w:p>
        </w:tc>
      </w:tr>
      <w:tr>
        <w:trPr>
          <w:trHeight w:val="237"/>
        </w:trPr>
        <w:tc>
          <w:tcPr>
            <w:tcW w:w="6260" w:type="dxa"/>
            <w:vAlign w:val="bottom"/>
          </w:tcPr>
          <w:p>
            <w:pPr>
              <w:ind w:left="300"/>
              <w:spacing w:after="0"/>
              <w:rPr>
                <w:sz w:val="20"/>
                <w:szCs w:val="20"/>
                <w:color w:val="auto"/>
              </w:rPr>
            </w:pPr>
            <w:r>
              <w:rPr>
                <w:rFonts w:ascii="Arial" w:cs="Arial" w:eastAsia="Arial" w:hAnsi="Arial"/>
                <w:sz w:val="20"/>
                <w:szCs w:val="20"/>
                <w:color w:val="auto"/>
              </w:rPr>
              <w:t>Assets held for sale  . . . . . . . . . .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239"/>
        </w:trPr>
        <w:tc>
          <w:tcPr>
            <w:tcW w:w="6260" w:type="dxa"/>
            <w:vAlign w:val="bottom"/>
          </w:tcPr>
          <w:p>
            <w:pPr>
              <w:ind w:left="300"/>
              <w:spacing w:after="0"/>
              <w:rPr>
                <w:sz w:val="20"/>
                <w:szCs w:val="20"/>
                <w:color w:val="auto"/>
              </w:rPr>
            </w:pPr>
            <w:r>
              <w:rPr>
                <w:rFonts w:ascii="Arial" w:cs="Arial" w:eastAsia="Arial" w:hAnsi="Arial"/>
                <w:sz w:val="20"/>
                <w:szCs w:val="20"/>
                <w:color w:val="auto"/>
              </w:rPr>
              <w:t>Receivable from affiliate . . . . . . .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33</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5"/>
        </w:trPr>
        <w:tc>
          <w:tcPr>
            <w:tcW w:w="6260" w:type="dxa"/>
            <w:vAlign w:val="bottom"/>
          </w:tcPr>
          <w:p>
            <w:pPr>
              <w:ind w:left="300"/>
              <w:spacing w:after="0"/>
              <w:rPr>
                <w:sz w:val="20"/>
                <w:szCs w:val="20"/>
                <w:color w:val="auto"/>
              </w:rPr>
            </w:pPr>
            <w:r>
              <w:rPr>
                <w:rFonts w:ascii="Arial" w:cs="Arial" w:eastAsia="Arial" w:hAnsi="Arial"/>
                <w:sz w:val="20"/>
                <w:szCs w:val="20"/>
                <w:color w:val="auto"/>
              </w:rPr>
              <w:t>Other current assets, net  . . . . . .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133</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121</w:t>
            </w:r>
          </w:p>
        </w:tc>
        <w:tc>
          <w:tcPr>
            <w:tcW w:w="0" w:type="dxa"/>
            <w:vAlign w:val="bottom"/>
          </w:tcPr>
          <w:p>
            <w:pPr>
              <w:spacing w:after="0"/>
              <w:rPr>
                <w:sz w:val="1"/>
                <w:szCs w:val="1"/>
                <w:color w:val="auto"/>
              </w:rPr>
            </w:pPr>
          </w:p>
        </w:tc>
      </w:tr>
      <w:tr>
        <w:trPr>
          <w:trHeight w:val="30"/>
        </w:trPr>
        <w:tc>
          <w:tcPr>
            <w:tcW w:w="6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60" w:type="dxa"/>
            <w:vAlign w:val="bottom"/>
          </w:tcPr>
          <w:p>
            <w:pPr>
              <w:ind w:left="600"/>
              <w:spacing w:after="0"/>
              <w:rPr>
                <w:sz w:val="20"/>
                <w:szCs w:val="20"/>
                <w:color w:val="auto"/>
              </w:rPr>
            </w:pPr>
            <w:r>
              <w:rPr>
                <w:rFonts w:ascii="Arial" w:cs="Arial" w:eastAsia="Arial" w:hAnsi="Arial"/>
                <w:sz w:val="20"/>
                <w:szCs w:val="20"/>
                <w:color w:val="auto"/>
              </w:rPr>
              <w:t>Total current assets  . . . . . . . . . . . . . . . . . . . . . . . . . . . . . . . . . .</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864</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753</w:t>
            </w:r>
          </w:p>
        </w:tc>
        <w:tc>
          <w:tcPr>
            <w:tcW w:w="0" w:type="dxa"/>
            <w:vAlign w:val="bottom"/>
          </w:tcPr>
          <w:p>
            <w:pPr>
              <w:spacing w:after="0"/>
              <w:rPr>
                <w:sz w:val="1"/>
                <w:szCs w:val="1"/>
                <w:color w:val="auto"/>
              </w:rPr>
            </w:pPr>
          </w:p>
        </w:tc>
      </w:tr>
      <w:tr>
        <w:trPr>
          <w:trHeight w:val="235"/>
        </w:trPr>
        <w:tc>
          <w:tcPr>
            <w:tcW w:w="6260" w:type="dxa"/>
            <w:vAlign w:val="bottom"/>
          </w:tcPr>
          <w:p>
            <w:pPr>
              <w:spacing w:after="0"/>
              <w:rPr>
                <w:sz w:val="20"/>
                <w:szCs w:val="20"/>
                <w:color w:val="auto"/>
              </w:rPr>
            </w:pPr>
            <w:r>
              <w:rPr>
                <w:rFonts w:ascii="Arial" w:cs="Arial" w:eastAsia="Arial" w:hAnsi="Arial"/>
                <w:sz w:val="20"/>
                <w:szCs w:val="20"/>
                <w:b w:val="1"/>
                <w:bCs w:val="1"/>
                <w:color w:val="auto"/>
              </w:rPr>
              <w:t xml:space="preserve">PROPERTY, PLANT AND EQUIPMENT </w:t>
            </w:r>
            <w:r>
              <w:rPr>
                <w:rFonts w:ascii="Arial" w:cs="Arial" w:eastAsia="Arial" w:hAnsi="Arial"/>
                <w:sz w:val="20"/>
                <w:szCs w:val="20"/>
                <w:color w:val="auto"/>
              </w:rPr>
              <w:t>.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3,228</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2,845</w:t>
            </w:r>
          </w:p>
        </w:tc>
        <w:tc>
          <w:tcPr>
            <w:tcW w:w="0" w:type="dxa"/>
            <w:vAlign w:val="bottom"/>
          </w:tcPr>
          <w:p>
            <w:pPr>
              <w:spacing w:after="0"/>
              <w:rPr>
                <w:sz w:val="1"/>
                <w:szCs w:val="1"/>
                <w:color w:val="auto"/>
              </w:rPr>
            </w:pPr>
          </w:p>
        </w:tc>
      </w:tr>
      <w:tr>
        <w:trPr>
          <w:trHeight w:val="237"/>
        </w:trPr>
        <w:tc>
          <w:tcPr>
            <w:tcW w:w="6260" w:type="dxa"/>
            <w:vAlign w:val="bottom"/>
          </w:tcPr>
          <w:p>
            <w:pPr>
              <w:ind w:left="300"/>
              <w:spacing w:after="0"/>
              <w:rPr>
                <w:sz w:val="20"/>
                <w:szCs w:val="20"/>
                <w:color w:val="auto"/>
              </w:rPr>
            </w:pPr>
            <w:r>
              <w:rPr>
                <w:rFonts w:ascii="Arial" w:cs="Arial" w:eastAsia="Arial" w:hAnsi="Arial"/>
                <w:sz w:val="20"/>
                <w:szCs w:val="20"/>
                <w:color w:val="auto"/>
              </w:rPr>
              <w:t>Accumulated depreciation, depletion and amortization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(442)</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(246)</w:t>
            </w:r>
          </w:p>
        </w:tc>
        <w:tc>
          <w:tcPr>
            <w:tcW w:w="0" w:type="dxa"/>
            <w:vAlign w:val="bottom"/>
          </w:tcPr>
          <w:p>
            <w:pPr>
              <w:spacing w:after="0"/>
              <w:rPr>
                <w:sz w:val="1"/>
                <w:szCs w:val="1"/>
                <w:color w:val="auto"/>
              </w:rPr>
            </w:pPr>
          </w:p>
        </w:tc>
      </w:tr>
      <w:tr>
        <w:trPr>
          <w:trHeight w:val="30"/>
        </w:trPr>
        <w:tc>
          <w:tcPr>
            <w:tcW w:w="6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60" w:type="dxa"/>
            <w:vAlign w:val="bottom"/>
          </w:tcPr>
          <w:p>
            <w:pPr>
              <w:ind w:left="600"/>
              <w:spacing w:after="0"/>
              <w:rPr>
                <w:sz w:val="20"/>
                <w:szCs w:val="20"/>
                <w:color w:val="auto"/>
              </w:rPr>
            </w:pPr>
            <w:r>
              <w:rPr>
                <w:rFonts w:ascii="Arial" w:cs="Arial" w:eastAsia="Arial" w:hAnsi="Arial"/>
                <w:sz w:val="20"/>
                <w:szCs w:val="20"/>
                <w:color w:val="auto"/>
              </w:rPr>
              <w:t>Total property, plant and equipment, net . . . . . . . . . . . . . . . . . .</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2,786</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2,599</w:t>
            </w:r>
          </w:p>
        </w:tc>
        <w:tc>
          <w:tcPr>
            <w:tcW w:w="0" w:type="dxa"/>
            <w:vAlign w:val="bottom"/>
          </w:tcPr>
          <w:p>
            <w:pPr>
              <w:spacing w:after="0"/>
              <w:rPr>
                <w:sz w:val="1"/>
                <w:szCs w:val="1"/>
                <w:color w:val="auto"/>
              </w:rPr>
            </w:pPr>
          </w:p>
        </w:tc>
      </w:tr>
      <w:tr>
        <w:trPr>
          <w:trHeight w:val="235"/>
        </w:trPr>
        <w:tc>
          <w:tcPr>
            <w:tcW w:w="6260" w:type="dxa"/>
            <w:vAlign w:val="bottom"/>
          </w:tcPr>
          <w:p>
            <w:pPr>
              <w:spacing w:after="0"/>
              <w:rPr>
                <w:sz w:val="20"/>
                <w:szCs w:val="20"/>
                <w:color w:val="auto"/>
              </w:rPr>
            </w:pPr>
            <w:r>
              <w:rPr>
                <w:rFonts w:ascii="Arial" w:cs="Arial" w:eastAsia="Arial" w:hAnsi="Arial"/>
                <w:sz w:val="20"/>
                <w:szCs w:val="20"/>
                <w:b w:val="1"/>
                <w:bCs w:val="1"/>
                <w:color w:val="auto"/>
              </w:rPr>
              <w:t xml:space="preserve">INVESTMENT IN UNCONSOLIDATED SUBSIDIARY </w:t>
            </w:r>
            <w:r>
              <w:rPr>
                <w:rFonts w:ascii="Arial" w:cs="Arial" w:eastAsia="Arial" w:hAnsi="Arial"/>
                <w:sz w:val="20"/>
                <w:szCs w:val="20"/>
                <w:color w:val="auto"/>
              </w:rPr>
              <w:t>.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13</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9"/>
        </w:trPr>
        <w:tc>
          <w:tcPr>
            <w:tcW w:w="6260" w:type="dxa"/>
            <w:vAlign w:val="bottom"/>
          </w:tcPr>
          <w:p>
            <w:pPr>
              <w:spacing w:after="0"/>
              <w:rPr>
                <w:sz w:val="20"/>
                <w:szCs w:val="20"/>
                <w:color w:val="auto"/>
              </w:rPr>
            </w:pPr>
            <w:r>
              <w:rPr>
                <w:rFonts w:ascii="Arial" w:cs="Arial" w:eastAsia="Arial" w:hAnsi="Arial"/>
                <w:sz w:val="20"/>
                <w:szCs w:val="20"/>
                <w:b w:val="1"/>
                <w:bCs w:val="1"/>
                <w:color w:val="auto"/>
              </w:rPr>
              <w:t xml:space="preserve">DEFERRED TAX ASSETS </w:t>
            </w:r>
            <w:r>
              <w:rPr>
                <w:rFonts w:ascii="Arial" w:cs="Arial" w:eastAsia="Arial" w:hAnsi="Arial"/>
                <w:sz w:val="20"/>
                <w:szCs w:val="20"/>
                <w:color w:val="auto"/>
              </w:rPr>
              <w:t>. . . . . . .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164</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396</w:t>
            </w:r>
          </w:p>
        </w:tc>
        <w:tc>
          <w:tcPr>
            <w:tcW w:w="0" w:type="dxa"/>
            <w:vAlign w:val="bottom"/>
          </w:tcPr>
          <w:p>
            <w:pPr>
              <w:spacing w:after="0"/>
              <w:rPr>
                <w:sz w:val="1"/>
                <w:szCs w:val="1"/>
                <w:color w:val="auto"/>
              </w:rPr>
            </w:pPr>
          </w:p>
        </w:tc>
      </w:tr>
      <w:tr>
        <w:trPr>
          <w:trHeight w:val="237"/>
        </w:trPr>
        <w:tc>
          <w:tcPr>
            <w:tcW w:w="6260" w:type="dxa"/>
            <w:vAlign w:val="bottom"/>
          </w:tcPr>
          <w:p>
            <w:pPr>
              <w:spacing w:after="0"/>
              <w:rPr>
                <w:sz w:val="20"/>
                <w:szCs w:val="20"/>
                <w:color w:val="auto"/>
              </w:rPr>
            </w:pPr>
            <w:r>
              <w:rPr>
                <w:rFonts w:ascii="Arial" w:cs="Arial" w:eastAsia="Arial" w:hAnsi="Arial"/>
                <w:sz w:val="20"/>
                <w:szCs w:val="20"/>
                <w:b w:val="1"/>
                <w:bCs w:val="1"/>
                <w:color w:val="auto"/>
              </w:rPr>
              <w:t xml:space="preserve">OTHER NONCURRENT ASSETS </w:t>
            </w:r>
            <w:r>
              <w:rPr>
                <w:rFonts w:ascii="Arial" w:cs="Arial" w:eastAsia="Arial" w:hAnsi="Arial"/>
                <w:sz w:val="20"/>
                <w:szCs w:val="20"/>
                <w:color w:val="auto"/>
              </w:rPr>
              <w:t>.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140</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98</w:t>
            </w:r>
          </w:p>
        </w:tc>
        <w:tc>
          <w:tcPr>
            <w:tcW w:w="0" w:type="dxa"/>
            <w:vAlign w:val="bottom"/>
          </w:tcPr>
          <w:p>
            <w:pPr>
              <w:spacing w:after="0"/>
              <w:rPr>
                <w:sz w:val="1"/>
                <w:szCs w:val="1"/>
                <w:color w:val="auto"/>
              </w:rPr>
            </w:pPr>
          </w:p>
        </w:tc>
      </w:tr>
      <w:tr>
        <w:trPr>
          <w:trHeight w:val="28"/>
        </w:trPr>
        <w:tc>
          <w:tcPr>
            <w:tcW w:w="6260" w:type="dxa"/>
            <w:vAlign w:val="bottom"/>
            <w:vMerge w:val="restart"/>
          </w:tcPr>
          <w:p>
            <w:pPr>
              <w:spacing w:after="0"/>
              <w:rPr>
                <w:sz w:val="20"/>
                <w:szCs w:val="20"/>
                <w:color w:val="auto"/>
              </w:rPr>
            </w:pPr>
            <w:r>
              <w:rPr>
                <w:rFonts w:ascii="Arial" w:cs="Arial" w:eastAsia="Arial" w:hAnsi="Arial"/>
                <w:sz w:val="20"/>
                <w:szCs w:val="20"/>
                <w:b w:val="1"/>
                <w:bCs w:val="1"/>
                <w:color w:val="auto"/>
                <w:w w:val="99"/>
              </w:rPr>
              <w:t xml:space="preserve">TOTAL ASSETS  </w:t>
            </w:r>
            <w:r>
              <w:rPr>
                <w:rFonts w:ascii="Arial" w:cs="Arial" w:eastAsia="Arial" w:hAnsi="Arial"/>
                <w:sz w:val="20"/>
                <w:szCs w:val="20"/>
                <w:color w:val="auto"/>
                <w:w w:val="99"/>
              </w:rPr>
              <w:t>. . . . . . . . . . . . . . . . . . . . . . . . . . . . . . . . . . . . . . . . . .</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60" w:type="dxa"/>
            <w:vAlign w:val="bottom"/>
            <w:vMerge w:val="continue"/>
          </w:tcPr>
          <w:p>
            <w:pPr>
              <w:spacing w:after="0"/>
              <w:rPr>
                <w:sz w:val="23"/>
                <w:szCs w:val="23"/>
                <w:color w:val="auto"/>
              </w:rPr>
            </w:pP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3,967</w:t>
            </w:r>
          </w:p>
        </w:tc>
        <w:tc>
          <w:tcPr>
            <w:tcW w:w="5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3,846</w:t>
            </w:r>
          </w:p>
        </w:tc>
        <w:tc>
          <w:tcPr>
            <w:tcW w:w="0" w:type="dxa"/>
            <w:vAlign w:val="bottom"/>
          </w:tcPr>
          <w:p>
            <w:pPr>
              <w:spacing w:after="0"/>
              <w:rPr>
                <w:sz w:val="1"/>
                <w:szCs w:val="1"/>
                <w:color w:val="auto"/>
              </w:rPr>
            </w:pPr>
          </w:p>
        </w:tc>
      </w:tr>
      <w:tr>
        <w:trPr>
          <w:trHeight w:val="28"/>
        </w:trPr>
        <w:tc>
          <w:tcPr>
            <w:tcW w:w="6260" w:type="dxa"/>
            <w:vAlign w:val="bottom"/>
            <w:vMerge w:val="restart"/>
          </w:tcPr>
          <w:p>
            <w:pPr>
              <w:spacing w:after="0"/>
              <w:rPr>
                <w:sz w:val="20"/>
                <w:szCs w:val="20"/>
                <w:color w:val="auto"/>
              </w:rPr>
            </w:pPr>
            <w:r>
              <w:rPr>
                <w:rFonts w:ascii="Arial" w:cs="Arial" w:eastAsia="Arial" w:hAnsi="Arial"/>
                <w:sz w:val="20"/>
                <w:szCs w:val="20"/>
                <w:b w:val="1"/>
                <w:bCs w:val="1"/>
                <w:color w:val="auto"/>
              </w:rPr>
              <w:t>CURRENT LIABILITIES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62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260" w:type="dxa"/>
            <w:vAlign w:val="bottom"/>
          </w:tcPr>
          <w:p>
            <w:pPr>
              <w:ind w:left="300"/>
              <w:spacing w:after="0"/>
              <w:rPr>
                <w:sz w:val="20"/>
                <w:szCs w:val="20"/>
                <w:color w:val="auto"/>
              </w:rPr>
            </w:pPr>
            <w:r>
              <w:rPr>
                <w:rFonts w:ascii="Arial" w:cs="Arial" w:eastAsia="Arial" w:hAnsi="Arial"/>
                <w:sz w:val="20"/>
                <w:szCs w:val="20"/>
                <w:color w:val="auto"/>
              </w:rPr>
              <w:t>Accounts payable . . . . . . . . . . . .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345</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266</w:t>
            </w:r>
          </w:p>
        </w:tc>
        <w:tc>
          <w:tcPr>
            <w:tcW w:w="0" w:type="dxa"/>
            <w:vAlign w:val="bottom"/>
          </w:tcPr>
          <w:p>
            <w:pPr>
              <w:spacing w:after="0"/>
              <w:rPr>
                <w:sz w:val="1"/>
                <w:szCs w:val="1"/>
                <w:color w:val="auto"/>
              </w:rPr>
            </w:pPr>
          </w:p>
        </w:tc>
      </w:tr>
      <w:tr>
        <w:trPr>
          <w:trHeight w:val="237"/>
        </w:trPr>
        <w:tc>
          <w:tcPr>
            <w:tcW w:w="6260" w:type="dxa"/>
            <w:vAlign w:val="bottom"/>
          </w:tcPr>
          <w:p>
            <w:pPr>
              <w:ind w:left="300"/>
              <w:spacing w:after="0"/>
              <w:rPr>
                <w:sz w:val="20"/>
                <w:szCs w:val="20"/>
                <w:color w:val="auto"/>
              </w:rPr>
            </w:pPr>
            <w:r>
              <w:rPr>
                <w:rFonts w:ascii="Arial" w:cs="Arial" w:eastAsia="Arial" w:hAnsi="Arial"/>
                <w:sz w:val="20"/>
                <w:szCs w:val="20"/>
                <w:color w:val="auto"/>
              </w:rPr>
              <w:t>Liabilities associated with assets held for sale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237"/>
        </w:trPr>
        <w:tc>
          <w:tcPr>
            <w:tcW w:w="6260" w:type="dxa"/>
            <w:vAlign w:val="bottom"/>
          </w:tcPr>
          <w:p>
            <w:pPr>
              <w:ind w:left="300"/>
              <w:spacing w:after="0"/>
              <w:rPr>
                <w:sz w:val="20"/>
                <w:szCs w:val="20"/>
                <w:color w:val="auto"/>
              </w:rPr>
            </w:pPr>
            <w:r>
              <w:rPr>
                <w:rFonts w:ascii="Arial" w:cs="Arial" w:eastAsia="Arial" w:hAnsi="Arial"/>
                <w:sz w:val="20"/>
                <w:szCs w:val="20"/>
                <w:color w:val="auto"/>
              </w:rPr>
              <w:t>Fair value of derivative contracts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246</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270</w:t>
            </w:r>
          </w:p>
        </w:tc>
        <w:tc>
          <w:tcPr>
            <w:tcW w:w="0" w:type="dxa"/>
            <w:vAlign w:val="bottom"/>
          </w:tcPr>
          <w:p>
            <w:pPr>
              <w:spacing w:after="0"/>
              <w:rPr>
                <w:sz w:val="1"/>
                <w:szCs w:val="1"/>
                <w:color w:val="auto"/>
              </w:rPr>
            </w:pPr>
          </w:p>
        </w:tc>
      </w:tr>
      <w:tr>
        <w:trPr>
          <w:trHeight w:val="237"/>
        </w:trPr>
        <w:tc>
          <w:tcPr>
            <w:tcW w:w="6260" w:type="dxa"/>
            <w:vAlign w:val="bottom"/>
          </w:tcPr>
          <w:p>
            <w:pPr>
              <w:ind w:left="300"/>
              <w:spacing w:after="0"/>
              <w:rPr>
                <w:sz w:val="20"/>
                <w:szCs w:val="20"/>
                <w:color w:val="auto"/>
              </w:rPr>
            </w:pPr>
            <w:r>
              <w:rPr>
                <w:rFonts w:ascii="Arial" w:cs="Arial" w:eastAsia="Arial" w:hAnsi="Arial"/>
                <w:sz w:val="20"/>
                <w:szCs w:val="20"/>
                <w:color w:val="auto"/>
              </w:rPr>
              <w:t>Accrued liabilities  . . . . . . . . . . . .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298</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297</w:t>
            </w:r>
          </w:p>
        </w:tc>
        <w:tc>
          <w:tcPr>
            <w:tcW w:w="0" w:type="dxa"/>
            <w:vAlign w:val="bottom"/>
          </w:tcPr>
          <w:p>
            <w:pPr>
              <w:spacing w:after="0"/>
              <w:rPr>
                <w:sz w:val="1"/>
                <w:szCs w:val="1"/>
                <w:color w:val="auto"/>
              </w:rPr>
            </w:pPr>
          </w:p>
        </w:tc>
      </w:tr>
      <w:tr>
        <w:trPr>
          <w:trHeight w:val="28"/>
        </w:trPr>
        <w:tc>
          <w:tcPr>
            <w:tcW w:w="6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260" w:type="dxa"/>
            <w:vAlign w:val="bottom"/>
          </w:tcPr>
          <w:p>
            <w:pPr>
              <w:ind w:left="600"/>
              <w:spacing w:after="0"/>
              <w:rPr>
                <w:sz w:val="20"/>
                <w:szCs w:val="20"/>
                <w:color w:val="auto"/>
              </w:rPr>
            </w:pPr>
            <w:r>
              <w:rPr>
                <w:rFonts w:ascii="Arial" w:cs="Arial" w:eastAsia="Arial" w:hAnsi="Arial"/>
                <w:sz w:val="20"/>
                <w:szCs w:val="20"/>
                <w:color w:val="auto"/>
              </w:rPr>
              <w:t>Total current liabilities . . . . . . . . . . . . . . . . . . . . . . . . . . . . . . . . .</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894</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854</w:t>
            </w:r>
          </w:p>
        </w:tc>
        <w:tc>
          <w:tcPr>
            <w:tcW w:w="0" w:type="dxa"/>
            <w:vAlign w:val="bottom"/>
          </w:tcPr>
          <w:p>
            <w:pPr>
              <w:spacing w:after="0"/>
              <w:rPr>
                <w:sz w:val="1"/>
                <w:szCs w:val="1"/>
                <w:color w:val="auto"/>
              </w:rPr>
            </w:pPr>
          </w:p>
        </w:tc>
      </w:tr>
      <w:tr>
        <w:trPr>
          <w:trHeight w:val="239"/>
        </w:trPr>
        <w:tc>
          <w:tcPr>
            <w:tcW w:w="6260" w:type="dxa"/>
            <w:vAlign w:val="bottom"/>
          </w:tcPr>
          <w:p>
            <w:pPr>
              <w:spacing w:after="0"/>
              <w:rPr>
                <w:sz w:val="20"/>
                <w:szCs w:val="20"/>
                <w:color w:val="auto"/>
              </w:rPr>
            </w:pPr>
            <w:r>
              <w:rPr>
                <w:rFonts w:ascii="Arial" w:cs="Arial" w:eastAsia="Arial" w:hAnsi="Arial"/>
                <w:sz w:val="20"/>
                <w:szCs w:val="20"/>
                <w:b w:val="1"/>
                <w:bCs w:val="1"/>
                <w:color w:val="auto"/>
              </w:rPr>
              <w:t>NONCURRENT LIABILITIES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260" w:type="dxa"/>
            <w:vAlign w:val="bottom"/>
          </w:tcPr>
          <w:p>
            <w:pPr>
              <w:ind w:left="300"/>
              <w:spacing w:after="0"/>
              <w:rPr>
                <w:sz w:val="20"/>
                <w:szCs w:val="20"/>
                <w:color w:val="auto"/>
              </w:rPr>
            </w:pPr>
            <w:r>
              <w:rPr>
                <w:rFonts w:ascii="Arial" w:cs="Arial" w:eastAsia="Arial" w:hAnsi="Arial"/>
                <w:sz w:val="20"/>
                <w:szCs w:val="20"/>
                <w:color w:val="auto"/>
              </w:rPr>
              <w:t>Long-term debt, net  . . . . . . . . . .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592</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589</w:t>
            </w:r>
          </w:p>
        </w:tc>
        <w:tc>
          <w:tcPr>
            <w:tcW w:w="0" w:type="dxa"/>
            <w:vAlign w:val="bottom"/>
          </w:tcPr>
          <w:p>
            <w:pPr>
              <w:spacing w:after="0"/>
              <w:rPr>
                <w:sz w:val="1"/>
                <w:szCs w:val="1"/>
                <w:color w:val="auto"/>
              </w:rPr>
            </w:pPr>
          </w:p>
        </w:tc>
      </w:tr>
      <w:tr>
        <w:trPr>
          <w:trHeight w:val="237"/>
        </w:trPr>
        <w:tc>
          <w:tcPr>
            <w:tcW w:w="6260" w:type="dxa"/>
            <w:vAlign w:val="bottom"/>
          </w:tcPr>
          <w:p>
            <w:pPr>
              <w:ind w:left="300"/>
              <w:spacing w:after="0"/>
              <w:rPr>
                <w:sz w:val="20"/>
                <w:szCs w:val="20"/>
                <w:color w:val="auto"/>
              </w:rPr>
            </w:pPr>
            <w:r>
              <w:rPr>
                <w:rFonts w:ascii="Arial" w:cs="Arial" w:eastAsia="Arial" w:hAnsi="Arial"/>
                <w:sz w:val="20"/>
                <w:szCs w:val="20"/>
                <w:color w:val="auto"/>
              </w:rPr>
              <w:t>Fair value of derivative contracts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132</w:t>
            </w:r>
          </w:p>
        </w:tc>
        <w:tc>
          <w:tcPr>
            <w:tcW w:w="0" w:type="dxa"/>
            <w:vAlign w:val="bottom"/>
          </w:tcPr>
          <w:p>
            <w:pPr>
              <w:spacing w:after="0"/>
              <w:rPr>
                <w:sz w:val="1"/>
                <w:szCs w:val="1"/>
                <w:color w:val="auto"/>
              </w:rPr>
            </w:pPr>
          </w:p>
        </w:tc>
      </w:tr>
      <w:tr>
        <w:trPr>
          <w:trHeight w:val="237"/>
        </w:trPr>
        <w:tc>
          <w:tcPr>
            <w:tcW w:w="6260" w:type="dxa"/>
            <w:vAlign w:val="bottom"/>
          </w:tcPr>
          <w:p>
            <w:pPr>
              <w:ind w:left="300"/>
              <w:spacing w:after="0"/>
              <w:rPr>
                <w:sz w:val="20"/>
                <w:szCs w:val="20"/>
                <w:color w:val="auto"/>
              </w:rPr>
            </w:pPr>
            <w:r>
              <w:rPr>
                <w:rFonts w:ascii="Arial" w:cs="Arial" w:eastAsia="Arial" w:hAnsi="Arial"/>
                <w:sz w:val="20"/>
                <w:szCs w:val="20"/>
                <w:color w:val="auto"/>
              </w:rPr>
              <w:t>Asset retirement obligations . . . .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432</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438</w:t>
            </w:r>
          </w:p>
        </w:tc>
        <w:tc>
          <w:tcPr>
            <w:tcW w:w="0" w:type="dxa"/>
            <w:vAlign w:val="bottom"/>
          </w:tcPr>
          <w:p>
            <w:pPr>
              <w:spacing w:after="0"/>
              <w:rPr>
                <w:sz w:val="1"/>
                <w:szCs w:val="1"/>
                <w:color w:val="auto"/>
              </w:rPr>
            </w:pPr>
          </w:p>
        </w:tc>
      </w:tr>
      <w:tr>
        <w:trPr>
          <w:trHeight w:val="235"/>
        </w:trPr>
        <w:tc>
          <w:tcPr>
            <w:tcW w:w="6260" w:type="dxa"/>
            <w:vAlign w:val="bottom"/>
          </w:tcPr>
          <w:p>
            <w:pPr>
              <w:ind w:left="300"/>
              <w:spacing w:after="0"/>
              <w:rPr>
                <w:sz w:val="20"/>
                <w:szCs w:val="20"/>
                <w:color w:val="auto"/>
              </w:rPr>
            </w:pPr>
            <w:r>
              <w:rPr>
                <w:rFonts w:ascii="Arial" w:cs="Arial" w:eastAsia="Arial" w:hAnsi="Arial"/>
                <w:sz w:val="20"/>
                <w:szCs w:val="20"/>
                <w:color w:val="auto"/>
              </w:rPr>
              <w:t>Other long-term liabilities . . . . . .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185</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145</w:t>
            </w:r>
          </w:p>
        </w:tc>
        <w:tc>
          <w:tcPr>
            <w:tcW w:w="0" w:type="dxa"/>
            <w:vAlign w:val="bottom"/>
          </w:tcPr>
          <w:p>
            <w:pPr>
              <w:spacing w:after="0"/>
              <w:rPr>
                <w:sz w:val="1"/>
                <w:szCs w:val="1"/>
                <w:color w:val="auto"/>
              </w:rPr>
            </w:pPr>
          </w:p>
        </w:tc>
      </w:tr>
      <w:tr>
        <w:trPr>
          <w:trHeight w:val="239"/>
        </w:trPr>
        <w:tc>
          <w:tcPr>
            <w:tcW w:w="6260" w:type="dxa"/>
            <w:vAlign w:val="bottom"/>
          </w:tcPr>
          <w:p>
            <w:pPr>
              <w:spacing w:after="0"/>
              <w:rPr>
                <w:sz w:val="20"/>
                <w:szCs w:val="20"/>
                <w:color w:val="auto"/>
              </w:rPr>
            </w:pPr>
            <w:r>
              <w:rPr>
                <w:rFonts w:ascii="Arial" w:cs="Arial" w:eastAsia="Arial" w:hAnsi="Arial"/>
                <w:sz w:val="20"/>
                <w:szCs w:val="20"/>
                <w:b w:val="1"/>
                <w:bCs w:val="1"/>
                <w:color w:val="auto"/>
              </w:rPr>
              <w:t>STOCKHOLDERS’ EQUITY</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260" w:type="dxa"/>
            <w:vAlign w:val="bottom"/>
          </w:tcPr>
          <w:p>
            <w:pPr>
              <w:ind w:left="300"/>
              <w:spacing w:after="0"/>
              <w:rPr>
                <w:sz w:val="20"/>
                <w:szCs w:val="20"/>
                <w:color w:val="auto"/>
              </w:rPr>
            </w:pPr>
            <w:r>
              <w:rPr>
                <w:rFonts w:ascii="Arial" w:cs="Arial" w:eastAsia="Arial" w:hAnsi="Arial"/>
                <w:sz w:val="20"/>
                <w:szCs w:val="20"/>
                <w:color w:val="auto"/>
              </w:rPr>
              <w:t>Preferred stock (20 million shares authorized at $0.01 par value);</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260" w:type="dxa"/>
            <w:vAlign w:val="bottom"/>
          </w:tcPr>
          <w:p>
            <w:pPr>
              <w:ind w:left="300"/>
              <w:spacing w:after="0"/>
              <w:rPr>
                <w:sz w:val="20"/>
                <w:szCs w:val="20"/>
                <w:color w:val="auto"/>
              </w:rPr>
            </w:pPr>
            <w:r>
              <w:rPr>
                <w:rFonts w:ascii="Arial" w:cs="Arial" w:eastAsia="Arial" w:hAnsi="Arial"/>
                <w:sz w:val="20"/>
                <w:szCs w:val="20"/>
                <w:color w:val="auto"/>
              </w:rPr>
              <w:t>no shares outstanding at December 31, 2022 or 2021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7"/>
        </w:trPr>
        <w:tc>
          <w:tcPr>
            <w:tcW w:w="6260" w:type="dxa"/>
            <w:vAlign w:val="bottom"/>
          </w:tcPr>
          <w:p>
            <w:pPr>
              <w:ind w:left="300"/>
              <w:spacing w:after="0"/>
              <w:rPr>
                <w:sz w:val="20"/>
                <w:szCs w:val="20"/>
                <w:color w:val="auto"/>
              </w:rPr>
            </w:pPr>
            <w:r>
              <w:rPr>
                <w:rFonts w:ascii="Arial" w:cs="Arial" w:eastAsia="Arial" w:hAnsi="Arial"/>
                <w:sz w:val="20"/>
                <w:szCs w:val="20"/>
                <w:color w:val="auto"/>
              </w:rPr>
              <w:t>Common stock (200 million shares authorized at $0.01 par</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260" w:type="dxa"/>
            <w:vAlign w:val="bottom"/>
          </w:tcPr>
          <w:p>
            <w:pPr>
              <w:ind w:left="300"/>
              <w:spacing w:after="0"/>
              <w:rPr>
                <w:sz w:val="20"/>
                <w:szCs w:val="20"/>
                <w:color w:val="auto"/>
              </w:rPr>
            </w:pPr>
            <w:r>
              <w:rPr>
                <w:rFonts w:ascii="Arial" w:cs="Arial" w:eastAsia="Arial" w:hAnsi="Arial"/>
                <w:sz w:val="20"/>
                <w:szCs w:val="20"/>
                <w:color w:val="auto"/>
              </w:rPr>
              <w:t>value); (83,406,002 and 83,389,210 shares issued; 71,949,742</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260" w:type="dxa"/>
            <w:vAlign w:val="bottom"/>
          </w:tcPr>
          <w:p>
            <w:pPr>
              <w:ind w:left="300"/>
              <w:spacing w:after="0"/>
              <w:rPr>
                <w:sz w:val="20"/>
                <w:szCs w:val="20"/>
                <w:color w:val="auto"/>
              </w:rPr>
            </w:pPr>
            <w:r>
              <w:rPr>
                <w:rFonts w:ascii="Arial" w:cs="Arial" w:eastAsia="Arial" w:hAnsi="Arial"/>
                <w:sz w:val="20"/>
                <w:szCs w:val="20"/>
                <w:color w:val="auto"/>
              </w:rPr>
              <w:t>and 79,299,222 shares outstanding at December 31, 2022 and</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260" w:type="dxa"/>
            <w:vAlign w:val="bottom"/>
          </w:tcPr>
          <w:p>
            <w:pPr>
              <w:ind w:left="300"/>
              <w:spacing w:after="0"/>
              <w:rPr>
                <w:sz w:val="20"/>
                <w:szCs w:val="20"/>
                <w:color w:val="auto"/>
              </w:rPr>
            </w:pPr>
            <w:r>
              <w:rPr>
                <w:rFonts w:ascii="Arial" w:cs="Arial" w:eastAsia="Arial" w:hAnsi="Arial"/>
                <w:sz w:val="20"/>
                <w:szCs w:val="20"/>
                <w:color w:val="auto"/>
              </w:rPr>
              <w:t>2021, respectively) . . . . . . . . . . .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39"/>
        </w:trPr>
        <w:tc>
          <w:tcPr>
            <w:tcW w:w="6260" w:type="dxa"/>
            <w:vAlign w:val="bottom"/>
          </w:tcPr>
          <w:p>
            <w:pPr>
              <w:ind w:left="300"/>
              <w:spacing w:after="0"/>
              <w:rPr>
                <w:sz w:val="20"/>
                <w:szCs w:val="20"/>
                <w:color w:val="auto"/>
              </w:rPr>
            </w:pPr>
            <w:r>
              <w:rPr>
                <w:rFonts w:ascii="Arial" w:cs="Arial" w:eastAsia="Arial" w:hAnsi="Arial"/>
                <w:sz w:val="20"/>
                <w:szCs w:val="20"/>
                <w:color w:val="auto"/>
              </w:rPr>
              <w:t>Treasury stock (11,456,260 shares held at cost at December 31,</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260" w:type="dxa"/>
            <w:vAlign w:val="bottom"/>
          </w:tcPr>
          <w:p>
            <w:pPr>
              <w:ind w:left="300"/>
              <w:spacing w:after="0"/>
              <w:rPr>
                <w:sz w:val="20"/>
                <w:szCs w:val="20"/>
                <w:color w:val="auto"/>
              </w:rPr>
            </w:pPr>
            <w:r>
              <w:rPr>
                <w:rFonts w:ascii="Arial" w:cs="Arial" w:eastAsia="Arial" w:hAnsi="Arial"/>
                <w:sz w:val="20"/>
                <w:szCs w:val="20"/>
                <w:color w:val="auto"/>
              </w:rPr>
              <w:t>2022 and 4,089,988 shares held at December 31, 2021)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(461)</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(148)</w:t>
            </w:r>
          </w:p>
        </w:tc>
        <w:tc>
          <w:tcPr>
            <w:tcW w:w="0" w:type="dxa"/>
            <w:vAlign w:val="bottom"/>
          </w:tcPr>
          <w:p>
            <w:pPr>
              <w:spacing w:after="0"/>
              <w:rPr>
                <w:sz w:val="1"/>
                <w:szCs w:val="1"/>
                <w:color w:val="auto"/>
              </w:rPr>
            </w:pPr>
          </w:p>
        </w:tc>
      </w:tr>
      <w:tr>
        <w:trPr>
          <w:trHeight w:val="238"/>
        </w:trPr>
        <w:tc>
          <w:tcPr>
            <w:tcW w:w="6260" w:type="dxa"/>
            <w:vAlign w:val="bottom"/>
          </w:tcPr>
          <w:p>
            <w:pPr>
              <w:ind w:left="300"/>
              <w:spacing w:after="0"/>
              <w:rPr>
                <w:sz w:val="20"/>
                <w:szCs w:val="20"/>
                <w:color w:val="auto"/>
              </w:rPr>
            </w:pPr>
            <w:r>
              <w:rPr>
                <w:rFonts w:ascii="Arial" w:cs="Arial" w:eastAsia="Arial" w:hAnsi="Arial"/>
                <w:sz w:val="20"/>
                <w:szCs w:val="20"/>
                <w:color w:val="auto"/>
              </w:rPr>
              <w:t>Additional paid-in capital  . . . . . .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1,305</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1,288</w:t>
            </w:r>
          </w:p>
        </w:tc>
        <w:tc>
          <w:tcPr>
            <w:tcW w:w="0" w:type="dxa"/>
            <w:vAlign w:val="bottom"/>
          </w:tcPr>
          <w:p>
            <w:pPr>
              <w:spacing w:after="0"/>
              <w:rPr>
                <w:sz w:val="1"/>
                <w:szCs w:val="1"/>
                <w:color w:val="auto"/>
              </w:rPr>
            </w:pPr>
          </w:p>
        </w:tc>
      </w:tr>
      <w:tr>
        <w:trPr>
          <w:trHeight w:val="237"/>
        </w:trPr>
        <w:tc>
          <w:tcPr>
            <w:tcW w:w="6260" w:type="dxa"/>
            <w:vAlign w:val="bottom"/>
          </w:tcPr>
          <w:p>
            <w:pPr>
              <w:ind w:left="300"/>
              <w:spacing w:after="0"/>
              <w:rPr>
                <w:sz w:val="20"/>
                <w:szCs w:val="20"/>
                <w:color w:val="auto"/>
              </w:rPr>
            </w:pPr>
            <w:r>
              <w:rPr>
                <w:rFonts w:ascii="Arial" w:cs="Arial" w:eastAsia="Arial" w:hAnsi="Arial"/>
                <w:sz w:val="20"/>
                <w:szCs w:val="20"/>
                <w:color w:val="auto"/>
                <w:w w:val="99"/>
              </w:rPr>
              <w:t>Retained earnings . . . . . . . . . . . .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938</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475</w:t>
            </w:r>
          </w:p>
        </w:tc>
        <w:tc>
          <w:tcPr>
            <w:tcW w:w="0" w:type="dxa"/>
            <w:vAlign w:val="bottom"/>
          </w:tcPr>
          <w:p>
            <w:pPr>
              <w:spacing w:after="0"/>
              <w:rPr>
                <w:sz w:val="1"/>
                <w:szCs w:val="1"/>
                <w:color w:val="auto"/>
              </w:rPr>
            </w:pPr>
          </w:p>
        </w:tc>
      </w:tr>
      <w:tr>
        <w:trPr>
          <w:trHeight w:val="235"/>
        </w:trPr>
        <w:tc>
          <w:tcPr>
            <w:tcW w:w="6260" w:type="dxa"/>
            <w:vAlign w:val="bottom"/>
          </w:tcPr>
          <w:p>
            <w:pPr>
              <w:ind w:left="300"/>
              <w:spacing w:after="0"/>
              <w:rPr>
                <w:sz w:val="20"/>
                <w:szCs w:val="20"/>
                <w:color w:val="auto"/>
              </w:rPr>
            </w:pPr>
            <w:r>
              <w:rPr>
                <w:rFonts w:ascii="Arial" w:cs="Arial" w:eastAsia="Arial" w:hAnsi="Arial"/>
                <w:sz w:val="20"/>
                <w:szCs w:val="20"/>
                <w:color w:val="auto"/>
              </w:rPr>
              <w:t>Accumulated other comprehensive income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81</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72</w:t>
            </w:r>
          </w:p>
        </w:tc>
        <w:tc>
          <w:tcPr>
            <w:tcW w:w="0" w:type="dxa"/>
            <w:vAlign w:val="bottom"/>
          </w:tcPr>
          <w:p>
            <w:pPr>
              <w:spacing w:after="0"/>
              <w:rPr>
                <w:sz w:val="1"/>
                <w:szCs w:val="1"/>
                <w:color w:val="auto"/>
              </w:rPr>
            </w:pPr>
          </w:p>
        </w:tc>
      </w:tr>
      <w:tr>
        <w:trPr>
          <w:trHeight w:val="30"/>
        </w:trPr>
        <w:tc>
          <w:tcPr>
            <w:tcW w:w="6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260" w:type="dxa"/>
            <w:vAlign w:val="bottom"/>
          </w:tcPr>
          <w:p>
            <w:pPr>
              <w:ind w:left="600"/>
              <w:spacing w:after="0"/>
              <w:rPr>
                <w:sz w:val="20"/>
                <w:szCs w:val="20"/>
                <w:color w:val="auto"/>
              </w:rPr>
            </w:pPr>
            <w:r>
              <w:rPr>
                <w:rFonts w:ascii="Arial" w:cs="Arial" w:eastAsia="Arial" w:hAnsi="Arial"/>
                <w:sz w:val="20"/>
                <w:szCs w:val="20"/>
                <w:color w:val="auto"/>
              </w:rPr>
              <w:t>Total stockholders’ equity . . . . . . . . . . . . . . . . . . . . . . . . . . . . . .</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1,864</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1,688</w:t>
            </w:r>
          </w:p>
        </w:tc>
        <w:tc>
          <w:tcPr>
            <w:tcW w:w="0" w:type="dxa"/>
            <w:vAlign w:val="bottom"/>
          </w:tcPr>
          <w:p>
            <w:pPr>
              <w:spacing w:after="0"/>
              <w:rPr>
                <w:sz w:val="1"/>
                <w:szCs w:val="1"/>
                <w:color w:val="auto"/>
              </w:rPr>
            </w:pPr>
          </w:p>
        </w:tc>
      </w:tr>
      <w:tr>
        <w:trPr>
          <w:trHeight w:val="30"/>
        </w:trPr>
        <w:tc>
          <w:tcPr>
            <w:tcW w:w="6260" w:type="dxa"/>
            <w:vAlign w:val="bottom"/>
            <w:vMerge w:val="restart"/>
          </w:tcPr>
          <w:p>
            <w:pPr>
              <w:spacing w:after="0"/>
              <w:rPr>
                <w:sz w:val="20"/>
                <w:szCs w:val="20"/>
                <w:color w:val="auto"/>
              </w:rPr>
            </w:pPr>
            <w:r>
              <w:rPr>
                <w:rFonts w:ascii="Arial" w:cs="Arial" w:eastAsia="Arial" w:hAnsi="Arial"/>
                <w:sz w:val="20"/>
                <w:szCs w:val="20"/>
                <w:b w:val="1"/>
                <w:bCs w:val="1"/>
                <w:color w:val="auto"/>
              </w:rPr>
              <w:t xml:space="preserve">TOTAL LIABILITIES AND STOCKHOLDERS’ EQUITY </w:t>
            </w:r>
            <w:r>
              <w:rPr>
                <w:rFonts w:ascii="Arial" w:cs="Arial" w:eastAsia="Arial" w:hAnsi="Arial"/>
                <w:sz w:val="20"/>
                <w:szCs w:val="20"/>
                <w:color w:val="auto"/>
              </w:rPr>
              <w:t>. . . . . . . . . .</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260" w:type="dxa"/>
            <w:vAlign w:val="bottom"/>
            <w:vMerge w:val="continue"/>
          </w:tcPr>
          <w:p>
            <w:pPr>
              <w:spacing w:after="0"/>
              <w:rPr>
                <w:sz w:val="23"/>
                <w:szCs w:val="23"/>
                <w:color w:val="auto"/>
              </w:rPr>
            </w:pP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3,967</w:t>
            </w:r>
          </w:p>
        </w:tc>
        <w:tc>
          <w:tcPr>
            <w:tcW w:w="5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3,846</w:t>
            </w:r>
          </w:p>
        </w:tc>
        <w:tc>
          <w:tcPr>
            <w:tcW w:w="0" w:type="dxa"/>
            <w:vAlign w:val="bottom"/>
          </w:tcPr>
          <w:p>
            <w:pPr>
              <w:spacing w:after="0"/>
              <w:rPr>
                <w:sz w:val="1"/>
                <w:szCs w:val="1"/>
                <w:color w:val="auto"/>
              </w:rPr>
            </w:pPr>
          </w:p>
        </w:tc>
      </w:tr>
      <w:tr>
        <w:trPr>
          <w:trHeight w:val="30"/>
        </w:trPr>
        <w:tc>
          <w:tcPr>
            <w:tcW w:w="6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880" w:h="15480" w:orient="portrait"/>
          <w:cols w:equalWidth="0" w:num="1">
            <w:col w:w="9120"/>
          </w:cols>
          <w:pgMar w:left="1380" w:top="1310" w:right="1380" w:bottom="695" w:gutter="0" w:footer="0" w:header="0"/>
        </w:sect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93</w:t>
      </w:r>
    </w:p>
    <w:p>
      <w:pPr>
        <w:sectPr>
          <w:pgSz w:w="11880" w:h="15480" w:orient="portrait"/>
          <w:cols w:equalWidth="0" w:num="1">
            <w:col w:w="9120"/>
          </w:cols>
          <w:pgMar w:left="1380" w:top="1310" w:right="1380" w:bottom="695" w:gutter="0" w:footer="0" w:header="0"/>
          <w:type w:val="continuous"/>
        </w:sectPr>
      </w:pPr>
    </w:p>
    <w:bookmarkStart w:id="97" w:name="page98"/>
    <w:bookmarkEnd w:id="97"/>
    <w:p>
      <w:pPr>
        <w:jc w:val="center"/>
        <w:spacing w:after="0"/>
        <w:rPr>
          <w:sz w:val="20"/>
          <w:szCs w:val="20"/>
          <w:color w:val="auto"/>
        </w:rPr>
      </w:pPr>
      <w:r>
        <w:rPr>
          <w:rFonts w:ascii="Arial" w:cs="Arial" w:eastAsia="Arial" w:hAnsi="Arial"/>
          <w:sz w:val="20"/>
          <w:szCs w:val="20"/>
          <w:b w:val="1"/>
          <w:bCs w:val="1"/>
          <w:color w:val="auto"/>
        </w:rPr>
        <w:t>CALIFORNIA RESOURCES CORPORATION AND SUBSIDIARIES</w:t>
      </w:r>
    </w:p>
    <w:p>
      <w:pPr>
        <w:jc w:val="center"/>
        <w:spacing w:after="0" w:line="208" w:lineRule="auto"/>
        <w:rPr>
          <w:sz w:val="20"/>
          <w:szCs w:val="20"/>
          <w:color w:val="auto"/>
        </w:rPr>
      </w:pPr>
      <w:r>
        <w:rPr>
          <w:rFonts w:ascii="Arial" w:cs="Arial" w:eastAsia="Arial" w:hAnsi="Arial"/>
          <w:sz w:val="20"/>
          <w:szCs w:val="20"/>
          <w:b w:val="1"/>
          <w:bCs w:val="1"/>
          <w:color w:val="auto"/>
        </w:rPr>
        <w:t>Consolidated Statements of Operations</w:t>
      </w:r>
    </w:p>
    <w:p>
      <w:pPr>
        <w:jc w:val="center"/>
        <w:spacing w:after="0" w:line="209" w:lineRule="auto"/>
        <w:rPr>
          <w:sz w:val="20"/>
          <w:szCs w:val="20"/>
          <w:color w:val="auto"/>
        </w:rPr>
      </w:pPr>
      <w:r>
        <w:rPr>
          <w:rFonts w:ascii="Arial" w:cs="Arial" w:eastAsia="Arial" w:hAnsi="Arial"/>
          <w:sz w:val="20"/>
          <w:szCs w:val="20"/>
          <w:b w:val="1"/>
          <w:bCs w:val="1"/>
          <w:color w:val="auto"/>
        </w:rPr>
        <w:t>For the years ended December 31, 2022 and 2021, the period from November 1, 2020 through</w:t>
      </w:r>
    </w:p>
    <w:p>
      <w:pPr>
        <w:jc w:val="center"/>
        <w:spacing w:after="0" w:line="209" w:lineRule="auto"/>
        <w:rPr>
          <w:sz w:val="20"/>
          <w:szCs w:val="20"/>
          <w:color w:val="auto"/>
        </w:rPr>
      </w:pPr>
      <w:r>
        <w:rPr>
          <w:rFonts w:ascii="Arial" w:cs="Arial" w:eastAsia="Arial" w:hAnsi="Arial"/>
          <w:sz w:val="20"/>
          <w:szCs w:val="20"/>
          <w:b w:val="1"/>
          <w:bCs w:val="1"/>
          <w:color w:val="auto"/>
        </w:rPr>
        <w:t>December 31, 2020 and the period from January 1, 2020 through October 31, 2020</w:t>
      </w:r>
    </w:p>
    <w:p>
      <w:pPr>
        <w:jc w:val="center"/>
        <w:spacing w:after="0" w:line="208" w:lineRule="auto"/>
        <w:rPr>
          <w:sz w:val="20"/>
          <w:szCs w:val="20"/>
          <w:color w:val="auto"/>
        </w:rPr>
      </w:pPr>
      <w:r>
        <w:rPr>
          <w:rFonts w:ascii="Arial" w:cs="Arial" w:eastAsia="Arial" w:hAnsi="Arial"/>
          <w:sz w:val="20"/>
          <w:szCs w:val="20"/>
          <w:color w:val="auto"/>
        </w:rPr>
        <w:t>(in millions, except share and per share data)</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Successor</w:t>
            </w: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lef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99"/>
              </w:rPr>
              <w:t>Predecessor</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160" w:type="dxa"/>
            <w:vAlign w:val="bottom"/>
            <w:gridSpan w:val="3"/>
          </w:tcPr>
          <w:p>
            <w:pPr>
              <w:ind w:left="140"/>
              <w:spacing w:after="0" w:line="171" w:lineRule="exact"/>
              <w:rPr>
                <w:sz w:val="20"/>
                <w:szCs w:val="20"/>
                <w:color w:val="auto"/>
              </w:rPr>
            </w:pPr>
            <w:r>
              <w:rPr>
                <w:rFonts w:ascii="Arial" w:cs="Arial" w:eastAsia="Arial" w:hAnsi="Arial"/>
                <w:sz w:val="16"/>
                <w:szCs w:val="16"/>
                <w:b w:val="1"/>
                <w:bCs w:val="1"/>
                <w:color w:val="auto"/>
              </w:rPr>
              <w:t>Year ended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4"/>
          </w:tcPr>
          <w:p>
            <w:pPr>
              <w:ind w:left="120"/>
              <w:spacing w:after="0" w:line="171" w:lineRule="exact"/>
              <w:rPr>
                <w:sz w:val="20"/>
                <w:szCs w:val="20"/>
                <w:color w:val="auto"/>
              </w:rPr>
            </w:pPr>
            <w:r>
              <w:rPr>
                <w:rFonts w:ascii="Arial" w:cs="Arial" w:eastAsia="Arial" w:hAnsi="Arial"/>
                <w:sz w:val="16"/>
                <w:szCs w:val="16"/>
                <w:b w:val="1"/>
                <w:bCs w:val="1"/>
                <w:color w:val="auto"/>
              </w:rPr>
              <w:t>Year ended</w:t>
            </w:r>
          </w:p>
        </w:tc>
        <w:tc>
          <w:tcPr>
            <w:tcW w:w="1600" w:type="dxa"/>
            <w:vAlign w:val="bottom"/>
            <w:gridSpan w:val="5"/>
            <w:vMerge w:val="restart"/>
          </w:tcPr>
          <w:p>
            <w:pPr>
              <w:ind w:left="60"/>
              <w:spacing w:after="0"/>
              <w:rPr>
                <w:sz w:val="20"/>
                <w:szCs w:val="20"/>
                <w:color w:val="auto"/>
              </w:rPr>
            </w:pPr>
            <w:r>
              <w:rPr>
                <w:rFonts w:ascii="Arial" w:cs="Arial" w:eastAsia="Arial" w:hAnsi="Arial"/>
                <w:sz w:val="16"/>
                <w:szCs w:val="16"/>
                <w:b w:val="1"/>
                <w:bCs w:val="1"/>
                <w:color w:val="auto"/>
              </w:rPr>
              <w:t>November 1, 2020 -</w:t>
            </w:r>
          </w:p>
        </w:tc>
        <w:tc>
          <w:tcPr>
            <w:tcW w:w="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3"/>
            <w:vMerge w:val="restart"/>
          </w:tcPr>
          <w:p>
            <w:pPr>
              <w:jc w:val="center"/>
              <w:ind w:right="40"/>
              <w:spacing w:after="0"/>
              <w:rPr>
                <w:sz w:val="20"/>
                <w:szCs w:val="20"/>
                <w:color w:val="auto"/>
              </w:rPr>
            </w:pPr>
            <w:r>
              <w:rPr>
                <w:rFonts w:ascii="Arial" w:cs="Arial" w:eastAsia="Arial" w:hAnsi="Arial"/>
                <w:sz w:val="16"/>
                <w:szCs w:val="16"/>
                <w:b w:val="1"/>
                <w:bCs w:val="1"/>
                <w:color w:val="auto"/>
                <w:w w:val="99"/>
              </w:rPr>
              <w:t>January 1, 2020 -</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160" w:type="dxa"/>
            <w:vAlign w:val="bottom"/>
            <w:gridSpan w:val="3"/>
          </w:tcPr>
          <w:p>
            <w:pPr>
              <w:ind w:left="60"/>
              <w:spacing w:after="0" w:line="149" w:lineRule="exact"/>
              <w:rPr>
                <w:sz w:val="20"/>
                <w:szCs w:val="20"/>
                <w:color w:val="auto"/>
              </w:rPr>
            </w:pPr>
            <w:r>
              <w:rPr>
                <w:rFonts w:ascii="Arial" w:cs="Arial" w:eastAsia="Arial" w:hAnsi="Arial"/>
                <w:sz w:val="16"/>
                <w:szCs w:val="16"/>
                <w:b w:val="1"/>
                <w:bCs w:val="1"/>
                <w:color w:val="auto"/>
              </w:rPr>
              <w:t>December 31,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4"/>
          </w:tcPr>
          <w:p>
            <w:pPr>
              <w:ind w:left="40"/>
              <w:spacing w:after="0" w:line="149" w:lineRule="exact"/>
              <w:rPr>
                <w:sz w:val="20"/>
                <w:szCs w:val="20"/>
                <w:color w:val="auto"/>
              </w:rPr>
            </w:pPr>
            <w:r>
              <w:rPr>
                <w:rFonts w:ascii="Arial" w:cs="Arial" w:eastAsia="Arial" w:hAnsi="Arial"/>
                <w:sz w:val="16"/>
                <w:szCs w:val="16"/>
                <w:b w:val="1"/>
                <w:bCs w:val="1"/>
                <w:color w:val="auto"/>
              </w:rPr>
              <w:t>December 31,</w:t>
            </w:r>
          </w:p>
        </w:tc>
        <w:tc>
          <w:tcPr>
            <w:tcW w:w="1600" w:type="dxa"/>
            <w:vAlign w:val="bottom"/>
            <w:gridSpan w:val="5"/>
            <w:vMerge w:val="continue"/>
          </w:tcPr>
          <w:p>
            <w:pPr>
              <w:spacing w:after="0"/>
              <w:rPr>
                <w:sz w:val="12"/>
                <w:szCs w:val="12"/>
                <w:color w:val="auto"/>
              </w:rPr>
            </w:pPr>
          </w:p>
        </w:tc>
        <w:tc>
          <w:tcPr>
            <w:tcW w:w="80" w:type="dxa"/>
            <w:vAlign w:val="bottom"/>
            <w:tcBorders>
              <w:lef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35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gridSpan w:val="5"/>
            <w:vMerge w:val="restart"/>
          </w:tcPr>
          <w:p>
            <w:pPr>
              <w:ind w:left="40"/>
              <w:spacing w:after="0" w:line="181" w:lineRule="exact"/>
              <w:rPr>
                <w:sz w:val="20"/>
                <w:szCs w:val="20"/>
                <w:color w:val="auto"/>
              </w:rPr>
            </w:pPr>
            <w:r>
              <w:rPr>
                <w:rFonts w:ascii="Arial" w:cs="Arial" w:eastAsia="Arial" w:hAnsi="Arial"/>
                <w:sz w:val="16"/>
                <w:szCs w:val="16"/>
                <w:b w:val="1"/>
                <w:bCs w:val="1"/>
                <w:color w:val="auto"/>
              </w:rPr>
              <w:t>December 31, 2020</w:t>
            </w:r>
          </w:p>
        </w:tc>
        <w:tc>
          <w:tcPr>
            <w:tcW w:w="80" w:type="dxa"/>
            <w:vAlign w:val="bottom"/>
            <w:tcBorders>
              <w:left w:val="single" w:sz="8" w:color="auto"/>
            </w:tcBorders>
          </w:tcPr>
          <w:p>
            <w:pPr>
              <w:spacing w:after="0"/>
              <w:rPr>
                <w:sz w:val="5"/>
                <w:szCs w:val="5"/>
                <w:color w:val="auto"/>
              </w:rPr>
            </w:pPr>
          </w:p>
        </w:tc>
        <w:tc>
          <w:tcPr>
            <w:tcW w:w="40" w:type="dxa"/>
            <w:vAlign w:val="bottom"/>
            <w:vMerge w:val="restart"/>
          </w:tcPr>
          <w:p>
            <w:pPr>
              <w:spacing w:after="0"/>
              <w:rPr>
                <w:sz w:val="5"/>
                <w:szCs w:val="5"/>
                <w:color w:val="auto"/>
              </w:rPr>
            </w:pPr>
          </w:p>
        </w:tc>
        <w:tc>
          <w:tcPr>
            <w:tcW w:w="1320" w:type="dxa"/>
            <w:vAlign w:val="bottom"/>
            <w:gridSpan w:val="3"/>
            <w:vMerge w:val="restart"/>
          </w:tcPr>
          <w:p>
            <w:pPr>
              <w:jc w:val="center"/>
              <w:ind w:right="40"/>
              <w:spacing w:after="0" w:line="181" w:lineRule="exact"/>
              <w:rPr>
                <w:sz w:val="20"/>
                <w:szCs w:val="20"/>
                <w:color w:val="auto"/>
              </w:rPr>
            </w:pPr>
            <w:r>
              <w:rPr>
                <w:rFonts w:ascii="Arial" w:cs="Arial" w:eastAsia="Arial" w:hAnsi="Arial"/>
                <w:sz w:val="16"/>
                <w:szCs w:val="16"/>
                <w:b w:val="1"/>
                <w:bCs w:val="1"/>
                <w:color w:val="auto"/>
                <w:w w:val="99"/>
              </w:rPr>
              <w:t>October 31, 2020</w:t>
            </w:r>
          </w:p>
        </w:tc>
        <w:tc>
          <w:tcPr>
            <w:tcW w:w="0" w:type="dxa"/>
            <w:vAlign w:val="bottom"/>
          </w:tcPr>
          <w:p>
            <w:pPr>
              <w:spacing w:after="0"/>
              <w:rPr>
                <w:sz w:val="1"/>
                <w:szCs w:val="1"/>
                <w:color w:val="auto"/>
              </w:rPr>
            </w:pPr>
          </w:p>
        </w:tc>
      </w:tr>
      <w:tr>
        <w:trPr>
          <w:trHeight w:val="101"/>
        </w:trPr>
        <w:tc>
          <w:tcPr>
            <w:tcW w:w="3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vMerge w:val="restart"/>
          </w:tcPr>
          <w:p>
            <w:pPr>
              <w:jc w:val="right"/>
              <w:ind w:right="295"/>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vMerge w:val="restart"/>
          </w:tcPr>
          <w:p>
            <w:pPr>
              <w:jc w:val="right"/>
              <w:ind w:right="295"/>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80" w:type="dxa"/>
            <w:vAlign w:val="bottom"/>
            <w:tcBorders>
              <w:left w:val="single" w:sz="8" w:color="auto"/>
            </w:tcBorders>
          </w:tcPr>
          <w:p>
            <w:pPr>
              <w:spacing w:after="0"/>
              <w:rPr>
                <w:sz w:val="8"/>
                <w:szCs w:val="8"/>
                <w:color w:val="auto"/>
              </w:rPr>
            </w:pPr>
          </w:p>
        </w:tc>
        <w:tc>
          <w:tcPr>
            <w:tcW w:w="40" w:type="dxa"/>
            <w:vAlign w:val="bottom"/>
            <w:vMerge w:val="continue"/>
          </w:tcPr>
          <w:p>
            <w:pPr>
              <w:spacing w:after="0"/>
              <w:rPr>
                <w:sz w:val="8"/>
                <w:szCs w:val="8"/>
                <w:color w:val="auto"/>
              </w:rPr>
            </w:pPr>
          </w:p>
        </w:tc>
        <w:tc>
          <w:tcPr>
            <w:tcW w:w="13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3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lef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3560" w:type="dxa"/>
            <w:vAlign w:val="bottom"/>
            <w:vMerge w:val="restart"/>
          </w:tcPr>
          <w:p>
            <w:pPr>
              <w:spacing w:after="0"/>
              <w:rPr>
                <w:sz w:val="20"/>
                <w:szCs w:val="20"/>
                <w:color w:val="auto"/>
              </w:rPr>
            </w:pPr>
            <w:r>
              <w:rPr>
                <w:rFonts w:ascii="Arial" w:cs="Arial" w:eastAsia="Arial" w:hAnsi="Arial"/>
                <w:sz w:val="17"/>
                <w:szCs w:val="17"/>
                <w:b w:val="1"/>
                <w:bCs w:val="1"/>
                <w:color w:val="auto"/>
              </w:rPr>
              <w:t>REVENUES</w:t>
            </w: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5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560" w:type="dxa"/>
            <w:vAlign w:val="bottom"/>
          </w:tcPr>
          <w:p>
            <w:pPr>
              <w:ind w:left="180"/>
              <w:spacing w:after="0" w:line="171" w:lineRule="exact"/>
              <w:rPr>
                <w:sz w:val="20"/>
                <w:szCs w:val="20"/>
                <w:color w:val="auto"/>
              </w:rPr>
            </w:pPr>
            <w:r>
              <w:rPr>
                <w:rFonts w:ascii="Arial" w:cs="Arial" w:eastAsia="Arial" w:hAnsi="Arial"/>
                <w:sz w:val="17"/>
                <w:szCs w:val="17"/>
                <w:color w:val="auto"/>
              </w:rPr>
              <w:t>Oil, natural gas and NGL sales  . . . . . . . . .</w:t>
            </w:r>
          </w:p>
        </w:tc>
        <w:tc>
          <w:tcPr>
            <w:tcW w:w="280" w:type="dxa"/>
            <w:vAlign w:val="bottom"/>
          </w:tcPr>
          <w:p>
            <w:pPr>
              <w:ind w:left="60"/>
              <w:spacing w:after="0" w:line="171" w:lineRule="exact"/>
              <w:rPr>
                <w:sz w:val="20"/>
                <w:szCs w:val="20"/>
                <w:color w:val="auto"/>
              </w:rPr>
            </w:pPr>
            <w:r>
              <w:rPr>
                <w:rFonts w:ascii="Arial" w:cs="Arial" w:eastAsia="Arial" w:hAnsi="Arial"/>
                <w:sz w:val="17"/>
                <w:szCs w:val="17"/>
                <w:color w:val="auto"/>
              </w:rPr>
              <w:t>$</w:t>
            </w:r>
          </w:p>
        </w:tc>
        <w:tc>
          <w:tcPr>
            <w:tcW w:w="860" w:type="dxa"/>
            <w:vAlign w:val="bottom"/>
          </w:tcPr>
          <w:p>
            <w:pPr>
              <w:jc w:val="right"/>
              <w:spacing w:after="0" w:line="171" w:lineRule="exact"/>
              <w:rPr>
                <w:sz w:val="20"/>
                <w:szCs w:val="20"/>
                <w:color w:val="auto"/>
              </w:rPr>
            </w:pPr>
            <w:r>
              <w:rPr>
                <w:rFonts w:ascii="Arial" w:cs="Arial" w:eastAsia="Arial" w:hAnsi="Arial"/>
                <w:sz w:val="17"/>
                <w:szCs w:val="17"/>
                <w:color w:val="auto"/>
              </w:rPr>
              <w:t>2,643</w:t>
            </w:r>
          </w:p>
        </w:tc>
        <w:tc>
          <w:tcPr>
            <w:tcW w:w="20" w:type="dxa"/>
            <w:vAlign w:val="bottom"/>
          </w:tcPr>
          <w:p>
            <w:pPr>
              <w:spacing w:after="0"/>
              <w:rPr>
                <w:sz w:val="14"/>
                <w:szCs w:val="14"/>
                <w:color w:val="auto"/>
              </w:rPr>
            </w:pPr>
          </w:p>
        </w:tc>
        <w:tc>
          <w:tcPr>
            <w:tcW w:w="340" w:type="dxa"/>
            <w:vAlign w:val="bottom"/>
            <w:gridSpan w:val="3"/>
          </w:tcPr>
          <w:p>
            <w:pPr>
              <w:ind w:left="140"/>
              <w:spacing w:after="0" w:line="171" w:lineRule="exact"/>
              <w:rPr>
                <w:sz w:val="20"/>
                <w:szCs w:val="20"/>
                <w:color w:val="auto"/>
              </w:rPr>
            </w:pPr>
            <w:r>
              <w:rPr>
                <w:rFonts w:ascii="Arial" w:cs="Arial" w:eastAsia="Arial" w:hAnsi="Arial"/>
                <w:sz w:val="17"/>
                <w:szCs w:val="17"/>
                <w:color w:val="auto"/>
              </w:rPr>
              <w:t>$</w:t>
            </w:r>
          </w:p>
        </w:tc>
        <w:tc>
          <w:tcPr>
            <w:tcW w:w="880" w:type="dxa"/>
            <w:vAlign w:val="bottom"/>
          </w:tcPr>
          <w:p>
            <w:pPr>
              <w:jc w:val="right"/>
              <w:spacing w:after="0" w:line="171" w:lineRule="exact"/>
              <w:rPr>
                <w:sz w:val="20"/>
                <w:szCs w:val="20"/>
                <w:color w:val="auto"/>
              </w:rPr>
            </w:pPr>
            <w:r>
              <w:rPr>
                <w:rFonts w:ascii="Arial" w:cs="Arial" w:eastAsia="Arial" w:hAnsi="Arial"/>
                <w:sz w:val="17"/>
                <w:szCs w:val="17"/>
                <w:color w:val="auto"/>
              </w:rPr>
              <w:t>2,048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380"/>
              <w:spacing w:after="0" w:line="171" w:lineRule="exact"/>
              <w:rPr>
                <w:sz w:val="20"/>
                <w:szCs w:val="20"/>
                <w:color w:val="auto"/>
              </w:rPr>
            </w:pPr>
            <w:r>
              <w:rPr>
                <w:rFonts w:ascii="Arial" w:cs="Arial" w:eastAsia="Arial" w:hAnsi="Arial"/>
                <w:sz w:val="17"/>
                <w:szCs w:val="17"/>
                <w:color w:val="auto"/>
              </w:rPr>
              <w:t>$</w:t>
            </w:r>
          </w:p>
        </w:tc>
        <w:tc>
          <w:tcPr>
            <w:tcW w:w="840" w:type="dxa"/>
            <w:vAlign w:val="bottom"/>
          </w:tcPr>
          <w:p>
            <w:pPr>
              <w:jc w:val="right"/>
              <w:spacing w:after="0" w:line="171" w:lineRule="exact"/>
              <w:rPr>
                <w:sz w:val="20"/>
                <w:szCs w:val="20"/>
                <w:color w:val="auto"/>
              </w:rPr>
            </w:pPr>
            <w:r>
              <w:rPr>
                <w:rFonts w:ascii="Arial" w:cs="Arial" w:eastAsia="Arial" w:hAnsi="Arial"/>
                <w:sz w:val="17"/>
                <w:szCs w:val="17"/>
                <w:color w:val="auto"/>
              </w:rPr>
              <w:t>237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left w:val="single" w:sz="8" w:color="auto"/>
            </w:tcBorders>
            <w:gridSpan w:val="3"/>
          </w:tcPr>
          <w:p>
            <w:pPr>
              <w:jc w:val="right"/>
              <w:spacing w:after="0" w:line="171" w:lineRule="exact"/>
              <w:rPr>
                <w:sz w:val="20"/>
                <w:szCs w:val="20"/>
                <w:color w:val="auto"/>
              </w:rPr>
            </w:pPr>
            <w:r>
              <w:rPr>
                <w:rFonts w:ascii="Arial" w:cs="Arial" w:eastAsia="Arial" w:hAnsi="Arial"/>
                <w:sz w:val="17"/>
                <w:szCs w:val="17"/>
                <w:color w:val="auto"/>
              </w:rPr>
              <w:t>$</w:t>
            </w:r>
          </w:p>
        </w:tc>
        <w:tc>
          <w:tcPr>
            <w:tcW w:w="1160" w:type="dxa"/>
            <w:vAlign w:val="bottom"/>
          </w:tcPr>
          <w:p>
            <w:pPr>
              <w:jc w:val="right"/>
              <w:spacing w:after="0" w:line="171" w:lineRule="exact"/>
              <w:rPr>
                <w:sz w:val="20"/>
                <w:szCs w:val="20"/>
                <w:color w:val="auto"/>
              </w:rPr>
            </w:pPr>
            <w:r>
              <w:rPr>
                <w:rFonts w:ascii="Arial" w:cs="Arial" w:eastAsia="Arial" w:hAnsi="Arial"/>
                <w:sz w:val="17"/>
                <w:szCs w:val="17"/>
                <w:color w:val="auto"/>
              </w:rPr>
              <w:t>1,092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ind w:left="180"/>
              <w:spacing w:after="0" w:line="171" w:lineRule="exact"/>
              <w:rPr>
                <w:sz w:val="20"/>
                <w:szCs w:val="20"/>
                <w:color w:val="auto"/>
              </w:rPr>
            </w:pPr>
            <w:r>
              <w:rPr>
                <w:rFonts w:ascii="Arial" w:cs="Arial" w:eastAsia="Arial" w:hAnsi="Arial"/>
                <w:sz w:val="17"/>
                <w:szCs w:val="17"/>
                <w:color w:val="auto"/>
              </w:rPr>
              <w:t>Net (loss) gain from commodity</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ind w:left="180"/>
              <w:spacing w:after="0" w:line="171" w:lineRule="exact"/>
              <w:rPr>
                <w:sz w:val="20"/>
                <w:szCs w:val="20"/>
                <w:color w:val="auto"/>
              </w:rPr>
            </w:pPr>
            <w:r>
              <w:rPr>
                <w:rFonts w:ascii="Arial" w:cs="Arial" w:eastAsia="Arial" w:hAnsi="Arial"/>
                <w:sz w:val="17"/>
                <w:szCs w:val="17"/>
                <w:color w:val="auto"/>
              </w:rPr>
              <w:t>derivatives  . . . . . . . . . . . . . . . . . . . . . . . . . .</w:t>
            </w:r>
          </w:p>
        </w:tc>
        <w:tc>
          <w:tcPr>
            <w:tcW w:w="28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Arial" w:cs="Arial" w:eastAsia="Arial" w:hAnsi="Arial"/>
                <w:sz w:val="17"/>
                <w:szCs w:val="17"/>
                <w:color w:val="auto"/>
              </w:rPr>
              <w:t>(551)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Arial" w:cs="Arial" w:eastAsia="Arial" w:hAnsi="Arial"/>
                <w:sz w:val="17"/>
                <w:szCs w:val="17"/>
                <w:color w:val="auto"/>
              </w:rPr>
              <w:t>(676)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line="171" w:lineRule="exact"/>
              <w:rPr>
                <w:sz w:val="20"/>
                <w:szCs w:val="20"/>
                <w:color w:val="auto"/>
              </w:rPr>
            </w:pPr>
            <w:r>
              <w:rPr>
                <w:rFonts w:ascii="Arial" w:cs="Arial" w:eastAsia="Arial" w:hAnsi="Arial"/>
                <w:sz w:val="17"/>
                <w:szCs w:val="17"/>
                <w:color w:val="auto"/>
              </w:rPr>
              <w:t>(141)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line="171" w:lineRule="exact"/>
              <w:rPr>
                <w:sz w:val="20"/>
                <w:szCs w:val="20"/>
                <w:color w:val="auto"/>
              </w:rPr>
            </w:pPr>
            <w:r>
              <w:rPr>
                <w:rFonts w:ascii="Arial" w:cs="Arial" w:eastAsia="Arial" w:hAnsi="Arial"/>
                <w:sz w:val="17"/>
                <w:szCs w:val="17"/>
                <w:color w:val="auto"/>
              </w:rPr>
              <w:t>91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ind w:left="180"/>
              <w:spacing w:after="0" w:line="171" w:lineRule="exact"/>
              <w:rPr>
                <w:sz w:val="20"/>
                <w:szCs w:val="20"/>
                <w:color w:val="auto"/>
              </w:rPr>
            </w:pPr>
            <w:r>
              <w:rPr>
                <w:rFonts w:ascii="Arial" w:cs="Arial" w:eastAsia="Arial" w:hAnsi="Arial"/>
                <w:sz w:val="17"/>
                <w:szCs w:val="17"/>
                <w:color w:val="auto"/>
              </w:rPr>
              <w:t>Sales of purchased natural gas . . . . . . . . .</w:t>
            </w:r>
          </w:p>
        </w:tc>
        <w:tc>
          <w:tcPr>
            <w:tcW w:w="28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Arial" w:cs="Arial" w:eastAsia="Arial" w:hAnsi="Arial"/>
                <w:sz w:val="17"/>
                <w:szCs w:val="17"/>
                <w:color w:val="auto"/>
              </w:rPr>
              <w:t>314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Arial" w:cs="Arial" w:eastAsia="Arial" w:hAnsi="Arial"/>
                <w:sz w:val="17"/>
                <w:szCs w:val="17"/>
                <w:color w:val="auto"/>
              </w:rPr>
              <w:t>312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line="171" w:lineRule="exact"/>
              <w:rPr>
                <w:sz w:val="20"/>
                <w:szCs w:val="20"/>
                <w:color w:val="auto"/>
              </w:rPr>
            </w:pPr>
            <w:r>
              <w:rPr>
                <w:rFonts w:ascii="Arial" w:cs="Arial" w:eastAsia="Arial" w:hAnsi="Arial"/>
                <w:sz w:val="17"/>
                <w:szCs w:val="17"/>
                <w:color w:val="auto"/>
              </w:rPr>
              <w:t>38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line="171" w:lineRule="exact"/>
              <w:rPr>
                <w:sz w:val="20"/>
                <w:szCs w:val="20"/>
                <w:color w:val="auto"/>
              </w:rPr>
            </w:pPr>
            <w:r>
              <w:rPr>
                <w:rFonts w:ascii="Arial" w:cs="Arial" w:eastAsia="Arial" w:hAnsi="Arial"/>
                <w:sz w:val="17"/>
                <w:szCs w:val="17"/>
                <w:color w:val="auto"/>
              </w:rPr>
              <w:t>124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ind w:left="180"/>
              <w:spacing w:after="0" w:line="171" w:lineRule="exact"/>
              <w:rPr>
                <w:sz w:val="20"/>
                <w:szCs w:val="20"/>
                <w:color w:val="auto"/>
              </w:rPr>
            </w:pPr>
            <w:r>
              <w:rPr>
                <w:rFonts w:ascii="Arial" w:cs="Arial" w:eastAsia="Arial" w:hAnsi="Arial"/>
                <w:sz w:val="17"/>
                <w:szCs w:val="17"/>
                <w:color w:val="auto"/>
              </w:rPr>
              <w:t>Electricity sales  . . . . . . . . . . . . . . . . . . . . . .</w:t>
            </w:r>
          </w:p>
        </w:tc>
        <w:tc>
          <w:tcPr>
            <w:tcW w:w="28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Arial" w:cs="Arial" w:eastAsia="Arial" w:hAnsi="Arial"/>
                <w:sz w:val="17"/>
                <w:szCs w:val="17"/>
                <w:color w:val="auto"/>
              </w:rPr>
              <w:t>261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Arial" w:cs="Arial" w:eastAsia="Arial" w:hAnsi="Arial"/>
                <w:sz w:val="17"/>
                <w:szCs w:val="17"/>
                <w:color w:val="auto"/>
              </w:rPr>
              <w:t>172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line="171" w:lineRule="exact"/>
              <w:rPr>
                <w:sz w:val="20"/>
                <w:szCs w:val="20"/>
                <w:color w:val="auto"/>
              </w:rPr>
            </w:pPr>
            <w:r>
              <w:rPr>
                <w:rFonts w:ascii="Arial" w:cs="Arial" w:eastAsia="Arial" w:hAnsi="Arial"/>
                <w:sz w:val="17"/>
                <w:szCs w:val="17"/>
                <w:color w:val="auto"/>
              </w:rPr>
              <w:t>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line="171" w:lineRule="exact"/>
              <w:rPr>
                <w:sz w:val="20"/>
                <w:szCs w:val="20"/>
                <w:color w:val="auto"/>
              </w:rPr>
            </w:pPr>
            <w:r>
              <w:rPr>
                <w:rFonts w:ascii="Arial" w:cs="Arial" w:eastAsia="Arial" w:hAnsi="Arial"/>
                <w:sz w:val="17"/>
                <w:szCs w:val="17"/>
                <w:color w:val="auto"/>
              </w:rPr>
              <w:t>86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60" w:type="dxa"/>
            <w:vAlign w:val="bottom"/>
          </w:tcPr>
          <w:p>
            <w:pPr>
              <w:ind w:left="180"/>
              <w:spacing w:after="0" w:line="190" w:lineRule="exact"/>
              <w:rPr>
                <w:sz w:val="20"/>
                <w:szCs w:val="20"/>
                <w:color w:val="auto"/>
              </w:rPr>
            </w:pPr>
            <w:r>
              <w:rPr>
                <w:rFonts w:ascii="Arial" w:cs="Arial" w:eastAsia="Arial" w:hAnsi="Arial"/>
                <w:sz w:val="17"/>
                <w:szCs w:val="17"/>
                <w:color w:val="auto"/>
              </w:rPr>
              <w:t>Interest and other revenue . . . . . . . . . . . . .</w:t>
            </w:r>
          </w:p>
        </w:tc>
        <w:tc>
          <w:tcPr>
            <w:tcW w:w="28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auto"/>
              </w:rPr>
              <w:t>40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line="190" w:lineRule="exact"/>
              <w:rPr>
                <w:sz w:val="20"/>
                <w:szCs w:val="20"/>
                <w:color w:val="auto"/>
              </w:rPr>
            </w:pPr>
            <w:r>
              <w:rPr>
                <w:rFonts w:ascii="Arial" w:cs="Arial" w:eastAsia="Arial" w:hAnsi="Arial"/>
                <w:sz w:val="17"/>
                <w:szCs w:val="17"/>
                <w:color w:val="auto"/>
              </w:rPr>
              <w:t>33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spacing w:after="0" w:line="190" w:lineRule="exact"/>
              <w:rPr>
                <w:sz w:val="20"/>
                <w:szCs w:val="20"/>
                <w:color w:val="auto"/>
              </w:rPr>
            </w:pPr>
            <w:r>
              <w:rPr>
                <w:rFonts w:ascii="Arial" w:cs="Arial" w:eastAsia="Arial" w:hAnsi="Arial"/>
                <w:sz w:val="17"/>
                <w:szCs w:val="17"/>
                <w:color w:val="auto"/>
              </w:rPr>
              <w:t>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line="190" w:lineRule="exact"/>
              <w:rPr>
                <w:sz w:val="20"/>
                <w:szCs w:val="20"/>
                <w:color w:val="auto"/>
              </w:rPr>
            </w:pPr>
            <w:r>
              <w:rPr>
                <w:rFonts w:ascii="Arial" w:cs="Arial" w:eastAsia="Arial" w:hAnsi="Arial"/>
                <w:sz w:val="17"/>
                <w:szCs w:val="17"/>
                <w:color w:val="auto"/>
              </w:rPr>
              <w:t>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35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lef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3560" w:type="dxa"/>
            <w:vAlign w:val="bottom"/>
          </w:tcPr>
          <w:p>
            <w:pPr>
              <w:jc w:val="right"/>
              <w:ind w:right="115"/>
              <w:spacing w:after="0"/>
              <w:rPr>
                <w:sz w:val="20"/>
                <w:szCs w:val="20"/>
                <w:color w:val="auto"/>
              </w:rPr>
            </w:pPr>
            <w:r>
              <w:rPr>
                <w:rFonts w:ascii="Arial" w:cs="Arial" w:eastAsia="Arial" w:hAnsi="Arial"/>
                <w:sz w:val="17"/>
                <w:szCs w:val="17"/>
                <w:color w:val="auto"/>
              </w:rPr>
              <w:t>Total operating revenues  . . . . . . . . . . . .</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2,707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1,889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3560" w:type="dxa"/>
            <w:vAlign w:val="bottom"/>
            <w:vMerge w:val="restart"/>
          </w:tcPr>
          <w:p>
            <w:pPr>
              <w:spacing w:after="0"/>
              <w:rPr>
                <w:sz w:val="20"/>
                <w:szCs w:val="20"/>
                <w:color w:val="auto"/>
              </w:rPr>
            </w:pPr>
            <w:r>
              <w:rPr>
                <w:rFonts w:ascii="Arial" w:cs="Arial" w:eastAsia="Arial" w:hAnsi="Arial"/>
                <w:sz w:val="17"/>
                <w:szCs w:val="17"/>
                <w:b w:val="1"/>
                <w:bCs w:val="1"/>
                <w:color w:val="auto"/>
              </w:rPr>
              <w:t>OPERATING EXPENSES</w:t>
            </w: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lef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5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560" w:type="dxa"/>
            <w:vAlign w:val="bottom"/>
          </w:tcPr>
          <w:p>
            <w:pPr>
              <w:jc w:val="right"/>
              <w:ind w:right="115"/>
              <w:spacing w:after="0" w:line="171" w:lineRule="exact"/>
              <w:rPr>
                <w:sz w:val="20"/>
                <w:szCs w:val="20"/>
                <w:color w:val="auto"/>
              </w:rPr>
            </w:pPr>
            <w:r>
              <w:rPr>
                <w:rFonts w:ascii="Arial" w:cs="Arial" w:eastAsia="Arial" w:hAnsi="Arial"/>
                <w:sz w:val="17"/>
                <w:szCs w:val="17"/>
                <w:color w:val="auto"/>
              </w:rPr>
              <w:t>Operating costs . . . . . . . . . . . . . . . . . . . . . .</w:t>
            </w:r>
          </w:p>
        </w:tc>
        <w:tc>
          <w:tcPr>
            <w:tcW w:w="28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Arial" w:cs="Arial" w:eastAsia="Arial" w:hAnsi="Arial"/>
                <w:sz w:val="17"/>
                <w:szCs w:val="17"/>
                <w:color w:val="auto"/>
              </w:rPr>
              <w:t>785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Arial" w:cs="Arial" w:eastAsia="Arial" w:hAnsi="Arial"/>
                <w:sz w:val="17"/>
                <w:szCs w:val="17"/>
                <w:color w:val="auto"/>
              </w:rPr>
              <w:t>705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line="171" w:lineRule="exact"/>
              <w:rPr>
                <w:sz w:val="20"/>
                <w:szCs w:val="20"/>
                <w:color w:val="auto"/>
              </w:rPr>
            </w:pPr>
            <w:r>
              <w:rPr>
                <w:rFonts w:ascii="Arial" w:cs="Arial" w:eastAsia="Arial" w:hAnsi="Arial"/>
                <w:sz w:val="17"/>
                <w:szCs w:val="17"/>
                <w:color w:val="auto"/>
              </w:rPr>
              <w:t>114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line="171" w:lineRule="exact"/>
              <w:rPr>
                <w:sz w:val="20"/>
                <w:szCs w:val="20"/>
                <w:color w:val="auto"/>
              </w:rPr>
            </w:pPr>
            <w:r>
              <w:rPr>
                <w:rFonts w:ascii="Arial" w:cs="Arial" w:eastAsia="Arial" w:hAnsi="Arial"/>
                <w:sz w:val="17"/>
                <w:szCs w:val="17"/>
                <w:color w:val="auto"/>
              </w:rPr>
              <w:t>511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jc w:val="right"/>
              <w:ind w:right="115"/>
              <w:spacing w:after="0" w:line="171" w:lineRule="exact"/>
              <w:rPr>
                <w:sz w:val="20"/>
                <w:szCs w:val="20"/>
                <w:color w:val="auto"/>
              </w:rPr>
            </w:pPr>
            <w:r>
              <w:rPr>
                <w:rFonts w:ascii="Arial" w:cs="Arial" w:eastAsia="Arial" w:hAnsi="Arial"/>
                <w:sz w:val="17"/>
                <w:szCs w:val="17"/>
                <w:color w:val="auto"/>
              </w:rPr>
              <w:t>General and administrative expenses . . . .</w:t>
            </w:r>
          </w:p>
        </w:tc>
        <w:tc>
          <w:tcPr>
            <w:tcW w:w="28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Arial" w:cs="Arial" w:eastAsia="Arial" w:hAnsi="Arial"/>
                <w:sz w:val="17"/>
                <w:szCs w:val="17"/>
                <w:color w:val="auto"/>
              </w:rPr>
              <w:t>222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Arial" w:cs="Arial" w:eastAsia="Arial" w:hAnsi="Arial"/>
                <w:sz w:val="17"/>
                <w:szCs w:val="17"/>
                <w:color w:val="auto"/>
              </w:rPr>
              <w:t>200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line="171" w:lineRule="exact"/>
              <w:rPr>
                <w:sz w:val="20"/>
                <w:szCs w:val="20"/>
                <w:color w:val="auto"/>
              </w:rPr>
            </w:pPr>
            <w:r>
              <w:rPr>
                <w:rFonts w:ascii="Arial" w:cs="Arial" w:eastAsia="Arial" w:hAnsi="Arial"/>
                <w:sz w:val="17"/>
                <w:szCs w:val="17"/>
                <w:color w:val="auto"/>
              </w:rPr>
              <w:t>40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line="171" w:lineRule="exact"/>
              <w:rPr>
                <w:sz w:val="20"/>
                <w:szCs w:val="20"/>
                <w:color w:val="auto"/>
              </w:rPr>
            </w:pPr>
            <w:r>
              <w:rPr>
                <w:rFonts w:ascii="Arial" w:cs="Arial" w:eastAsia="Arial" w:hAnsi="Arial"/>
                <w:sz w:val="17"/>
                <w:szCs w:val="17"/>
                <w:color w:val="auto"/>
              </w:rPr>
              <w:t>212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ind w:left="180"/>
              <w:spacing w:after="0" w:line="171" w:lineRule="exact"/>
              <w:rPr>
                <w:sz w:val="20"/>
                <w:szCs w:val="20"/>
                <w:color w:val="auto"/>
              </w:rPr>
            </w:pPr>
            <w:r>
              <w:rPr>
                <w:rFonts w:ascii="Arial" w:cs="Arial" w:eastAsia="Arial" w:hAnsi="Arial"/>
                <w:sz w:val="17"/>
                <w:szCs w:val="17"/>
                <w:color w:val="auto"/>
              </w:rPr>
              <w:t>Depreciation, depletion and</w:t>
            </w:r>
          </w:p>
        </w:tc>
        <w:tc>
          <w:tcPr>
            <w:tcW w:w="2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jc w:val="right"/>
              <w:ind w:right="115"/>
              <w:spacing w:after="0" w:line="171" w:lineRule="exact"/>
              <w:rPr>
                <w:sz w:val="20"/>
                <w:szCs w:val="20"/>
                <w:color w:val="auto"/>
              </w:rPr>
            </w:pPr>
            <w:r>
              <w:rPr>
                <w:rFonts w:ascii="Arial" w:cs="Arial" w:eastAsia="Arial" w:hAnsi="Arial"/>
                <w:sz w:val="17"/>
                <w:szCs w:val="17"/>
                <w:color w:val="auto"/>
              </w:rPr>
              <w:t>amortization . . . . . . . . . . . . . . . . . . . . . . . . .</w:t>
            </w:r>
          </w:p>
        </w:tc>
        <w:tc>
          <w:tcPr>
            <w:tcW w:w="2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jc w:val="right"/>
              <w:ind w:right="115"/>
              <w:spacing w:after="0" w:line="171" w:lineRule="exact"/>
              <w:rPr>
                <w:sz w:val="20"/>
                <w:szCs w:val="20"/>
                <w:color w:val="auto"/>
              </w:rPr>
            </w:pPr>
            <w:r>
              <w:rPr>
                <w:rFonts w:ascii="Arial" w:cs="Arial" w:eastAsia="Arial" w:hAnsi="Arial"/>
                <w:sz w:val="17"/>
                <w:szCs w:val="17"/>
                <w:color w:val="auto"/>
              </w:rPr>
              <w:t>Asset impairments . . . . . . . . . . . . . . . . . . . .</w:t>
            </w:r>
          </w:p>
        </w:tc>
        <w:tc>
          <w:tcPr>
            <w:tcW w:w="28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Arial" w:cs="Arial" w:eastAsia="Arial" w:hAnsi="Arial"/>
                <w:sz w:val="17"/>
                <w:szCs w:val="17"/>
                <w:color w:val="auto"/>
              </w:rPr>
              <w:t>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Arial" w:cs="Arial" w:eastAsia="Arial" w:hAnsi="Arial"/>
                <w:sz w:val="17"/>
                <w:szCs w:val="17"/>
                <w:color w:val="auto"/>
              </w:rPr>
              <w:t>28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gridSpan w:val="3"/>
          </w:tcPr>
          <w:p>
            <w:pPr>
              <w:jc w:val="right"/>
              <w:ind w:right="200"/>
              <w:spacing w:after="0" w:line="171" w:lineRule="exact"/>
              <w:rPr>
                <w:sz w:val="20"/>
                <w:szCs w:val="20"/>
                <w:color w:val="auto"/>
              </w:rPr>
            </w:pPr>
            <w:r>
              <w:rPr>
                <w:rFonts w:ascii="Arial" w:cs="Arial" w:eastAsia="Arial" w:hAnsi="Arial"/>
                <w:sz w:val="17"/>
                <w:szCs w:val="17"/>
                <w:color w:val="auto"/>
              </w:rPr>
              <w:t>—</w:t>
            </w:r>
          </w:p>
        </w:tc>
        <w:tc>
          <w:tcPr>
            <w:tcW w:w="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line="171" w:lineRule="exact"/>
              <w:rPr>
                <w:sz w:val="20"/>
                <w:szCs w:val="20"/>
                <w:color w:val="auto"/>
              </w:rPr>
            </w:pPr>
            <w:r>
              <w:rPr>
                <w:rFonts w:ascii="Arial" w:cs="Arial" w:eastAsia="Arial" w:hAnsi="Arial"/>
                <w:sz w:val="17"/>
                <w:szCs w:val="17"/>
                <w:color w:val="auto"/>
              </w:rPr>
              <w:t>1,736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jc w:val="right"/>
              <w:ind w:right="115"/>
              <w:spacing w:after="0" w:line="171" w:lineRule="exact"/>
              <w:rPr>
                <w:sz w:val="20"/>
                <w:szCs w:val="20"/>
                <w:color w:val="auto"/>
              </w:rPr>
            </w:pPr>
            <w:r>
              <w:rPr>
                <w:rFonts w:ascii="Arial" w:cs="Arial" w:eastAsia="Arial" w:hAnsi="Arial"/>
                <w:sz w:val="17"/>
                <w:szCs w:val="17"/>
                <w:color w:val="auto"/>
              </w:rPr>
              <w:t>Taxes other than on income . . . . . . . . . . . .</w:t>
            </w:r>
          </w:p>
        </w:tc>
        <w:tc>
          <w:tcPr>
            <w:tcW w:w="28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Arial" w:cs="Arial" w:eastAsia="Arial" w:hAnsi="Arial"/>
                <w:sz w:val="17"/>
                <w:szCs w:val="17"/>
                <w:color w:val="auto"/>
              </w:rPr>
              <w:t>162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Arial" w:cs="Arial" w:eastAsia="Arial" w:hAnsi="Arial"/>
                <w:sz w:val="17"/>
                <w:szCs w:val="17"/>
                <w:color w:val="auto"/>
              </w:rPr>
              <w:t>145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line="171" w:lineRule="exact"/>
              <w:rPr>
                <w:sz w:val="20"/>
                <w:szCs w:val="20"/>
                <w:color w:val="auto"/>
              </w:rPr>
            </w:pPr>
            <w:r>
              <w:rPr>
                <w:rFonts w:ascii="Arial" w:cs="Arial" w:eastAsia="Arial" w:hAnsi="Arial"/>
                <w:sz w:val="17"/>
                <w:szCs w:val="17"/>
                <w:color w:val="auto"/>
              </w:rPr>
              <w:t>10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line="171" w:lineRule="exact"/>
              <w:rPr>
                <w:sz w:val="20"/>
                <w:szCs w:val="20"/>
                <w:color w:val="auto"/>
              </w:rPr>
            </w:pPr>
            <w:r>
              <w:rPr>
                <w:rFonts w:ascii="Arial" w:cs="Arial" w:eastAsia="Arial" w:hAnsi="Arial"/>
                <w:sz w:val="17"/>
                <w:szCs w:val="17"/>
                <w:color w:val="auto"/>
              </w:rPr>
              <w:t>134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jc w:val="right"/>
              <w:ind w:right="115"/>
              <w:spacing w:after="0" w:line="171" w:lineRule="exact"/>
              <w:rPr>
                <w:sz w:val="20"/>
                <w:szCs w:val="20"/>
                <w:color w:val="auto"/>
              </w:rPr>
            </w:pPr>
            <w:r>
              <w:rPr>
                <w:rFonts w:ascii="Arial" w:cs="Arial" w:eastAsia="Arial" w:hAnsi="Arial"/>
                <w:sz w:val="17"/>
                <w:szCs w:val="17"/>
                <w:color w:val="auto"/>
              </w:rPr>
              <w:t>Exploration expense . . . . . . . . . . . . . . . . . .</w:t>
            </w:r>
          </w:p>
        </w:tc>
        <w:tc>
          <w:tcPr>
            <w:tcW w:w="28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Arial" w:cs="Arial" w:eastAsia="Arial" w:hAnsi="Arial"/>
                <w:sz w:val="17"/>
                <w:szCs w:val="17"/>
                <w:color w:val="auto"/>
              </w:rPr>
              <w:t>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Arial" w:cs="Arial" w:eastAsia="Arial" w:hAnsi="Arial"/>
                <w:sz w:val="17"/>
                <w:szCs w:val="17"/>
                <w:color w:val="auto"/>
              </w:rPr>
              <w:t>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line="171" w:lineRule="exact"/>
              <w:rPr>
                <w:sz w:val="20"/>
                <w:szCs w:val="20"/>
                <w:color w:val="auto"/>
              </w:rPr>
            </w:pPr>
            <w:r>
              <w:rPr>
                <w:rFonts w:ascii="Arial" w:cs="Arial" w:eastAsia="Arial" w:hAnsi="Arial"/>
                <w:sz w:val="17"/>
                <w:szCs w:val="17"/>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line="171" w:lineRule="exact"/>
              <w:rPr>
                <w:sz w:val="20"/>
                <w:szCs w:val="20"/>
                <w:color w:val="auto"/>
              </w:rPr>
            </w:pPr>
            <w:r>
              <w:rPr>
                <w:rFonts w:ascii="Arial" w:cs="Arial" w:eastAsia="Arial" w:hAnsi="Arial"/>
                <w:sz w:val="17"/>
                <w:szCs w:val="17"/>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jc w:val="right"/>
              <w:ind w:right="115"/>
              <w:spacing w:after="0" w:line="171" w:lineRule="exact"/>
              <w:rPr>
                <w:sz w:val="20"/>
                <w:szCs w:val="20"/>
                <w:color w:val="auto"/>
              </w:rPr>
            </w:pPr>
            <w:r>
              <w:rPr>
                <w:rFonts w:ascii="Arial" w:cs="Arial" w:eastAsia="Arial" w:hAnsi="Arial"/>
                <w:sz w:val="17"/>
                <w:szCs w:val="17"/>
                <w:color w:val="auto"/>
              </w:rPr>
              <w:t>Purchased natural gas expense  . . . . . . . .</w:t>
            </w:r>
          </w:p>
        </w:tc>
        <w:tc>
          <w:tcPr>
            <w:tcW w:w="28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Arial" w:cs="Arial" w:eastAsia="Arial" w:hAnsi="Arial"/>
                <w:sz w:val="17"/>
                <w:szCs w:val="17"/>
                <w:color w:val="auto"/>
              </w:rPr>
              <w:t>273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Arial" w:cs="Arial" w:eastAsia="Arial" w:hAnsi="Arial"/>
                <w:sz w:val="17"/>
                <w:szCs w:val="17"/>
                <w:color w:val="auto"/>
              </w:rPr>
              <w:t>196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line="171" w:lineRule="exact"/>
              <w:rPr>
                <w:sz w:val="20"/>
                <w:szCs w:val="20"/>
                <w:color w:val="auto"/>
              </w:rPr>
            </w:pPr>
            <w:r>
              <w:rPr>
                <w:rFonts w:ascii="Arial" w:cs="Arial" w:eastAsia="Arial" w:hAnsi="Arial"/>
                <w:sz w:val="17"/>
                <w:szCs w:val="17"/>
                <w:color w:val="auto"/>
              </w:rPr>
              <w:t>24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line="171" w:lineRule="exact"/>
              <w:rPr>
                <w:sz w:val="20"/>
                <w:szCs w:val="20"/>
                <w:color w:val="auto"/>
              </w:rPr>
            </w:pPr>
            <w:r>
              <w:rPr>
                <w:rFonts w:ascii="Arial" w:cs="Arial" w:eastAsia="Arial" w:hAnsi="Arial"/>
                <w:sz w:val="17"/>
                <w:szCs w:val="17"/>
                <w:color w:val="auto"/>
              </w:rPr>
              <w:t>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jc w:val="right"/>
              <w:ind w:right="115"/>
              <w:spacing w:after="0" w:line="171" w:lineRule="exact"/>
              <w:rPr>
                <w:sz w:val="20"/>
                <w:szCs w:val="20"/>
                <w:color w:val="auto"/>
              </w:rPr>
            </w:pPr>
            <w:r>
              <w:rPr>
                <w:rFonts w:ascii="Arial" w:cs="Arial" w:eastAsia="Arial" w:hAnsi="Arial"/>
                <w:sz w:val="17"/>
                <w:szCs w:val="17"/>
                <w:color w:val="auto"/>
              </w:rPr>
              <w:t>Electricity generation expenses . . . . . . . . .</w:t>
            </w:r>
          </w:p>
        </w:tc>
        <w:tc>
          <w:tcPr>
            <w:tcW w:w="28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Arial" w:cs="Arial" w:eastAsia="Arial" w:hAnsi="Arial"/>
                <w:sz w:val="17"/>
                <w:szCs w:val="17"/>
                <w:color w:val="auto"/>
              </w:rPr>
              <w:t>167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Arial" w:cs="Arial" w:eastAsia="Arial" w:hAnsi="Arial"/>
                <w:sz w:val="17"/>
                <w:szCs w:val="17"/>
                <w:color w:val="auto"/>
              </w:rPr>
              <w:t>96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line="171" w:lineRule="exact"/>
              <w:rPr>
                <w:sz w:val="20"/>
                <w:szCs w:val="20"/>
                <w:color w:val="auto"/>
              </w:rPr>
            </w:pPr>
            <w:r>
              <w:rPr>
                <w:rFonts w:ascii="Arial" w:cs="Arial" w:eastAsia="Arial" w:hAnsi="Arial"/>
                <w:sz w:val="17"/>
                <w:szCs w:val="17"/>
                <w:color w:val="auto"/>
              </w:rPr>
              <w:t>10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line="171" w:lineRule="exact"/>
              <w:rPr>
                <w:sz w:val="20"/>
                <w:szCs w:val="20"/>
                <w:color w:val="auto"/>
              </w:rPr>
            </w:pPr>
            <w:r>
              <w:rPr>
                <w:rFonts w:ascii="Arial" w:cs="Arial" w:eastAsia="Arial" w:hAnsi="Arial"/>
                <w:sz w:val="17"/>
                <w:szCs w:val="17"/>
                <w:color w:val="auto"/>
              </w:rPr>
              <w:t>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jc w:val="right"/>
              <w:ind w:right="115"/>
              <w:spacing w:after="0" w:line="171" w:lineRule="exact"/>
              <w:rPr>
                <w:sz w:val="20"/>
                <w:szCs w:val="20"/>
                <w:color w:val="auto"/>
              </w:rPr>
            </w:pPr>
            <w:r>
              <w:rPr>
                <w:rFonts w:ascii="Arial" w:cs="Arial" w:eastAsia="Arial" w:hAnsi="Arial"/>
                <w:sz w:val="17"/>
                <w:szCs w:val="17"/>
                <w:color w:val="auto"/>
              </w:rPr>
              <w:t>Transportation costs . . . . . . . . . . . . . . . . . .</w:t>
            </w:r>
          </w:p>
        </w:tc>
        <w:tc>
          <w:tcPr>
            <w:tcW w:w="28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Arial" w:cs="Arial" w:eastAsia="Arial" w:hAnsi="Arial"/>
                <w:sz w:val="17"/>
                <w:szCs w:val="17"/>
                <w:color w:val="auto"/>
              </w:rPr>
              <w:t>50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Arial" w:cs="Arial" w:eastAsia="Arial" w:hAnsi="Arial"/>
                <w:sz w:val="17"/>
                <w:szCs w:val="17"/>
                <w:color w:val="auto"/>
              </w:rPr>
              <w:t>51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line="171" w:lineRule="exact"/>
              <w:rPr>
                <w:sz w:val="20"/>
                <w:szCs w:val="20"/>
                <w:color w:val="auto"/>
              </w:rPr>
            </w:pPr>
            <w:r>
              <w:rPr>
                <w:rFonts w:ascii="Arial" w:cs="Arial" w:eastAsia="Arial" w:hAnsi="Arial"/>
                <w:sz w:val="17"/>
                <w:szCs w:val="17"/>
                <w:color w:val="auto"/>
              </w:rPr>
              <w:t>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line="171" w:lineRule="exact"/>
              <w:rPr>
                <w:sz w:val="20"/>
                <w:szCs w:val="20"/>
                <w:color w:val="auto"/>
              </w:rPr>
            </w:pPr>
            <w:r>
              <w:rPr>
                <w:rFonts w:ascii="Arial" w:cs="Arial" w:eastAsia="Arial" w:hAnsi="Arial"/>
                <w:sz w:val="17"/>
                <w:szCs w:val="17"/>
                <w:color w:val="auto"/>
              </w:rPr>
              <w:t>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jc w:val="right"/>
              <w:ind w:right="115"/>
              <w:spacing w:after="0" w:line="171" w:lineRule="exact"/>
              <w:rPr>
                <w:sz w:val="20"/>
                <w:szCs w:val="20"/>
                <w:color w:val="auto"/>
              </w:rPr>
            </w:pPr>
            <w:r>
              <w:rPr>
                <w:rFonts w:ascii="Arial" w:cs="Arial" w:eastAsia="Arial" w:hAnsi="Arial"/>
                <w:sz w:val="17"/>
                <w:szCs w:val="17"/>
                <w:color w:val="auto"/>
              </w:rPr>
              <w:t>Accretion expense . . . . . . . . . . . . . . . . . . . .</w:t>
            </w:r>
          </w:p>
        </w:tc>
        <w:tc>
          <w:tcPr>
            <w:tcW w:w="28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Arial" w:cs="Arial" w:eastAsia="Arial" w:hAnsi="Arial"/>
                <w:sz w:val="17"/>
                <w:szCs w:val="17"/>
                <w:color w:val="auto"/>
              </w:rPr>
              <w:t>43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Arial" w:cs="Arial" w:eastAsia="Arial" w:hAnsi="Arial"/>
                <w:sz w:val="17"/>
                <w:szCs w:val="17"/>
                <w:color w:val="auto"/>
              </w:rPr>
              <w:t>50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line="171" w:lineRule="exact"/>
              <w:rPr>
                <w:sz w:val="20"/>
                <w:szCs w:val="20"/>
                <w:color w:val="auto"/>
              </w:rPr>
            </w:pPr>
            <w:r>
              <w:rPr>
                <w:rFonts w:ascii="Arial" w:cs="Arial" w:eastAsia="Arial" w:hAnsi="Arial"/>
                <w:sz w:val="17"/>
                <w:szCs w:val="17"/>
                <w:color w:val="auto"/>
              </w:rPr>
              <w:t>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line="171" w:lineRule="exact"/>
              <w:rPr>
                <w:sz w:val="20"/>
                <w:szCs w:val="20"/>
                <w:color w:val="auto"/>
              </w:rPr>
            </w:pPr>
            <w:r>
              <w:rPr>
                <w:rFonts w:ascii="Arial" w:cs="Arial" w:eastAsia="Arial" w:hAnsi="Arial"/>
                <w:sz w:val="17"/>
                <w:szCs w:val="17"/>
                <w:color w:val="auto"/>
              </w:rPr>
              <w:t>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60" w:type="dxa"/>
            <w:vAlign w:val="bottom"/>
          </w:tcPr>
          <w:p>
            <w:pPr>
              <w:jc w:val="right"/>
              <w:ind w:right="115"/>
              <w:spacing w:after="0" w:line="190" w:lineRule="exact"/>
              <w:rPr>
                <w:sz w:val="20"/>
                <w:szCs w:val="20"/>
                <w:color w:val="auto"/>
              </w:rPr>
            </w:pPr>
            <w:r>
              <w:rPr>
                <w:rFonts w:ascii="Arial" w:cs="Arial" w:eastAsia="Arial" w:hAnsi="Arial"/>
                <w:sz w:val="17"/>
                <w:szCs w:val="17"/>
                <w:color w:val="auto"/>
              </w:rPr>
              <w:t>Other operating expenses, net . . . . . . . . . .</w:t>
            </w:r>
          </w:p>
        </w:tc>
        <w:tc>
          <w:tcPr>
            <w:tcW w:w="28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auto"/>
              </w:rPr>
              <w:t>48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line="190" w:lineRule="exact"/>
              <w:rPr>
                <w:sz w:val="20"/>
                <w:szCs w:val="20"/>
                <w:color w:val="auto"/>
              </w:rPr>
            </w:pPr>
            <w:r>
              <w:rPr>
                <w:rFonts w:ascii="Arial" w:cs="Arial" w:eastAsia="Arial" w:hAnsi="Arial"/>
                <w:sz w:val="17"/>
                <w:szCs w:val="17"/>
                <w:color w:val="auto"/>
              </w:rPr>
              <w:t>29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spacing w:after="0" w:line="190" w:lineRule="exact"/>
              <w:rPr>
                <w:sz w:val="20"/>
                <w:szCs w:val="20"/>
                <w:color w:val="auto"/>
              </w:rPr>
            </w:pPr>
            <w:r>
              <w:rPr>
                <w:rFonts w:ascii="Arial" w:cs="Arial" w:eastAsia="Arial" w:hAnsi="Arial"/>
                <w:sz w:val="17"/>
                <w:szCs w:val="17"/>
                <w:color w:val="auto"/>
              </w:rPr>
              <w:t>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line="190" w:lineRule="exact"/>
              <w:rPr>
                <w:sz w:val="20"/>
                <w:szCs w:val="20"/>
                <w:color w:val="auto"/>
              </w:rPr>
            </w:pPr>
            <w:r>
              <w:rPr>
                <w:rFonts w:ascii="Arial" w:cs="Arial" w:eastAsia="Arial" w:hAnsi="Arial"/>
                <w:sz w:val="17"/>
                <w:szCs w:val="17"/>
                <w:color w:val="auto"/>
              </w:rPr>
              <w:t>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35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lef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3560" w:type="dxa"/>
            <w:vAlign w:val="bottom"/>
          </w:tcPr>
          <w:p>
            <w:pPr>
              <w:jc w:val="right"/>
              <w:ind w:right="115"/>
              <w:spacing w:after="0"/>
              <w:rPr>
                <w:sz w:val="20"/>
                <w:szCs w:val="20"/>
                <w:color w:val="auto"/>
              </w:rPr>
            </w:pPr>
            <w:r>
              <w:rPr>
                <w:rFonts w:ascii="Arial" w:cs="Arial" w:eastAsia="Arial" w:hAnsi="Arial"/>
                <w:sz w:val="17"/>
                <w:szCs w:val="17"/>
                <w:color w:val="auto"/>
              </w:rPr>
              <w:t>Total operating expenses . . . . . . . . . . . .</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1,954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1,720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3,186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35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60" w:type="dxa"/>
            <w:vAlign w:val="bottom"/>
            <w:gridSpan w:val="2"/>
          </w:tcPr>
          <w:p>
            <w:pPr>
              <w:spacing w:after="0"/>
              <w:rPr>
                <w:sz w:val="3"/>
                <w:szCs w:val="3"/>
                <w:color w:val="auto"/>
              </w:rPr>
            </w:pPr>
          </w:p>
        </w:tc>
        <w:tc>
          <w:tcPr>
            <w:tcW w:w="80" w:type="dxa"/>
            <w:vAlign w:val="bottom"/>
            <w:tcBorders>
              <w:lef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3560" w:type="dxa"/>
            <w:vAlign w:val="bottom"/>
          </w:tcPr>
          <w:p>
            <w:pPr>
              <w:jc w:val="right"/>
              <w:ind w:right="115"/>
              <w:spacing w:after="0"/>
              <w:rPr>
                <w:sz w:val="20"/>
                <w:szCs w:val="20"/>
                <w:color w:val="auto"/>
              </w:rPr>
            </w:pPr>
            <w:r>
              <w:rPr>
                <w:rFonts w:ascii="Arial" w:cs="Arial" w:eastAsia="Arial" w:hAnsi="Arial"/>
                <w:sz w:val="17"/>
                <w:szCs w:val="17"/>
                <w:color w:val="auto"/>
              </w:rPr>
              <w:t>Net gain on asset divestitures  . . . . . . . . . .</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6"/>
        </w:trPr>
        <w:tc>
          <w:tcPr>
            <w:tcW w:w="3560" w:type="dxa"/>
            <w:vAlign w:val="bottom"/>
            <w:vMerge w:val="restart"/>
          </w:tcPr>
          <w:p>
            <w:pPr>
              <w:jc w:val="right"/>
              <w:ind w:right="115"/>
              <w:spacing w:after="0"/>
              <w:rPr>
                <w:sz w:val="20"/>
                <w:szCs w:val="20"/>
                <w:color w:val="auto"/>
              </w:rPr>
            </w:pPr>
            <w:r>
              <w:rPr>
                <w:rFonts w:ascii="Arial" w:cs="Arial" w:eastAsia="Arial" w:hAnsi="Arial"/>
                <w:sz w:val="17"/>
                <w:szCs w:val="17"/>
                <w:b w:val="1"/>
                <w:bCs w:val="1"/>
                <w:color w:val="auto"/>
                <w:w w:val="98"/>
              </w:rPr>
              <w:t xml:space="preserve">OPERATING INCOME (LOSS) </w:t>
            </w:r>
            <w:r>
              <w:rPr>
                <w:rFonts w:ascii="Arial" w:cs="Arial" w:eastAsia="Arial" w:hAnsi="Arial"/>
                <w:sz w:val="17"/>
                <w:szCs w:val="17"/>
                <w:color w:val="auto"/>
                <w:w w:val="98"/>
              </w:rPr>
              <w:t>. . . . . . . . . . .</w:t>
            </w: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lef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35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812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293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(1,779)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60" w:type="dxa"/>
            <w:vAlign w:val="bottom"/>
          </w:tcPr>
          <w:p>
            <w:pPr>
              <w:spacing w:after="0" w:line="192" w:lineRule="exact"/>
              <w:rPr>
                <w:sz w:val="20"/>
                <w:szCs w:val="20"/>
                <w:color w:val="auto"/>
              </w:rPr>
            </w:pPr>
            <w:r>
              <w:rPr>
                <w:rFonts w:ascii="Arial" w:cs="Arial" w:eastAsia="Arial" w:hAnsi="Arial"/>
                <w:sz w:val="17"/>
                <w:szCs w:val="17"/>
                <w:b w:val="1"/>
                <w:bCs w:val="1"/>
                <w:color w:val="auto"/>
              </w:rPr>
              <w:t>NON-OPERATING (EXPENSES) INCOME</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560" w:type="dxa"/>
            <w:vAlign w:val="bottom"/>
          </w:tcPr>
          <w:p>
            <w:pPr>
              <w:jc w:val="right"/>
              <w:ind w:right="115"/>
              <w:spacing w:after="0" w:line="171" w:lineRule="exact"/>
              <w:rPr>
                <w:sz w:val="20"/>
                <w:szCs w:val="20"/>
                <w:color w:val="auto"/>
              </w:rPr>
            </w:pPr>
            <w:r>
              <w:rPr>
                <w:rFonts w:ascii="Arial" w:cs="Arial" w:eastAsia="Arial" w:hAnsi="Arial"/>
                <w:sz w:val="17"/>
                <w:szCs w:val="17"/>
                <w:color w:val="auto"/>
              </w:rPr>
              <w:t>Reorganization items, net . . . . . . . . . . . . . .</w:t>
            </w:r>
          </w:p>
        </w:tc>
        <w:tc>
          <w:tcPr>
            <w:tcW w:w="280" w:type="dxa"/>
            <w:vAlign w:val="bottom"/>
          </w:tcPr>
          <w:p>
            <w:pPr>
              <w:spacing w:after="0"/>
              <w:rPr>
                <w:sz w:val="14"/>
                <w:szCs w:val="14"/>
                <w:color w:val="auto"/>
              </w:rPr>
            </w:pPr>
          </w:p>
        </w:tc>
        <w:tc>
          <w:tcPr>
            <w:tcW w:w="880" w:type="dxa"/>
            <w:vAlign w:val="bottom"/>
            <w:gridSpan w:val="2"/>
          </w:tcPr>
          <w:p>
            <w:pPr>
              <w:jc w:val="right"/>
              <w:ind w:right="80"/>
              <w:spacing w:after="0" w:line="171"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Arial" w:cs="Arial" w:eastAsia="Arial" w:hAnsi="Arial"/>
                <w:sz w:val="17"/>
                <w:szCs w:val="17"/>
                <w:color w:val="auto"/>
              </w:rPr>
              <w:t>(6)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line="171" w:lineRule="exact"/>
              <w:rPr>
                <w:sz w:val="20"/>
                <w:szCs w:val="20"/>
                <w:color w:val="auto"/>
              </w:rPr>
            </w:pPr>
            <w:r>
              <w:rPr>
                <w:rFonts w:ascii="Arial" w:cs="Arial" w:eastAsia="Arial" w:hAnsi="Arial"/>
                <w:sz w:val="17"/>
                <w:szCs w:val="17"/>
                <w:color w:val="auto"/>
              </w:rPr>
              <w:t>(3)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line="171" w:lineRule="exact"/>
              <w:rPr>
                <w:sz w:val="20"/>
                <w:szCs w:val="20"/>
                <w:color w:val="auto"/>
              </w:rPr>
            </w:pPr>
            <w:r>
              <w:rPr>
                <w:rFonts w:ascii="Arial" w:cs="Arial" w:eastAsia="Arial" w:hAnsi="Arial"/>
                <w:sz w:val="17"/>
                <w:szCs w:val="17"/>
                <w:color w:val="auto"/>
              </w:rPr>
              <w:t>4,060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jc w:val="right"/>
              <w:ind w:right="115"/>
              <w:spacing w:after="0" w:line="171" w:lineRule="exact"/>
              <w:rPr>
                <w:sz w:val="20"/>
                <w:szCs w:val="20"/>
                <w:color w:val="auto"/>
              </w:rPr>
            </w:pPr>
            <w:r>
              <w:rPr>
                <w:rFonts w:ascii="Arial" w:cs="Arial" w:eastAsia="Arial" w:hAnsi="Arial"/>
                <w:sz w:val="17"/>
                <w:szCs w:val="17"/>
                <w:color w:val="auto"/>
              </w:rPr>
              <w:t>Interest and debt expense  . . . . . . . . . . . . .</w:t>
            </w:r>
          </w:p>
        </w:tc>
        <w:tc>
          <w:tcPr>
            <w:tcW w:w="28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Arial" w:cs="Arial" w:eastAsia="Arial" w:hAnsi="Arial"/>
                <w:sz w:val="17"/>
                <w:szCs w:val="17"/>
                <w:color w:val="auto"/>
              </w:rPr>
              <w:t>(53)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Arial" w:cs="Arial" w:eastAsia="Arial" w:hAnsi="Arial"/>
                <w:sz w:val="17"/>
                <w:szCs w:val="17"/>
                <w:color w:val="auto"/>
              </w:rPr>
              <w:t>(54)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line="171" w:lineRule="exact"/>
              <w:rPr>
                <w:sz w:val="20"/>
                <w:szCs w:val="20"/>
                <w:color w:val="auto"/>
              </w:rPr>
            </w:pPr>
            <w:r>
              <w:rPr>
                <w:rFonts w:ascii="Arial" w:cs="Arial" w:eastAsia="Arial" w:hAnsi="Arial"/>
                <w:sz w:val="17"/>
                <w:szCs w:val="17"/>
                <w:color w:val="auto"/>
              </w:rPr>
              <w:t>(11)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line="171" w:lineRule="exact"/>
              <w:rPr>
                <w:sz w:val="20"/>
                <w:szCs w:val="20"/>
                <w:color w:val="auto"/>
              </w:rPr>
            </w:pPr>
            <w:r>
              <w:rPr>
                <w:rFonts w:ascii="Arial" w:cs="Arial" w:eastAsia="Arial" w:hAnsi="Arial"/>
                <w:sz w:val="17"/>
                <w:szCs w:val="17"/>
                <w:color w:val="auto"/>
              </w:rPr>
              <w:t>(206)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ind w:left="180"/>
              <w:spacing w:after="0" w:line="171" w:lineRule="exact"/>
              <w:rPr>
                <w:sz w:val="20"/>
                <w:szCs w:val="20"/>
                <w:color w:val="auto"/>
              </w:rPr>
            </w:pPr>
            <w:r>
              <w:rPr>
                <w:rFonts w:ascii="Arial" w:cs="Arial" w:eastAsia="Arial" w:hAnsi="Arial"/>
                <w:sz w:val="17"/>
                <w:szCs w:val="17"/>
                <w:color w:val="auto"/>
              </w:rPr>
              <w:t>Net (loss) gain on early extinguishment of</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jc w:val="right"/>
              <w:ind w:right="115"/>
              <w:spacing w:after="0" w:line="171" w:lineRule="exact"/>
              <w:rPr>
                <w:sz w:val="20"/>
                <w:szCs w:val="20"/>
                <w:color w:val="auto"/>
              </w:rPr>
            </w:pPr>
            <w:r>
              <w:rPr>
                <w:rFonts w:ascii="Arial" w:cs="Arial" w:eastAsia="Arial" w:hAnsi="Arial"/>
                <w:sz w:val="17"/>
                <w:szCs w:val="17"/>
                <w:color w:val="auto"/>
                <w:w w:val="99"/>
              </w:rPr>
              <w:t>debt . . . . . . . . . . . . . . . . . . . . . . . . . . . . . . . .</w:t>
            </w:r>
          </w:p>
        </w:tc>
        <w:tc>
          <w:tcPr>
            <w:tcW w:w="280" w:type="dxa"/>
            <w:vAlign w:val="bottom"/>
          </w:tcPr>
          <w:p>
            <w:pPr>
              <w:spacing w:after="0"/>
              <w:rPr>
                <w:sz w:val="14"/>
                <w:szCs w:val="14"/>
                <w:color w:val="auto"/>
              </w:rPr>
            </w:pPr>
          </w:p>
        </w:tc>
        <w:tc>
          <w:tcPr>
            <w:tcW w:w="880" w:type="dxa"/>
            <w:vAlign w:val="bottom"/>
            <w:gridSpan w:val="2"/>
          </w:tcPr>
          <w:p>
            <w:pPr>
              <w:jc w:val="right"/>
              <w:ind w:right="80"/>
              <w:spacing w:after="0" w:line="171"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Arial" w:cs="Arial" w:eastAsia="Arial" w:hAnsi="Arial"/>
                <w:sz w:val="17"/>
                <w:szCs w:val="17"/>
                <w:color w:val="auto"/>
              </w:rPr>
              <w:t>(2)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gridSpan w:val="3"/>
          </w:tcPr>
          <w:p>
            <w:pPr>
              <w:jc w:val="right"/>
              <w:ind w:right="220"/>
              <w:spacing w:after="0" w:line="171" w:lineRule="exact"/>
              <w:rPr>
                <w:sz w:val="20"/>
                <w:szCs w:val="20"/>
                <w:color w:val="auto"/>
              </w:rPr>
            </w:pPr>
            <w:r>
              <w:rPr>
                <w:rFonts w:ascii="Arial" w:cs="Arial" w:eastAsia="Arial" w:hAnsi="Arial"/>
                <w:sz w:val="17"/>
                <w:szCs w:val="17"/>
                <w:color w:val="auto"/>
              </w:rPr>
              <w:t>—</w:t>
            </w:r>
          </w:p>
        </w:tc>
        <w:tc>
          <w:tcPr>
            <w:tcW w:w="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line="171" w:lineRule="exact"/>
              <w:rPr>
                <w:sz w:val="20"/>
                <w:szCs w:val="20"/>
                <w:color w:val="auto"/>
              </w:rPr>
            </w:pPr>
            <w:r>
              <w:rPr>
                <w:rFonts w:ascii="Arial" w:cs="Arial" w:eastAsia="Arial" w:hAnsi="Arial"/>
                <w:sz w:val="17"/>
                <w:szCs w:val="17"/>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ind w:left="180"/>
              <w:spacing w:after="0" w:line="171" w:lineRule="exact"/>
              <w:rPr>
                <w:sz w:val="20"/>
                <w:szCs w:val="20"/>
                <w:color w:val="auto"/>
              </w:rPr>
            </w:pPr>
            <w:r>
              <w:rPr>
                <w:rFonts w:ascii="Arial" w:cs="Arial" w:eastAsia="Arial" w:hAnsi="Arial"/>
                <w:sz w:val="17"/>
                <w:szCs w:val="17"/>
                <w:color w:val="auto"/>
              </w:rPr>
              <w:t>Loss from investment in unconsolidated</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jc w:val="right"/>
              <w:ind w:right="115"/>
              <w:spacing w:after="0" w:line="171" w:lineRule="exact"/>
              <w:rPr>
                <w:sz w:val="20"/>
                <w:szCs w:val="20"/>
                <w:color w:val="auto"/>
              </w:rPr>
            </w:pPr>
            <w:r>
              <w:rPr>
                <w:rFonts w:ascii="Arial" w:cs="Arial" w:eastAsia="Arial" w:hAnsi="Arial"/>
                <w:sz w:val="17"/>
                <w:szCs w:val="17"/>
                <w:color w:val="auto"/>
              </w:rPr>
              <w:t>subsidiary . . . . . . . . . . . . . . . . . . . . . . . . . . .</w:t>
            </w:r>
          </w:p>
        </w:tc>
        <w:tc>
          <w:tcPr>
            <w:tcW w:w="28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3"/>
          </w:tcPr>
          <w:p>
            <w:pPr>
              <w:jc w:val="right"/>
              <w:ind w:right="200"/>
              <w:spacing w:after="0" w:line="171"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gridSpan w:val="3"/>
          </w:tcPr>
          <w:p>
            <w:pPr>
              <w:jc w:val="right"/>
              <w:ind w:right="220"/>
              <w:spacing w:after="0" w:line="171" w:lineRule="exact"/>
              <w:rPr>
                <w:sz w:val="20"/>
                <w:szCs w:val="20"/>
                <w:color w:val="auto"/>
              </w:rPr>
            </w:pPr>
            <w:r>
              <w:rPr>
                <w:rFonts w:ascii="Arial" w:cs="Arial" w:eastAsia="Arial" w:hAnsi="Arial"/>
                <w:sz w:val="17"/>
                <w:szCs w:val="17"/>
                <w:color w:val="auto"/>
              </w:rPr>
              <w:t>—</w:t>
            </w:r>
          </w:p>
        </w:tc>
        <w:tc>
          <w:tcPr>
            <w:tcW w:w="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80"/>
              <w:spacing w:after="0" w:line="171"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1"/>
        </w:trPr>
        <w:tc>
          <w:tcPr>
            <w:tcW w:w="3560" w:type="dxa"/>
            <w:vAlign w:val="bottom"/>
          </w:tcPr>
          <w:p>
            <w:pPr>
              <w:ind w:left="180"/>
              <w:spacing w:after="0" w:line="171" w:lineRule="exact"/>
              <w:rPr>
                <w:sz w:val="20"/>
                <w:szCs w:val="20"/>
                <w:color w:val="auto"/>
              </w:rPr>
            </w:pPr>
            <w:r>
              <w:rPr>
                <w:rFonts w:ascii="Arial" w:cs="Arial" w:eastAsia="Arial" w:hAnsi="Arial"/>
                <w:sz w:val="17"/>
                <w:szCs w:val="17"/>
                <w:color w:val="auto"/>
              </w:rPr>
              <w:t>Other non-operating income (expenses),</w:t>
            </w:r>
          </w:p>
        </w:tc>
        <w:tc>
          <w:tcPr>
            <w:tcW w:w="2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560" w:type="dxa"/>
            <w:vAlign w:val="bottom"/>
          </w:tcPr>
          <w:p>
            <w:pPr>
              <w:jc w:val="right"/>
              <w:ind w:right="115"/>
              <w:spacing w:after="0" w:line="190" w:lineRule="exact"/>
              <w:rPr>
                <w:sz w:val="20"/>
                <w:szCs w:val="20"/>
                <w:color w:val="auto"/>
              </w:rPr>
            </w:pPr>
            <w:r>
              <w:rPr>
                <w:rFonts w:ascii="Arial" w:cs="Arial" w:eastAsia="Arial" w:hAnsi="Arial"/>
                <w:sz w:val="17"/>
                <w:szCs w:val="17"/>
                <w:color w:val="auto"/>
                <w:w w:val="99"/>
              </w:rPr>
              <w:t>net . . . . . . . . . . . . . . . . . . . . . . . . . . . . . . . . .</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3560" w:type="dxa"/>
            <w:vAlign w:val="bottom"/>
            <w:vMerge w:val="restart"/>
          </w:tcPr>
          <w:p>
            <w:pPr>
              <w:spacing w:after="0"/>
              <w:rPr>
                <w:sz w:val="20"/>
                <w:szCs w:val="20"/>
                <w:color w:val="auto"/>
              </w:rPr>
            </w:pPr>
            <w:r>
              <w:rPr>
                <w:rFonts w:ascii="Arial" w:cs="Arial" w:eastAsia="Arial" w:hAnsi="Arial"/>
                <w:sz w:val="17"/>
                <w:szCs w:val="17"/>
                <w:b w:val="1"/>
                <w:bCs w:val="1"/>
                <w:color w:val="auto"/>
              </w:rPr>
              <w:t>INCOME (LOSS) BEFORE INCOME</w:t>
            </w: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35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560" w:type="dxa"/>
            <w:vAlign w:val="bottom"/>
          </w:tcPr>
          <w:p>
            <w:pPr>
              <w:jc w:val="right"/>
              <w:ind w:right="115"/>
              <w:spacing w:after="0" w:line="173" w:lineRule="exact"/>
              <w:rPr>
                <w:sz w:val="20"/>
                <w:szCs w:val="20"/>
                <w:color w:val="auto"/>
              </w:rPr>
            </w:pPr>
            <w:r>
              <w:rPr>
                <w:rFonts w:ascii="Arial" w:cs="Arial" w:eastAsia="Arial" w:hAnsi="Arial"/>
                <w:sz w:val="17"/>
                <w:szCs w:val="17"/>
                <w:b w:val="1"/>
                <w:bCs w:val="1"/>
                <w:color w:val="auto"/>
                <w:w w:val="95"/>
              </w:rPr>
              <w:t xml:space="preserve">TAXES </w:t>
            </w:r>
            <w:r>
              <w:rPr>
                <w:rFonts w:ascii="Arial" w:cs="Arial" w:eastAsia="Arial" w:hAnsi="Arial"/>
                <w:sz w:val="17"/>
                <w:szCs w:val="17"/>
                <w:color w:val="auto"/>
                <w:w w:val="95"/>
              </w:rPr>
              <w:t>. . . . . . . . . . . . . . . . . . . . . . . . . . . . . . .</w:t>
            </w:r>
          </w:p>
        </w:tc>
        <w:tc>
          <w:tcPr>
            <w:tcW w:w="280" w:type="dxa"/>
            <w:vAlign w:val="bottom"/>
          </w:tcPr>
          <w:p>
            <w:pPr>
              <w:spacing w:after="0"/>
              <w:rPr>
                <w:sz w:val="15"/>
                <w:szCs w:val="15"/>
                <w:color w:val="auto"/>
              </w:rPr>
            </w:pPr>
          </w:p>
        </w:tc>
        <w:tc>
          <w:tcPr>
            <w:tcW w:w="860" w:type="dxa"/>
            <w:vAlign w:val="bottom"/>
          </w:tcPr>
          <w:p>
            <w:pPr>
              <w:jc w:val="right"/>
              <w:spacing w:after="0" w:line="173" w:lineRule="exact"/>
              <w:rPr>
                <w:sz w:val="20"/>
                <w:szCs w:val="20"/>
                <w:color w:val="auto"/>
              </w:rPr>
            </w:pPr>
            <w:r>
              <w:rPr>
                <w:rFonts w:ascii="Arial" w:cs="Arial" w:eastAsia="Arial" w:hAnsi="Arial"/>
                <w:sz w:val="17"/>
                <w:szCs w:val="17"/>
                <w:color w:val="auto"/>
              </w:rPr>
              <w:t>761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73" w:lineRule="exact"/>
              <w:rPr>
                <w:sz w:val="20"/>
                <w:szCs w:val="20"/>
                <w:color w:val="auto"/>
              </w:rPr>
            </w:pPr>
            <w:r>
              <w:rPr>
                <w:rFonts w:ascii="Arial" w:cs="Arial" w:eastAsia="Arial" w:hAnsi="Arial"/>
                <w:sz w:val="17"/>
                <w:szCs w:val="17"/>
                <w:color w:val="auto"/>
              </w:rPr>
              <w:t>229</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spacing w:after="0" w:line="173" w:lineRule="exact"/>
              <w:rPr>
                <w:sz w:val="20"/>
                <w:szCs w:val="20"/>
                <w:color w:val="auto"/>
              </w:rPr>
            </w:pPr>
            <w:r>
              <w:rPr>
                <w:rFonts w:ascii="Arial" w:cs="Arial" w:eastAsia="Arial" w:hAnsi="Arial"/>
                <w:sz w:val="17"/>
                <w:szCs w:val="17"/>
                <w:color w:val="auto"/>
              </w:rPr>
              <w:t>(125)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line="173" w:lineRule="exact"/>
              <w:rPr>
                <w:sz w:val="20"/>
                <w:szCs w:val="20"/>
                <w:color w:val="auto"/>
              </w:rPr>
            </w:pPr>
            <w:r>
              <w:rPr>
                <w:rFonts w:ascii="Arial" w:cs="Arial" w:eastAsia="Arial" w:hAnsi="Arial"/>
                <w:sz w:val="17"/>
                <w:szCs w:val="17"/>
                <w:color w:val="auto"/>
              </w:rPr>
              <w:t>1,996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560" w:type="dxa"/>
            <w:vAlign w:val="bottom"/>
          </w:tcPr>
          <w:p>
            <w:pPr>
              <w:jc w:val="right"/>
              <w:ind w:right="115"/>
              <w:spacing w:after="0" w:line="190" w:lineRule="exact"/>
              <w:rPr>
                <w:sz w:val="20"/>
                <w:szCs w:val="20"/>
                <w:color w:val="auto"/>
              </w:rPr>
            </w:pPr>
            <w:r>
              <w:rPr>
                <w:rFonts w:ascii="Arial" w:cs="Arial" w:eastAsia="Arial" w:hAnsi="Arial"/>
                <w:sz w:val="17"/>
                <w:szCs w:val="17"/>
                <w:color w:val="auto"/>
                <w:w w:val="99"/>
              </w:rPr>
              <w:t>Income tax (provision) benefit . . . . . . . . . . . .</w:t>
            </w:r>
          </w:p>
        </w:tc>
        <w:tc>
          <w:tcPr>
            <w:tcW w:w="28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auto"/>
              </w:rPr>
              <w:t>(237)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line="190" w:lineRule="exact"/>
              <w:rPr>
                <w:sz w:val="20"/>
                <w:szCs w:val="20"/>
                <w:color w:val="auto"/>
              </w:rPr>
            </w:pPr>
            <w:r>
              <w:rPr>
                <w:rFonts w:ascii="Arial" w:cs="Arial" w:eastAsia="Arial" w:hAnsi="Arial"/>
                <w:sz w:val="17"/>
                <w:szCs w:val="17"/>
                <w:color w:val="auto"/>
              </w:rPr>
              <w:t>396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gridSpan w:val="3"/>
          </w:tcPr>
          <w:p>
            <w:pPr>
              <w:jc w:val="right"/>
              <w:ind w:right="200"/>
              <w:spacing w:after="0" w:line="190" w:lineRule="exact"/>
              <w:rPr>
                <w:sz w:val="20"/>
                <w:szCs w:val="20"/>
                <w:color w:val="auto"/>
              </w:rPr>
            </w:pPr>
            <w:r>
              <w:rPr>
                <w:rFonts w:ascii="Arial" w:cs="Arial" w:eastAsia="Arial" w:hAnsi="Arial"/>
                <w:sz w:val="17"/>
                <w:szCs w:val="17"/>
                <w:color w:val="auto"/>
              </w:rPr>
              <w:t>—</w:t>
            </w:r>
          </w:p>
        </w:tc>
        <w:tc>
          <w:tcPr>
            <w:tcW w:w="8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80"/>
              <w:spacing w:after="0" w:line="190"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6"/>
        </w:trPr>
        <w:tc>
          <w:tcPr>
            <w:tcW w:w="3560" w:type="dxa"/>
            <w:vAlign w:val="bottom"/>
            <w:vMerge w:val="restart"/>
          </w:tcPr>
          <w:p>
            <w:pPr>
              <w:jc w:val="right"/>
              <w:ind w:right="115"/>
              <w:spacing w:after="0"/>
              <w:rPr>
                <w:sz w:val="20"/>
                <w:szCs w:val="20"/>
                <w:color w:val="auto"/>
              </w:rPr>
            </w:pPr>
            <w:r>
              <w:rPr>
                <w:rFonts w:ascii="Arial" w:cs="Arial" w:eastAsia="Arial" w:hAnsi="Arial"/>
                <w:sz w:val="17"/>
                <w:szCs w:val="17"/>
                <w:b w:val="1"/>
                <w:bCs w:val="1"/>
                <w:color w:val="auto"/>
                <w:w w:val="97"/>
              </w:rPr>
              <w:t xml:space="preserve">NET INCOME (LOSS)  </w:t>
            </w:r>
            <w:r>
              <w:rPr>
                <w:rFonts w:ascii="Arial" w:cs="Arial" w:eastAsia="Arial" w:hAnsi="Arial"/>
                <w:sz w:val="17"/>
                <w:szCs w:val="17"/>
                <w:color w:val="auto"/>
                <w:w w:val="97"/>
              </w:rPr>
              <w:t>. . . . . . . . . . . . . . . . . .</w:t>
            </w: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lef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35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Arial" w:cs="Arial" w:eastAsia="Arial" w:hAnsi="Arial"/>
                <w:sz w:val="17"/>
                <w:szCs w:val="17"/>
                <w:color w:val="auto"/>
              </w:rPr>
              <w:t>524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74" w:lineRule="exact"/>
              <w:rPr>
                <w:sz w:val="20"/>
                <w:szCs w:val="20"/>
                <w:color w:val="auto"/>
              </w:rPr>
            </w:pPr>
            <w:r>
              <w:rPr>
                <w:rFonts w:ascii="Arial" w:cs="Arial" w:eastAsia="Arial" w:hAnsi="Arial"/>
                <w:sz w:val="17"/>
                <w:szCs w:val="17"/>
                <w:color w:val="auto"/>
              </w:rPr>
              <w:t>625</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spacing w:after="0" w:line="174" w:lineRule="exact"/>
              <w:rPr>
                <w:sz w:val="20"/>
                <w:szCs w:val="20"/>
                <w:color w:val="auto"/>
              </w:rPr>
            </w:pPr>
            <w:r>
              <w:rPr>
                <w:rFonts w:ascii="Arial" w:cs="Arial" w:eastAsia="Arial" w:hAnsi="Arial"/>
                <w:sz w:val="17"/>
                <w:szCs w:val="17"/>
                <w:color w:val="auto"/>
              </w:rPr>
              <w:t>(125)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line="174" w:lineRule="exact"/>
              <w:rPr>
                <w:sz w:val="20"/>
                <w:szCs w:val="20"/>
                <w:color w:val="auto"/>
              </w:rPr>
            </w:pPr>
            <w:r>
              <w:rPr>
                <w:rFonts w:ascii="Arial" w:cs="Arial" w:eastAsia="Arial" w:hAnsi="Arial"/>
                <w:sz w:val="17"/>
                <w:szCs w:val="17"/>
                <w:color w:val="auto"/>
              </w:rPr>
              <w:t>1,996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560" w:type="dxa"/>
            <w:vAlign w:val="bottom"/>
          </w:tcPr>
          <w:p>
            <w:pPr>
              <w:jc w:val="right"/>
              <w:ind w:right="135"/>
              <w:spacing w:after="0" w:line="171" w:lineRule="exact"/>
              <w:rPr>
                <w:sz w:val="20"/>
                <w:szCs w:val="20"/>
                <w:color w:val="auto"/>
              </w:rPr>
            </w:pPr>
            <w:r>
              <w:rPr>
                <w:rFonts w:ascii="Arial" w:cs="Arial" w:eastAsia="Arial" w:hAnsi="Arial"/>
                <w:sz w:val="17"/>
                <w:szCs w:val="17"/>
                <w:b w:val="1"/>
                <w:bCs w:val="1"/>
                <w:color w:val="auto"/>
                <w:w w:val="99"/>
              </w:rPr>
              <w:t>NET (INCOME) LOSS ATTRIBUTABLE TO</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560" w:type="dxa"/>
            <w:vAlign w:val="bottom"/>
          </w:tcPr>
          <w:p>
            <w:pPr>
              <w:spacing w:after="0" w:line="173" w:lineRule="exact"/>
              <w:rPr>
                <w:sz w:val="20"/>
                <w:szCs w:val="20"/>
                <w:color w:val="auto"/>
              </w:rPr>
            </w:pPr>
            <w:r>
              <w:rPr>
                <w:rFonts w:ascii="Arial" w:cs="Arial" w:eastAsia="Arial" w:hAnsi="Arial"/>
                <w:sz w:val="17"/>
                <w:szCs w:val="17"/>
                <w:b w:val="1"/>
                <w:bCs w:val="1"/>
                <w:color w:val="auto"/>
              </w:rPr>
              <w:t>NONCONTROLLING INTERESTS</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560" w:type="dxa"/>
            <w:vAlign w:val="bottom"/>
          </w:tcPr>
          <w:p>
            <w:pPr>
              <w:jc w:val="right"/>
              <w:ind w:right="115"/>
              <w:spacing w:after="0" w:line="171" w:lineRule="exact"/>
              <w:rPr>
                <w:sz w:val="20"/>
                <w:szCs w:val="20"/>
                <w:color w:val="auto"/>
              </w:rPr>
            </w:pPr>
            <w:r>
              <w:rPr>
                <w:rFonts w:ascii="Arial" w:cs="Arial" w:eastAsia="Arial" w:hAnsi="Arial"/>
                <w:sz w:val="17"/>
                <w:szCs w:val="17"/>
                <w:color w:val="auto"/>
              </w:rPr>
              <w:t>Mezzanine equity  . . . . . . . . . . . . . . . . . . . .</w:t>
            </w:r>
          </w:p>
        </w:tc>
        <w:tc>
          <w:tcPr>
            <w:tcW w:w="280" w:type="dxa"/>
            <w:vAlign w:val="bottom"/>
          </w:tcPr>
          <w:p>
            <w:pPr>
              <w:spacing w:after="0"/>
              <w:rPr>
                <w:sz w:val="14"/>
                <w:szCs w:val="14"/>
                <w:color w:val="auto"/>
              </w:rPr>
            </w:pPr>
          </w:p>
        </w:tc>
        <w:tc>
          <w:tcPr>
            <w:tcW w:w="880" w:type="dxa"/>
            <w:vAlign w:val="bottom"/>
            <w:gridSpan w:val="2"/>
          </w:tcPr>
          <w:p>
            <w:pPr>
              <w:jc w:val="right"/>
              <w:ind w:right="80"/>
              <w:spacing w:after="0" w:line="171"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3"/>
          </w:tcPr>
          <w:p>
            <w:pPr>
              <w:jc w:val="right"/>
              <w:ind w:right="200"/>
              <w:spacing w:after="0" w:line="171"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gridSpan w:val="3"/>
          </w:tcPr>
          <w:p>
            <w:pPr>
              <w:jc w:val="right"/>
              <w:ind w:right="200"/>
              <w:spacing w:after="0" w:line="171" w:lineRule="exact"/>
              <w:rPr>
                <w:sz w:val="20"/>
                <w:szCs w:val="20"/>
                <w:color w:val="auto"/>
              </w:rPr>
            </w:pPr>
            <w:r>
              <w:rPr>
                <w:rFonts w:ascii="Arial" w:cs="Arial" w:eastAsia="Arial" w:hAnsi="Arial"/>
                <w:sz w:val="17"/>
                <w:szCs w:val="17"/>
                <w:color w:val="auto"/>
              </w:rPr>
              <w:t>—</w:t>
            </w:r>
          </w:p>
        </w:tc>
        <w:tc>
          <w:tcPr>
            <w:tcW w:w="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line="171" w:lineRule="exact"/>
              <w:rPr>
                <w:sz w:val="20"/>
                <w:szCs w:val="20"/>
                <w:color w:val="auto"/>
              </w:rPr>
            </w:pPr>
            <w:r>
              <w:rPr>
                <w:rFonts w:ascii="Arial" w:cs="Arial" w:eastAsia="Arial" w:hAnsi="Arial"/>
                <w:sz w:val="17"/>
                <w:szCs w:val="17"/>
                <w:color w:val="auto"/>
              </w:rPr>
              <w:t>(94)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60" w:type="dxa"/>
            <w:vAlign w:val="bottom"/>
          </w:tcPr>
          <w:p>
            <w:pPr>
              <w:jc w:val="right"/>
              <w:ind w:right="115"/>
              <w:spacing w:after="0" w:line="190" w:lineRule="exact"/>
              <w:rPr>
                <w:sz w:val="20"/>
                <w:szCs w:val="20"/>
                <w:color w:val="auto"/>
              </w:rPr>
            </w:pPr>
            <w:r>
              <w:rPr>
                <w:rFonts w:ascii="Arial" w:cs="Arial" w:eastAsia="Arial" w:hAnsi="Arial"/>
                <w:sz w:val="17"/>
                <w:szCs w:val="17"/>
                <w:color w:val="auto"/>
              </w:rPr>
              <w:t>Stockholders’ equity  . . . . . . . . . . . . . . . . . .</w:t>
            </w:r>
          </w:p>
        </w:tc>
        <w:tc>
          <w:tcPr>
            <w:tcW w:w="280" w:type="dxa"/>
            <w:vAlign w:val="bottom"/>
          </w:tcPr>
          <w:p>
            <w:pPr>
              <w:spacing w:after="0"/>
              <w:rPr>
                <w:sz w:val="16"/>
                <w:szCs w:val="16"/>
                <w:color w:val="auto"/>
              </w:rPr>
            </w:pPr>
          </w:p>
        </w:tc>
        <w:tc>
          <w:tcPr>
            <w:tcW w:w="880" w:type="dxa"/>
            <w:vAlign w:val="bottom"/>
            <w:gridSpan w:val="2"/>
          </w:tcPr>
          <w:p>
            <w:pPr>
              <w:jc w:val="right"/>
              <w:ind w:right="80"/>
              <w:spacing w:after="0" w:line="190"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line="190" w:lineRule="exact"/>
              <w:rPr>
                <w:sz w:val="20"/>
                <w:szCs w:val="20"/>
                <w:color w:val="auto"/>
              </w:rPr>
            </w:pPr>
            <w:r>
              <w:rPr>
                <w:rFonts w:ascii="Arial" w:cs="Arial" w:eastAsia="Arial" w:hAnsi="Arial"/>
                <w:sz w:val="17"/>
                <w:szCs w:val="17"/>
                <w:color w:val="auto"/>
              </w:rPr>
              <w:t>(13)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spacing w:after="0" w:line="190" w:lineRule="exact"/>
              <w:rPr>
                <w:sz w:val="20"/>
                <w:szCs w:val="20"/>
                <w:color w:val="auto"/>
              </w:rPr>
            </w:pPr>
            <w:r>
              <w:rPr>
                <w:rFonts w:ascii="Arial" w:cs="Arial" w:eastAsia="Arial" w:hAnsi="Arial"/>
                <w:sz w:val="17"/>
                <w:szCs w:val="17"/>
                <w:color w:val="auto"/>
              </w:rPr>
              <w:t>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line="190" w:lineRule="exact"/>
              <w:rPr>
                <w:sz w:val="20"/>
                <w:szCs w:val="20"/>
                <w:color w:val="auto"/>
              </w:rPr>
            </w:pPr>
            <w:r>
              <w:rPr>
                <w:rFonts w:ascii="Arial" w:cs="Arial" w:eastAsia="Arial" w:hAnsi="Arial"/>
                <w:sz w:val="17"/>
                <w:szCs w:val="17"/>
                <w:color w:val="auto"/>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3560" w:type="dxa"/>
            <w:vAlign w:val="bottom"/>
            <w:vMerge w:val="restart"/>
          </w:tcPr>
          <w:p>
            <w:pPr>
              <w:spacing w:after="0"/>
              <w:rPr>
                <w:sz w:val="20"/>
                <w:szCs w:val="20"/>
                <w:color w:val="auto"/>
              </w:rPr>
            </w:pPr>
            <w:r>
              <w:rPr>
                <w:rFonts w:ascii="Arial" w:cs="Arial" w:eastAsia="Arial" w:hAnsi="Arial"/>
                <w:sz w:val="17"/>
                <w:szCs w:val="17"/>
                <w:color w:val="auto"/>
              </w:rPr>
              <w:t>Net (income) loss attributable to</w:t>
            </w: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lef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5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560" w:type="dxa"/>
            <w:vAlign w:val="bottom"/>
          </w:tcPr>
          <w:p>
            <w:pPr>
              <w:jc w:val="right"/>
              <w:ind w:right="115"/>
              <w:spacing w:after="0" w:line="190" w:lineRule="exact"/>
              <w:rPr>
                <w:sz w:val="20"/>
                <w:szCs w:val="20"/>
                <w:color w:val="auto"/>
              </w:rPr>
            </w:pPr>
            <w:r>
              <w:rPr>
                <w:rFonts w:ascii="Arial" w:cs="Arial" w:eastAsia="Arial" w:hAnsi="Arial"/>
                <w:sz w:val="17"/>
                <w:szCs w:val="17"/>
                <w:color w:val="auto"/>
                <w:w w:val="98"/>
              </w:rPr>
              <w:t>noncontrolling interests  . . . . . . . . . . . . . . . . .</w:t>
            </w:r>
          </w:p>
        </w:tc>
        <w:tc>
          <w:tcPr>
            <w:tcW w:w="280" w:type="dxa"/>
            <w:vAlign w:val="bottom"/>
          </w:tcPr>
          <w:p>
            <w:pPr>
              <w:spacing w:after="0"/>
              <w:rPr>
                <w:sz w:val="16"/>
                <w:szCs w:val="16"/>
                <w:color w:val="auto"/>
              </w:rPr>
            </w:pPr>
          </w:p>
        </w:tc>
        <w:tc>
          <w:tcPr>
            <w:tcW w:w="880" w:type="dxa"/>
            <w:vAlign w:val="bottom"/>
            <w:gridSpan w:val="2"/>
          </w:tcPr>
          <w:p>
            <w:pPr>
              <w:jc w:val="right"/>
              <w:ind w:right="80"/>
              <w:spacing w:after="0" w:line="190"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line="190" w:lineRule="exact"/>
              <w:rPr>
                <w:sz w:val="20"/>
                <w:szCs w:val="20"/>
                <w:color w:val="auto"/>
              </w:rPr>
            </w:pPr>
            <w:r>
              <w:rPr>
                <w:rFonts w:ascii="Arial" w:cs="Arial" w:eastAsia="Arial" w:hAnsi="Arial"/>
                <w:sz w:val="17"/>
                <w:szCs w:val="17"/>
                <w:color w:val="auto"/>
              </w:rPr>
              <w:t>(13)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spacing w:after="0" w:line="190" w:lineRule="exact"/>
              <w:rPr>
                <w:sz w:val="20"/>
                <w:szCs w:val="20"/>
                <w:color w:val="auto"/>
              </w:rPr>
            </w:pPr>
            <w:r>
              <w:rPr>
                <w:rFonts w:ascii="Arial" w:cs="Arial" w:eastAsia="Arial" w:hAnsi="Arial"/>
                <w:sz w:val="17"/>
                <w:szCs w:val="17"/>
                <w:color w:val="auto"/>
              </w:rPr>
              <w:t>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line="190" w:lineRule="exact"/>
              <w:rPr>
                <w:sz w:val="20"/>
                <w:szCs w:val="20"/>
                <w:color w:val="auto"/>
              </w:rPr>
            </w:pPr>
            <w:r>
              <w:rPr>
                <w:rFonts w:ascii="Arial" w:cs="Arial" w:eastAsia="Arial" w:hAnsi="Arial"/>
                <w:sz w:val="17"/>
                <w:szCs w:val="17"/>
                <w:color w:val="auto"/>
              </w:rPr>
              <w:t>(107)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3560" w:type="dxa"/>
            <w:vAlign w:val="bottom"/>
            <w:vMerge w:val="restart"/>
          </w:tcPr>
          <w:p>
            <w:pPr>
              <w:jc w:val="right"/>
              <w:ind w:right="135"/>
              <w:spacing w:after="0"/>
              <w:rPr>
                <w:sz w:val="20"/>
                <w:szCs w:val="20"/>
                <w:color w:val="auto"/>
              </w:rPr>
            </w:pPr>
            <w:r>
              <w:rPr>
                <w:rFonts w:ascii="Arial" w:cs="Arial" w:eastAsia="Arial" w:hAnsi="Arial"/>
                <w:sz w:val="17"/>
                <w:szCs w:val="17"/>
                <w:b w:val="1"/>
                <w:bCs w:val="1"/>
                <w:color w:val="auto"/>
                <w:w w:val="99"/>
              </w:rPr>
              <w:t>NET INCOME (LOSS) ATTRIBUTABLE TO</w:t>
            </w: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lef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35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560" w:type="dxa"/>
            <w:vAlign w:val="bottom"/>
          </w:tcPr>
          <w:p>
            <w:pPr>
              <w:jc w:val="right"/>
              <w:ind w:right="115"/>
              <w:spacing w:after="0" w:line="193" w:lineRule="exact"/>
              <w:rPr>
                <w:sz w:val="20"/>
                <w:szCs w:val="20"/>
                <w:color w:val="auto"/>
              </w:rPr>
            </w:pPr>
            <w:r>
              <w:rPr>
                <w:rFonts w:ascii="Arial" w:cs="Arial" w:eastAsia="Arial" w:hAnsi="Arial"/>
                <w:sz w:val="17"/>
                <w:szCs w:val="17"/>
                <w:b w:val="1"/>
                <w:bCs w:val="1"/>
                <w:color w:val="auto"/>
                <w:w w:val="97"/>
              </w:rPr>
              <w:t xml:space="preserve">COMMON STOCK </w:t>
            </w:r>
            <w:r>
              <w:rPr>
                <w:rFonts w:ascii="Arial" w:cs="Arial" w:eastAsia="Arial" w:hAnsi="Arial"/>
                <w:sz w:val="17"/>
                <w:szCs w:val="17"/>
                <w:color w:val="auto"/>
                <w:w w:val="97"/>
              </w:rPr>
              <w:t>. . . . . . . . . . . . . . . . . . . . .</w:t>
            </w:r>
          </w:p>
        </w:tc>
        <w:tc>
          <w:tcPr>
            <w:tcW w:w="280" w:type="dxa"/>
            <w:vAlign w:val="bottom"/>
          </w:tcPr>
          <w:p>
            <w:pPr>
              <w:ind w:left="60"/>
              <w:spacing w:after="0" w:line="193" w:lineRule="exact"/>
              <w:rPr>
                <w:sz w:val="20"/>
                <w:szCs w:val="20"/>
                <w:color w:val="auto"/>
              </w:rPr>
            </w:pPr>
            <w:r>
              <w:rPr>
                <w:rFonts w:ascii="Arial" w:cs="Arial" w:eastAsia="Arial" w:hAnsi="Arial"/>
                <w:sz w:val="17"/>
                <w:szCs w:val="17"/>
                <w:color w:val="auto"/>
              </w:rPr>
              <w:t>$</w:t>
            </w:r>
          </w:p>
        </w:tc>
        <w:tc>
          <w:tcPr>
            <w:tcW w:w="860" w:type="dxa"/>
            <w:vAlign w:val="bottom"/>
          </w:tcPr>
          <w:p>
            <w:pPr>
              <w:jc w:val="right"/>
              <w:spacing w:after="0" w:line="193" w:lineRule="exact"/>
              <w:rPr>
                <w:sz w:val="20"/>
                <w:szCs w:val="20"/>
                <w:color w:val="auto"/>
              </w:rPr>
            </w:pPr>
            <w:r>
              <w:rPr>
                <w:rFonts w:ascii="Arial" w:cs="Arial" w:eastAsia="Arial" w:hAnsi="Arial"/>
                <w:sz w:val="17"/>
                <w:szCs w:val="17"/>
                <w:color w:val="auto"/>
              </w:rPr>
              <w:t>524</w:t>
            </w:r>
          </w:p>
        </w:tc>
        <w:tc>
          <w:tcPr>
            <w:tcW w:w="20" w:type="dxa"/>
            <w:vAlign w:val="bottom"/>
          </w:tcPr>
          <w:p>
            <w:pPr>
              <w:spacing w:after="0"/>
              <w:rPr>
                <w:sz w:val="16"/>
                <w:szCs w:val="16"/>
                <w:color w:val="auto"/>
              </w:rPr>
            </w:pPr>
          </w:p>
        </w:tc>
        <w:tc>
          <w:tcPr>
            <w:tcW w:w="340" w:type="dxa"/>
            <w:vAlign w:val="bottom"/>
            <w:gridSpan w:val="3"/>
          </w:tcPr>
          <w:p>
            <w:pPr>
              <w:ind w:left="140"/>
              <w:spacing w:after="0" w:line="193" w:lineRule="exact"/>
              <w:rPr>
                <w:sz w:val="20"/>
                <w:szCs w:val="20"/>
                <w:color w:val="auto"/>
              </w:rPr>
            </w:pPr>
            <w:r>
              <w:rPr>
                <w:rFonts w:ascii="Arial" w:cs="Arial" w:eastAsia="Arial" w:hAnsi="Arial"/>
                <w:sz w:val="17"/>
                <w:szCs w:val="17"/>
                <w:color w:val="auto"/>
              </w:rPr>
              <w:t>$</w:t>
            </w:r>
          </w:p>
        </w:tc>
        <w:tc>
          <w:tcPr>
            <w:tcW w:w="880" w:type="dxa"/>
            <w:vAlign w:val="bottom"/>
          </w:tcPr>
          <w:p>
            <w:pPr>
              <w:jc w:val="right"/>
              <w:spacing w:after="0" w:line="193" w:lineRule="exact"/>
              <w:rPr>
                <w:sz w:val="20"/>
                <w:szCs w:val="20"/>
                <w:color w:val="auto"/>
              </w:rPr>
            </w:pPr>
            <w:r>
              <w:rPr>
                <w:rFonts w:ascii="Arial" w:cs="Arial" w:eastAsia="Arial" w:hAnsi="Arial"/>
                <w:sz w:val="17"/>
                <w:szCs w:val="17"/>
                <w:color w:val="auto"/>
              </w:rPr>
              <w:t>612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380"/>
              <w:spacing w:after="0" w:line="193" w:lineRule="exact"/>
              <w:rPr>
                <w:sz w:val="20"/>
                <w:szCs w:val="20"/>
                <w:color w:val="auto"/>
              </w:rPr>
            </w:pPr>
            <w:r>
              <w:rPr>
                <w:rFonts w:ascii="Arial" w:cs="Arial" w:eastAsia="Arial" w:hAnsi="Arial"/>
                <w:sz w:val="17"/>
                <w:szCs w:val="17"/>
                <w:color w:val="auto"/>
              </w:rPr>
              <w:t>$</w:t>
            </w:r>
          </w:p>
        </w:tc>
        <w:tc>
          <w:tcPr>
            <w:tcW w:w="840" w:type="dxa"/>
            <w:vAlign w:val="bottom"/>
          </w:tcPr>
          <w:p>
            <w:pPr>
              <w:jc w:val="right"/>
              <w:spacing w:after="0" w:line="193" w:lineRule="exact"/>
              <w:rPr>
                <w:sz w:val="20"/>
                <w:szCs w:val="20"/>
                <w:color w:val="auto"/>
              </w:rPr>
            </w:pPr>
            <w:r>
              <w:rPr>
                <w:rFonts w:ascii="Arial" w:cs="Arial" w:eastAsia="Arial" w:hAnsi="Arial"/>
                <w:sz w:val="17"/>
                <w:szCs w:val="17"/>
                <w:color w:val="auto"/>
              </w:rPr>
              <w:t>(123)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left w:val="single" w:sz="8" w:color="auto"/>
            </w:tcBorders>
            <w:gridSpan w:val="3"/>
          </w:tcPr>
          <w:p>
            <w:pPr>
              <w:jc w:val="right"/>
              <w:spacing w:after="0" w:line="193" w:lineRule="exact"/>
              <w:rPr>
                <w:sz w:val="20"/>
                <w:szCs w:val="20"/>
                <w:color w:val="auto"/>
              </w:rPr>
            </w:pPr>
            <w:r>
              <w:rPr>
                <w:rFonts w:ascii="Arial" w:cs="Arial" w:eastAsia="Arial" w:hAnsi="Arial"/>
                <w:sz w:val="17"/>
                <w:szCs w:val="17"/>
                <w:color w:val="auto"/>
              </w:rPr>
              <w:t>$</w:t>
            </w:r>
          </w:p>
        </w:tc>
        <w:tc>
          <w:tcPr>
            <w:tcW w:w="1160" w:type="dxa"/>
            <w:vAlign w:val="bottom"/>
          </w:tcPr>
          <w:p>
            <w:pPr>
              <w:jc w:val="right"/>
              <w:spacing w:after="0" w:line="193" w:lineRule="exact"/>
              <w:rPr>
                <w:sz w:val="20"/>
                <w:szCs w:val="20"/>
                <w:color w:val="auto"/>
              </w:rPr>
            </w:pPr>
            <w:r>
              <w:rPr>
                <w:rFonts w:ascii="Arial" w:cs="Arial" w:eastAsia="Arial" w:hAnsi="Arial"/>
                <w:sz w:val="17"/>
                <w:szCs w:val="17"/>
                <w:color w:val="auto"/>
              </w:rPr>
              <w:t>1,889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3560" w:type="dxa"/>
            <w:vAlign w:val="bottom"/>
            <w:vMerge w:val="restart"/>
          </w:tcPr>
          <w:p>
            <w:pPr>
              <w:spacing w:after="0"/>
              <w:rPr>
                <w:sz w:val="20"/>
                <w:szCs w:val="20"/>
                <w:color w:val="auto"/>
              </w:rPr>
            </w:pPr>
            <w:r>
              <w:rPr>
                <w:rFonts w:ascii="Arial" w:cs="Arial" w:eastAsia="Arial" w:hAnsi="Arial"/>
                <w:sz w:val="17"/>
                <w:szCs w:val="17"/>
                <w:b w:val="1"/>
                <w:bCs w:val="1"/>
                <w:color w:val="auto"/>
              </w:rPr>
              <w:t>Net income (loss) attributable to</w:t>
            </w: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lef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56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5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560" w:type="dxa"/>
            <w:vAlign w:val="bottom"/>
          </w:tcPr>
          <w:p>
            <w:pPr>
              <w:spacing w:after="0" w:line="173" w:lineRule="exact"/>
              <w:rPr>
                <w:sz w:val="20"/>
                <w:szCs w:val="20"/>
                <w:color w:val="auto"/>
              </w:rPr>
            </w:pPr>
            <w:r>
              <w:rPr>
                <w:rFonts w:ascii="Arial" w:cs="Arial" w:eastAsia="Arial" w:hAnsi="Arial"/>
                <w:sz w:val="17"/>
                <w:szCs w:val="17"/>
                <w:b w:val="1"/>
                <w:bCs w:val="1"/>
                <w:color w:val="auto"/>
              </w:rPr>
              <w:t>common stock per share</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560" w:type="dxa"/>
            <w:vAlign w:val="bottom"/>
          </w:tcPr>
          <w:p>
            <w:pPr>
              <w:jc w:val="right"/>
              <w:ind w:right="115"/>
              <w:spacing w:after="0" w:line="171" w:lineRule="exact"/>
              <w:rPr>
                <w:sz w:val="20"/>
                <w:szCs w:val="20"/>
                <w:color w:val="auto"/>
              </w:rPr>
            </w:pPr>
            <w:r>
              <w:rPr>
                <w:rFonts w:ascii="Arial" w:cs="Arial" w:eastAsia="Arial" w:hAnsi="Arial"/>
                <w:sz w:val="17"/>
                <w:szCs w:val="17"/>
                <w:color w:val="auto"/>
                <w:w w:val="94"/>
              </w:rPr>
              <w:t>Basic . . . . . . . . . . . . . . . . . . . . . . . . . . . . . . . . .</w:t>
            </w:r>
          </w:p>
        </w:tc>
        <w:tc>
          <w:tcPr>
            <w:tcW w:w="280" w:type="dxa"/>
            <w:vAlign w:val="bottom"/>
          </w:tcPr>
          <w:p>
            <w:pPr>
              <w:ind w:left="60"/>
              <w:spacing w:after="0" w:line="171" w:lineRule="exact"/>
              <w:rPr>
                <w:sz w:val="20"/>
                <w:szCs w:val="20"/>
                <w:color w:val="auto"/>
              </w:rPr>
            </w:pPr>
            <w:r>
              <w:rPr>
                <w:rFonts w:ascii="Arial" w:cs="Arial" w:eastAsia="Arial" w:hAnsi="Arial"/>
                <w:sz w:val="17"/>
                <w:szCs w:val="17"/>
                <w:color w:val="auto"/>
              </w:rPr>
              <w:t>$</w:t>
            </w:r>
          </w:p>
        </w:tc>
        <w:tc>
          <w:tcPr>
            <w:tcW w:w="860" w:type="dxa"/>
            <w:vAlign w:val="bottom"/>
          </w:tcPr>
          <w:p>
            <w:pPr>
              <w:jc w:val="right"/>
              <w:spacing w:after="0" w:line="171" w:lineRule="exact"/>
              <w:rPr>
                <w:sz w:val="20"/>
                <w:szCs w:val="20"/>
                <w:color w:val="auto"/>
              </w:rPr>
            </w:pPr>
            <w:r>
              <w:rPr>
                <w:rFonts w:ascii="Arial" w:cs="Arial" w:eastAsia="Arial" w:hAnsi="Arial"/>
                <w:sz w:val="17"/>
                <w:szCs w:val="17"/>
                <w:color w:val="auto"/>
              </w:rPr>
              <w:t>6.94</w:t>
            </w:r>
          </w:p>
        </w:tc>
        <w:tc>
          <w:tcPr>
            <w:tcW w:w="20" w:type="dxa"/>
            <w:vAlign w:val="bottom"/>
          </w:tcPr>
          <w:p>
            <w:pPr>
              <w:spacing w:after="0"/>
              <w:rPr>
                <w:sz w:val="14"/>
                <w:szCs w:val="14"/>
                <w:color w:val="auto"/>
              </w:rPr>
            </w:pPr>
          </w:p>
        </w:tc>
        <w:tc>
          <w:tcPr>
            <w:tcW w:w="340" w:type="dxa"/>
            <w:vAlign w:val="bottom"/>
            <w:gridSpan w:val="3"/>
          </w:tcPr>
          <w:p>
            <w:pPr>
              <w:ind w:left="140"/>
              <w:spacing w:after="0" w:line="171" w:lineRule="exact"/>
              <w:rPr>
                <w:sz w:val="20"/>
                <w:szCs w:val="20"/>
                <w:color w:val="auto"/>
              </w:rPr>
            </w:pPr>
            <w:r>
              <w:rPr>
                <w:rFonts w:ascii="Arial" w:cs="Arial" w:eastAsia="Arial" w:hAnsi="Arial"/>
                <w:sz w:val="17"/>
                <w:szCs w:val="17"/>
                <w:color w:val="auto"/>
              </w:rPr>
              <w:t>$</w:t>
            </w:r>
          </w:p>
        </w:tc>
        <w:tc>
          <w:tcPr>
            <w:tcW w:w="880" w:type="dxa"/>
            <w:vAlign w:val="bottom"/>
          </w:tcPr>
          <w:p>
            <w:pPr>
              <w:jc w:val="right"/>
              <w:spacing w:after="0" w:line="171" w:lineRule="exact"/>
              <w:rPr>
                <w:sz w:val="20"/>
                <w:szCs w:val="20"/>
                <w:color w:val="auto"/>
              </w:rPr>
            </w:pPr>
            <w:r>
              <w:rPr>
                <w:rFonts w:ascii="Arial" w:cs="Arial" w:eastAsia="Arial" w:hAnsi="Arial"/>
                <w:sz w:val="17"/>
                <w:szCs w:val="17"/>
                <w:color w:val="auto"/>
              </w:rPr>
              <w:t>7.46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380"/>
              <w:spacing w:after="0" w:line="171" w:lineRule="exact"/>
              <w:rPr>
                <w:sz w:val="20"/>
                <w:szCs w:val="20"/>
                <w:color w:val="auto"/>
              </w:rPr>
            </w:pPr>
            <w:r>
              <w:rPr>
                <w:rFonts w:ascii="Arial" w:cs="Arial" w:eastAsia="Arial" w:hAnsi="Arial"/>
                <w:sz w:val="17"/>
                <w:szCs w:val="17"/>
                <w:color w:val="auto"/>
              </w:rPr>
              <w:t>$</w:t>
            </w:r>
          </w:p>
        </w:tc>
        <w:tc>
          <w:tcPr>
            <w:tcW w:w="840" w:type="dxa"/>
            <w:vAlign w:val="bottom"/>
          </w:tcPr>
          <w:p>
            <w:pPr>
              <w:jc w:val="right"/>
              <w:spacing w:after="0" w:line="171" w:lineRule="exact"/>
              <w:rPr>
                <w:sz w:val="20"/>
                <w:szCs w:val="20"/>
                <w:color w:val="auto"/>
              </w:rPr>
            </w:pPr>
            <w:r>
              <w:rPr>
                <w:rFonts w:ascii="Arial" w:cs="Arial" w:eastAsia="Arial" w:hAnsi="Arial"/>
                <w:sz w:val="17"/>
                <w:szCs w:val="17"/>
                <w:color w:val="auto"/>
              </w:rPr>
              <w:t>(1.48)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left w:val="single" w:sz="8" w:color="auto"/>
            </w:tcBorders>
            <w:gridSpan w:val="3"/>
          </w:tcPr>
          <w:p>
            <w:pPr>
              <w:jc w:val="right"/>
              <w:spacing w:after="0" w:line="171" w:lineRule="exact"/>
              <w:rPr>
                <w:sz w:val="20"/>
                <w:szCs w:val="20"/>
                <w:color w:val="auto"/>
              </w:rPr>
            </w:pPr>
            <w:r>
              <w:rPr>
                <w:rFonts w:ascii="Arial" w:cs="Arial" w:eastAsia="Arial" w:hAnsi="Arial"/>
                <w:sz w:val="17"/>
                <w:szCs w:val="17"/>
                <w:color w:val="auto"/>
              </w:rPr>
              <w:t>$</w:t>
            </w:r>
          </w:p>
        </w:tc>
        <w:tc>
          <w:tcPr>
            <w:tcW w:w="1160" w:type="dxa"/>
            <w:vAlign w:val="bottom"/>
          </w:tcPr>
          <w:p>
            <w:pPr>
              <w:jc w:val="right"/>
              <w:spacing w:after="0" w:line="171" w:lineRule="exact"/>
              <w:rPr>
                <w:sz w:val="20"/>
                <w:szCs w:val="20"/>
                <w:color w:val="auto"/>
              </w:rPr>
            </w:pPr>
            <w:r>
              <w:rPr>
                <w:rFonts w:ascii="Arial" w:cs="Arial" w:eastAsia="Arial" w:hAnsi="Arial"/>
                <w:sz w:val="17"/>
                <w:szCs w:val="17"/>
                <w:color w:val="auto"/>
              </w:rPr>
              <w:t>40.59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60" w:type="dxa"/>
            <w:vAlign w:val="bottom"/>
          </w:tcPr>
          <w:p>
            <w:pPr>
              <w:jc w:val="right"/>
              <w:ind w:right="115"/>
              <w:spacing w:after="0" w:line="169" w:lineRule="exact"/>
              <w:rPr>
                <w:sz w:val="20"/>
                <w:szCs w:val="20"/>
                <w:color w:val="auto"/>
              </w:rPr>
            </w:pPr>
            <w:r>
              <w:rPr>
                <w:rFonts w:ascii="Arial" w:cs="Arial" w:eastAsia="Arial" w:hAnsi="Arial"/>
                <w:sz w:val="17"/>
                <w:szCs w:val="17"/>
                <w:color w:val="auto"/>
                <w:w w:val="95"/>
              </w:rPr>
              <w:t>Diluted  . . . . . . . . . . . . . . . . . . . . . . . . . . . . . . .</w:t>
            </w:r>
          </w:p>
        </w:tc>
        <w:tc>
          <w:tcPr>
            <w:tcW w:w="280" w:type="dxa"/>
            <w:vAlign w:val="bottom"/>
          </w:tcPr>
          <w:p>
            <w:pPr>
              <w:ind w:left="60"/>
              <w:spacing w:after="0" w:line="169" w:lineRule="exact"/>
              <w:rPr>
                <w:sz w:val="20"/>
                <w:szCs w:val="20"/>
                <w:color w:val="auto"/>
              </w:rPr>
            </w:pPr>
            <w:r>
              <w:rPr>
                <w:rFonts w:ascii="Arial" w:cs="Arial" w:eastAsia="Arial" w:hAnsi="Arial"/>
                <w:sz w:val="17"/>
                <w:szCs w:val="17"/>
                <w:color w:val="auto"/>
              </w:rPr>
              <w:t>$</w:t>
            </w:r>
          </w:p>
        </w:tc>
        <w:tc>
          <w:tcPr>
            <w:tcW w:w="860" w:type="dxa"/>
            <w:vAlign w:val="bottom"/>
          </w:tcPr>
          <w:p>
            <w:pPr>
              <w:jc w:val="right"/>
              <w:spacing w:after="0" w:line="169" w:lineRule="exact"/>
              <w:rPr>
                <w:sz w:val="20"/>
                <w:szCs w:val="20"/>
                <w:color w:val="auto"/>
              </w:rPr>
            </w:pPr>
            <w:r>
              <w:rPr>
                <w:rFonts w:ascii="Arial" w:cs="Arial" w:eastAsia="Arial" w:hAnsi="Arial"/>
                <w:sz w:val="17"/>
                <w:szCs w:val="17"/>
                <w:color w:val="auto"/>
              </w:rPr>
              <w:t>6.75</w:t>
            </w:r>
          </w:p>
        </w:tc>
        <w:tc>
          <w:tcPr>
            <w:tcW w:w="20" w:type="dxa"/>
            <w:vAlign w:val="bottom"/>
          </w:tcPr>
          <w:p>
            <w:pPr>
              <w:spacing w:after="0"/>
              <w:rPr>
                <w:sz w:val="14"/>
                <w:szCs w:val="14"/>
                <w:color w:val="auto"/>
              </w:rPr>
            </w:pPr>
          </w:p>
        </w:tc>
        <w:tc>
          <w:tcPr>
            <w:tcW w:w="340" w:type="dxa"/>
            <w:vAlign w:val="bottom"/>
            <w:gridSpan w:val="3"/>
          </w:tcPr>
          <w:p>
            <w:pPr>
              <w:ind w:left="140"/>
              <w:spacing w:after="0" w:line="169" w:lineRule="exact"/>
              <w:rPr>
                <w:sz w:val="20"/>
                <w:szCs w:val="20"/>
                <w:color w:val="auto"/>
              </w:rPr>
            </w:pPr>
            <w:r>
              <w:rPr>
                <w:rFonts w:ascii="Arial" w:cs="Arial" w:eastAsia="Arial" w:hAnsi="Arial"/>
                <w:sz w:val="17"/>
                <w:szCs w:val="17"/>
                <w:color w:val="auto"/>
              </w:rPr>
              <w:t>$</w:t>
            </w:r>
          </w:p>
        </w:tc>
        <w:tc>
          <w:tcPr>
            <w:tcW w:w="880" w:type="dxa"/>
            <w:vAlign w:val="bottom"/>
          </w:tcPr>
          <w:p>
            <w:pPr>
              <w:jc w:val="right"/>
              <w:spacing w:after="0" w:line="169" w:lineRule="exact"/>
              <w:rPr>
                <w:sz w:val="20"/>
                <w:szCs w:val="20"/>
                <w:color w:val="auto"/>
              </w:rPr>
            </w:pPr>
            <w:r>
              <w:rPr>
                <w:rFonts w:ascii="Arial" w:cs="Arial" w:eastAsia="Arial" w:hAnsi="Arial"/>
                <w:sz w:val="17"/>
                <w:szCs w:val="17"/>
                <w:color w:val="auto"/>
              </w:rPr>
              <w:t>7.37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380"/>
              <w:spacing w:after="0" w:line="169" w:lineRule="exact"/>
              <w:rPr>
                <w:sz w:val="20"/>
                <w:szCs w:val="20"/>
                <w:color w:val="auto"/>
              </w:rPr>
            </w:pPr>
            <w:r>
              <w:rPr>
                <w:rFonts w:ascii="Arial" w:cs="Arial" w:eastAsia="Arial" w:hAnsi="Arial"/>
                <w:sz w:val="17"/>
                <w:szCs w:val="17"/>
                <w:color w:val="auto"/>
              </w:rPr>
              <w:t>$</w:t>
            </w:r>
          </w:p>
        </w:tc>
        <w:tc>
          <w:tcPr>
            <w:tcW w:w="840" w:type="dxa"/>
            <w:vAlign w:val="bottom"/>
          </w:tcPr>
          <w:p>
            <w:pPr>
              <w:jc w:val="right"/>
              <w:spacing w:after="0" w:line="169" w:lineRule="exact"/>
              <w:rPr>
                <w:sz w:val="20"/>
                <w:szCs w:val="20"/>
                <w:color w:val="auto"/>
              </w:rPr>
            </w:pPr>
            <w:r>
              <w:rPr>
                <w:rFonts w:ascii="Arial" w:cs="Arial" w:eastAsia="Arial" w:hAnsi="Arial"/>
                <w:sz w:val="17"/>
                <w:szCs w:val="17"/>
                <w:color w:val="auto"/>
              </w:rPr>
              <w:t>(1.48)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left w:val="single" w:sz="8" w:color="auto"/>
            </w:tcBorders>
            <w:gridSpan w:val="3"/>
          </w:tcPr>
          <w:p>
            <w:pPr>
              <w:jc w:val="right"/>
              <w:spacing w:after="0" w:line="169" w:lineRule="exact"/>
              <w:rPr>
                <w:sz w:val="20"/>
                <w:szCs w:val="20"/>
                <w:color w:val="auto"/>
              </w:rPr>
            </w:pPr>
            <w:r>
              <w:rPr>
                <w:rFonts w:ascii="Arial" w:cs="Arial" w:eastAsia="Arial" w:hAnsi="Arial"/>
                <w:sz w:val="17"/>
                <w:szCs w:val="17"/>
                <w:color w:val="auto"/>
              </w:rPr>
              <w:t>$</w:t>
            </w:r>
          </w:p>
        </w:tc>
        <w:tc>
          <w:tcPr>
            <w:tcW w:w="1160" w:type="dxa"/>
            <w:vAlign w:val="bottom"/>
          </w:tcPr>
          <w:p>
            <w:pPr>
              <w:jc w:val="right"/>
              <w:spacing w:after="0" w:line="169" w:lineRule="exact"/>
              <w:rPr>
                <w:sz w:val="20"/>
                <w:szCs w:val="20"/>
                <w:color w:val="auto"/>
              </w:rPr>
            </w:pPr>
            <w:r>
              <w:rPr>
                <w:rFonts w:ascii="Arial" w:cs="Arial" w:eastAsia="Arial" w:hAnsi="Arial"/>
                <w:sz w:val="17"/>
                <w:szCs w:val="17"/>
                <w:color w:val="auto"/>
              </w:rPr>
              <w:t>40.42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line="171" w:lineRule="exact"/>
              <w:rPr>
                <w:sz w:val="20"/>
                <w:szCs w:val="20"/>
                <w:color w:val="auto"/>
              </w:rPr>
            </w:pPr>
            <w:r>
              <w:rPr>
                <w:rFonts w:ascii="Arial" w:cs="Arial" w:eastAsia="Arial" w:hAnsi="Arial"/>
                <w:sz w:val="17"/>
                <w:szCs w:val="17"/>
                <w:b w:val="1"/>
                <w:bCs w:val="1"/>
                <w:color w:val="auto"/>
              </w:rPr>
              <w:t>Weighted-average common shares</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560" w:type="dxa"/>
            <w:vAlign w:val="bottom"/>
          </w:tcPr>
          <w:p>
            <w:pPr>
              <w:spacing w:after="0" w:line="173" w:lineRule="exact"/>
              <w:rPr>
                <w:sz w:val="20"/>
                <w:szCs w:val="20"/>
                <w:color w:val="auto"/>
              </w:rPr>
            </w:pPr>
            <w:r>
              <w:rPr>
                <w:rFonts w:ascii="Arial" w:cs="Arial" w:eastAsia="Arial" w:hAnsi="Arial"/>
                <w:sz w:val="17"/>
                <w:szCs w:val="17"/>
                <w:b w:val="1"/>
                <w:bCs w:val="1"/>
                <w:color w:val="auto"/>
              </w:rPr>
              <w:t>outstanding</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560" w:type="dxa"/>
            <w:vAlign w:val="bottom"/>
          </w:tcPr>
          <w:p>
            <w:pPr>
              <w:jc w:val="right"/>
              <w:ind w:right="115"/>
              <w:spacing w:after="0" w:line="171" w:lineRule="exact"/>
              <w:rPr>
                <w:sz w:val="20"/>
                <w:szCs w:val="20"/>
                <w:color w:val="auto"/>
              </w:rPr>
            </w:pPr>
            <w:r>
              <w:rPr>
                <w:rFonts w:ascii="Arial" w:cs="Arial" w:eastAsia="Arial" w:hAnsi="Arial"/>
                <w:sz w:val="17"/>
                <w:szCs w:val="17"/>
                <w:color w:val="auto"/>
                <w:w w:val="94"/>
              </w:rPr>
              <w:t>Basic . . . . . . . . . . . . . . . . . . . . . . . . . . . . . . . . .</w:t>
            </w:r>
          </w:p>
        </w:tc>
        <w:tc>
          <w:tcPr>
            <w:tcW w:w="28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Arial" w:cs="Arial" w:eastAsia="Arial" w:hAnsi="Arial"/>
                <w:sz w:val="17"/>
                <w:szCs w:val="17"/>
                <w:color w:val="auto"/>
              </w:rPr>
              <w:t>75.5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Arial" w:cs="Arial" w:eastAsia="Arial" w:hAnsi="Arial"/>
                <w:sz w:val="17"/>
                <w:szCs w:val="17"/>
                <w:color w:val="auto"/>
              </w:rPr>
              <w:t>82.0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line="171" w:lineRule="exact"/>
              <w:rPr>
                <w:sz w:val="20"/>
                <w:szCs w:val="20"/>
                <w:color w:val="auto"/>
              </w:rPr>
            </w:pPr>
            <w:r>
              <w:rPr>
                <w:rFonts w:ascii="Arial" w:cs="Arial" w:eastAsia="Arial" w:hAnsi="Arial"/>
                <w:sz w:val="17"/>
                <w:szCs w:val="17"/>
                <w:color w:val="auto"/>
              </w:rPr>
              <w:t>83.3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line="171" w:lineRule="exact"/>
              <w:rPr>
                <w:sz w:val="20"/>
                <w:szCs w:val="20"/>
                <w:color w:val="auto"/>
              </w:rPr>
            </w:pPr>
            <w:r>
              <w:rPr>
                <w:rFonts w:ascii="Arial" w:cs="Arial" w:eastAsia="Arial" w:hAnsi="Arial"/>
                <w:sz w:val="17"/>
                <w:szCs w:val="17"/>
                <w:color w:val="auto"/>
              </w:rPr>
              <w:t>49.4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560" w:type="dxa"/>
            <w:vAlign w:val="bottom"/>
            <w:vMerge w:val="restart"/>
          </w:tcPr>
          <w:p>
            <w:pPr>
              <w:jc w:val="right"/>
              <w:ind w:right="115"/>
              <w:spacing w:after="0" w:line="190" w:lineRule="exact"/>
              <w:rPr>
                <w:sz w:val="20"/>
                <w:szCs w:val="20"/>
                <w:color w:val="auto"/>
              </w:rPr>
            </w:pPr>
            <w:r>
              <w:rPr>
                <w:rFonts w:ascii="Arial" w:cs="Arial" w:eastAsia="Arial" w:hAnsi="Arial"/>
                <w:sz w:val="17"/>
                <w:szCs w:val="17"/>
                <w:color w:val="auto"/>
                <w:w w:val="95"/>
              </w:rPr>
              <w:t>Diluted  . . . . . . . . . . . . . . . . . . . . . . . . . . . . . . .</w:t>
            </w:r>
          </w:p>
        </w:tc>
        <w:tc>
          <w:tcPr>
            <w:tcW w:w="280" w:type="dxa"/>
            <w:vAlign w:val="bottom"/>
          </w:tcPr>
          <w:p>
            <w:pPr>
              <w:spacing w:after="0"/>
              <w:rPr>
                <w:sz w:val="13"/>
                <w:szCs w:val="13"/>
                <w:color w:val="auto"/>
              </w:rPr>
            </w:pPr>
          </w:p>
        </w:tc>
        <w:tc>
          <w:tcPr>
            <w:tcW w:w="860" w:type="dxa"/>
            <w:vAlign w:val="bottom"/>
            <w:vMerge w:val="restart"/>
          </w:tcPr>
          <w:p>
            <w:pPr>
              <w:jc w:val="right"/>
              <w:spacing w:after="0" w:line="190" w:lineRule="exact"/>
              <w:rPr>
                <w:sz w:val="20"/>
                <w:szCs w:val="20"/>
                <w:color w:val="auto"/>
              </w:rPr>
            </w:pPr>
            <w:r>
              <w:rPr>
                <w:rFonts w:ascii="Arial" w:cs="Arial" w:eastAsia="Arial" w:hAnsi="Arial"/>
                <w:sz w:val="17"/>
                <w:szCs w:val="17"/>
                <w:color w:val="auto"/>
              </w:rPr>
              <w:t>77.6</w:t>
            </w:r>
          </w:p>
        </w:tc>
        <w:tc>
          <w:tcPr>
            <w:tcW w:w="2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spacing w:after="0" w:line="190" w:lineRule="exact"/>
              <w:rPr>
                <w:sz w:val="20"/>
                <w:szCs w:val="20"/>
                <w:color w:val="auto"/>
              </w:rPr>
            </w:pPr>
            <w:r>
              <w:rPr>
                <w:rFonts w:ascii="Arial" w:cs="Arial" w:eastAsia="Arial" w:hAnsi="Arial"/>
                <w:sz w:val="17"/>
                <w:szCs w:val="17"/>
                <w:color w:val="auto"/>
              </w:rPr>
              <w:t>83.0</w:t>
            </w:r>
          </w:p>
        </w:tc>
        <w:tc>
          <w:tcPr>
            <w:tcW w:w="2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vMerge w:val="restart"/>
          </w:tcPr>
          <w:p>
            <w:pPr>
              <w:jc w:val="right"/>
              <w:spacing w:after="0" w:line="190" w:lineRule="exact"/>
              <w:rPr>
                <w:sz w:val="20"/>
                <w:szCs w:val="20"/>
                <w:color w:val="auto"/>
              </w:rPr>
            </w:pPr>
            <w:r>
              <w:rPr>
                <w:rFonts w:ascii="Arial" w:cs="Arial" w:eastAsia="Arial" w:hAnsi="Arial"/>
                <w:sz w:val="17"/>
                <w:szCs w:val="17"/>
                <w:color w:val="auto"/>
              </w:rPr>
              <w:t>83.3</w:t>
            </w:r>
          </w:p>
        </w:tc>
        <w:tc>
          <w:tcPr>
            <w:tcW w:w="8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80" w:type="dxa"/>
            <w:vAlign w:val="bottom"/>
            <w:tcBorders>
              <w:lef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restart"/>
          </w:tcPr>
          <w:p>
            <w:pPr>
              <w:jc w:val="right"/>
              <w:spacing w:after="0" w:line="190" w:lineRule="exact"/>
              <w:rPr>
                <w:sz w:val="20"/>
                <w:szCs w:val="20"/>
                <w:color w:val="auto"/>
              </w:rPr>
            </w:pPr>
            <w:r>
              <w:rPr>
                <w:rFonts w:ascii="Arial" w:cs="Arial" w:eastAsia="Arial" w:hAnsi="Arial"/>
                <w:sz w:val="17"/>
                <w:szCs w:val="17"/>
                <w:color w:val="auto"/>
              </w:rPr>
              <w:t>49.6</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356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880" w:h="15480" w:orient="portrait"/>
          <w:cols w:equalWidth="0" w:num="1">
            <w:col w:w="9120"/>
          </w:cols>
          <w:pgMar w:left="1380" w:top="1270" w:right="1380" w:bottom="695" w:gutter="0" w:footer="0" w:header="0"/>
        </w:sect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w:t>
      </w:r>
    </w:p>
    <w:p>
      <w:pPr>
        <w:sectPr>
          <w:pgSz w:w="11880" w:h="15480" w:orient="portrait"/>
          <w:cols w:equalWidth="0" w:num="1">
            <w:col w:w="9120"/>
          </w:cols>
          <w:pgMar w:left="1380" w:top="1270" w:right="1380" w:bottom="695" w:gutter="0" w:footer="0" w:header="0"/>
          <w:type w:val="continuous"/>
        </w:sectPr>
      </w:pPr>
    </w:p>
    <w:bookmarkStart w:id="98" w:name="page99"/>
    <w:bookmarkEnd w:id="98"/>
    <w:p>
      <w:pPr>
        <w:jc w:val="center"/>
        <w:spacing w:after="0" w:line="250" w:lineRule="auto"/>
        <w:rPr>
          <w:sz w:val="20"/>
          <w:szCs w:val="20"/>
          <w:color w:val="auto"/>
        </w:rPr>
      </w:pPr>
      <w:r>
        <w:rPr>
          <w:rFonts w:ascii="Arial" w:cs="Arial" w:eastAsia="Arial" w:hAnsi="Arial"/>
          <w:sz w:val="20"/>
          <w:szCs w:val="20"/>
          <w:b w:val="1"/>
          <w:bCs w:val="1"/>
          <w:color w:val="auto"/>
        </w:rPr>
        <w:t xml:space="preserve">CALIFORNIA RESOURCES CORPORATION AND SUBSIDIARIES Consolidated Statements of Comprehensive Income (Loss) For the years ended December 31, 2022 and 2021, the period from November 1, 2020 through December 31, 2020 and the period from January 1, 2020 through October 31, 2020 </w:t>
      </w:r>
      <w:r>
        <w:rPr>
          <w:rFonts w:ascii="Arial" w:cs="Arial" w:eastAsia="Arial" w:hAnsi="Arial"/>
          <w:sz w:val="20"/>
          <w:szCs w:val="20"/>
          <w:color w:val="auto"/>
        </w:rPr>
        <w:t>(in millions)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Successor</w:t>
            </w: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193"/>
        </w:trPr>
        <w:tc>
          <w:tcPr>
            <w:tcW w:w="2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70"/>
              <w:spacing w:after="0" w:line="193" w:lineRule="exact"/>
              <w:rPr>
                <w:sz w:val="20"/>
                <w:szCs w:val="20"/>
                <w:color w:val="auto"/>
              </w:rPr>
            </w:pPr>
            <w:r>
              <w:rPr>
                <w:rFonts w:ascii="Arial" w:cs="Arial" w:eastAsia="Arial" w:hAnsi="Arial"/>
                <w:sz w:val="18"/>
                <w:szCs w:val="18"/>
                <w:b w:val="1"/>
                <w:bCs w:val="1"/>
                <w:color w:val="auto"/>
                <w:w w:val="98"/>
              </w:rPr>
              <w:t>Year ended</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center"/>
              <w:ind w:right="90"/>
              <w:spacing w:after="0" w:line="193" w:lineRule="exact"/>
              <w:rPr>
                <w:sz w:val="20"/>
                <w:szCs w:val="20"/>
                <w:color w:val="auto"/>
              </w:rPr>
            </w:pPr>
            <w:r>
              <w:rPr>
                <w:rFonts w:ascii="Arial" w:cs="Arial" w:eastAsia="Arial" w:hAnsi="Arial"/>
                <w:sz w:val="18"/>
                <w:szCs w:val="18"/>
                <w:b w:val="1"/>
                <w:bCs w:val="1"/>
                <w:color w:val="auto"/>
                <w:w w:val="98"/>
              </w:rPr>
              <w:t>Year ended</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tcBorders>
              <w:right w:val="single" w:sz="8" w:color="auto"/>
            </w:tcBorders>
            <w:gridSpan w:val="4"/>
            <w:vMerge w:val="restart"/>
          </w:tcPr>
          <w:p>
            <w:pPr>
              <w:spacing w:after="0"/>
              <w:rPr>
                <w:sz w:val="20"/>
                <w:szCs w:val="20"/>
                <w:color w:val="auto"/>
              </w:rPr>
            </w:pPr>
            <w:r>
              <w:rPr>
                <w:rFonts w:ascii="Arial" w:cs="Arial" w:eastAsia="Arial" w:hAnsi="Arial"/>
                <w:sz w:val="18"/>
                <w:szCs w:val="18"/>
                <w:b w:val="1"/>
                <w:bCs w:val="1"/>
                <w:color w:val="auto"/>
              </w:rPr>
              <w:t>November 1, 2020 -</w:t>
            </w:r>
          </w:p>
        </w:tc>
        <w:tc>
          <w:tcPr>
            <w:tcW w:w="80" w:type="dxa"/>
            <w:vAlign w:val="bottom"/>
          </w:tcPr>
          <w:p>
            <w:pPr>
              <w:spacing w:after="0"/>
              <w:rPr>
                <w:sz w:val="16"/>
                <w:szCs w:val="16"/>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January 1, 2020 -</w:t>
            </w:r>
          </w:p>
        </w:tc>
        <w:tc>
          <w:tcPr>
            <w:tcW w:w="0" w:type="dxa"/>
            <w:vAlign w:val="bottom"/>
          </w:tcPr>
          <w:p>
            <w:pPr>
              <w:spacing w:after="0"/>
              <w:rPr>
                <w:sz w:val="1"/>
                <w:szCs w:val="1"/>
                <w:color w:val="auto"/>
              </w:rPr>
            </w:pPr>
          </w:p>
        </w:tc>
      </w:tr>
      <w:tr>
        <w:trPr>
          <w:trHeight w:val="167"/>
        </w:trPr>
        <w:tc>
          <w:tcPr>
            <w:tcW w:w="2820" w:type="dxa"/>
            <w:vAlign w:val="bottom"/>
          </w:tcPr>
          <w:p>
            <w:pPr>
              <w:spacing w:after="0"/>
              <w:rPr>
                <w:sz w:val="14"/>
                <w:szCs w:val="14"/>
                <w:color w:val="auto"/>
              </w:rPr>
            </w:pPr>
          </w:p>
        </w:tc>
        <w:tc>
          <w:tcPr>
            <w:tcW w:w="1320" w:type="dxa"/>
            <w:vAlign w:val="bottom"/>
            <w:gridSpan w:val="2"/>
          </w:tcPr>
          <w:p>
            <w:pPr>
              <w:jc w:val="center"/>
              <w:spacing w:after="0" w:line="168" w:lineRule="exact"/>
              <w:rPr>
                <w:sz w:val="20"/>
                <w:szCs w:val="20"/>
                <w:color w:val="auto"/>
              </w:rPr>
            </w:pPr>
            <w:r>
              <w:rPr>
                <w:rFonts w:ascii="Arial" w:cs="Arial" w:eastAsia="Arial" w:hAnsi="Arial"/>
                <w:sz w:val="18"/>
                <w:szCs w:val="18"/>
                <w:b w:val="1"/>
                <w:bCs w:val="1"/>
                <w:color w:val="auto"/>
                <w:w w:val="99"/>
              </w:rPr>
              <w:t>December 31,</w:t>
            </w:r>
          </w:p>
        </w:tc>
        <w:tc>
          <w:tcPr>
            <w:tcW w:w="60" w:type="dxa"/>
            <w:vAlign w:val="bottom"/>
          </w:tcPr>
          <w:p>
            <w:pPr>
              <w:spacing w:after="0"/>
              <w:rPr>
                <w:sz w:val="14"/>
                <w:szCs w:val="14"/>
                <w:color w:val="auto"/>
              </w:rPr>
            </w:pPr>
          </w:p>
        </w:tc>
        <w:tc>
          <w:tcPr>
            <w:tcW w:w="1400" w:type="dxa"/>
            <w:vAlign w:val="bottom"/>
            <w:gridSpan w:val="2"/>
          </w:tcPr>
          <w:p>
            <w:pPr>
              <w:jc w:val="center"/>
              <w:spacing w:after="0" w:line="168" w:lineRule="exact"/>
              <w:rPr>
                <w:sz w:val="20"/>
                <w:szCs w:val="20"/>
                <w:color w:val="auto"/>
              </w:rPr>
            </w:pPr>
            <w:r>
              <w:rPr>
                <w:rFonts w:ascii="Arial" w:cs="Arial" w:eastAsia="Arial" w:hAnsi="Arial"/>
                <w:sz w:val="18"/>
                <w:szCs w:val="18"/>
                <w:b w:val="1"/>
                <w:bCs w:val="1"/>
                <w:color w:val="auto"/>
                <w:w w:val="99"/>
              </w:rPr>
              <w:t>December 31,</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60" w:type="dxa"/>
            <w:vAlign w:val="bottom"/>
            <w:tcBorders>
              <w:right w:val="single" w:sz="8" w:color="auto"/>
            </w:tcBorders>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28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80" w:type="dxa"/>
            <w:vAlign w:val="bottom"/>
            <w:vMerge w:val="restart"/>
          </w:tcPr>
          <w:p>
            <w:pPr>
              <w:spacing w:after="0"/>
              <w:rPr>
                <w:sz w:val="5"/>
                <w:szCs w:val="5"/>
                <w:color w:val="auto"/>
              </w:rPr>
            </w:pPr>
          </w:p>
        </w:tc>
        <w:tc>
          <w:tcPr>
            <w:tcW w:w="40" w:type="dxa"/>
            <w:vAlign w:val="bottom"/>
            <w:vMerge w:val="restart"/>
          </w:tcPr>
          <w:p>
            <w:pPr>
              <w:spacing w:after="0"/>
              <w:rPr>
                <w:sz w:val="5"/>
                <w:szCs w:val="5"/>
                <w:color w:val="auto"/>
              </w:rPr>
            </w:pPr>
          </w:p>
        </w:tc>
        <w:tc>
          <w:tcPr>
            <w:tcW w:w="1760" w:type="dxa"/>
            <w:vAlign w:val="bottom"/>
            <w:tcBorders>
              <w:right w:val="single" w:sz="8" w:color="auto"/>
            </w:tcBorders>
            <w:gridSpan w:val="4"/>
            <w:vMerge w:val="restart"/>
          </w:tcPr>
          <w:p>
            <w:pPr>
              <w:ind w:left="20"/>
              <w:spacing w:after="0" w:line="203" w:lineRule="exact"/>
              <w:rPr>
                <w:sz w:val="20"/>
                <w:szCs w:val="20"/>
                <w:color w:val="auto"/>
              </w:rPr>
            </w:pPr>
            <w:r>
              <w:rPr>
                <w:rFonts w:ascii="Arial" w:cs="Arial" w:eastAsia="Arial" w:hAnsi="Arial"/>
                <w:sz w:val="18"/>
                <w:szCs w:val="18"/>
                <w:b w:val="1"/>
                <w:bCs w:val="1"/>
                <w:color w:val="auto"/>
              </w:rPr>
              <w:t>December 31, 2020</w:t>
            </w:r>
          </w:p>
        </w:tc>
        <w:tc>
          <w:tcPr>
            <w:tcW w:w="80" w:type="dxa"/>
            <w:vAlign w:val="bottom"/>
          </w:tcPr>
          <w:p>
            <w:pPr>
              <w:spacing w:after="0"/>
              <w:rPr>
                <w:sz w:val="5"/>
                <w:szCs w:val="5"/>
                <w:color w:val="auto"/>
              </w:rPr>
            </w:pPr>
          </w:p>
        </w:tc>
        <w:tc>
          <w:tcPr>
            <w:tcW w:w="1560" w:type="dxa"/>
            <w:vAlign w:val="bottom"/>
            <w:gridSpan w:val="2"/>
            <w:vMerge w:val="restart"/>
          </w:tcPr>
          <w:p>
            <w:pPr>
              <w:ind w:left="60"/>
              <w:spacing w:after="0" w:line="203" w:lineRule="exact"/>
              <w:rPr>
                <w:sz w:val="20"/>
                <w:szCs w:val="20"/>
                <w:color w:val="auto"/>
              </w:rPr>
            </w:pPr>
            <w:r>
              <w:rPr>
                <w:rFonts w:ascii="Arial" w:cs="Arial" w:eastAsia="Arial" w:hAnsi="Arial"/>
                <w:sz w:val="18"/>
                <w:szCs w:val="18"/>
                <w:b w:val="1"/>
                <w:bCs w:val="1"/>
                <w:color w:val="auto"/>
              </w:rPr>
              <w:t>October 31, 2020</w:t>
            </w:r>
          </w:p>
        </w:tc>
        <w:tc>
          <w:tcPr>
            <w:tcW w:w="0" w:type="dxa"/>
            <w:vAlign w:val="bottom"/>
          </w:tcPr>
          <w:p>
            <w:pPr>
              <w:spacing w:after="0"/>
              <w:rPr>
                <w:sz w:val="1"/>
                <w:szCs w:val="1"/>
                <w:color w:val="auto"/>
              </w:rPr>
            </w:pPr>
          </w:p>
        </w:tc>
      </w:tr>
      <w:tr>
        <w:trPr>
          <w:trHeight w:val="123"/>
        </w:trPr>
        <w:tc>
          <w:tcPr>
            <w:tcW w:w="2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9"/>
              </w:rPr>
              <w:t>2022</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9"/>
              </w:rPr>
              <w:t>2021</w:t>
            </w:r>
          </w:p>
        </w:tc>
        <w:tc>
          <w:tcPr>
            <w:tcW w:w="8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1760" w:type="dxa"/>
            <w:vAlign w:val="bottom"/>
            <w:tcBorders>
              <w:right w:val="single" w:sz="8" w:color="auto"/>
            </w:tcBorders>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282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Net income (loss) </w:t>
            </w:r>
            <w:r>
              <w:rPr>
                <w:rFonts w:ascii="Arial" w:cs="Arial" w:eastAsia="Arial" w:hAnsi="Arial"/>
                <w:sz w:val="18"/>
                <w:szCs w:val="18"/>
                <w:color w:val="auto"/>
              </w:rPr>
              <w:t>. . . . . . . . . . . .</w:t>
            </w: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820" w:type="dxa"/>
            <w:vAlign w:val="bottom"/>
            <w:vMerge w:val="continue"/>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625</w:t>
            </w:r>
          </w:p>
        </w:tc>
        <w:tc>
          <w:tcPr>
            <w:tcW w:w="800" w:type="dxa"/>
            <w:vAlign w:val="bottom"/>
            <w:gridSpan w:val="3"/>
          </w:tcPr>
          <w:p>
            <w:pPr>
              <w:jc w:val="right"/>
              <w:ind w:right="4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80" w:type="dxa"/>
            <w:vAlign w:val="bottom"/>
            <w:tcBorders>
              <w:right w:val="single" w:sz="8" w:color="auto"/>
            </w:tcBorders>
          </w:tcPr>
          <w:p>
            <w:pPr>
              <w:spacing w:after="0"/>
              <w:rPr>
                <w:sz w:val="22"/>
                <w:szCs w:val="22"/>
                <w:color w:val="auto"/>
              </w:rPr>
            </w:pP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20"/>
        </w:trPr>
        <w:tc>
          <w:tcPr>
            <w:tcW w:w="2820" w:type="dxa"/>
            <w:vAlign w:val="bottom"/>
          </w:tcPr>
          <w:p>
            <w:pPr>
              <w:spacing w:after="0"/>
              <w:rPr>
                <w:sz w:val="20"/>
                <w:szCs w:val="20"/>
                <w:color w:val="auto"/>
              </w:rPr>
            </w:pPr>
            <w:r>
              <w:rPr>
                <w:rFonts w:ascii="Arial" w:cs="Arial" w:eastAsia="Arial" w:hAnsi="Arial"/>
                <w:sz w:val="18"/>
                <w:szCs w:val="18"/>
                <w:color w:val="auto"/>
              </w:rPr>
              <w:t>Net (income) loss attributable to</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20" w:type="dxa"/>
            <w:vAlign w:val="bottom"/>
          </w:tcPr>
          <w:p>
            <w:pPr>
              <w:spacing w:after="0"/>
              <w:rPr>
                <w:sz w:val="20"/>
                <w:szCs w:val="20"/>
                <w:color w:val="auto"/>
              </w:rPr>
            </w:pPr>
            <w:r>
              <w:rPr>
                <w:rFonts w:ascii="Arial" w:cs="Arial" w:eastAsia="Arial" w:hAnsi="Arial"/>
                <w:sz w:val="18"/>
                <w:szCs w:val="18"/>
                <w:color w:val="auto"/>
              </w:rPr>
              <w:t>noncontrolling interests  . . . . . . . .</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0"/>
        </w:trPr>
        <w:tc>
          <w:tcPr>
            <w:tcW w:w="28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20" w:type="dxa"/>
            <w:vAlign w:val="bottom"/>
          </w:tcPr>
          <w:p>
            <w:pPr>
              <w:spacing w:after="0"/>
              <w:rPr>
                <w:sz w:val="20"/>
                <w:szCs w:val="20"/>
                <w:color w:val="auto"/>
              </w:rPr>
            </w:pPr>
            <w:r>
              <w:rPr>
                <w:rFonts w:ascii="Arial" w:cs="Arial" w:eastAsia="Arial" w:hAnsi="Arial"/>
                <w:sz w:val="18"/>
                <w:szCs w:val="18"/>
                <w:color w:val="auto"/>
              </w:rPr>
              <w:t>(loss):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20" w:type="dxa"/>
            <w:vAlign w:val="bottom"/>
          </w:tcPr>
          <w:p>
            <w:pPr>
              <w:ind w:left="360"/>
              <w:spacing w:after="0"/>
              <w:rPr>
                <w:sz w:val="20"/>
                <w:szCs w:val="20"/>
                <w:color w:val="auto"/>
              </w:rPr>
            </w:pPr>
            <w:r>
              <w:rPr>
                <w:rFonts w:ascii="Arial" w:cs="Arial" w:eastAsia="Arial" w:hAnsi="Arial"/>
                <w:sz w:val="18"/>
                <w:szCs w:val="18"/>
                <w:color w:val="auto"/>
              </w:rPr>
              <w:t>Actuarial gains (losses)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20" w:type="dxa"/>
            <w:vAlign w:val="bottom"/>
          </w:tcPr>
          <w:p>
            <w:pPr>
              <w:ind w:left="360"/>
              <w:spacing w:after="0"/>
              <w:rPr>
                <w:sz w:val="20"/>
                <w:szCs w:val="20"/>
                <w:color w:val="auto"/>
              </w:rPr>
            </w:pPr>
            <w:r>
              <w:rPr>
                <w:rFonts w:ascii="Arial" w:cs="Arial" w:eastAsia="Arial" w:hAnsi="Arial"/>
                <w:sz w:val="18"/>
                <w:szCs w:val="18"/>
                <w:color w:val="auto"/>
              </w:rPr>
              <w:t>associated with pension and</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20" w:type="dxa"/>
            <w:vAlign w:val="bottom"/>
          </w:tcPr>
          <w:p>
            <w:pPr>
              <w:ind w:left="360"/>
              <w:spacing w:after="0"/>
              <w:rPr>
                <w:sz w:val="20"/>
                <w:szCs w:val="20"/>
                <w:color w:val="auto"/>
              </w:rPr>
            </w:pPr>
            <w:r>
              <w:rPr>
                <w:rFonts w:ascii="Arial" w:cs="Arial" w:eastAsia="Arial" w:hAnsi="Arial"/>
                <w:sz w:val="18"/>
                <w:szCs w:val="18"/>
                <w:color w:val="auto"/>
              </w:rPr>
              <w:t>postretirement plans . . . . . . .</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0"/>
        </w:trPr>
        <w:tc>
          <w:tcPr>
            <w:tcW w:w="2820" w:type="dxa"/>
            <w:vAlign w:val="bottom"/>
          </w:tcPr>
          <w:p>
            <w:pPr>
              <w:ind w:left="360"/>
              <w:spacing w:after="0"/>
              <w:rPr>
                <w:sz w:val="20"/>
                <w:szCs w:val="20"/>
                <w:color w:val="auto"/>
              </w:rPr>
            </w:pPr>
            <w:r>
              <w:rPr>
                <w:rFonts w:ascii="Arial" w:cs="Arial" w:eastAsia="Arial" w:hAnsi="Arial"/>
                <w:sz w:val="18"/>
                <w:szCs w:val="18"/>
                <w:color w:val="auto"/>
              </w:rPr>
              <w:t>Prior service credit  . . . . . . . .</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0"/>
        </w:trPr>
        <w:tc>
          <w:tcPr>
            <w:tcW w:w="2820" w:type="dxa"/>
            <w:vAlign w:val="bottom"/>
          </w:tcPr>
          <w:p>
            <w:pPr>
              <w:ind w:left="360"/>
              <w:spacing w:after="0"/>
              <w:rPr>
                <w:sz w:val="20"/>
                <w:szCs w:val="20"/>
                <w:color w:val="auto"/>
              </w:rPr>
            </w:pPr>
            <w:r>
              <w:rPr>
                <w:rFonts w:ascii="Arial" w:cs="Arial" w:eastAsia="Arial" w:hAnsi="Arial"/>
                <w:sz w:val="18"/>
                <w:szCs w:val="18"/>
                <w:color w:val="auto"/>
              </w:rPr>
              <w:t>Amortization of prior service</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20" w:type="dxa"/>
            <w:vAlign w:val="bottom"/>
          </w:tcPr>
          <w:p>
            <w:pPr>
              <w:ind w:left="360"/>
              <w:spacing w:after="0"/>
              <w:rPr>
                <w:sz w:val="20"/>
                <w:szCs w:val="20"/>
                <w:color w:val="auto"/>
              </w:rPr>
            </w:pPr>
            <w:r>
              <w:rPr>
                <w:rFonts w:ascii="Arial" w:cs="Arial" w:eastAsia="Arial" w:hAnsi="Arial"/>
                <w:sz w:val="18"/>
                <w:szCs w:val="18"/>
                <w:color w:val="auto"/>
              </w:rPr>
              <w:t>cost credit included in net</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20" w:type="dxa"/>
            <w:vAlign w:val="bottom"/>
          </w:tcPr>
          <w:p>
            <w:pPr>
              <w:ind w:left="360"/>
              <w:spacing w:after="0"/>
              <w:rPr>
                <w:sz w:val="20"/>
                <w:szCs w:val="20"/>
                <w:color w:val="auto"/>
              </w:rPr>
            </w:pPr>
            <w:r>
              <w:rPr>
                <w:rFonts w:ascii="Arial" w:cs="Arial" w:eastAsia="Arial" w:hAnsi="Arial"/>
                <w:sz w:val="18"/>
                <w:szCs w:val="18"/>
                <w:color w:val="auto"/>
              </w:rPr>
              <w:t>periodic benefit cost  . . . . . . .</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282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income (loss)</w:t>
            </w: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282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820" w:type="dxa"/>
            <w:vAlign w:val="bottom"/>
          </w:tcPr>
          <w:p>
            <w:pPr>
              <w:spacing w:after="0"/>
              <w:rPr>
                <w:sz w:val="20"/>
                <w:szCs w:val="20"/>
                <w:color w:val="auto"/>
              </w:rPr>
            </w:pPr>
            <w:r>
              <w:rPr>
                <w:rFonts w:ascii="Arial" w:cs="Arial" w:eastAsia="Arial" w:hAnsi="Arial"/>
                <w:sz w:val="18"/>
                <w:szCs w:val="18"/>
                <w:b w:val="1"/>
                <w:bCs w:val="1"/>
                <w:color w:val="auto"/>
              </w:rPr>
              <w:t>attributable to common</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20" w:type="dxa"/>
            <w:vAlign w:val="bottom"/>
          </w:tcPr>
          <w:p>
            <w:pPr>
              <w:spacing w:after="0"/>
              <w:rPr>
                <w:sz w:val="20"/>
                <w:szCs w:val="20"/>
                <w:color w:val="auto"/>
              </w:rPr>
            </w:pPr>
            <w:r>
              <w:rPr>
                <w:rFonts w:ascii="Arial" w:cs="Arial" w:eastAsia="Arial" w:hAnsi="Arial"/>
                <w:sz w:val="18"/>
                <w:szCs w:val="18"/>
                <w:b w:val="1"/>
                <w:bCs w:val="1"/>
                <w:color w:val="auto"/>
              </w:rPr>
              <w:t xml:space="preserve">stock </w:t>
            </w:r>
            <w:r>
              <w:rPr>
                <w:rFonts w:ascii="Arial" w:cs="Arial" w:eastAsia="Arial" w:hAnsi="Arial"/>
                <w:sz w:val="18"/>
                <w:szCs w:val="18"/>
                <w:color w:val="auto"/>
              </w:rPr>
              <w:t>. . . . . . . . . . . . . . . . . . . . . . .</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533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692</w:t>
            </w:r>
          </w:p>
        </w:tc>
        <w:tc>
          <w:tcPr>
            <w:tcW w:w="800" w:type="dxa"/>
            <w:vAlign w:val="bottom"/>
            <w:gridSpan w:val="3"/>
          </w:tcPr>
          <w:p>
            <w:pPr>
              <w:jc w:val="right"/>
              <w:ind w:right="4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80" w:type="dxa"/>
            <w:vAlign w:val="bottom"/>
            <w:tcBorders>
              <w:right w:val="single" w:sz="8" w:color="auto"/>
            </w:tcBorders>
          </w:tcPr>
          <w:p>
            <w:pPr>
              <w:spacing w:after="0"/>
              <w:rPr>
                <w:sz w:val="19"/>
                <w:szCs w:val="19"/>
                <w:color w:val="auto"/>
              </w:rPr>
            </w:pP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34"/>
        </w:trPr>
        <w:tc>
          <w:tcPr>
            <w:tcW w:w="2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880" w:h="15480" w:orient="portrait"/>
          <w:cols w:equalWidth="0" w:num="1">
            <w:col w:w="9120"/>
          </w:cols>
          <w:pgMar w:left="1380" w:top="1312" w:right="1380" w:bottom="695" w:gutter="0" w:footer="0" w:header="0"/>
        </w:sect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95</w:t>
      </w:r>
    </w:p>
    <w:p>
      <w:pPr>
        <w:sectPr>
          <w:pgSz w:w="11880" w:h="15480" w:orient="portrait"/>
          <w:cols w:equalWidth="0" w:num="1">
            <w:col w:w="9120"/>
          </w:cols>
          <w:pgMar w:left="1380" w:top="1312" w:right="1380" w:bottom="695" w:gutter="0" w:footer="0" w:header="0"/>
          <w:type w:val="continuous"/>
        </w:sectPr>
      </w:pPr>
    </w:p>
    <w:bookmarkStart w:id="99" w:name="page100"/>
    <w:bookmarkEnd w:id="99"/>
    <w:p>
      <w:pPr>
        <w:jc w:val="center"/>
        <w:ind w:right="20"/>
        <w:spacing w:after="0"/>
        <w:rPr>
          <w:sz w:val="20"/>
          <w:szCs w:val="20"/>
          <w:color w:val="auto"/>
        </w:rPr>
      </w:pPr>
      <w:r>
        <w:rPr>
          <w:rFonts w:ascii="Arial" w:cs="Arial" w:eastAsia="Arial" w:hAnsi="Arial"/>
          <w:sz w:val="20"/>
          <w:szCs w:val="20"/>
          <w:b w:val="1"/>
          <w:bCs w:val="1"/>
          <w:color w:val="auto"/>
        </w:rPr>
        <w:t xml:space="preserve">CALIFORNIA RESOURCES CORPORATION AND SUBSIDIARIES Consolidated Statements of Changes in Stockholders’ Equity (Deficit) For the years ended December 31, 2022 and 2021, the period from November 1, 2020 through December 31, 2020 and the period from January 1, 2020 through October 31, 2020 </w:t>
      </w:r>
      <w:r>
        <w:rPr>
          <w:rFonts w:ascii="Arial" w:cs="Arial" w:eastAsia="Arial" w:hAnsi="Arial"/>
          <w:sz w:val="20"/>
          <w:szCs w:val="20"/>
          <w:color w:val="auto"/>
        </w:rPr>
        <w:t>(in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gridSpan w:val="5"/>
          </w:tcPr>
          <w:p>
            <w:pPr>
              <w:ind w:left="20"/>
              <w:spacing w:after="0"/>
              <w:rPr>
                <w:sz w:val="20"/>
                <w:szCs w:val="20"/>
                <w:color w:val="auto"/>
              </w:rPr>
            </w:pPr>
            <w:r>
              <w:rPr>
                <w:rFonts w:ascii="Arial" w:cs="Arial" w:eastAsia="Arial" w:hAnsi="Arial"/>
                <w:sz w:val="14"/>
                <w:szCs w:val="14"/>
                <w:b w:val="1"/>
                <w:bCs w:val="1"/>
                <w:color w:val="auto"/>
              </w:rPr>
              <w:t>Predecessor</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7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Equity</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40"/>
              <w:spacing w:after="0" w:line="140" w:lineRule="exact"/>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2"/>
                <w:szCs w:val="12"/>
                <w:color w:val="auto"/>
              </w:rPr>
            </w:pPr>
          </w:p>
        </w:tc>
        <w:tc>
          <w:tcPr>
            <w:tcW w:w="980" w:type="dxa"/>
            <w:vAlign w:val="bottom"/>
            <w:gridSpan w:val="2"/>
          </w:tcPr>
          <w:p>
            <w:pPr>
              <w:ind w:left="40"/>
              <w:spacing w:after="0" w:line="140"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280"/>
              <w:spacing w:after="0" w:line="140"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tcPr>
          <w:p>
            <w:pPr>
              <w:jc w:val="center"/>
              <w:ind w:right="20"/>
              <w:spacing w:after="0" w:line="140" w:lineRule="exact"/>
              <w:rPr>
                <w:sz w:val="20"/>
                <w:szCs w:val="20"/>
                <w:color w:val="auto"/>
              </w:rPr>
            </w:pPr>
            <w:r>
              <w:rPr>
                <w:rFonts w:ascii="Arial" w:cs="Arial" w:eastAsia="Arial" w:hAnsi="Arial"/>
                <w:sz w:val="14"/>
                <w:szCs w:val="14"/>
                <w:b w:val="1"/>
                <w:bCs w:val="1"/>
                <w:color w:val="auto"/>
                <w:w w:val="99"/>
              </w:rPr>
              <w:t>Attributable</w:t>
            </w:r>
          </w:p>
        </w:tc>
        <w:tc>
          <w:tcPr>
            <w:tcW w:w="60" w:type="dxa"/>
            <w:vAlign w:val="bottom"/>
          </w:tcPr>
          <w:p>
            <w:pPr>
              <w:spacing w:after="0"/>
              <w:rPr>
                <w:sz w:val="12"/>
                <w:szCs w:val="12"/>
                <w:color w:val="auto"/>
              </w:rPr>
            </w:pPr>
          </w:p>
        </w:tc>
        <w:tc>
          <w:tcPr>
            <w:tcW w:w="1140" w:type="dxa"/>
            <w:vAlign w:val="bottom"/>
            <w:gridSpan w:val="3"/>
          </w:tcPr>
          <w:p>
            <w:pPr>
              <w:ind w:left="60"/>
              <w:spacing w:after="0" w:line="140" w:lineRule="exact"/>
              <w:rPr>
                <w:sz w:val="20"/>
                <w:szCs w:val="20"/>
                <w:color w:val="auto"/>
              </w:rPr>
            </w:pPr>
            <w:r>
              <w:rPr>
                <w:rFonts w:ascii="Arial" w:cs="Arial" w:eastAsia="Arial" w:hAnsi="Arial"/>
                <w:sz w:val="14"/>
                <w:szCs w:val="14"/>
                <w:b w:val="1"/>
                <w:bCs w:val="1"/>
                <w:color w:val="auto"/>
              </w:rPr>
              <w:t>Attributable to</w:t>
            </w:r>
          </w:p>
        </w:tc>
        <w:tc>
          <w:tcPr>
            <w:tcW w:w="140" w:type="dxa"/>
            <w:vAlign w:val="bottom"/>
          </w:tcPr>
          <w:p>
            <w:pPr>
              <w:spacing w:after="0"/>
              <w:rPr>
                <w:sz w:val="12"/>
                <w:szCs w:val="12"/>
                <w:color w:val="auto"/>
              </w:rPr>
            </w:pPr>
          </w:p>
        </w:tc>
        <w:tc>
          <w:tcPr>
            <w:tcW w:w="680" w:type="dxa"/>
            <w:vAlign w:val="bottom"/>
          </w:tcPr>
          <w:p>
            <w:pPr>
              <w:jc w:val="center"/>
              <w:ind w:right="82"/>
              <w:spacing w:after="0" w:line="140"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0"/>
        </w:trPr>
        <w:tc>
          <w:tcPr>
            <w:tcW w:w="1780" w:type="dxa"/>
            <w:vAlign w:val="bottom"/>
          </w:tcPr>
          <w:p>
            <w:pPr>
              <w:spacing w:after="0"/>
              <w:rPr>
                <w:sz w:val="12"/>
                <w:szCs w:val="12"/>
                <w:color w:val="auto"/>
              </w:rPr>
            </w:pPr>
          </w:p>
        </w:tc>
        <w:tc>
          <w:tcPr>
            <w:tcW w:w="680" w:type="dxa"/>
            <w:vAlign w:val="bottom"/>
            <w:gridSpan w:val="4"/>
          </w:tcPr>
          <w:p>
            <w:pPr>
              <w:jc w:val="center"/>
              <w:spacing w:after="0" w:line="140" w:lineRule="exact"/>
              <w:rPr>
                <w:sz w:val="20"/>
                <w:szCs w:val="20"/>
                <w:color w:val="auto"/>
              </w:rPr>
            </w:pPr>
            <w:r>
              <w:rPr>
                <w:rFonts w:ascii="Arial" w:cs="Arial" w:eastAsia="Arial" w:hAnsi="Arial"/>
                <w:sz w:val="14"/>
                <w:szCs w:val="14"/>
                <w:b w:val="1"/>
                <w:bCs w:val="1"/>
                <w:color w:val="auto"/>
                <w:w w:val="98"/>
              </w:rPr>
              <w:t>Common</w:t>
            </w:r>
          </w:p>
        </w:tc>
        <w:tc>
          <w:tcPr>
            <w:tcW w:w="40" w:type="dxa"/>
            <w:vAlign w:val="bottom"/>
          </w:tcPr>
          <w:p>
            <w:pPr>
              <w:spacing w:after="0"/>
              <w:rPr>
                <w:sz w:val="12"/>
                <w:szCs w:val="12"/>
                <w:color w:val="auto"/>
              </w:rPr>
            </w:pPr>
          </w:p>
        </w:tc>
        <w:tc>
          <w:tcPr>
            <w:tcW w:w="660" w:type="dxa"/>
            <w:vAlign w:val="bottom"/>
            <w:gridSpan w:val="4"/>
          </w:tcPr>
          <w:p>
            <w:pPr>
              <w:jc w:val="center"/>
              <w:spacing w:after="0" w:line="140" w:lineRule="exact"/>
              <w:rPr>
                <w:sz w:val="20"/>
                <w:szCs w:val="20"/>
                <w:color w:val="auto"/>
              </w:rPr>
            </w:pPr>
            <w:r>
              <w:rPr>
                <w:rFonts w:ascii="Arial" w:cs="Arial" w:eastAsia="Arial" w:hAnsi="Arial"/>
                <w:sz w:val="14"/>
                <w:szCs w:val="14"/>
                <w:b w:val="1"/>
                <w:bCs w:val="1"/>
                <w:color w:val="auto"/>
                <w:w w:val="97"/>
              </w:rPr>
              <w:t>Treasury</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61"/>
              <w:spacing w:after="0" w:line="140" w:lineRule="exact"/>
              <w:rPr>
                <w:sz w:val="20"/>
                <w:szCs w:val="20"/>
                <w:color w:val="auto"/>
              </w:rPr>
            </w:pPr>
            <w:r>
              <w:rPr>
                <w:rFonts w:ascii="Arial" w:cs="Arial" w:eastAsia="Arial" w:hAnsi="Arial"/>
                <w:sz w:val="14"/>
                <w:szCs w:val="14"/>
                <w:b w:val="1"/>
                <w:bCs w:val="1"/>
                <w:color w:val="auto"/>
                <w:w w:val="98"/>
              </w:rPr>
              <w:t>Paid-in</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161"/>
              <w:spacing w:after="0" w:line="140" w:lineRule="exact"/>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2"/>
                <w:szCs w:val="12"/>
                <w:color w:val="auto"/>
              </w:rPr>
            </w:pPr>
          </w:p>
        </w:tc>
        <w:tc>
          <w:tcPr>
            <w:tcW w:w="1120" w:type="dxa"/>
            <w:vAlign w:val="bottom"/>
            <w:gridSpan w:val="4"/>
          </w:tcPr>
          <w:p>
            <w:pPr>
              <w:jc w:val="center"/>
              <w:spacing w:after="0" w:line="140" w:lineRule="exact"/>
              <w:rPr>
                <w:sz w:val="20"/>
                <w:szCs w:val="20"/>
                <w:color w:val="auto"/>
              </w:rPr>
            </w:pPr>
            <w:r>
              <w:rPr>
                <w:rFonts w:ascii="Arial" w:cs="Arial" w:eastAsia="Arial" w:hAnsi="Arial"/>
                <w:sz w:val="14"/>
                <w:szCs w:val="14"/>
                <w:b w:val="1"/>
                <w:bCs w:val="1"/>
                <w:color w:val="auto"/>
                <w:w w:val="98"/>
              </w:rPr>
              <w:t>Comprehensive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tcPr>
          <w:p>
            <w:pPr>
              <w:jc w:val="center"/>
              <w:ind w:right="20"/>
              <w:spacing w:after="0" w:line="140" w:lineRule="exact"/>
              <w:rPr>
                <w:sz w:val="20"/>
                <w:szCs w:val="20"/>
                <w:color w:val="auto"/>
              </w:rPr>
            </w:pPr>
            <w:r>
              <w:rPr>
                <w:rFonts w:ascii="Arial" w:cs="Arial" w:eastAsia="Arial" w:hAnsi="Arial"/>
                <w:sz w:val="14"/>
                <w:szCs w:val="14"/>
                <w:b w:val="1"/>
                <w:bCs w:val="1"/>
                <w:color w:val="auto"/>
              </w:rPr>
              <w:t>to Common</w:t>
            </w:r>
          </w:p>
        </w:tc>
        <w:tc>
          <w:tcPr>
            <w:tcW w:w="60" w:type="dxa"/>
            <w:vAlign w:val="bottom"/>
          </w:tcPr>
          <w:p>
            <w:pPr>
              <w:spacing w:after="0"/>
              <w:rPr>
                <w:sz w:val="12"/>
                <w:szCs w:val="12"/>
                <w:color w:val="auto"/>
              </w:rPr>
            </w:pPr>
          </w:p>
        </w:tc>
        <w:tc>
          <w:tcPr>
            <w:tcW w:w="1140" w:type="dxa"/>
            <w:vAlign w:val="bottom"/>
            <w:gridSpan w:val="3"/>
          </w:tcPr>
          <w:p>
            <w:pPr>
              <w:ind w:left="40"/>
              <w:spacing w:after="0" w:line="140" w:lineRule="exact"/>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2"/>
                <w:szCs w:val="12"/>
                <w:color w:val="auto"/>
              </w:rPr>
            </w:pPr>
          </w:p>
        </w:tc>
        <w:tc>
          <w:tcPr>
            <w:tcW w:w="680" w:type="dxa"/>
            <w:vAlign w:val="bottom"/>
          </w:tcPr>
          <w:p>
            <w:pPr>
              <w:jc w:val="center"/>
              <w:ind w:right="82"/>
              <w:spacing w:after="0" w:line="140" w:lineRule="exact"/>
              <w:rPr>
                <w:sz w:val="20"/>
                <w:szCs w:val="20"/>
                <w:color w:val="auto"/>
              </w:rPr>
            </w:pPr>
            <w:r>
              <w:rPr>
                <w:rFonts w:ascii="Arial" w:cs="Arial" w:eastAsia="Arial" w:hAnsi="Arial"/>
                <w:sz w:val="14"/>
                <w:szCs w:val="14"/>
                <w:b w:val="1"/>
                <w:bCs w:val="1"/>
                <w:color w:val="auto"/>
                <w:w w:val="99"/>
              </w:rPr>
              <w:t>(Deficit)</w:t>
            </w:r>
          </w:p>
        </w:tc>
        <w:tc>
          <w:tcPr>
            <w:tcW w:w="0" w:type="dxa"/>
            <w:vAlign w:val="bottom"/>
          </w:tcPr>
          <w:p>
            <w:pPr>
              <w:spacing w:after="0"/>
              <w:rPr>
                <w:sz w:val="1"/>
                <w:szCs w:val="1"/>
                <w:color w:val="auto"/>
              </w:rPr>
            </w:pPr>
          </w:p>
        </w:tc>
      </w:tr>
      <w:tr>
        <w:trPr>
          <w:trHeight w:val="159"/>
        </w:trPr>
        <w:tc>
          <w:tcPr>
            <w:tcW w:w="1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3"/>
          </w:tcPr>
          <w:p>
            <w:pPr>
              <w:jc w:val="center"/>
              <w:ind w:right="40"/>
              <w:spacing w:after="0" w:line="159" w:lineRule="exact"/>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gridSpan w:val="3"/>
          </w:tcPr>
          <w:p>
            <w:pPr>
              <w:jc w:val="center"/>
              <w:ind w:right="40"/>
              <w:spacing w:after="0" w:line="159" w:lineRule="exact"/>
              <w:rPr>
                <w:sz w:val="20"/>
                <w:szCs w:val="20"/>
                <w:color w:val="auto"/>
              </w:rPr>
            </w:pPr>
            <w:r>
              <w:rPr>
                <w:rFonts w:ascii="Arial" w:cs="Arial" w:eastAsia="Arial" w:hAnsi="Arial"/>
                <w:sz w:val="14"/>
                <w:szCs w:val="14"/>
                <w:b w:val="1"/>
                <w:bCs w:val="1"/>
                <w:color w:val="auto"/>
                <w:w w:val="99"/>
              </w:rPr>
              <w:t>Stock</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61"/>
              <w:spacing w:after="0" w:line="159" w:lineRule="exact"/>
              <w:rPr>
                <w:sz w:val="20"/>
                <w:szCs w:val="20"/>
                <w:color w:val="auto"/>
              </w:rPr>
            </w:pPr>
            <w:r>
              <w:rPr>
                <w:rFonts w:ascii="Arial" w:cs="Arial" w:eastAsia="Arial" w:hAnsi="Arial"/>
                <w:sz w:val="14"/>
                <w:szCs w:val="14"/>
                <w:b w:val="1"/>
                <w:bCs w:val="1"/>
                <w:color w:val="auto"/>
                <w:w w:val="98"/>
              </w:rPr>
              <w:t>Capital</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ind w:right="121"/>
              <w:spacing w:after="0" w:line="159" w:lineRule="exact"/>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3"/>
          </w:tcPr>
          <w:p>
            <w:pPr>
              <w:jc w:val="center"/>
              <w:ind w:right="60"/>
              <w:spacing w:after="0" w:line="159" w:lineRule="exact"/>
              <w:rPr>
                <w:sz w:val="20"/>
                <w:szCs w:val="20"/>
                <w:color w:val="auto"/>
              </w:rPr>
            </w:pPr>
            <w:r>
              <w:rPr>
                <w:rFonts w:ascii="Arial" w:cs="Arial" w:eastAsia="Arial" w:hAnsi="Arial"/>
                <w:sz w:val="14"/>
                <w:szCs w:val="14"/>
                <w:b w:val="1"/>
                <w:bCs w:val="1"/>
                <w:color w:val="auto"/>
              </w:rPr>
              <w:t>(Loss) Income</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w w:val="99"/>
              </w:rPr>
              <w:t>Stock</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260"/>
              <w:spacing w:after="0" w:line="159" w:lineRule="exact"/>
              <w:rPr>
                <w:sz w:val="20"/>
                <w:szCs w:val="20"/>
                <w:color w:val="auto"/>
              </w:rPr>
            </w:pPr>
            <w:r>
              <w:rPr>
                <w:rFonts w:ascii="Arial" w:cs="Arial" w:eastAsia="Arial" w:hAnsi="Arial"/>
                <w:sz w:val="14"/>
                <w:szCs w:val="14"/>
                <w:b w:val="1"/>
                <w:bCs w:val="1"/>
                <w:color w:val="auto"/>
                <w:w w:val="99"/>
              </w:rPr>
              <w:t>Interests</w:t>
            </w:r>
          </w:p>
        </w:tc>
        <w:tc>
          <w:tcPr>
            <w:tcW w:w="140" w:type="dxa"/>
            <w:vAlign w:val="bottom"/>
          </w:tcPr>
          <w:p>
            <w:pPr>
              <w:spacing w:after="0"/>
              <w:rPr>
                <w:sz w:val="13"/>
                <w:szCs w:val="13"/>
                <w:color w:val="auto"/>
              </w:rPr>
            </w:pPr>
          </w:p>
        </w:tc>
        <w:tc>
          <w:tcPr>
            <w:tcW w:w="680" w:type="dxa"/>
            <w:vAlign w:val="bottom"/>
          </w:tcPr>
          <w:p>
            <w:pPr>
              <w:jc w:val="center"/>
              <w:ind w:right="82"/>
              <w:spacing w:after="0" w:line="159"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32"/>
        </w:trPr>
        <w:tc>
          <w:tcPr>
            <w:tcW w:w="1780" w:type="dxa"/>
            <w:vAlign w:val="bottom"/>
            <w:vMerge w:val="restart"/>
          </w:tcPr>
          <w:p>
            <w:pPr>
              <w:spacing w:after="0"/>
              <w:rPr>
                <w:sz w:val="20"/>
                <w:szCs w:val="20"/>
                <w:color w:val="auto"/>
              </w:rPr>
            </w:pPr>
            <w:r>
              <w:rPr>
                <w:rFonts w:ascii="Arial" w:cs="Arial" w:eastAsia="Arial" w:hAnsi="Arial"/>
                <w:sz w:val="16"/>
                <w:szCs w:val="16"/>
                <w:b w:val="1"/>
                <w:bCs w:val="1"/>
                <w:color w:val="auto"/>
              </w:rPr>
              <w:t>Balance, December 31,</w:t>
            </w: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17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1780" w:type="dxa"/>
            <w:vAlign w:val="bottom"/>
          </w:tcPr>
          <w:p>
            <w:pPr>
              <w:spacing w:after="0" w:line="181" w:lineRule="exact"/>
              <w:rPr>
                <w:sz w:val="20"/>
                <w:szCs w:val="20"/>
                <w:color w:val="auto"/>
              </w:rPr>
            </w:pPr>
            <w:r>
              <w:rPr>
                <w:rFonts w:ascii="Arial" w:cs="Arial" w:eastAsia="Arial" w:hAnsi="Arial"/>
                <w:sz w:val="16"/>
                <w:szCs w:val="16"/>
                <w:b w:val="1"/>
                <w:bCs w:val="1"/>
                <w:color w:val="auto"/>
                <w:w w:val="98"/>
              </w:rPr>
              <w:t xml:space="preserve">2019 </w:t>
            </w:r>
            <w:r>
              <w:rPr>
                <w:rFonts w:ascii="Arial" w:cs="Arial" w:eastAsia="Arial" w:hAnsi="Arial"/>
                <w:sz w:val="16"/>
                <w:szCs w:val="16"/>
                <w:color w:val="auto"/>
                <w:w w:val="98"/>
              </w:rPr>
              <w:t>. . . . . . . . . . . . . . . .</w:t>
            </w:r>
          </w:p>
        </w:tc>
        <w:tc>
          <w:tcPr>
            <w:tcW w:w="300" w:type="dxa"/>
            <w:vAlign w:val="bottom"/>
            <w:gridSpan w:val="2"/>
          </w:tcPr>
          <w:p>
            <w:pPr>
              <w:jc w:val="right"/>
              <w:ind w:right="50"/>
              <w:spacing w:after="0" w:line="181" w:lineRule="exact"/>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320" w:type="dxa"/>
            <w:vAlign w:val="bottom"/>
            <w:gridSpan w:val="3"/>
          </w:tcPr>
          <w:p>
            <w:pPr>
              <w:jc w:val="right"/>
              <w:ind w:right="50"/>
              <w:spacing w:after="0" w:line="181" w:lineRule="exact"/>
              <w:rPr>
                <w:sz w:val="20"/>
                <w:szCs w:val="20"/>
                <w:color w:val="auto"/>
              </w:rPr>
            </w:pPr>
            <w:r>
              <w:rPr>
                <w:rFonts w:ascii="Arial" w:cs="Arial" w:eastAsia="Arial" w:hAnsi="Arial"/>
                <w:sz w:val="16"/>
                <w:szCs w:val="16"/>
                <w:color w:val="auto"/>
              </w:rPr>
              <w:t>$</w:t>
            </w:r>
          </w:p>
        </w:tc>
        <w:tc>
          <w:tcPr>
            <w:tcW w:w="380" w:type="dxa"/>
            <w:vAlign w:val="bottom"/>
            <w:gridSpan w:val="2"/>
          </w:tcPr>
          <w:p>
            <w:pPr>
              <w:ind w:left="120"/>
              <w:spacing w:after="0" w:line="181" w:lineRule="exact"/>
              <w:rPr>
                <w:sz w:val="20"/>
                <w:szCs w:val="20"/>
                <w:color w:val="auto"/>
              </w:rPr>
            </w:pPr>
            <w:r>
              <w:rPr>
                <w:rFonts w:ascii="Arial" w:cs="Arial" w:eastAsia="Arial" w:hAnsi="Arial"/>
                <w:sz w:val="16"/>
                <w:szCs w:val="16"/>
                <w:color w:val="auto"/>
              </w:rPr>
              <w:t>—</w:t>
            </w:r>
          </w:p>
        </w:tc>
        <w:tc>
          <w:tcPr>
            <w:tcW w:w="200" w:type="dxa"/>
            <w:vAlign w:val="bottom"/>
            <w:gridSpan w:val="2"/>
          </w:tcPr>
          <w:p>
            <w:pPr>
              <w:ind w:left="100"/>
              <w:spacing w:after="0" w:line="181" w:lineRule="exact"/>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line="181" w:lineRule="exact"/>
              <w:rPr>
                <w:sz w:val="20"/>
                <w:szCs w:val="20"/>
                <w:color w:val="auto"/>
              </w:rPr>
            </w:pPr>
            <w:r>
              <w:rPr>
                <w:rFonts w:ascii="Arial" w:cs="Arial" w:eastAsia="Arial" w:hAnsi="Arial"/>
                <w:sz w:val="16"/>
                <w:szCs w:val="16"/>
                <w:color w:val="auto"/>
              </w:rPr>
              <w:t>5,004</w:t>
            </w:r>
          </w:p>
        </w:tc>
        <w:tc>
          <w:tcPr>
            <w:tcW w:w="220" w:type="dxa"/>
            <w:vAlign w:val="bottom"/>
            <w:gridSpan w:val="2"/>
          </w:tcPr>
          <w:p>
            <w:pPr>
              <w:ind w:left="100"/>
              <w:spacing w:after="0" w:line="181"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81" w:lineRule="exact"/>
              <w:rPr>
                <w:sz w:val="20"/>
                <w:szCs w:val="20"/>
                <w:color w:val="auto"/>
              </w:rPr>
            </w:pPr>
            <w:r>
              <w:rPr>
                <w:rFonts w:ascii="Arial" w:cs="Arial" w:eastAsia="Arial" w:hAnsi="Arial"/>
                <w:sz w:val="16"/>
                <w:szCs w:val="16"/>
                <w:color w:val="auto"/>
              </w:rPr>
              <w:t>(5,370)</w:t>
            </w:r>
          </w:p>
        </w:tc>
        <w:tc>
          <w:tcPr>
            <w:tcW w:w="340" w:type="dxa"/>
            <w:vAlign w:val="bottom"/>
            <w:gridSpan w:val="3"/>
          </w:tcPr>
          <w:p>
            <w:pPr>
              <w:jc w:val="right"/>
              <w:ind w:right="10"/>
              <w:spacing w:after="0" w:line="181" w:lineRule="exact"/>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(23)</w:t>
            </w:r>
          </w:p>
        </w:tc>
        <w:tc>
          <w:tcPr>
            <w:tcW w:w="24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(389)</w:t>
            </w:r>
          </w:p>
        </w:tc>
        <w:tc>
          <w:tcPr>
            <w:tcW w:w="240" w:type="dxa"/>
            <w:vAlign w:val="bottom"/>
            <w:gridSpan w:val="2"/>
          </w:tcPr>
          <w:p>
            <w:pPr>
              <w:ind w:left="100"/>
              <w:spacing w:after="0" w:line="181"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93</w:t>
            </w:r>
          </w:p>
        </w:tc>
        <w:tc>
          <w:tcPr>
            <w:tcW w:w="60" w:type="dxa"/>
            <w:vAlign w:val="bottom"/>
          </w:tcPr>
          <w:p>
            <w:pPr>
              <w:spacing w:after="0"/>
              <w:rPr>
                <w:sz w:val="15"/>
                <w:szCs w:val="15"/>
                <w:color w:val="auto"/>
              </w:rPr>
            </w:pPr>
          </w:p>
        </w:tc>
        <w:tc>
          <w:tcPr>
            <w:tcW w:w="14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680" w:type="dxa"/>
            <w:vAlign w:val="bottom"/>
          </w:tcPr>
          <w:p>
            <w:pPr>
              <w:jc w:val="right"/>
              <w:spacing w:after="0" w:line="181" w:lineRule="exact"/>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w w:val="99"/>
              </w:rPr>
              <w:t>Net income . . . . . . . . .</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ind w:left="12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auto"/>
              </w:rPr>
              <w:t>1,889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Arial" w:cs="Arial" w:eastAsia="Arial" w:hAnsi="Arial"/>
                <w:sz w:val="16"/>
                <w:szCs w:val="16"/>
                <w:color w:val="auto"/>
              </w:rPr>
              <w:t>1,889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Arial" w:cs="Arial" w:eastAsia="Arial" w:hAnsi="Arial"/>
                <w:sz w:val="16"/>
                <w:szCs w:val="16"/>
                <w:color w:val="auto"/>
              </w:rPr>
              <w:t>13</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Arial" w:cs="Arial" w:eastAsia="Arial" w:hAnsi="Arial"/>
                <w:sz w:val="16"/>
                <w:szCs w:val="16"/>
                <w:color w:val="auto"/>
              </w:rPr>
              <w:t>1,902</w:t>
            </w: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rPr>
              <w:t>Distributions to</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rPr>
              <w:t>noncontrolling interest</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w w:val="97"/>
              </w:rPr>
              <w:t>holders  . . . . . . . . . . . .</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ind w:left="12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60"/>
              <w:spacing w:after="0" w:line="180" w:lineRule="exact"/>
              <w:rPr>
                <w:sz w:val="20"/>
                <w:szCs w:val="20"/>
                <w:color w:val="auto"/>
              </w:rPr>
            </w:pPr>
            <w:r>
              <w:rPr>
                <w:rFonts w:ascii="Arial" w:cs="Arial" w:eastAsia="Arial" w:hAnsi="Arial"/>
                <w:sz w:val="16"/>
                <w:szCs w:val="16"/>
                <w:color w:val="auto"/>
              </w:rPr>
              <w:t>(37)</w:t>
            </w:r>
          </w:p>
        </w:tc>
        <w:tc>
          <w:tcPr>
            <w:tcW w:w="14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rPr>
              <w:t>Shared-based</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rPr>
              <w:t>compensation, net . . .</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ind w:left="12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Arial" w:cs="Arial" w:eastAsia="Arial" w:hAnsi="Arial"/>
                <w:sz w:val="16"/>
                <w:szCs w:val="16"/>
                <w:color w:val="auto"/>
              </w:rPr>
              <w:t>10</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Arial" w:cs="Arial" w:eastAsia="Arial" w:hAnsi="Arial"/>
                <w:sz w:val="16"/>
                <w:szCs w:val="16"/>
                <w:color w:val="auto"/>
              </w:rPr>
              <w:t>10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rPr>
              <w:t>Modification of</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rPr>
              <w:t>noncontrolling</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w w:val="97"/>
              </w:rPr>
              <w:t>interest  . . . . . . . . . . . .</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ind w:left="12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Arial" w:cs="Arial" w:eastAsia="Arial" w:hAnsi="Arial"/>
                <w:sz w:val="16"/>
                <w:szCs w:val="16"/>
                <w:color w:val="auto"/>
              </w:rPr>
              <w:t>138</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Arial" w:cs="Arial" w:eastAsia="Arial" w:hAnsi="Arial"/>
                <w:sz w:val="16"/>
                <w:szCs w:val="16"/>
                <w:color w:val="auto"/>
              </w:rPr>
              <w:t>138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rPr>
              <w:t>Gain on acquisition of</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rPr>
              <w:t>noncontrolling</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w w:val="97"/>
              </w:rPr>
              <w:t>interest  . . . . . . . . . . . .</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ind w:left="12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Arial" w:cs="Arial" w:eastAsia="Arial" w:hAnsi="Arial"/>
                <w:sz w:val="16"/>
                <w:szCs w:val="16"/>
                <w:color w:val="auto"/>
              </w:rPr>
              <w:t>128</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Arial" w:cs="Arial" w:eastAsia="Arial" w:hAnsi="Arial"/>
                <w:sz w:val="16"/>
                <w:szCs w:val="16"/>
                <w:color w:val="auto"/>
              </w:rPr>
              <w:t>128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rPr>
              <w:t>Issuance of</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rPr>
              <w:t>Successor common</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rPr>
              <w:t>stock for acquisition of</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rPr>
              <w:t>a noncontrolling</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rPr>
              <w:t>interest in connection</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rPr>
              <w:t>with the Plan  . . . . . . .</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ind w:left="12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Arial" w:cs="Arial" w:eastAsia="Arial" w:hAnsi="Arial"/>
                <w:sz w:val="16"/>
                <w:szCs w:val="16"/>
                <w:color w:val="auto"/>
              </w:rPr>
              <w:t>261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Arial" w:cs="Arial" w:eastAsia="Arial" w:hAnsi="Arial"/>
                <w:sz w:val="16"/>
                <w:szCs w:val="16"/>
                <w:color w:val="auto"/>
              </w:rPr>
              <w:t>261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rPr>
              <w:t>Issuance of</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rPr>
              <w:t>Successor common</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rPr>
              <w:t>stock to creditors in</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rPr>
              <w:t>connection with the</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w w:val="96"/>
              </w:rPr>
              <w:t>Plan . . . . . . . . . . . . . . .</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ind w:left="12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Arial" w:cs="Arial" w:eastAsia="Arial" w:hAnsi="Arial"/>
                <w:sz w:val="16"/>
                <w:szCs w:val="16"/>
                <w:color w:val="auto"/>
              </w:rPr>
              <w:t>408</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Arial" w:cs="Arial" w:eastAsia="Arial" w:hAnsi="Arial"/>
                <w:sz w:val="16"/>
                <w:szCs w:val="16"/>
                <w:color w:val="auto"/>
              </w:rPr>
              <w:t>408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rPr>
              <w:t>Issuance of</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rPr>
              <w:t>Subscription Rights to</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rPr>
              <w:t>creditors in</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rPr>
              <w:t>connection with the</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w w:val="96"/>
              </w:rPr>
              <w:t>Plan . . . . . . . . . . . . . . .</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ind w:left="12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Arial" w:cs="Arial" w:eastAsia="Arial" w:hAnsi="Arial"/>
                <w:sz w:val="16"/>
                <w:szCs w:val="16"/>
                <w:color w:val="auto"/>
              </w:rPr>
              <w:t>71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Arial" w:cs="Arial" w:eastAsia="Arial" w:hAnsi="Arial"/>
                <w:sz w:val="16"/>
                <w:szCs w:val="16"/>
                <w:color w:val="auto"/>
              </w:rPr>
              <w:t>71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rPr>
              <w:t>Issuance of</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rPr>
              <w:t>Successor common</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rPr>
              <w:t>stock for junior</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rPr>
              <w:t>debtor-in-possession</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w w:val="98"/>
              </w:rPr>
              <w:t>exit fee  . . . . . . . . . . . .</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ind w:left="12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Arial" w:cs="Arial" w:eastAsia="Arial" w:hAnsi="Arial"/>
                <w:sz w:val="16"/>
                <w:szCs w:val="16"/>
                <w:color w:val="auto"/>
              </w:rPr>
              <w:t>12</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Arial" w:cs="Arial" w:eastAsia="Arial" w:hAnsi="Arial"/>
                <w:sz w:val="16"/>
                <w:szCs w:val="16"/>
                <w:color w:val="auto"/>
              </w:rPr>
              <w:t>12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rPr>
              <w:t>Issuance of</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rPr>
              <w:t>Successor common</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rPr>
              <w:t>stock to Subscription</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rPr>
              <w:t>Rights holders and</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rPr>
              <w:t>backstop parties in</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rPr>
              <w:t>connection with the</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w w:val="99"/>
              </w:rPr>
              <w:t>Plan, net . . . . . . . . . . .</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jc w:val="right"/>
              <w:spacing w:after="0" w:line="180" w:lineRule="exact"/>
              <w:rPr>
                <w:sz w:val="20"/>
                <w:szCs w:val="20"/>
                <w:color w:val="auto"/>
              </w:rPr>
            </w:pPr>
            <w:r>
              <w:rPr>
                <w:rFonts w:ascii="Arial" w:cs="Arial" w:eastAsia="Arial" w:hAnsi="Arial"/>
                <w:sz w:val="16"/>
                <w:szCs w:val="16"/>
                <w:color w:val="auto"/>
              </w:rPr>
              <w:t>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ind w:left="12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Arial" w:cs="Arial" w:eastAsia="Arial" w:hAnsi="Arial"/>
                <w:sz w:val="16"/>
                <w:szCs w:val="16"/>
                <w:color w:val="auto"/>
              </w:rPr>
              <w:t>445</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Arial" w:cs="Arial" w:eastAsia="Arial" w:hAnsi="Arial"/>
                <w:sz w:val="16"/>
                <w:szCs w:val="16"/>
                <w:color w:val="auto"/>
              </w:rPr>
              <w:t>446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rPr>
              <w:t>Warrants issued in</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rPr>
              <w:t>connection with the</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w w:val="96"/>
              </w:rPr>
              <w:t>Plan . . . . . . . . . . . . . . .</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ind w:left="12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Arial" w:cs="Arial" w:eastAsia="Arial" w:hAnsi="Arial"/>
                <w:sz w:val="16"/>
                <w:szCs w:val="16"/>
                <w:color w:val="auto"/>
              </w:rPr>
              <w:t>15</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Arial" w:cs="Arial" w:eastAsia="Arial" w:hAnsi="Arial"/>
                <w:sz w:val="16"/>
                <w:szCs w:val="16"/>
                <w:color w:val="auto"/>
              </w:rPr>
              <w:t>15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rPr>
              <w:t>Fair value adjustment</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rPr>
              <w:t>related to</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rPr>
              <w:t>noncontrolling</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w w:val="97"/>
              </w:rPr>
              <w:t>interest  . . . . . . . . . . . .</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ind w:left="12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Arial" w:cs="Arial" w:eastAsia="Arial" w:hAnsi="Arial"/>
                <w:sz w:val="16"/>
                <w:szCs w:val="16"/>
                <w:color w:val="auto"/>
              </w:rPr>
              <w:t>7</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rPr>
              <w:t>Elimination of</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tcPr>
          <w:p>
            <w:pPr>
              <w:ind w:left="160"/>
              <w:spacing w:after="0" w:line="180" w:lineRule="exact"/>
              <w:rPr>
                <w:sz w:val="20"/>
                <w:szCs w:val="20"/>
                <w:color w:val="auto"/>
              </w:rPr>
            </w:pPr>
            <w:r>
              <w:rPr>
                <w:rFonts w:ascii="Arial" w:cs="Arial" w:eastAsia="Arial" w:hAnsi="Arial"/>
                <w:sz w:val="16"/>
                <w:szCs w:val="16"/>
                <w:color w:val="auto"/>
              </w:rPr>
              <w:t>Predecessor equity . .</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ind w:left="12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Arial" w:cs="Arial" w:eastAsia="Arial" w:hAnsi="Arial"/>
                <w:sz w:val="16"/>
                <w:szCs w:val="16"/>
                <w:color w:val="auto"/>
              </w:rPr>
              <w:t>(5,224)</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auto"/>
              </w:rPr>
              <w:t>3,481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Arial" w:cs="Arial" w:eastAsia="Arial" w:hAnsi="Arial"/>
                <w:sz w:val="16"/>
                <w:szCs w:val="16"/>
                <w:color w:val="auto"/>
              </w:rPr>
              <w:t>23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ind w:right="20"/>
              <w:spacing w:after="0" w:line="180" w:lineRule="exact"/>
              <w:rPr>
                <w:sz w:val="20"/>
                <w:szCs w:val="20"/>
                <w:color w:val="auto"/>
              </w:rPr>
            </w:pPr>
            <w:r>
              <w:rPr>
                <w:rFonts w:ascii="Arial" w:cs="Arial" w:eastAsia="Arial" w:hAnsi="Arial"/>
                <w:sz w:val="16"/>
                <w:szCs w:val="16"/>
                <w:color w:val="auto"/>
              </w:rPr>
              <w:t>(1,720)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Arial" w:cs="Arial" w:eastAsia="Arial" w:hAnsi="Arial"/>
                <w:sz w:val="16"/>
                <w:szCs w:val="16"/>
                <w:color w:val="auto"/>
              </w:rPr>
              <w:t>(1,720)</w:t>
            </w:r>
          </w:p>
        </w:tc>
        <w:tc>
          <w:tcPr>
            <w:tcW w:w="0" w:type="dxa"/>
            <w:vAlign w:val="bottom"/>
          </w:tcPr>
          <w:p>
            <w:pPr>
              <w:spacing w:after="0"/>
              <w:rPr>
                <w:sz w:val="1"/>
                <w:szCs w:val="1"/>
                <w:color w:val="auto"/>
              </w:rPr>
            </w:pPr>
          </w:p>
        </w:tc>
      </w:tr>
      <w:tr>
        <w:trPr>
          <w:trHeight w:val="38"/>
        </w:trPr>
        <w:tc>
          <w:tcPr>
            <w:tcW w:w="1780" w:type="dxa"/>
            <w:vAlign w:val="bottom"/>
            <w:vMerge w:val="restart"/>
          </w:tcPr>
          <w:p>
            <w:pPr>
              <w:spacing w:after="0"/>
              <w:rPr>
                <w:sz w:val="20"/>
                <w:szCs w:val="20"/>
                <w:color w:val="auto"/>
              </w:rPr>
            </w:pPr>
            <w:r>
              <w:rPr>
                <w:rFonts w:ascii="Arial" w:cs="Arial" w:eastAsia="Arial" w:hAnsi="Arial"/>
                <w:sz w:val="16"/>
                <w:szCs w:val="16"/>
                <w:b w:val="1"/>
                <w:bCs w:val="1"/>
                <w:color w:val="auto"/>
              </w:rPr>
              <w:t>Balance, October 31,</w:t>
            </w:r>
          </w:p>
        </w:tc>
        <w:tc>
          <w:tcPr>
            <w:tcW w:w="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17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780" w:type="dxa"/>
            <w:vAlign w:val="bottom"/>
          </w:tcPr>
          <w:p>
            <w:pPr>
              <w:spacing w:after="0" w:line="181" w:lineRule="exact"/>
              <w:rPr>
                <w:sz w:val="20"/>
                <w:szCs w:val="20"/>
                <w:color w:val="auto"/>
              </w:rPr>
            </w:pPr>
            <w:r>
              <w:rPr>
                <w:rFonts w:ascii="Arial" w:cs="Arial" w:eastAsia="Arial" w:hAnsi="Arial"/>
                <w:sz w:val="16"/>
                <w:szCs w:val="16"/>
                <w:b w:val="1"/>
                <w:bCs w:val="1"/>
                <w:color w:val="auto"/>
                <w:w w:val="98"/>
              </w:rPr>
              <w:t xml:space="preserve">2020 </w:t>
            </w:r>
            <w:r>
              <w:rPr>
                <w:rFonts w:ascii="Arial" w:cs="Arial" w:eastAsia="Arial" w:hAnsi="Arial"/>
                <w:sz w:val="16"/>
                <w:szCs w:val="16"/>
                <w:color w:val="auto"/>
                <w:w w:val="98"/>
              </w:rPr>
              <w:t>. . . . . . . . . . . . . . . .</w:t>
            </w:r>
          </w:p>
        </w:tc>
        <w:tc>
          <w:tcPr>
            <w:tcW w:w="300" w:type="dxa"/>
            <w:vAlign w:val="bottom"/>
            <w:gridSpan w:val="2"/>
          </w:tcPr>
          <w:p>
            <w:pPr>
              <w:jc w:val="right"/>
              <w:ind w:right="50"/>
              <w:spacing w:after="0" w:line="181" w:lineRule="exact"/>
              <w:rPr>
                <w:sz w:val="20"/>
                <w:szCs w:val="20"/>
                <w:color w:val="auto"/>
              </w:rPr>
            </w:pPr>
            <w:r>
              <w:rPr>
                <w:rFonts w:ascii="Arial" w:cs="Arial" w:eastAsia="Arial" w:hAnsi="Arial"/>
                <w:sz w:val="16"/>
                <w:szCs w:val="16"/>
                <w:color w:val="auto"/>
              </w:rPr>
              <w:t>$</w:t>
            </w:r>
          </w:p>
        </w:tc>
        <w:tc>
          <w:tcPr>
            <w:tcW w:w="340" w:type="dxa"/>
            <w:vAlign w:val="bottom"/>
          </w:tcPr>
          <w:p>
            <w:pPr>
              <w:jc w:val="right"/>
              <w:spacing w:after="0" w:line="181" w:lineRule="exact"/>
              <w:rPr>
                <w:sz w:val="20"/>
                <w:szCs w:val="20"/>
                <w:color w:val="auto"/>
              </w:rPr>
            </w:pPr>
            <w:r>
              <w:rPr>
                <w:rFonts w:ascii="Arial" w:cs="Arial" w:eastAsia="Arial" w:hAnsi="Arial"/>
                <w:sz w:val="16"/>
                <w:szCs w:val="16"/>
                <w:color w:val="auto"/>
              </w:rPr>
              <w:t>1</w:t>
            </w:r>
          </w:p>
        </w:tc>
        <w:tc>
          <w:tcPr>
            <w:tcW w:w="40" w:type="dxa"/>
            <w:vAlign w:val="bottom"/>
          </w:tcPr>
          <w:p>
            <w:pPr>
              <w:spacing w:after="0"/>
              <w:rPr>
                <w:sz w:val="15"/>
                <w:szCs w:val="15"/>
                <w:color w:val="auto"/>
              </w:rPr>
            </w:pPr>
          </w:p>
        </w:tc>
        <w:tc>
          <w:tcPr>
            <w:tcW w:w="320" w:type="dxa"/>
            <w:vAlign w:val="bottom"/>
            <w:gridSpan w:val="3"/>
          </w:tcPr>
          <w:p>
            <w:pPr>
              <w:jc w:val="right"/>
              <w:ind w:right="50"/>
              <w:spacing w:after="0" w:line="181" w:lineRule="exact"/>
              <w:rPr>
                <w:sz w:val="20"/>
                <w:szCs w:val="20"/>
                <w:color w:val="auto"/>
              </w:rPr>
            </w:pPr>
            <w:r>
              <w:rPr>
                <w:rFonts w:ascii="Arial" w:cs="Arial" w:eastAsia="Arial" w:hAnsi="Arial"/>
                <w:sz w:val="16"/>
                <w:szCs w:val="16"/>
                <w:color w:val="auto"/>
              </w:rPr>
              <w:t>$</w:t>
            </w:r>
          </w:p>
        </w:tc>
        <w:tc>
          <w:tcPr>
            <w:tcW w:w="380" w:type="dxa"/>
            <w:vAlign w:val="bottom"/>
            <w:gridSpan w:val="2"/>
          </w:tcPr>
          <w:p>
            <w:pPr>
              <w:ind w:left="120"/>
              <w:spacing w:after="0" w:line="181" w:lineRule="exact"/>
              <w:rPr>
                <w:sz w:val="20"/>
                <w:szCs w:val="20"/>
                <w:color w:val="auto"/>
              </w:rPr>
            </w:pPr>
            <w:r>
              <w:rPr>
                <w:rFonts w:ascii="Arial" w:cs="Arial" w:eastAsia="Arial" w:hAnsi="Arial"/>
                <w:sz w:val="16"/>
                <w:szCs w:val="16"/>
                <w:color w:val="auto"/>
              </w:rPr>
              <w:t>—</w:t>
            </w:r>
          </w:p>
        </w:tc>
        <w:tc>
          <w:tcPr>
            <w:tcW w:w="200" w:type="dxa"/>
            <w:vAlign w:val="bottom"/>
            <w:gridSpan w:val="2"/>
          </w:tcPr>
          <w:p>
            <w:pPr>
              <w:ind w:left="100"/>
              <w:spacing w:after="0" w:line="181" w:lineRule="exact"/>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line="181" w:lineRule="exact"/>
              <w:rPr>
                <w:sz w:val="20"/>
                <w:szCs w:val="20"/>
                <w:color w:val="auto"/>
              </w:rPr>
            </w:pPr>
            <w:r>
              <w:rPr>
                <w:rFonts w:ascii="Arial" w:cs="Arial" w:eastAsia="Arial" w:hAnsi="Arial"/>
                <w:sz w:val="16"/>
                <w:szCs w:val="16"/>
                <w:color w:val="auto"/>
              </w:rPr>
              <w:t>1,268</w:t>
            </w:r>
          </w:p>
        </w:tc>
        <w:tc>
          <w:tcPr>
            <w:tcW w:w="220" w:type="dxa"/>
            <w:vAlign w:val="bottom"/>
            <w:gridSpan w:val="2"/>
          </w:tcPr>
          <w:p>
            <w:pPr>
              <w:ind w:left="100"/>
              <w:spacing w:after="0" w:line="181"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340" w:type="dxa"/>
            <w:vAlign w:val="bottom"/>
            <w:gridSpan w:val="3"/>
          </w:tcPr>
          <w:p>
            <w:pPr>
              <w:jc w:val="right"/>
              <w:ind w:right="10"/>
              <w:spacing w:after="0" w:line="181" w:lineRule="exact"/>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24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w:t>
            </w:r>
          </w:p>
        </w:tc>
        <w:tc>
          <w:tcPr>
            <w:tcW w:w="660" w:type="dxa"/>
            <w:vAlign w:val="bottom"/>
          </w:tcPr>
          <w:p>
            <w:pPr>
              <w:jc w:val="right"/>
              <w:spacing w:after="0" w:line="181" w:lineRule="exact"/>
              <w:rPr>
                <w:sz w:val="20"/>
                <w:szCs w:val="20"/>
                <w:color w:val="auto"/>
              </w:rPr>
            </w:pPr>
            <w:r>
              <w:rPr>
                <w:rFonts w:ascii="Arial" w:cs="Arial" w:eastAsia="Arial" w:hAnsi="Arial"/>
                <w:sz w:val="16"/>
                <w:szCs w:val="16"/>
                <w:color w:val="auto"/>
              </w:rPr>
              <w:t>1,269</w:t>
            </w:r>
          </w:p>
        </w:tc>
        <w:tc>
          <w:tcPr>
            <w:tcW w:w="20" w:type="dxa"/>
            <w:vAlign w:val="bottom"/>
          </w:tcPr>
          <w:p>
            <w:pPr>
              <w:spacing w:after="0"/>
              <w:rPr>
                <w:sz w:val="15"/>
                <w:szCs w:val="15"/>
                <w:color w:val="auto"/>
              </w:rPr>
            </w:pPr>
          </w:p>
        </w:tc>
        <w:tc>
          <w:tcPr>
            <w:tcW w:w="240" w:type="dxa"/>
            <w:vAlign w:val="bottom"/>
            <w:gridSpan w:val="2"/>
          </w:tcPr>
          <w:p>
            <w:pPr>
              <w:ind w:left="100"/>
              <w:spacing w:after="0" w:line="181"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76</w:t>
            </w:r>
          </w:p>
        </w:tc>
        <w:tc>
          <w:tcPr>
            <w:tcW w:w="60" w:type="dxa"/>
            <w:vAlign w:val="bottom"/>
          </w:tcPr>
          <w:p>
            <w:pPr>
              <w:spacing w:after="0"/>
              <w:rPr>
                <w:sz w:val="15"/>
                <w:szCs w:val="15"/>
                <w:color w:val="auto"/>
              </w:rPr>
            </w:pPr>
          </w:p>
        </w:tc>
        <w:tc>
          <w:tcPr>
            <w:tcW w:w="14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680" w:type="dxa"/>
            <w:vAlign w:val="bottom"/>
          </w:tcPr>
          <w:p>
            <w:pPr>
              <w:jc w:val="right"/>
              <w:spacing w:after="0" w:line="181" w:lineRule="exact"/>
              <w:rPr>
                <w:sz w:val="20"/>
                <w:szCs w:val="20"/>
                <w:color w:val="auto"/>
              </w:rPr>
            </w:pPr>
            <w:r>
              <w:rPr>
                <w:rFonts w:ascii="Arial" w:cs="Arial" w:eastAsia="Arial" w:hAnsi="Arial"/>
                <w:sz w:val="16"/>
                <w:szCs w:val="16"/>
                <w:color w:val="auto"/>
              </w:rPr>
              <w:t>1,345</w:t>
            </w:r>
          </w:p>
        </w:tc>
        <w:tc>
          <w:tcPr>
            <w:tcW w:w="0" w:type="dxa"/>
            <w:vAlign w:val="bottom"/>
          </w:tcPr>
          <w:p>
            <w:pPr>
              <w:spacing w:after="0"/>
              <w:rPr>
                <w:sz w:val="1"/>
                <w:szCs w:val="1"/>
                <w:color w:val="auto"/>
              </w:rPr>
            </w:pPr>
          </w:p>
        </w:tc>
      </w:tr>
      <w:tr>
        <w:trPr>
          <w:trHeight w:val="38"/>
        </w:trPr>
        <w:tc>
          <w:tcPr>
            <w:tcW w:w="17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880" w:h="15480" w:orient="portrait"/>
          <w:cols w:equalWidth="0" w:num="1">
            <w:col w:w="9140"/>
          </w:cols>
          <w:pgMar w:left="1380" w:top="1272" w:right="1360" w:bottom="695" w:gutter="0" w:footer="0" w:header="0"/>
        </w:sect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96</w:t>
      </w:r>
    </w:p>
    <w:p>
      <w:pPr>
        <w:sectPr>
          <w:pgSz w:w="11880" w:h="15480" w:orient="portrait"/>
          <w:cols w:equalWidth="0" w:num="1">
            <w:col w:w="9140"/>
          </w:cols>
          <w:pgMar w:left="1380" w:top="1272" w:right="1360" w:bottom="695"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4"/>
          </w:tcPr>
          <w:p>
            <w:pPr>
              <w:ind w:left="760"/>
              <w:spacing w:after="0"/>
              <w:rPr>
                <w:sz w:val="20"/>
                <w:szCs w:val="20"/>
                <w:color w:val="auto"/>
              </w:rPr>
            </w:pPr>
            <w:r>
              <w:rPr>
                <w:rFonts w:ascii="Arial" w:cs="Arial" w:eastAsia="Arial" w:hAnsi="Arial"/>
                <w:sz w:val="14"/>
                <w:szCs w:val="14"/>
                <w:b w:val="1"/>
                <w:bCs w:val="1"/>
                <w:color w:val="auto"/>
              </w:rPr>
              <w:t>Successor</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8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Equity</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3"/>
          </w:tcPr>
          <w:p>
            <w:pPr>
              <w:ind w:left="40"/>
              <w:spacing w:after="0" w:line="140" w:lineRule="exact"/>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2"/>
                <w:szCs w:val="12"/>
                <w:color w:val="auto"/>
              </w:rPr>
            </w:pPr>
          </w:p>
        </w:tc>
        <w:tc>
          <w:tcPr>
            <w:tcW w:w="940" w:type="dxa"/>
            <w:vAlign w:val="bottom"/>
            <w:gridSpan w:val="2"/>
          </w:tcPr>
          <w:p>
            <w:pPr>
              <w:ind w:left="20"/>
              <w:spacing w:after="0" w:line="140" w:lineRule="exact"/>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jc w:val="center"/>
              <w:ind w:left="230"/>
              <w:spacing w:after="0" w:line="140" w:lineRule="exact"/>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ind w:left="60"/>
              <w:spacing w:after="0" w:line="140" w:lineRule="exact"/>
              <w:rPr>
                <w:sz w:val="20"/>
                <w:szCs w:val="20"/>
                <w:color w:val="auto"/>
              </w:rPr>
            </w:pPr>
            <w:r>
              <w:rPr>
                <w:rFonts w:ascii="Arial" w:cs="Arial" w:eastAsia="Arial" w:hAnsi="Arial"/>
                <w:sz w:val="14"/>
                <w:szCs w:val="14"/>
                <w:b w:val="1"/>
                <w:bCs w:val="1"/>
                <w:color w:val="auto"/>
              </w:rPr>
              <w:t>Attributable</w:t>
            </w:r>
          </w:p>
        </w:tc>
        <w:tc>
          <w:tcPr>
            <w:tcW w:w="60" w:type="dxa"/>
            <w:vAlign w:val="bottom"/>
          </w:tcPr>
          <w:p>
            <w:pPr>
              <w:spacing w:after="0"/>
              <w:rPr>
                <w:sz w:val="12"/>
                <w:szCs w:val="12"/>
                <w:color w:val="auto"/>
              </w:rPr>
            </w:pPr>
          </w:p>
        </w:tc>
        <w:tc>
          <w:tcPr>
            <w:tcW w:w="1020" w:type="dxa"/>
            <w:vAlign w:val="bottom"/>
            <w:gridSpan w:val="3"/>
          </w:tcPr>
          <w:p>
            <w:pPr>
              <w:spacing w:after="0" w:line="140" w:lineRule="exact"/>
              <w:rPr>
                <w:sz w:val="20"/>
                <w:szCs w:val="20"/>
                <w:color w:val="auto"/>
              </w:rPr>
            </w:pPr>
            <w:r>
              <w:rPr>
                <w:rFonts w:ascii="Arial" w:cs="Arial" w:eastAsia="Arial" w:hAnsi="Arial"/>
                <w:sz w:val="14"/>
                <w:szCs w:val="14"/>
                <w:b w:val="1"/>
                <w:bCs w:val="1"/>
                <w:color w:val="auto"/>
              </w:rPr>
              <w:t>Attributable to</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800" w:type="dxa"/>
            <w:vAlign w:val="bottom"/>
          </w:tcPr>
          <w:p>
            <w:pPr>
              <w:spacing w:after="0"/>
              <w:rPr>
                <w:sz w:val="12"/>
                <w:szCs w:val="12"/>
                <w:color w:val="auto"/>
              </w:rPr>
            </w:pPr>
          </w:p>
        </w:tc>
        <w:tc>
          <w:tcPr>
            <w:tcW w:w="680" w:type="dxa"/>
            <w:vAlign w:val="bottom"/>
            <w:gridSpan w:val="4"/>
          </w:tcPr>
          <w:p>
            <w:pPr>
              <w:jc w:val="center"/>
              <w:spacing w:after="0" w:line="140" w:lineRule="exact"/>
              <w:rPr>
                <w:sz w:val="20"/>
                <w:szCs w:val="20"/>
                <w:color w:val="auto"/>
              </w:rPr>
            </w:pPr>
            <w:r>
              <w:rPr>
                <w:rFonts w:ascii="Arial" w:cs="Arial" w:eastAsia="Arial" w:hAnsi="Arial"/>
                <w:sz w:val="14"/>
                <w:szCs w:val="14"/>
                <w:b w:val="1"/>
                <w:bCs w:val="1"/>
                <w:color w:val="auto"/>
                <w:w w:val="98"/>
              </w:rPr>
              <w:t>Common</w:t>
            </w:r>
          </w:p>
        </w:tc>
        <w:tc>
          <w:tcPr>
            <w:tcW w:w="40" w:type="dxa"/>
            <w:vAlign w:val="bottom"/>
          </w:tcPr>
          <w:p>
            <w:pPr>
              <w:spacing w:after="0"/>
              <w:rPr>
                <w:sz w:val="12"/>
                <w:szCs w:val="12"/>
                <w:color w:val="auto"/>
              </w:rPr>
            </w:pPr>
          </w:p>
        </w:tc>
        <w:tc>
          <w:tcPr>
            <w:tcW w:w="860" w:type="dxa"/>
            <w:vAlign w:val="bottom"/>
            <w:gridSpan w:val="3"/>
          </w:tcPr>
          <w:p>
            <w:pPr>
              <w:jc w:val="center"/>
              <w:ind w:right="40"/>
              <w:spacing w:after="0" w:line="140" w:lineRule="exact"/>
              <w:rPr>
                <w:sz w:val="20"/>
                <w:szCs w:val="20"/>
                <w:color w:val="auto"/>
              </w:rPr>
            </w:pPr>
            <w:r>
              <w:rPr>
                <w:rFonts w:ascii="Arial" w:cs="Arial" w:eastAsia="Arial" w:hAnsi="Arial"/>
                <w:sz w:val="14"/>
                <w:szCs w:val="14"/>
                <w:b w:val="1"/>
                <w:bCs w:val="1"/>
                <w:color w:val="auto"/>
                <w:w w:val="97"/>
              </w:rPr>
              <w:t>Treasury</w:t>
            </w:r>
          </w:p>
        </w:tc>
        <w:tc>
          <w:tcPr>
            <w:tcW w:w="140" w:type="dxa"/>
            <w:vAlign w:val="bottom"/>
          </w:tcPr>
          <w:p>
            <w:pPr>
              <w:spacing w:after="0"/>
              <w:rPr>
                <w:sz w:val="12"/>
                <w:szCs w:val="12"/>
                <w:color w:val="auto"/>
              </w:rPr>
            </w:pPr>
          </w:p>
        </w:tc>
        <w:tc>
          <w:tcPr>
            <w:tcW w:w="620" w:type="dxa"/>
            <w:vAlign w:val="bottom"/>
            <w:gridSpan w:val="2"/>
          </w:tcPr>
          <w:p>
            <w:pPr>
              <w:jc w:val="right"/>
              <w:ind w:right="160"/>
              <w:spacing w:after="0" w:line="140" w:lineRule="exact"/>
              <w:rPr>
                <w:sz w:val="20"/>
                <w:szCs w:val="20"/>
                <w:color w:val="auto"/>
              </w:rPr>
            </w:pPr>
            <w:r>
              <w:rPr>
                <w:rFonts w:ascii="Arial" w:cs="Arial" w:eastAsia="Arial" w:hAnsi="Arial"/>
                <w:sz w:val="14"/>
                <w:szCs w:val="14"/>
                <w:b w:val="1"/>
                <w:bCs w:val="1"/>
                <w:color w:val="auto"/>
                <w:w w:val="94"/>
              </w:rPr>
              <w:t>Paid-in</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141"/>
              <w:spacing w:after="0" w:line="140" w:lineRule="exact"/>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tcPr>
          <w:p>
            <w:pPr>
              <w:jc w:val="center"/>
              <w:spacing w:after="0" w:line="140" w:lineRule="exact"/>
              <w:rPr>
                <w:sz w:val="20"/>
                <w:szCs w:val="20"/>
                <w:color w:val="auto"/>
              </w:rPr>
            </w:pPr>
            <w:r>
              <w:rPr>
                <w:rFonts w:ascii="Arial" w:cs="Arial" w:eastAsia="Arial" w:hAnsi="Arial"/>
                <w:sz w:val="14"/>
                <w:szCs w:val="14"/>
                <w:b w:val="1"/>
                <w:bCs w:val="1"/>
                <w:color w:val="auto"/>
              </w:rPr>
              <w:t>Comprehensive</w:t>
            </w:r>
          </w:p>
        </w:tc>
        <w:tc>
          <w:tcPr>
            <w:tcW w:w="40" w:type="dxa"/>
            <w:vAlign w:val="bottom"/>
          </w:tcPr>
          <w:p>
            <w:pPr>
              <w:spacing w:after="0"/>
              <w:rPr>
                <w:sz w:val="12"/>
                <w:szCs w:val="12"/>
                <w:color w:val="auto"/>
              </w:rPr>
            </w:pPr>
          </w:p>
        </w:tc>
        <w:tc>
          <w:tcPr>
            <w:tcW w:w="940" w:type="dxa"/>
            <w:vAlign w:val="bottom"/>
            <w:gridSpan w:val="3"/>
          </w:tcPr>
          <w:p>
            <w:pPr>
              <w:ind w:left="60"/>
              <w:spacing w:after="0" w:line="140" w:lineRule="exact"/>
              <w:rPr>
                <w:sz w:val="20"/>
                <w:szCs w:val="20"/>
                <w:color w:val="auto"/>
              </w:rPr>
            </w:pPr>
            <w:r>
              <w:rPr>
                <w:rFonts w:ascii="Arial" w:cs="Arial" w:eastAsia="Arial" w:hAnsi="Arial"/>
                <w:sz w:val="14"/>
                <w:szCs w:val="14"/>
                <w:b w:val="1"/>
                <w:bCs w:val="1"/>
                <w:color w:val="auto"/>
              </w:rPr>
              <w:t>to Common</w:t>
            </w:r>
          </w:p>
        </w:tc>
        <w:tc>
          <w:tcPr>
            <w:tcW w:w="1080" w:type="dxa"/>
            <w:vAlign w:val="bottom"/>
            <w:gridSpan w:val="4"/>
          </w:tcPr>
          <w:p>
            <w:pPr>
              <w:ind w:left="40"/>
              <w:spacing w:after="0" w:line="140" w:lineRule="exact"/>
              <w:rPr>
                <w:sz w:val="20"/>
                <w:szCs w:val="20"/>
                <w:color w:val="auto"/>
              </w:rPr>
            </w:pPr>
            <w:r>
              <w:rPr>
                <w:rFonts w:ascii="Arial" w:cs="Arial" w:eastAsia="Arial" w:hAnsi="Arial"/>
                <w:sz w:val="14"/>
                <w:szCs w:val="14"/>
                <w:b w:val="1"/>
                <w:bCs w:val="1"/>
                <w:color w:val="auto"/>
              </w:rPr>
              <w:t>Noncontrolling</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21"/>
              <w:spacing w:after="0" w:line="140"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9"/>
        </w:trPr>
        <w:tc>
          <w:tcPr>
            <w:tcW w:w="1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3"/>
          </w:tcPr>
          <w:p>
            <w:pPr>
              <w:jc w:val="center"/>
              <w:ind w:right="60"/>
              <w:spacing w:after="0" w:line="159" w:lineRule="exact"/>
              <w:rPr>
                <w:sz w:val="20"/>
                <w:szCs w:val="20"/>
                <w:color w:val="auto"/>
              </w:rPr>
            </w:pPr>
            <w:r>
              <w:rPr>
                <w:rFonts w:ascii="Arial" w:cs="Arial" w:eastAsia="Arial" w:hAnsi="Arial"/>
                <w:sz w:val="14"/>
                <w:szCs w:val="14"/>
                <w:b w:val="1"/>
                <w:bCs w:val="1"/>
                <w:color w:val="auto"/>
                <w:w w:val="99"/>
              </w:rPr>
              <w:t>Stock</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center"/>
              <w:ind w:right="200"/>
              <w:spacing w:after="0" w:line="159" w:lineRule="exact"/>
              <w:rPr>
                <w:sz w:val="20"/>
                <w:szCs w:val="20"/>
                <w:color w:val="auto"/>
              </w:rPr>
            </w:pPr>
            <w:r>
              <w:rPr>
                <w:rFonts w:ascii="Arial" w:cs="Arial" w:eastAsia="Arial" w:hAnsi="Arial"/>
                <w:sz w:val="14"/>
                <w:szCs w:val="14"/>
                <w:b w:val="1"/>
                <w:bCs w:val="1"/>
                <w:color w:val="auto"/>
                <w:w w:val="99"/>
              </w:rPr>
              <w:t>Stock</w:t>
            </w:r>
          </w:p>
        </w:tc>
        <w:tc>
          <w:tcPr>
            <w:tcW w:w="140" w:type="dxa"/>
            <w:vAlign w:val="bottom"/>
          </w:tcPr>
          <w:p>
            <w:pPr>
              <w:spacing w:after="0"/>
              <w:rPr>
                <w:sz w:val="13"/>
                <w:szCs w:val="13"/>
                <w:color w:val="auto"/>
              </w:rPr>
            </w:pPr>
          </w:p>
        </w:tc>
        <w:tc>
          <w:tcPr>
            <w:tcW w:w="620" w:type="dxa"/>
            <w:vAlign w:val="bottom"/>
            <w:gridSpan w:val="2"/>
          </w:tcPr>
          <w:p>
            <w:pPr>
              <w:jc w:val="right"/>
              <w:ind w:right="160"/>
              <w:spacing w:after="0" w:line="159" w:lineRule="exact"/>
              <w:rPr>
                <w:sz w:val="20"/>
                <w:szCs w:val="20"/>
                <w:color w:val="auto"/>
              </w:rPr>
            </w:pPr>
            <w:r>
              <w:rPr>
                <w:rFonts w:ascii="Arial" w:cs="Arial" w:eastAsia="Arial" w:hAnsi="Arial"/>
                <w:sz w:val="14"/>
                <w:szCs w:val="14"/>
                <w:b w:val="1"/>
                <w:bCs w:val="1"/>
                <w:color w:val="auto"/>
                <w:w w:val="94"/>
              </w:rPr>
              <w:t>Capital</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101"/>
              <w:spacing w:after="0" w:line="159" w:lineRule="exact"/>
              <w:rPr>
                <w:sz w:val="20"/>
                <w:szCs w:val="20"/>
                <w:color w:val="auto"/>
              </w:rPr>
            </w:pPr>
            <w:r>
              <w:rPr>
                <w:rFonts w:ascii="Arial" w:cs="Arial" w:eastAsia="Arial" w:hAnsi="Arial"/>
                <w:sz w:val="14"/>
                <w:szCs w:val="14"/>
                <w:b w:val="1"/>
                <w:bCs w:val="1"/>
                <w:color w:val="auto"/>
                <w:w w:val="96"/>
              </w:rPr>
              <w:t>Earnings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tcPr>
          <w:p>
            <w:pPr>
              <w:ind w:left="80"/>
              <w:spacing w:after="0" w:line="159" w:lineRule="exact"/>
              <w:rPr>
                <w:sz w:val="20"/>
                <w:szCs w:val="20"/>
                <w:color w:val="auto"/>
              </w:rPr>
            </w:pPr>
            <w:r>
              <w:rPr>
                <w:rFonts w:ascii="Arial" w:cs="Arial" w:eastAsia="Arial" w:hAnsi="Arial"/>
                <w:sz w:val="14"/>
                <w:szCs w:val="14"/>
                <w:b w:val="1"/>
                <w:bCs w:val="1"/>
                <w:color w:val="auto"/>
              </w:rPr>
              <w:t>(Loss) Income</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300"/>
              <w:spacing w:after="0" w:line="159" w:lineRule="exact"/>
              <w:rPr>
                <w:sz w:val="20"/>
                <w:szCs w:val="20"/>
                <w:color w:val="auto"/>
              </w:rPr>
            </w:pPr>
            <w:r>
              <w:rPr>
                <w:rFonts w:ascii="Arial" w:cs="Arial" w:eastAsia="Arial" w:hAnsi="Arial"/>
                <w:sz w:val="14"/>
                <w:szCs w:val="14"/>
                <w:b w:val="1"/>
                <w:bCs w:val="1"/>
                <w:color w:val="auto"/>
              </w:rPr>
              <w:t>Stock</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200"/>
              <w:spacing w:after="0" w:line="159" w:lineRule="exact"/>
              <w:rPr>
                <w:sz w:val="20"/>
                <w:szCs w:val="20"/>
                <w:color w:val="auto"/>
              </w:rPr>
            </w:pPr>
            <w:r>
              <w:rPr>
                <w:rFonts w:ascii="Arial" w:cs="Arial" w:eastAsia="Arial" w:hAnsi="Arial"/>
                <w:sz w:val="14"/>
                <w:szCs w:val="14"/>
                <w:b w:val="1"/>
                <w:bCs w:val="1"/>
                <w:color w:val="auto"/>
                <w:w w:val="99"/>
              </w:rPr>
              <w:t>Interests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ind w:right="81"/>
              <w:spacing w:after="0" w:line="15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3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auto"/>
              </w:rPr>
              <w:t>Balance, October 31,</w:t>
            </w: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18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line="162" w:lineRule="exact"/>
              <w:rPr>
                <w:sz w:val="20"/>
                <w:szCs w:val="20"/>
                <w:color w:val="auto"/>
              </w:rPr>
            </w:pPr>
            <w:r>
              <w:rPr>
                <w:rFonts w:ascii="Arial" w:cs="Arial" w:eastAsia="Arial" w:hAnsi="Arial"/>
                <w:sz w:val="16"/>
                <w:szCs w:val="16"/>
                <w:b w:val="1"/>
                <w:bCs w:val="1"/>
                <w:color w:val="auto"/>
                <w:w w:val="97"/>
              </w:rPr>
              <w:t xml:space="preserve">2020  </w:t>
            </w:r>
            <w:r>
              <w:rPr>
                <w:rFonts w:ascii="Arial" w:cs="Arial" w:eastAsia="Arial" w:hAnsi="Arial"/>
                <w:sz w:val="16"/>
                <w:szCs w:val="16"/>
                <w:color w:val="auto"/>
                <w:w w:val="97"/>
              </w:rPr>
              <w:t>. . . . . . . . . . . . . . . .</w:t>
            </w:r>
          </w:p>
        </w:tc>
        <w:tc>
          <w:tcPr>
            <w:tcW w:w="300" w:type="dxa"/>
            <w:vAlign w:val="bottom"/>
            <w:gridSpan w:val="2"/>
          </w:tcPr>
          <w:p>
            <w:pPr>
              <w:jc w:val="right"/>
              <w:ind w:right="50"/>
              <w:spacing w:after="0" w:line="162" w:lineRule="exact"/>
              <w:rPr>
                <w:sz w:val="20"/>
                <w:szCs w:val="20"/>
                <w:color w:val="auto"/>
              </w:rPr>
            </w:pPr>
            <w:r>
              <w:rPr>
                <w:rFonts w:ascii="Arial" w:cs="Arial" w:eastAsia="Arial" w:hAnsi="Arial"/>
                <w:sz w:val="16"/>
                <w:szCs w:val="16"/>
                <w:color w:val="auto"/>
              </w:rPr>
              <w:t>$</w:t>
            </w:r>
          </w:p>
        </w:tc>
        <w:tc>
          <w:tcPr>
            <w:tcW w:w="340" w:type="dxa"/>
            <w:vAlign w:val="bottom"/>
          </w:tcPr>
          <w:p>
            <w:pPr>
              <w:jc w:val="right"/>
              <w:spacing w:after="0" w:line="162" w:lineRule="exact"/>
              <w:rPr>
                <w:sz w:val="20"/>
                <w:szCs w:val="20"/>
                <w:color w:val="auto"/>
              </w:rPr>
            </w:pPr>
            <w:r>
              <w:rPr>
                <w:rFonts w:ascii="Arial" w:cs="Arial" w:eastAsia="Arial" w:hAnsi="Arial"/>
                <w:sz w:val="16"/>
                <w:szCs w:val="16"/>
                <w:color w:val="auto"/>
              </w:rPr>
              <w:t>1</w:t>
            </w:r>
          </w:p>
        </w:tc>
        <w:tc>
          <w:tcPr>
            <w:tcW w:w="40" w:type="dxa"/>
            <w:vAlign w:val="bottom"/>
          </w:tcPr>
          <w:p>
            <w:pPr>
              <w:spacing w:after="0"/>
              <w:rPr>
                <w:sz w:val="14"/>
                <w:szCs w:val="14"/>
                <w:color w:val="auto"/>
              </w:rPr>
            </w:pPr>
          </w:p>
        </w:tc>
        <w:tc>
          <w:tcPr>
            <w:tcW w:w="20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40" w:type="dxa"/>
            <w:vAlign w:val="bottom"/>
          </w:tcPr>
          <w:p>
            <w:pPr>
              <w:ind w:left="40"/>
              <w:spacing w:after="0" w:line="162" w:lineRule="exact"/>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line="162" w:lineRule="exact"/>
              <w:rPr>
                <w:sz w:val="20"/>
                <w:szCs w:val="20"/>
                <w:color w:val="auto"/>
              </w:rPr>
            </w:pPr>
            <w:r>
              <w:rPr>
                <w:rFonts w:ascii="Arial" w:cs="Arial" w:eastAsia="Arial" w:hAnsi="Arial"/>
                <w:sz w:val="16"/>
                <w:szCs w:val="16"/>
                <w:color w:val="auto"/>
              </w:rPr>
              <w:t>1,268</w:t>
            </w:r>
          </w:p>
        </w:tc>
        <w:tc>
          <w:tcPr>
            <w:tcW w:w="20" w:type="dxa"/>
            <w:vAlign w:val="bottom"/>
          </w:tcPr>
          <w:p>
            <w:pPr>
              <w:spacing w:after="0"/>
              <w:rPr>
                <w:sz w:val="14"/>
                <w:szCs w:val="14"/>
                <w:color w:val="auto"/>
              </w:rPr>
            </w:pPr>
          </w:p>
        </w:tc>
        <w:tc>
          <w:tcPr>
            <w:tcW w:w="200" w:type="dxa"/>
            <w:vAlign w:val="bottom"/>
            <w:gridSpan w:val="2"/>
          </w:tcPr>
          <w:p>
            <w:pPr>
              <w:ind w:left="80"/>
              <w:spacing w:after="0" w:line="162"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860" w:type="dxa"/>
            <w:vAlign w:val="bottom"/>
            <w:gridSpan w:val="3"/>
          </w:tcPr>
          <w:p>
            <w:pPr>
              <w:ind w:left="100"/>
              <w:spacing w:after="0" w:line="162" w:lineRule="exact"/>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20" w:type="dxa"/>
            <w:vAlign w:val="bottom"/>
            <w:gridSpan w:val="2"/>
          </w:tcPr>
          <w:p>
            <w:pPr>
              <w:ind w:left="80"/>
              <w:spacing w:after="0" w:line="162"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62" w:lineRule="exact"/>
              <w:rPr>
                <w:sz w:val="20"/>
                <w:szCs w:val="20"/>
                <w:color w:val="auto"/>
              </w:rPr>
            </w:pPr>
            <w:r>
              <w:rPr>
                <w:rFonts w:ascii="Arial" w:cs="Arial" w:eastAsia="Arial" w:hAnsi="Arial"/>
                <w:sz w:val="16"/>
                <w:szCs w:val="16"/>
                <w:color w:val="auto"/>
              </w:rPr>
              <w:t>1,269</w:t>
            </w:r>
          </w:p>
        </w:tc>
        <w:tc>
          <w:tcPr>
            <w:tcW w:w="40" w:type="dxa"/>
            <w:vAlign w:val="bottom"/>
          </w:tcPr>
          <w:p>
            <w:pPr>
              <w:spacing w:after="0"/>
              <w:rPr>
                <w:sz w:val="14"/>
                <w:szCs w:val="14"/>
                <w:color w:val="auto"/>
              </w:rPr>
            </w:pPr>
          </w:p>
        </w:tc>
        <w:tc>
          <w:tcPr>
            <w:tcW w:w="220" w:type="dxa"/>
            <w:vAlign w:val="bottom"/>
            <w:gridSpan w:val="2"/>
          </w:tcPr>
          <w:p>
            <w:pPr>
              <w:ind w:left="100"/>
              <w:spacing w:after="0" w:line="162"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76</w:t>
            </w:r>
          </w:p>
        </w:tc>
        <w:tc>
          <w:tcPr>
            <w:tcW w:w="40" w:type="dxa"/>
            <w:vAlign w:val="bottom"/>
          </w:tcPr>
          <w:p>
            <w:pPr>
              <w:spacing w:after="0"/>
              <w:rPr>
                <w:sz w:val="14"/>
                <w:szCs w:val="14"/>
                <w:color w:val="auto"/>
              </w:rPr>
            </w:pPr>
          </w:p>
        </w:tc>
        <w:tc>
          <w:tcPr>
            <w:tcW w:w="18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62" w:lineRule="exact"/>
              <w:rPr>
                <w:sz w:val="20"/>
                <w:szCs w:val="20"/>
                <w:color w:val="auto"/>
              </w:rPr>
            </w:pPr>
            <w:r>
              <w:rPr>
                <w:rFonts w:ascii="Arial" w:cs="Arial" w:eastAsia="Arial" w:hAnsi="Arial"/>
                <w:sz w:val="16"/>
                <w:szCs w:val="16"/>
                <w:color w:val="auto"/>
              </w:rPr>
              <w:t>1,345</w:t>
            </w:r>
          </w:p>
        </w:tc>
        <w:tc>
          <w:tcPr>
            <w:tcW w:w="0" w:type="dxa"/>
            <w:vAlign w:val="bottom"/>
          </w:tcPr>
          <w:p>
            <w:pPr>
              <w:spacing w:after="0"/>
              <w:rPr>
                <w:sz w:val="1"/>
                <w:szCs w:val="1"/>
                <w:color w:val="auto"/>
              </w:rPr>
            </w:pPr>
          </w:p>
        </w:tc>
      </w:tr>
      <w:tr>
        <w:trPr>
          <w:trHeight w:val="160"/>
        </w:trPr>
        <w:tc>
          <w:tcPr>
            <w:tcW w:w="1800" w:type="dxa"/>
            <w:vAlign w:val="bottom"/>
          </w:tcPr>
          <w:p>
            <w:pPr>
              <w:spacing w:after="0" w:line="160" w:lineRule="exact"/>
              <w:rPr>
                <w:sz w:val="20"/>
                <w:szCs w:val="20"/>
                <w:color w:val="auto"/>
              </w:rPr>
            </w:pPr>
            <w:r>
              <w:rPr>
                <w:rFonts w:ascii="Arial" w:cs="Arial" w:eastAsia="Arial" w:hAnsi="Arial"/>
                <w:sz w:val="16"/>
                <w:szCs w:val="16"/>
                <w:color w:val="auto"/>
                <w:w w:val="97"/>
              </w:rPr>
              <w:t>Net loss . . . . . . . . . . . . . .</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gridSpan w:val="2"/>
          </w:tcPr>
          <w:p>
            <w:pPr>
              <w:jc w:val="right"/>
              <w:ind w:right="10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100"/>
              <w:spacing w:after="0" w:line="160"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620" w:type="dxa"/>
            <w:vAlign w:val="bottom"/>
            <w:gridSpan w:val="2"/>
          </w:tcPr>
          <w:p>
            <w:pPr>
              <w:jc w:val="right"/>
              <w:ind w:right="6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line="160" w:lineRule="exact"/>
              <w:rPr>
                <w:sz w:val="20"/>
                <w:szCs w:val="20"/>
                <w:color w:val="auto"/>
              </w:rPr>
            </w:pPr>
            <w:r>
              <w:rPr>
                <w:rFonts w:ascii="Arial" w:cs="Arial" w:eastAsia="Arial" w:hAnsi="Arial"/>
                <w:sz w:val="16"/>
                <w:szCs w:val="16"/>
                <w:color w:val="auto"/>
              </w:rPr>
              <w:t>(123)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gridSpan w:val="2"/>
          </w:tcPr>
          <w:p>
            <w:pPr>
              <w:jc w:val="right"/>
              <w:ind w:right="6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40"/>
              <w:spacing w:after="0" w:line="160" w:lineRule="exact"/>
              <w:rPr>
                <w:sz w:val="20"/>
                <w:szCs w:val="20"/>
                <w:color w:val="auto"/>
              </w:rPr>
            </w:pPr>
            <w:r>
              <w:rPr>
                <w:rFonts w:ascii="Arial" w:cs="Arial" w:eastAsia="Arial" w:hAnsi="Arial"/>
                <w:sz w:val="16"/>
                <w:szCs w:val="16"/>
                <w:color w:val="auto"/>
              </w:rPr>
              <w:t>(123)</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40"/>
              <w:spacing w:after="0" w:line="160" w:lineRule="exact"/>
              <w:rPr>
                <w:sz w:val="20"/>
                <w:szCs w:val="20"/>
                <w:color w:val="auto"/>
              </w:rPr>
            </w:pPr>
            <w:r>
              <w:rPr>
                <w:rFonts w:ascii="Arial" w:cs="Arial" w:eastAsia="Arial" w:hAnsi="Arial"/>
                <w:sz w:val="16"/>
                <w:szCs w:val="16"/>
                <w:color w:val="auto"/>
              </w:rPr>
              <w:t>(2)</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line="160" w:lineRule="exact"/>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160"/>
        </w:trPr>
        <w:tc>
          <w:tcPr>
            <w:tcW w:w="1800" w:type="dxa"/>
            <w:vAlign w:val="bottom"/>
          </w:tcPr>
          <w:p>
            <w:pPr>
              <w:spacing w:after="0" w:line="160" w:lineRule="exact"/>
              <w:rPr>
                <w:sz w:val="20"/>
                <w:szCs w:val="20"/>
                <w:color w:val="auto"/>
              </w:rPr>
            </w:pPr>
            <w:r>
              <w:rPr>
                <w:rFonts w:ascii="Arial" w:cs="Arial" w:eastAsia="Arial" w:hAnsi="Arial"/>
                <w:sz w:val="16"/>
                <w:szCs w:val="16"/>
                <w:color w:val="auto"/>
              </w:rPr>
              <w:t>Distributions to</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00" w:type="dxa"/>
            <w:vAlign w:val="bottom"/>
          </w:tcPr>
          <w:p>
            <w:pPr>
              <w:spacing w:after="0" w:line="160" w:lineRule="exact"/>
              <w:rPr>
                <w:sz w:val="20"/>
                <w:szCs w:val="20"/>
                <w:color w:val="auto"/>
              </w:rPr>
            </w:pPr>
            <w:r>
              <w:rPr>
                <w:rFonts w:ascii="Arial" w:cs="Arial" w:eastAsia="Arial" w:hAnsi="Arial"/>
                <w:sz w:val="16"/>
                <w:szCs w:val="16"/>
                <w:color w:val="auto"/>
              </w:rPr>
              <w:t>noncontrolling interest</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00" w:type="dxa"/>
            <w:vAlign w:val="bottom"/>
          </w:tcPr>
          <w:p>
            <w:pPr>
              <w:spacing w:after="0" w:line="160" w:lineRule="exact"/>
              <w:rPr>
                <w:sz w:val="20"/>
                <w:szCs w:val="20"/>
                <w:color w:val="auto"/>
              </w:rPr>
            </w:pPr>
            <w:r>
              <w:rPr>
                <w:rFonts w:ascii="Arial" w:cs="Arial" w:eastAsia="Arial" w:hAnsi="Arial"/>
                <w:sz w:val="16"/>
                <w:szCs w:val="16"/>
                <w:color w:val="auto"/>
                <w:w w:val="97"/>
              </w:rPr>
              <w:t>holder  . . . . . . . . . . . . . . .</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gridSpan w:val="2"/>
          </w:tcPr>
          <w:p>
            <w:pPr>
              <w:jc w:val="right"/>
              <w:ind w:right="10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100"/>
              <w:spacing w:after="0" w:line="160"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620" w:type="dxa"/>
            <w:vAlign w:val="bottom"/>
            <w:gridSpan w:val="2"/>
          </w:tcPr>
          <w:p>
            <w:pPr>
              <w:jc w:val="right"/>
              <w:ind w:right="6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gridSpan w:val="2"/>
          </w:tcPr>
          <w:p>
            <w:pPr>
              <w:jc w:val="right"/>
              <w:ind w:right="6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80"/>
              <w:spacing w:after="0" w:line="16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40"/>
              <w:spacing w:after="0" w:line="160" w:lineRule="exact"/>
              <w:rPr>
                <w:sz w:val="20"/>
                <w:szCs w:val="20"/>
                <w:color w:val="auto"/>
              </w:rPr>
            </w:pPr>
            <w:r>
              <w:rPr>
                <w:rFonts w:ascii="Arial" w:cs="Arial" w:eastAsia="Arial" w:hAnsi="Arial"/>
                <w:sz w:val="16"/>
                <w:szCs w:val="16"/>
                <w:color w:val="auto"/>
              </w:rPr>
              <w:t>(30)</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line="160" w:lineRule="exact"/>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60"/>
        </w:trPr>
        <w:tc>
          <w:tcPr>
            <w:tcW w:w="1800" w:type="dxa"/>
            <w:vAlign w:val="bottom"/>
          </w:tcPr>
          <w:p>
            <w:pPr>
              <w:spacing w:after="0" w:line="160" w:lineRule="exact"/>
              <w:rPr>
                <w:sz w:val="20"/>
                <w:szCs w:val="20"/>
                <w:color w:val="auto"/>
              </w:rPr>
            </w:pPr>
            <w:r>
              <w:rPr>
                <w:rFonts w:ascii="Arial" w:cs="Arial" w:eastAsia="Arial" w:hAnsi="Arial"/>
                <w:sz w:val="16"/>
                <w:szCs w:val="16"/>
                <w:color w:val="auto"/>
              </w:rPr>
              <w:t>Other comprehensive</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800" w:type="dxa"/>
            <w:vAlign w:val="bottom"/>
          </w:tcPr>
          <w:p>
            <w:pPr>
              <w:spacing w:after="0" w:line="179" w:lineRule="exact"/>
              <w:rPr>
                <w:sz w:val="20"/>
                <w:szCs w:val="20"/>
                <w:color w:val="auto"/>
              </w:rPr>
            </w:pPr>
            <w:r>
              <w:rPr>
                <w:rFonts w:ascii="Arial" w:cs="Arial" w:eastAsia="Arial" w:hAnsi="Arial"/>
                <w:sz w:val="16"/>
                <w:szCs w:val="16"/>
                <w:color w:val="auto"/>
                <w:w w:val="99"/>
              </w:rPr>
              <w:t>loss . . . . . . . . . . . . . . . . .</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gridSpan w:val="2"/>
          </w:tcPr>
          <w:p>
            <w:pPr>
              <w:jc w:val="right"/>
              <w:ind w:right="100"/>
              <w:spacing w:after="0" w:line="179"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jc w:val="right"/>
              <w:ind w:right="100"/>
              <w:spacing w:after="0" w:line="179"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620" w:type="dxa"/>
            <w:vAlign w:val="bottom"/>
            <w:gridSpan w:val="2"/>
          </w:tcPr>
          <w:p>
            <w:pPr>
              <w:jc w:val="right"/>
              <w:ind w:right="60"/>
              <w:spacing w:after="0" w:line="179"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line="179"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gridSpan w:val="2"/>
          </w:tcPr>
          <w:p>
            <w:pPr>
              <w:jc w:val="right"/>
              <w:ind w:right="20"/>
              <w:spacing w:after="0" w:line="179" w:lineRule="exact"/>
              <w:rPr>
                <w:sz w:val="20"/>
                <w:szCs w:val="20"/>
                <w:color w:val="auto"/>
              </w:rPr>
            </w:pPr>
            <w:r>
              <w:rPr>
                <w:rFonts w:ascii="Arial" w:cs="Arial" w:eastAsia="Arial" w:hAnsi="Arial"/>
                <w:sz w:val="16"/>
                <w:szCs w:val="16"/>
                <w:color w:val="auto"/>
              </w:rPr>
              <w:t>(8)</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40"/>
              <w:spacing w:after="0" w:line="179" w:lineRule="exact"/>
              <w:rPr>
                <w:sz w:val="20"/>
                <w:szCs w:val="20"/>
                <w:color w:val="auto"/>
              </w:rPr>
            </w:pPr>
            <w:r>
              <w:rPr>
                <w:rFonts w:ascii="Arial" w:cs="Arial" w:eastAsia="Arial" w:hAnsi="Arial"/>
                <w:sz w:val="16"/>
                <w:szCs w:val="16"/>
                <w:color w:val="auto"/>
              </w:rPr>
              <w:t>(8)</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00"/>
              <w:spacing w:after="0" w:line="179"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line="179"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8"/>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auto"/>
              </w:rPr>
              <w:t>Balance, December 31,</w:t>
            </w:r>
          </w:p>
        </w:tc>
        <w:tc>
          <w:tcPr>
            <w:tcW w:w="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18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line="162" w:lineRule="exact"/>
              <w:rPr>
                <w:sz w:val="20"/>
                <w:szCs w:val="20"/>
                <w:color w:val="auto"/>
              </w:rPr>
            </w:pPr>
            <w:r>
              <w:rPr>
                <w:rFonts w:ascii="Arial" w:cs="Arial" w:eastAsia="Arial" w:hAnsi="Arial"/>
                <w:sz w:val="16"/>
                <w:szCs w:val="16"/>
                <w:b w:val="1"/>
                <w:bCs w:val="1"/>
                <w:color w:val="auto"/>
                <w:w w:val="97"/>
              </w:rPr>
              <w:t xml:space="preserve">2020  </w:t>
            </w:r>
            <w:r>
              <w:rPr>
                <w:rFonts w:ascii="Arial" w:cs="Arial" w:eastAsia="Arial" w:hAnsi="Arial"/>
                <w:sz w:val="16"/>
                <w:szCs w:val="16"/>
                <w:color w:val="auto"/>
                <w:w w:val="97"/>
              </w:rPr>
              <w:t>. . . . . . . . . . . . . . . .</w:t>
            </w:r>
          </w:p>
        </w:tc>
        <w:tc>
          <w:tcPr>
            <w:tcW w:w="300" w:type="dxa"/>
            <w:vAlign w:val="bottom"/>
            <w:gridSpan w:val="2"/>
          </w:tcPr>
          <w:p>
            <w:pPr>
              <w:jc w:val="right"/>
              <w:ind w:right="50"/>
              <w:spacing w:after="0" w:line="162" w:lineRule="exact"/>
              <w:rPr>
                <w:sz w:val="20"/>
                <w:szCs w:val="20"/>
                <w:color w:val="auto"/>
              </w:rPr>
            </w:pPr>
            <w:r>
              <w:rPr>
                <w:rFonts w:ascii="Arial" w:cs="Arial" w:eastAsia="Arial" w:hAnsi="Arial"/>
                <w:sz w:val="16"/>
                <w:szCs w:val="16"/>
                <w:color w:val="auto"/>
              </w:rPr>
              <w:t>$</w:t>
            </w:r>
          </w:p>
        </w:tc>
        <w:tc>
          <w:tcPr>
            <w:tcW w:w="340" w:type="dxa"/>
            <w:vAlign w:val="bottom"/>
          </w:tcPr>
          <w:p>
            <w:pPr>
              <w:jc w:val="right"/>
              <w:spacing w:after="0" w:line="162" w:lineRule="exact"/>
              <w:rPr>
                <w:sz w:val="20"/>
                <w:szCs w:val="20"/>
                <w:color w:val="auto"/>
              </w:rPr>
            </w:pPr>
            <w:r>
              <w:rPr>
                <w:rFonts w:ascii="Arial" w:cs="Arial" w:eastAsia="Arial" w:hAnsi="Arial"/>
                <w:sz w:val="16"/>
                <w:szCs w:val="16"/>
                <w:color w:val="auto"/>
              </w:rPr>
              <w:t>1</w:t>
            </w:r>
          </w:p>
        </w:tc>
        <w:tc>
          <w:tcPr>
            <w:tcW w:w="40" w:type="dxa"/>
            <w:vAlign w:val="bottom"/>
          </w:tcPr>
          <w:p>
            <w:pPr>
              <w:spacing w:after="0"/>
              <w:rPr>
                <w:sz w:val="14"/>
                <w:szCs w:val="14"/>
                <w:color w:val="auto"/>
              </w:rPr>
            </w:pPr>
          </w:p>
        </w:tc>
        <w:tc>
          <w:tcPr>
            <w:tcW w:w="20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40" w:type="dxa"/>
            <w:vAlign w:val="bottom"/>
          </w:tcPr>
          <w:p>
            <w:pPr>
              <w:ind w:left="40"/>
              <w:spacing w:after="0" w:line="162" w:lineRule="exact"/>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line="162" w:lineRule="exact"/>
              <w:rPr>
                <w:sz w:val="20"/>
                <w:szCs w:val="20"/>
                <w:color w:val="auto"/>
              </w:rPr>
            </w:pPr>
            <w:r>
              <w:rPr>
                <w:rFonts w:ascii="Arial" w:cs="Arial" w:eastAsia="Arial" w:hAnsi="Arial"/>
                <w:sz w:val="16"/>
                <w:szCs w:val="16"/>
                <w:color w:val="auto"/>
              </w:rPr>
              <w:t>1,268</w:t>
            </w:r>
          </w:p>
        </w:tc>
        <w:tc>
          <w:tcPr>
            <w:tcW w:w="20" w:type="dxa"/>
            <w:vAlign w:val="bottom"/>
          </w:tcPr>
          <w:p>
            <w:pPr>
              <w:spacing w:after="0"/>
              <w:rPr>
                <w:sz w:val="14"/>
                <w:szCs w:val="14"/>
                <w:color w:val="auto"/>
              </w:rPr>
            </w:pPr>
          </w:p>
        </w:tc>
        <w:tc>
          <w:tcPr>
            <w:tcW w:w="200" w:type="dxa"/>
            <w:vAlign w:val="bottom"/>
            <w:gridSpan w:val="2"/>
          </w:tcPr>
          <w:p>
            <w:pPr>
              <w:ind w:left="80"/>
              <w:spacing w:after="0" w:line="162"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62" w:lineRule="exact"/>
              <w:rPr>
                <w:sz w:val="20"/>
                <w:szCs w:val="20"/>
                <w:color w:val="auto"/>
              </w:rPr>
            </w:pPr>
            <w:r>
              <w:rPr>
                <w:rFonts w:ascii="Arial" w:cs="Arial" w:eastAsia="Arial" w:hAnsi="Arial"/>
                <w:sz w:val="16"/>
                <w:szCs w:val="16"/>
                <w:color w:val="auto"/>
              </w:rPr>
              <w:t>(123)</w:t>
            </w:r>
          </w:p>
        </w:tc>
        <w:tc>
          <w:tcPr>
            <w:tcW w:w="860" w:type="dxa"/>
            <w:vAlign w:val="bottom"/>
            <w:gridSpan w:val="3"/>
          </w:tcPr>
          <w:p>
            <w:pPr>
              <w:ind w:left="100"/>
              <w:spacing w:after="0" w:line="162" w:lineRule="exact"/>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(8)</w:t>
            </w:r>
          </w:p>
        </w:tc>
        <w:tc>
          <w:tcPr>
            <w:tcW w:w="220" w:type="dxa"/>
            <w:vAlign w:val="bottom"/>
            <w:gridSpan w:val="2"/>
          </w:tcPr>
          <w:p>
            <w:pPr>
              <w:ind w:left="80"/>
              <w:spacing w:after="0" w:line="162"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62" w:lineRule="exact"/>
              <w:rPr>
                <w:sz w:val="20"/>
                <w:szCs w:val="20"/>
                <w:color w:val="auto"/>
              </w:rPr>
            </w:pPr>
            <w:r>
              <w:rPr>
                <w:rFonts w:ascii="Arial" w:cs="Arial" w:eastAsia="Arial" w:hAnsi="Arial"/>
                <w:sz w:val="16"/>
                <w:szCs w:val="16"/>
                <w:color w:val="auto"/>
              </w:rPr>
              <w:t>1,138</w:t>
            </w:r>
          </w:p>
        </w:tc>
        <w:tc>
          <w:tcPr>
            <w:tcW w:w="40" w:type="dxa"/>
            <w:vAlign w:val="bottom"/>
          </w:tcPr>
          <w:p>
            <w:pPr>
              <w:spacing w:after="0"/>
              <w:rPr>
                <w:sz w:val="14"/>
                <w:szCs w:val="14"/>
                <w:color w:val="auto"/>
              </w:rPr>
            </w:pPr>
          </w:p>
        </w:tc>
        <w:tc>
          <w:tcPr>
            <w:tcW w:w="220" w:type="dxa"/>
            <w:vAlign w:val="bottom"/>
            <w:gridSpan w:val="2"/>
          </w:tcPr>
          <w:p>
            <w:pPr>
              <w:ind w:left="100"/>
              <w:spacing w:after="0" w:line="162"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44</w:t>
            </w:r>
          </w:p>
        </w:tc>
        <w:tc>
          <w:tcPr>
            <w:tcW w:w="40" w:type="dxa"/>
            <w:vAlign w:val="bottom"/>
          </w:tcPr>
          <w:p>
            <w:pPr>
              <w:spacing w:after="0"/>
              <w:rPr>
                <w:sz w:val="14"/>
                <w:szCs w:val="14"/>
                <w:color w:val="auto"/>
              </w:rPr>
            </w:pPr>
          </w:p>
        </w:tc>
        <w:tc>
          <w:tcPr>
            <w:tcW w:w="18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62" w:lineRule="exact"/>
              <w:rPr>
                <w:sz w:val="20"/>
                <w:szCs w:val="20"/>
                <w:color w:val="auto"/>
              </w:rPr>
            </w:pPr>
            <w:r>
              <w:rPr>
                <w:rFonts w:ascii="Arial" w:cs="Arial" w:eastAsia="Arial" w:hAnsi="Arial"/>
                <w:sz w:val="16"/>
                <w:szCs w:val="16"/>
                <w:color w:val="auto"/>
              </w:rPr>
              <w:t>1,182</w:t>
            </w:r>
          </w:p>
        </w:tc>
        <w:tc>
          <w:tcPr>
            <w:tcW w:w="0" w:type="dxa"/>
            <w:vAlign w:val="bottom"/>
          </w:tcPr>
          <w:p>
            <w:pPr>
              <w:spacing w:after="0"/>
              <w:rPr>
                <w:sz w:val="1"/>
                <w:szCs w:val="1"/>
                <w:color w:val="auto"/>
              </w:rPr>
            </w:pPr>
          </w:p>
        </w:tc>
      </w:tr>
      <w:tr>
        <w:trPr>
          <w:trHeight w:val="160"/>
        </w:trPr>
        <w:tc>
          <w:tcPr>
            <w:tcW w:w="1800" w:type="dxa"/>
            <w:vAlign w:val="bottom"/>
          </w:tcPr>
          <w:p>
            <w:pPr>
              <w:spacing w:after="0" w:line="160" w:lineRule="exact"/>
              <w:rPr>
                <w:sz w:val="20"/>
                <w:szCs w:val="20"/>
                <w:color w:val="auto"/>
              </w:rPr>
            </w:pPr>
            <w:r>
              <w:rPr>
                <w:rFonts w:ascii="Arial" w:cs="Arial" w:eastAsia="Arial" w:hAnsi="Arial"/>
                <w:sz w:val="16"/>
                <w:szCs w:val="16"/>
                <w:color w:val="auto"/>
                <w:w w:val="99"/>
              </w:rPr>
              <w:t>Net income . . . . . . . . . . .</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gridSpan w:val="2"/>
          </w:tcPr>
          <w:p>
            <w:pPr>
              <w:jc w:val="right"/>
              <w:ind w:right="10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100"/>
              <w:spacing w:after="0" w:line="160"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620" w:type="dxa"/>
            <w:vAlign w:val="bottom"/>
            <w:gridSpan w:val="2"/>
          </w:tcPr>
          <w:p>
            <w:pPr>
              <w:jc w:val="right"/>
              <w:ind w:right="6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line="160" w:lineRule="exact"/>
              <w:rPr>
                <w:sz w:val="20"/>
                <w:szCs w:val="20"/>
                <w:color w:val="auto"/>
              </w:rPr>
            </w:pPr>
            <w:r>
              <w:rPr>
                <w:rFonts w:ascii="Arial" w:cs="Arial" w:eastAsia="Arial" w:hAnsi="Arial"/>
                <w:sz w:val="16"/>
                <w:szCs w:val="16"/>
                <w:color w:val="auto"/>
              </w:rPr>
              <w:t>612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gridSpan w:val="2"/>
          </w:tcPr>
          <w:p>
            <w:pPr>
              <w:jc w:val="right"/>
              <w:ind w:right="6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60" w:lineRule="exact"/>
              <w:rPr>
                <w:sz w:val="20"/>
                <w:szCs w:val="20"/>
                <w:color w:val="auto"/>
              </w:rPr>
            </w:pPr>
            <w:r>
              <w:rPr>
                <w:rFonts w:ascii="Arial" w:cs="Arial" w:eastAsia="Arial" w:hAnsi="Arial"/>
                <w:sz w:val="16"/>
                <w:szCs w:val="16"/>
                <w:color w:val="auto"/>
              </w:rPr>
              <w:t>612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line="160" w:lineRule="exact"/>
              <w:rPr>
                <w:sz w:val="20"/>
                <w:szCs w:val="20"/>
                <w:color w:val="auto"/>
              </w:rPr>
            </w:pPr>
            <w:r>
              <w:rPr>
                <w:rFonts w:ascii="Arial" w:cs="Arial" w:eastAsia="Arial" w:hAnsi="Arial"/>
                <w:sz w:val="16"/>
                <w:szCs w:val="16"/>
                <w:color w:val="auto"/>
              </w:rPr>
              <w:t>13</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line="160" w:lineRule="exact"/>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160"/>
        </w:trPr>
        <w:tc>
          <w:tcPr>
            <w:tcW w:w="1800" w:type="dxa"/>
            <w:vAlign w:val="bottom"/>
          </w:tcPr>
          <w:p>
            <w:pPr>
              <w:spacing w:after="0" w:line="160" w:lineRule="exact"/>
              <w:rPr>
                <w:sz w:val="20"/>
                <w:szCs w:val="20"/>
                <w:color w:val="auto"/>
              </w:rPr>
            </w:pPr>
            <w:r>
              <w:rPr>
                <w:rFonts w:ascii="Arial" w:cs="Arial" w:eastAsia="Arial" w:hAnsi="Arial"/>
                <w:sz w:val="16"/>
                <w:szCs w:val="16"/>
                <w:color w:val="auto"/>
              </w:rPr>
              <w:t>Distributions to</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00" w:type="dxa"/>
            <w:vAlign w:val="bottom"/>
          </w:tcPr>
          <w:p>
            <w:pPr>
              <w:spacing w:after="0" w:line="160" w:lineRule="exact"/>
              <w:rPr>
                <w:sz w:val="20"/>
                <w:szCs w:val="20"/>
                <w:color w:val="auto"/>
              </w:rPr>
            </w:pPr>
            <w:r>
              <w:rPr>
                <w:rFonts w:ascii="Arial" w:cs="Arial" w:eastAsia="Arial" w:hAnsi="Arial"/>
                <w:sz w:val="16"/>
                <w:szCs w:val="16"/>
                <w:color w:val="auto"/>
              </w:rPr>
              <w:t>noncontrolling interest</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00" w:type="dxa"/>
            <w:vAlign w:val="bottom"/>
          </w:tcPr>
          <w:p>
            <w:pPr>
              <w:spacing w:after="0" w:line="160" w:lineRule="exact"/>
              <w:rPr>
                <w:sz w:val="20"/>
                <w:szCs w:val="20"/>
                <w:color w:val="auto"/>
              </w:rPr>
            </w:pPr>
            <w:r>
              <w:rPr>
                <w:rFonts w:ascii="Arial" w:cs="Arial" w:eastAsia="Arial" w:hAnsi="Arial"/>
                <w:sz w:val="16"/>
                <w:szCs w:val="16"/>
                <w:color w:val="auto"/>
                <w:w w:val="97"/>
              </w:rPr>
              <w:t>holder  . . . . . . . . . . . . . . .</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gridSpan w:val="2"/>
          </w:tcPr>
          <w:p>
            <w:pPr>
              <w:jc w:val="right"/>
              <w:ind w:right="10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100"/>
              <w:spacing w:after="0" w:line="160"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620" w:type="dxa"/>
            <w:vAlign w:val="bottom"/>
            <w:gridSpan w:val="2"/>
          </w:tcPr>
          <w:p>
            <w:pPr>
              <w:jc w:val="right"/>
              <w:ind w:right="6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gridSpan w:val="2"/>
          </w:tcPr>
          <w:p>
            <w:pPr>
              <w:jc w:val="right"/>
              <w:ind w:right="6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80"/>
              <w:spacing w:after="0" w:line="16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40"/>
              <w:spacing w:after="0" w:line="160" w:lineRule="exact"/>
              <w:rPr>
                <w:sz w:val="20"/>
                <w:szCs w:val="20"/>
                <w:color w:val="auto"/>
              </w:rPr>
            </w:pPr>
            <w:r>
              <w:rPr>
                <w:rFonts w:ascii="Arial" w:cs="Arial" w:eastAsia="Arial" w:hAnsi="Arial"/>
                <w:sz w:val="16"/>
                <w:szCs w:val="16"/>
                <w:color w:val="auto"/>
              </w:rPr>
              <w:t>(50)</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line="160" w:lineRule="exact"/>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60"/>
        </w:trPr>
        <w:tc>
          <w:tcPr>
            <w:tcW w:w="1800" w:type="dxa"/>
            <w:vAlign w:val="bottom"/>
          </w:tcPr>
          <w:p>
            <w:pPr>
              <w:spacing w:after="0" w:line="160" w:lineRule="exact"/>
              <w:rPr>
                <w:sz w:val="20"/>
                <w:szCs w:val="20"/>
                <w:color w:val="auto"/>
              </w:rPr>
            </w:pPr>
            <w:r>
              <w:rPr>
                <w:rFonts w:ascii="Arial" w:cs="Arial" w:eastAsia="Arial" w:hAnsi="Arial"/>
                <w:sz w:val="16"/>
                <w:szCs w:val="16"/>
                <w:color w:val="auto"/>
              </w:rPr>
              <w:t>Cash dividends ($0.17</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00" w:type="dxa"/>
            <w:vAlign w:val="bottom"/>
          </w:tcPr>
          <w:p>
            <w:pPr>
              <w:spacing w:after="0" w:line="160" w:lineRule="exact"/>
              <w:rPr>
                <w:sz w:val="20"/>
                <w:szCs w:val="20"/>
                <w:color w:val="auto"/>
              </w:rPr>
            </w:pPr>
            <w:r>
              <w:rPr>
                <w:rFonts w:ascii="Arial" w:cs="Arial" w:eastAsia="Arial" w:hAnsi="Arial"/>
                <w:sz w:val="16"/>
                <w:szCs w:val="16"/>
                <w:color w:val="auto"/>
                <w:w w:val="99"/>
              </w:rPr>
              <w:t>per share) . . . . . . . . . . . .</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gridSpan w:val="2"/>
          </w:tcPr>
          <w:p>
            <w:pPr>
              <w:jc w:val="right"/>
              <w:ind w:right="10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100"/>
              <w:spacing w:after="0" w:line="160"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620" w:type="dxa"/>
            <w:vAlign w:val="bottom"/>
            <w:gridSpan w:val="2"/>
          </w:tcPr>
          <w:p>
            <w:pPr>
              <w:jc w:val="right"/>
              <w:ind w:right="6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line="160" w:lineRule="exact"/>
              <w:rPr>
                <w:sz w:val="20"/>
                <w:szCs w:val="20"/>
                <w:color w:val="auto"/>
              </w:rPr>
            </w:pPr>
            <w:r>
              <w:rPr>
                <w:rFonts w:ascii="Arial" w:cs="Arial" w:eastAsia="Arial" w:hAnsi="Arial"/>
                <w:sz w:val="16"/>
                <w:szCs w:val="16"/>
                <w:color w:val="auto"/>
              </w:rPr>
              <w:t>(14)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gridSpan w:val="2"/>
          </w:tcPr>
          <w:p>
            <w:pPr>
              <w:jc w:val="right"/>
              <w:ind w:right="6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40"/>
              <w:spacing w:after="0" w:line="160" w:lineRule="exact"/>
              <w:rPr>
                <w:sz w:val="20"/>
                <w:szCs w:val="20"/>
                <w:color w:val="auto"/>
              </w:rPr>
            </w:pPr>
            <w:r>
              <w:rPr>
                <w:rFonts w:ascii="Arial" w:cs="Arial" w:eastAsia="Arial" w:hAnsi="Arial"/>
                <w:sz w:val="16"/>
                <w:szCs w:val="16"/>
                <w:color w:val="auto"/>
              </w:rPr>
              <w:t>(14)</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10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line="160"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60"/>
        </w:trPr>
        <w:tc>
          <w:tcPr>
            <w:tcW w:w="1800" w:type="dxa"/>
            <w:vAlign w:val="bottom"/>
          </w:tcPr>
          <w:p>
            <w:pPr>
              <w:spacing w:after="0" w:line="160" w:lineRule="exact"/>
              <w:rPr>
                <w:sz w:val="20"/>
                <w:szCs w:val="20"/>
                <w:color w:val="auto"/>
              </w:rPr>
            </w:pPr>
            <w:r>
              <w:rPr>
                <w:rFonts w:ascii="Arial" w:cs="Arial" w:eastAsia="Arial" w:hAnsi="Arial"/>
                <w:sz w:val="16"/>
                <w:szCs w:val="16"/>
                <w:color w:val="auto"/>
              </w:rPr>
              <w:t>Redemption of</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00" w:type="dxa"/>
            <w:vAlign w:val="bottom"/>
          </w:tcPr>
          <w:p>
            <w:pPr>
              <w:spacing w:after="0" w:line="160" w:lineRule="exact"/>
              <w:rPr>
                <w:sz w:val="20"/>
                <w:szCs w:val="20"/>
                <w:color w:val="auto"/>
              </w:rPr>
            </w:pPr>
            <w:r>
              <w:rPr>
                <w:rFonts w:ascii="Arial" w:cs="Arial" w:eastAsia="Arial" w:hAnsi="Arial"/>
                <w:sz w:val="16"/>
                <w:szCs w:val="16"/>
                <w:color w:val="auto"/>
              </w:rPr>
              <w:t>noncontrolling</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00" w:type="dxa"/>
            <w:vAlign w:val="bottom"/>
          </w:tcPr>
          <w:p>
            <w:pPr>
              <w:spacing w:after="0" w:line="160" w:lineRule="exact"/>
              <w:rPr>
                <w:sz w:val="20"/>
                <w:szCs w:val="20"/>
                <w:color w:val="auto"/>
              </w:rPr>
            </w:pPr>
            <w:r>
              <w:rPr>
                <w:rFonts w:ascii="Arial" w:cs="Arial" w:eastAsia="Arial" w:hAnsi="Arial"/>
                <w:sz w:val="14"/>
                <w:szCs w:val="14"/>
                <w:color w:val="auto"/>
              </w:rPr>
              <w:t>interest</w:t>
            </w:r>
            <w:r>
              <w:rPr>
                <w:rFonts w:ascii="Arial" w:cs="Arial" w:eastAsia="Arial" w:hAnsi="Arial"/>
                <w:sz w:val="18"/>
                <w:szCs w:val="18"/>
                <w:color w:val="auto"/>
                <w:vertAlign w:val="superscript"/>
              </w:rPr>
              <w:t>(a)</w:t>
            </w:r>
            <w:r>
              <w:rPr>
                <w:rFonts w:ascii="Arial" w:cs="Arial" w:eastAsia="Arial" w:hAnsi="Arial"/>
                <w:sz w:val="14"/>
                <w:szCs w:val="14"/>
                <w:color w:val="auto"/>
              </w:rPr>
              <w:t xml:space="preserve"> . . . . . . . . . . . . .</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gridSpan w:val="2"/>
          </w:tcPr>
          <w:p>
            <w:pPr>
              <w:jc w:val="right"/>
              <w:ind w:right="10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100"/>
              <w:spacing w:after="0" w:line="160"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600" w:type="dxa"/>
            <w:vAlign w:val="bottom"/>
          </w:tcPr>
          <w:p>
            <w:pPr>
              <w:jc w:val="right"/>
              <w:spacing w:after="0" w:line="160" w:lineRule="exact"/>
              <w:rPr>
                <w:sz w:val="20"/>
                <w:szCs w:val="20"/>
                <w:color w:val="auto"/>
              </w:rPr>
            </w:pPr>
            <w:r>
              <w:rPr>
                <w:rFonts w:ascii="Arial" w:cs="Arial" w:eastAsia="Arial" w:hAnsi="Arial"/>
                <w:sz w:val="16"/>
                <w:szCs w:val="16"/>
                <w:color w:val="auto"/>
              </w:rPr>
              <w:t>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gridSpan w:val="2"/>
          </w:tcPr>
          <w:p>
            <w:pPr>
              <w:jc w:val="right"/>
              <w:ind w:right="6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60" w:lineRule="exact"/>
              <w:rPr>
                <w:sz w:val="20"/>
                <w:szCs w:val="20"/>
                <w:color w:val="auto"/>
              </w:rPr>
            </w:pPr>
            <w:r>
              <w:rPr>
                <w:rFonts w:ascii="Arial" w:cs="Arial" w:eastAsia="Arial" w:hAnsi="Arial"/>
                <w:sz w:val="16"/>
                <w:szCs w:val="16"/>
                <w:color w:val="auto"/>
              </w:rPr>
              <w:t>7</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40"/>
              <w:spacing w:after="0" w:line="160" w:lineRule="exact"/>
              <w:rPr>
                <w:sz w:val="20"/>
                <w:szCs w:val="20"/>
                <w:color w:val="auto"/>
              </w:rPr>
            </w:pPr>
            <w:r>
              <w:rPr>
                <w:rFonts w:ascii="Arial" w:cs="Arial" w:eastAsia="Arial" w:hAnsi="Arial"/>
                <w:sz w:val="16"/>
                <w:szCs w:val="16"/>
                <w:color w:val="auto"/>
              </w:rPr>
              <w:t>(7)</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line="16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0"/>
        </w:trPr>
        <w:tc>
          <w:tcPr>
            <w:tcW w:w="1800" w:type="dxa"/>
            <w:vAlign w:val="bottom"/>
          </w:tcPr>
          <w:p>
            <w:pPr>
              <w:spacing w:after="0" w:line="160" w:lineRule="exact"/>
              <w:rPr>
                <w:sz w:val="20"/>
                <w:szCs w:val="20"/>
                <w:color w:val="auto"/>
              </w:rPr>
            </w:pPr>
            <w:r>
              <w:rPr>
                <w:rFonts w:ascii="Arial" w:cs="Arial" w:eastAsia="Arial" w:hAnsi="Arial"/>
                <w:sz w:val="16"/>
                <w:szCs w:val="16"/>
                <w:color w:val="auto"/>
              </w:rPr>
              <w:t>Share-based</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00" w:type="dxa"/>
            <w:vAlign w:val="bottom"/>
          </w:tcPr>
          <w:p>
            <w:pPr>
              <w:spacing w:after="0" w:line="160" w:lineRule="exact"/>
              <w:rPr>
                <w:sz w:val="20"/>
                <w:szCs w:val="20"/>
                <w:color w:val="auto"/>
              </w:rPr>
            </w:pPr>
            <w:r>
              <w:rPr>
                <w:rFonts w:ascii="Arial" w:cs="Arial" w:eastAsia="Arial" w:hAnsi="Arial"/>
                <w:sz w:val="16"/>
                <w:szCs w:val="16"/>
                <w:color w:val="auto"/>
                <w:w w:val="99"/>
              </w:rPr>
              <w:t>compensation . . . . . . . . .</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gridSpan w:val="2"/>
          </w:tcPr>
          <w:p>
            <w:pPr>
              <w:jc w:val="right"/>
              <w:ind w:right="10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100"/>
              <w:spacing w:after="0" w:line="160"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600" w:type="dxa"/>
            <w:vAlign w:val="bottom"/>
          </w:tcPr>
          <w:p>
            <w:pPr>
              <w:jc w:val="right"/>
              <w:spacing w:after="0" w:line="160" w:lineRule="exact"/>
              <w:rPr>
                <w:sz w:val="20"/>
                <w:szCs w:val="20"/>
                <w:color w:val="auto"/>
              </w:rPr>
            </w:pPr>
            <w:r>
              <w:rPr>
                <w:rFonts w:ascii="Arial" w:cs="Arial" w:eastAsia="Arial" w:hAnsi="Arial"/>
                <w:sz w:val="16"/>
                <w:szCs w:val="16"/>
                <w:color w:val="auto"/>
              </w:rPr>
              <w:t>13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gridSpan w:val="2"/>
          </w:tcPr>
          <w:p>
            <w:pPr>
              <w:jc w:val="right"/>
              <w:ind w:right="6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60" w:lineRule="exact"/>
              <w:rPr>
                <w:sz w:val="20"/>
                <w:szCs w:val="20"/>
                <w:color w:val="auto"/>
              </w:rPr>
            </w:pPr>
            <w:r>
              <w:rPr>
                <w:rFonts w:ascii="Arial" w:cs="Arial" w:eastAsia="Arial" w:hAnsi="Arial"/>
                <w:sz w:val="16"/>
                <w:szCs w:val="16"/>
                <w:color w:val="auto"/>
              </w:rPr>
              <w:t>13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10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line="160"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60"/>
        </w:trPr>
        <w:tc>
          <w:tcPr>
            <w:tcW w:w="1800" w:type="dxa"/>
            <w:vAlign w:val="bottom"/>
          </w:tcPr>
          <w:p>
            <w:pPr>
              <w:spacing w:after="0" w:line="160" w:lineRule="exact"/>
              <w:rPr>
                <w:sz w:val="20"/>
                <w:szCs w:val="20"/>
                <w:color w:val="auto"/>
              </w:rPr>
            </w:pPr>
            <w:r>
              <w:rPr>
                <w:rFonts w:ascii="Arial" w:cs="Arial" w:eastAsia="Arial" w:hAnsi="Arial"/>
                <w:sz w:val="16"/>
                <w:szCs w:val="16"/>
                <w:color w:val="auto"/>
              </w:rPr>
              <w:t>Repurchases of</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00" w:type="dxa"/>
            <w:vAlign w:val="bottom"/>
          </w:tcPr>
          <w:p>
            <w:pPr>
              <w:spacing w:after="0" w:line="160" w:lineRule="exact"/>
              <w:rPr>
                <w:sz w:val="20"/>
                <w:szCs w:val="20"/>
                <w:color w:val="auto"/>
              </w:rPr>
            </w:pPr>
            <w:r>
              <w:rPr>
                <w:rFonts w:ascii="Arial" w:cs="Arial" w:eastAsia="Arial" w:hAnsi="Arial"/>
                <w:sz w:val="16"/>
                <w:szCs w:val="16"/>
                <w:color w:val="auto"/>
                <w:w w:val="99"/>
              </w:rPr>
              <w:t>common stock  . . . . . . . .</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gridSpan w:val="2"/>
          </w:tcPr>
          <w:p>
            <w:pPr>
              <w:jc w:val="right"/>
              <w:ind w:right="10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40"/>
              <w:spacing w:after="0" w:line="160" w:lineRule="exact"/>
              <w:rPr>
                <w:sz w:val="20"/>
                <w:szCs w:val="20"/>
                <w:color w:val="auto"/>
              </w:rPr>
            </w:pPr>
            <w:r>
              <w:rPr>
                <w:rFonts w:ascii="Arial" w:cs="Arial" w:eastAsia="Arial" w:hAnsi="Arial"/>
                <w:sz w:val="16"/>
                <w:szCs w:val="16"/>
                <w:color w:val="auto"/>
              </w:rPr>
              <w:t>(148)</w:t>
            </w:r>
          </w:p>
        </w:tc>
        <w:tc>
          <w:tcPr>
            <w:tcW w:w="140" w:type="dxa"/>
            <w:vAlign w:val="bottom"/>
          </w:tcPr>
          <w:p>
            <w:pPr>
              <w:spacing w:after="0"/>
              <w:rPr>
                <w:sz w:val="13"/>
                <w:szCs w:val="13"/>
                <w:color w:val="auto"/>
              </w:rPr>
            </w:pPr>
          </w:p>
        </w:tc>
        <w:tc>
          <w:tcPr>
            <w:tcW w:w="620" w:type="dxa"/>
            <w:vAlign w:val="bottom"/>
            <w:gridSpan w:val="2"/>
          </w:tcPr>
          <w:p>
            <w:pPr>
              <w:jc w:val="right"/>
              <w:ind w:right="6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gridSpan w:val="2"/>
          </w:tcPr>
          <w:p>
            <w:pPr>
              <w:jc w:val="right"/>
              <w:ind w:right="6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40"/>
              <w:spacing w:after="0" w:line="160" w:lineRule="exact"/>
              <w:rPr>
                <w:sz w:val="20"/>
                <w:szCs w:val="20"/>
                <w:color w:val="auto"/>
              </w:rPr>
            </w:pPr>
            <w:r>
              <w:rPr>
                <w:rFonts w:ascii="Arial" w:cs="Arial" w:eastAsia="Arial" w:hAnsi="Arial"/>
                <w:sz w:val="16"/>
                <w:szCs w:val="16"/>
                <w:color w:val="auto"/>
              </w:rPr>
              <w:t>(148)</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10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line="160" w:lineRule="exact"/>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160"/>
        </w:trPr>
        <w:tc>
          <w:tcPr>
            <w:tcW w:w="1800" w:type="dxa"/>
            <w:vAlign w:val="bottom"/>
          </w:tcPr>
          <w:p>
            <w:pPr>
              <w:spacing w:after="0" w:line="160" w:lineRule="exact"/>
              <w:rPr>
                <w:sz w:val="20"/>
                <w:szCs w:val="20"/>
                <w:color w:val="auto"/>
              </w:rPr>
            </w:pPr>
            <w:r>
              <w:rPr>
                <w:rFonts w:ascii="Arial" w:cs="Arial" w:eastAsia="Arial" w:hAnsi="Arial"/>
                <w:sz w:val="16"/>
                <w:szCs w:val="16"/>
                <w:color w:val="auto"/>
              </w:rPr>
              <w:t>Issuance of common</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00" w:type="dxa"/>
            <w:vAlign w:val="bottom"/>
          </w:tcPr>
          <w:p>
            <w:pPr>
              <w:spacing w:after="0" w:line="160" w:lineRule="exact"/>
              <w:rPr>
                <w:sz w:val="20"/>
                <w:szCs w:val="20"/>
                <w:color w:val="auto"/>
              </w:rPr>
            </w:pPr>
            <w:r>
              <w:rPr>
                <w:rFonts w:ascii="Arial" w:cs="Arial" w:eastAsia="Arial" w:hAnsi="Arial"/>
                <w:sz w:val="16"/>
                <w:szCs w:val="16"/>
                <w:color w:val="auto"/>
                <w:w w:val="99"/>
              </w:rPr>
              <w:t>stock . . . . . . . . . . . . . . . .</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gridSpan w:val="2"/>
          </w:tcPr>
          <w:p>
            <w:pPr>
              <w:jc w:val="right"/>
              <w:ind w:right="10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100"/>
              <w:spacing w:after="0" w:line="160"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600" w:type="dxa"/>
            <w:vAlign w:val="bottom"/>
          </w:tcPr>
          <w:p>
            <w:pPr>
              <w:jc w:val="right"/>
              <w:spacing w:after="0" w:line="160" w:lineRule="exact"/>
              <w:rPr>
                <w:sz w:val="20"/>
                <w:szCs w:val="20"/>
                <w:color w:val="auto"/>
              </w:rPr>
            </w:pPr>
            <w:r>
              <w:rPr>
                <w:rFonts w:ascii="Arial" w:cs="Arial" w:eastAsia="Arial" w:hAnsi="Arial"/>
                <w:sz w:val="16"/>
                <w:szCs w:val="16"/>
                <w:color w:val="auto"/>
              </w:rPr>
              <w:t>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gridSpan w:val="2"/>
          </w:tcPr>
          <w:p>
            <w:pPr>
              <w:jc w:val="right"/>
              <w:ind w:right="6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60" w:lineRule="exact"/>
              <w:rPr>
                <w:sz w:val="20"/>
                <w:szCs w:val="20"/>
                <w:color w:val="auto"/>
              </w:rPr>
            </w:pPr>
            <w:r>
              <w:rPr>
                <w:rFonts w:ascii="Arial" w:cs="Arial" w:eastAsia="Arial" w:hAnsi="Arial"/>
                <w:sz w:val="16"/>
                <w:szCs w:val="16"/>
                <w:color w:val="auto"/>
              </w:rPr>
              <w:t>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10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line="160"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0"/>
        </w:trPr>
        <w:tc>
          <w:tcPr>
            <w:tcW w:w="1800" w:type="dxa"/>
            <w:vAlign w:val="bottom"/>
          </w:tcPr>
          <w:p>
            <w:pPr>
              <w:spacing w:after="0" w:line="160" w:lineRule="exact"/>
              <w:rPr>
                <w:sz w:val="20"/>
                <w:szCs w:val="20"/>
                <w:color w:val="auto"/>
              </w:rPr>
            </w:pPr>
            <w:r>
              <w:rPr>
                <w:rFonts w:ascii="Arial" w:cs="Arial" w:eastAsia="Arial" w:hAnsi="Arial"/>
                <w:sz w:val="16"/>
                <w:szCs w:val="16"/>
                <w:color w:val="auto"/>
                <w:w w:val="97"/>
              </w:rPr>
              <w:t>Other . . . . . . . . . . . . . . . .</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gridSpan w:val="2"/>
          </w:tcPr>
          <w:p>
            <w:pPr>
              <w:jc w:val="right"/>
              <w:ind w:right="10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100"/>
              <w:spacing w:after="0" w:line="160"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620" w:type="dxa"/>
            <w:vAlign w:val="bottom"/>
            <w:gridSpan w:val="2"/>
          </w:tcPr>
          <w:p>
            <w:pPr>
              <w:jc w:val="right"/>
              <w:ind w:right="20"/>
              <w:spacing w:after="0" w:line="160" w:lineRule="exact"/>
              <w:rPr>
                <w:sz w:val="20"/>
                <w:szCs w:val="20"/>
                <w:color w:val="auto"/>
              </w:rPr>
            </w:pPr>
            <w:r>
              <w:rPr>
                <w:rFonts w:ascii="Arial" w:cs="Arial" w:eastAsia="Arial" w:hAnsi="Arial"/>
                <w:sz w:val="16"/>
                <w:szCs w:val="16"/>
                <w:color w:val="auto"/>
              </w:rPr>
              <w:t>(2)</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gridSpan w:val="2"/>
          </w:tcPr>
          <w:p>
            <w:pPr>
              <w:jc w:val="right"/>
              <w:ind w:right="6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40"/>
              <w:spacing w:after="0" w:line="160" w:lineRule="exact"/>
              <w:rPr>
                <w:sz w:val="20"/>
                <w:szCs w:val="20"/>
                <w:color w:val="auto"/>
              </w:rPr>
            </w:pPr>
            <w:r>
              <w:rPr>
                <w:rFonts w:ascii="Arial" w:cs="Arial" w:eastAsia="Arial" w:hAnsi="Arial"/>
                <w:sz w:val="16"/>
                <w:szCs w:val="16"/>
                <w:color w:val="auto"/>
              </w:rPr>
              <w:t>(2)</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10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line="160"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0"/>
        </w:trPr>
        <w:tc>
          <w:tcPr>
            <w:tcW w:w="1800" w:type="dxa"/>
            <w:vAlign w:val="bottom"/>
          </w:tcPr>
          <w:p>
            <w:pPr>
              <w:spacing w:after="0" w:line="160" w:lineRule="exact"/>
              <w:rPr>
                <w:sz w:val="20"/>
                <w:szCs w:val="20"/>
                <w:color w:val="auto"/>
              </w:rPr>
            </w:pPr>
            <w:r>
              <w:rPr>
                <w:rFonts w:ascii="Arial" w:cs="Arial" w:eastAsia="Arial" w:hAnsi="Arial"/>
                <w:sz w:val="16"/>
                <w:szCs w:val="16"/>
                <w:color w:val="auto"/>
              </w:rPr>
              <w:t>Other comprehensive</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800" w:type="dxa"/>
            <w:vAlign w:val="bottom"/>
          </w:tcPr>
          <w:p>
            <w:pPr>
              <w:spacing w:after="0" w:line="179" w:lineRule="exact"/>
              <w:rPr>
                <w:sz w:val="20"/>
                <w:szCs w:val="20"/>
                <w:color w:val="auto"/>
              </w:rPr>
            </w:pPr>
            <w:r>
              <w:rPr>
                <w:rFonts w:ascii="Arial" w:cs="Arial" w:eastAsia="Arial" w:hAnsi="Arial"/>
                <w:sz w:val="16"/>
                <w:szCs w:val="16"/>
                <w:color w:val="auto"/>
                <w:w w:val="98"/>
              </w:rPr>
              <w:t>income  . . . . . . . . . . . . . .</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gridSpan w:val="2"/>
          </w:tcPr>
          <w:p>
            <w:pPr>
              <w:jc w:val="right"/>
              <w:ind w:right="100"/>
              <w:spacing w:after="0" w:line="179"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jc w:val="right"/>
              <w:ind w:right="100"/>
              <w:spacing w:after="0" w:line="179"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620" w:type="dxa"/>
            <w:vAlign w:val="bottom"/>
            <w:gridSpan w:val="2"/>
          </w:tcPr>
          <w:p>
            <w:pPr>
              <w:jc w:val="right"/>
              <w:ind w:right="60"/>
              <w:spacing w:after="0" w:line="179"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line="179"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jc w:val="right"/>
              <w:spacing w:after="0" w:line="179" w:lineRule="exact"/>
              <w:rPr>
                <w:sz w:val="20"/>
                <w:szCs w:val="20"/>
                <w:color w:val="auto"/>
              </w:rPr>
            </w:pPr>
            <w:r>
              <w:rPr>
                <w:rFonts w:ascii="Arial" w:cs="Arial" w:eastAsia="Arial" w:hAnsi="Arial"/>
                <w:sz w:val="16"/>
                <w:szCs w:val="16"/>
                <w:color w:val="auto"/>
              </w:rPr>
              <w:t>80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line="179" w:lineRule="exact"/>
              <w:rPr>
                <w:sz w:val="20"/>
                <w:szCs w:val="20"/>
                <w:color w:val="auto"/>
              </w:rPr>
            </w:pPr>
            <w:r>
              <w:rPr>
                <w:rFonts w:ascii="Arial" w:cs="Arial" w:eastAsia="Arial" w:hAnsi="Arial"/>
                <w:sz w:val="16"/>
                <w:szCs w:val="16"/>
                <w:color w:val="auto"/>
              </w:rPr>
              <w:t>80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00"/>
              <w:spacing w:after="0" w:line="179"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line="179" w:lineRule="exact"/>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38"/>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auto"/>
              </w:rPr>
              <w:t>Balance, December 31,</w:t>
            </w:r>
          </w:p>
        </w:tc>
        <w:tc>
          <w:tcPr>
            <w:tcW w:w="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18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line="162" w:lineRule="exact"/>
              <w:rPr>
                <w:sz w:val="20"/>
                <w:szCs w:val="20"/>
                <w:color w:val="auto"/>
              </w:rPr>
            </w:pPr>
            <w:r>
              <w:rPr>
                <w:rFonts w:ascii="Arial" w:cs="Arial" w:eastAsia="Arial" w:hAnsi="Arial"/>
                <w:sz w:val="16"/>
                <w:szCs w:val="16"/>
                <w:b w:val="1"/>
                <w:bCs w:val="1"/>
                <w:color w:val="auto"/>
                <w:w w:val="97"/>
              </w:rPr>
              <w:t xml:space="preserve">2021  </w:t>
            </w:r>
            <w:r>
              <w:rPr>
                <w:rFonts w:ascii="Arial" w:cs="Arial" w:eastAsia="Arial" w:hAnsi="Arial"/>
                <w:sz w:val="16"/>
                <w:szCs w:val="16"/>
                <w:color w:val="auto"/>
                <w:w w:val="97"/>
              </w:rPr>
              <w:t>. . . . . . . . . . . . . . . .</w:t>
            </w:r>
          </w:p>
        </w:tc>
        <w:tc>
          <w:tcPr>
            <w:tcW w:w="300" w:type="dxa"/>
            <w:vAlign w:val="bottom"/>
            <w:gridSpan w:val="2"/>
          </w:tcPr>
          <w:p>
            <w:pPr>
              <w:jc w:val="right"/>
              <w:ind w:right="50"/>
              <w:spacing w:after="0" w:line="162" w:lineRule="exact"/>
              <w:rPr>
                <w:sz w:val="20"/>
                <w:szCs w:val="20"/>
                <w:color w:val="auto"/>
              </w:rPr>
            </w:pPr>
            <w:r>
              <w:rPr>
                <w:rFonts w:ascii="Arial" w:cs="Arial" w:eastAsia="Arial" w:hAnsi="Arial"/>
                <w:sz w:val="16"/>
                <w:szCs w:val="16"/>
                <w:color w:val="auto"/>
              </w:rPr>
              <w:t>$</w:t>
            </w:r>
          </w:p>
        </w:tc>
        <w:tc>
          <w:tcPr>
            <w:tcW w:w="340" w:type="dxa"/>
            <w:vAlign w:val="bottom"/>
          </w:tcPr>
          <w:p>
            <w:pPr>
              <w:jc w:val="right"/>
              <w:spacing w:after="0" w:line="162" w:lineRule="exact"/>
              <w:rPr>
                <w:sz w:val="20"/>
                <w:szCs w:val="20"/>
                <w:color w:val="auto"/>
              </w:rPr>
            </w:pPr>
            <w:r>
              <w:rPr>
                <w:rFonts w:ascii="Arial" w:cs="Arial" w:eastAsia="Arial" w:hAnsi="Arial"/>
                <w:sz w:val="16"/>
                <w:szCs w:val="16"/>
                <w:color w:val="auto"/>
              </w:rPr>
              <w:t>1</w:t>
            </w:r>
          </w:p>
        </w:tc>
        <w:tc>
          <w:tcPr>
            <w:tcW w:w="40" w:type="dxa"/>
            <w:vAlign w:val="bottom"/>
          </w:tcPr>
          <w:p>
            <w:pPr>
              <w:spacing w:after="0"/>
              <w:rPr>
                <w:sz w:val="14"/>
                <w:szCs w:val="14"/>
                <w:color w:val="auto"/>
              </w:rPr>
            </w:pPr>
          </w:p>
        </w:tc>
        <w:tc>
          <w:tcPr>
            <w:tcW w:w="20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(148)</w:t>
            </w:r>
          </w:p>
        </w:tc>
        <w:tc>
          <w:tcPr>
            <w:tcW w:w="140" w:type="dxa"/>
            <w:vAlign w:val="bottom"/>
          </w:tcPr>
          <w:p>
            <w:pPr>
              <w:ind w:left="40"/>
              <w:spacing w:after="0" w:line="162" w:lineRule="exact"/>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line="162" w:lineRule="exact"/>
              <w:rPr>
                <w:sz w:val="20"/>
                <w:szCs w:val="20"/>
                <w:color w:val="auto"/>
              </w:rPr>
            </w:pPr>
            <w:r>
              <w:rPr>
                <w:rFonts w:ascii="Arial" w:cs="Arial" w:eastAsia="Arial" w:hAnsi="Arial"/>
                <w:sz w:val="16"/>
                <w:szCs w:val="16"/>
                <w:color w:val="auto"/>
              </w:rPr>
              <w:t>1,288</w:t>
            </w:r>
          </w:p>
        </w:tc>
        <w:tc>
          <w:tcPr>
            <w:tcW w:w="20" w:type="dxa"/>
            <w:vAlign w:val="bottom"/>
          </w:tcPr>
          <w:p>
            <w:pPr>
              <w:spacing w:after="0"/>
              <w:rPr>
                <w:sz w:val="14"/>
                <w:szCs w:val="14"/>
                <w:color w:val="auto"/>
              </w:rPr>
            </w:pPr>
          </w:p>
        </w:tc>
        <w:tc>
          <w:tcPr>
            <w:tcW w:w="200" w:type="dxa"/>
            <w:vAlign w:val="bottom"/>
            <w:gridSpan w:val="2"/>
          </w:tcPr>
          <w:p>
            <w:pPr>
              <w:ind w:left="80"/>
              <w:spacing w:after="0" w:line="162"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62" w:lineRule="exact"/>
              <w:rPr>
                <w:sz w:val="20"/>
                <w:szCs w:val="20"/>
                <w:color w:val="auto"/>
              </w:rPr>
            </w:pPr>
            <w:r>
              <w:rPr>
                <w:rFonts w:ascii="Arial" w:cs="Arial" w:eastAsia="Arial" w:hAnsi="Arial"/>
                <w:sz w:val="16"/>
                <w:szCs w:val="16"/>
                <w:color w:val="auto"/>
              </w:rPr>
              <w:t>475</w:t>
            </w:r>
          </w:p>
        </w:tc>
        <w:tc>
          <w:tcPr>
            <w:tcW w:w="860" w:type="dxa"/>
            <w:vAlign w:val="bottom"/>
            <w:gridSpan w:val="3"/>
          </w:tcPr>
          <w:p>
            <w:pPr>
              <w:ind w:left="100"/>
              <w:spacing w:after="0" w:line="162" w:lineRule="exact"/>
              <w:rPr>
                <w:sz w:val="20"/>
                <w:szCs w:val="20"/>
                <w:color w:val="auto"/>
              </w:rPr>
            </w:pPr>
            <w:r>
              <w:rPr>
                <w:rFonts w:ascii="Arial" w:cs="Arial" w:eastAsia="Arial" w:hAnsi="Arial"/>
                <w:sz w:val="16"/>
                <w:szCs w:val="16"/>
                <w:color w:val="auto"/>
              </w:rPr>
              <w:t>$</w:t>
            </w:r>
          </w:p>
        </w:tc>
        <w:tc>
          <w:tcPr>
            <w:tcW w:w="280" w:type="dxa"/>
            <w:vAlign w:val="bottom"/>
          </w:tcPr>
          <w:p>
            <w:pPr>
              <w:jc w:val="right"/>
              <w:spacing w:after="0" w:line="162" w:lineRule="exact"/>
              <w:rPr>
                <w:sz w:val="20"/>
                <w:szCs w:val="20"/>
                <w:color w:val="auto"/>
              </w:rPr>
            </w:pPr>
            <w:r>
              <w:rPr>
                <w:rFonts w:ascii="Arial" w:cs="Arial" w:eastAsia="Arial" w:hAnsi="Arial"/>
                <w:sz w:val="16"/>
                <w:szCs w:val="16"/>
                <w:color w:val="auto"/>
              </w:rPr>
              <w:t>72</w:t>
            </w:r>
          </w:p>
        </w:tc>
        <w:tc>
          <w:tcPr>
            <w:tcW w:w="20" w:type="dxa"/>
            <w:vAlign w:val="bottom"/>
          </w:tcPr>
          <w:p>
            <w:pPr>
              <w:spacing w:after="0"/>
              <w:rPr>
                <w:sz w:val="14"/>
                <w:szCs w:val="14"/>
                <w:color w:val="auto"/>
              </w:rPr>
            </w:pPr>
          </w:p>
        </w:tc>
        <w:tc>
          <w:tcPr>
            <w:tcW w:w="220" w:type="dxa"/>
            <w:vAlign w:val="bottom"/>
            <w:gridSpan w:val="2"/>
          </w:tcPr>
          <w:p>
            <w:pPr>
              <w:ind w:left="80"/>
              <w:spacing w:after="0" w:line="162"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62" w:lineRule="exact"/>
              <w:rPr>
                <w:sz w:val="20"/>
                <w:szCs w:val="20"/>
                <w:color w:val="auto"/>
              </w:rPr>
            </w:pPr>
            <w:r>
              <w:rPr>
                <w:rFonts w:ascii="Arial" w:cs="Arial" w:eastAsia="Arial" w:hAnsi="Arial"/>
                <w:sz w:val="16"/>
                <w:szCs w:val="16"/>
                <w:color w:val="auto"/>
              </w:rPr>
              <w:t>1,688</w:t>
            </w:r>
          </w:p>
        </w:tc>
        <w:tc>
          <w:tcPr>
            <w:tcW w:w="40" w:type="dxa"/>
            <w:vAlign w:val="bottom"/>
          </w:tcPr>
          <w:p>
            <w:pPr>
              <w:spacing w:after="0"/>
              <w:rPr>
                <w:sz w:val="14"/>
                <w:szCs w:val="14"/>
                <w:color w:val="auto"/>
              </w:rPr>
            </w:pPr>
          </w:p>
        </w:tc>
        <w:tc>
          <w:tcPr>
            <w:tcW w:w="220" w:type="dxa"/>
            <w:vAlign w:val="bottom"/>
            <w:gridSpan w:val="2"/>
          </w:tcPr>
          <w:p>
            <w:pPr>
              <w:ind w:left="100"/>
              <w:spacing w:after="0" w:line="162"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8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62" w:lineRule="exact"/>
              <w:rPr>
                <w:sz w:val="20"/>
                <w:szCs w:val="20"/>
                <w:color w:val="auto"/>
              </w:rPr>
            </w:pPr>
            <w:r>
              <w:rPr>
                <w:rFonts w:ascii="Arial" w:cs="Arial" w:eastAsia="Arial" w:hAnsi="Arial"/>
                <w:sz w:val="16"/>
                <w:szCs w:val="16"/>
                <w:color w:val="auto"/>
              </w:rPr>
              <w:t>1,688</w:t>
            </w:r>
          </w:p>
        </w:tc>
        <w:tc>
          <w:tcPr>
            <w:tcW w:w="0" w:type="dxa"/>
            <w:vAlign w:val="bottom"/>
          </w:tcPr>
          <w:p>
            <w:pPr>
              <w:spacing w:after="0"/>
              <w:rPr>
                <w:sz w:val="1"/>
                <w:szCs w:val="1"/>
                <w:color w:val="auto"/>
              </w:rPr>
            </w:pPr>
          </w:p>
        </w:tc>
      </w:tr>
      <w:tr>
        <w:trPr>
          <w:trHeight w:val="160"/>
        </w:trPr>
        <w:tc>
          <w:tcPr>
            <w:tcW w:w="1800" w:type="dxa"/>
            <w:vAlign w:val="bottom"/>
          </w:tcPr>
          <w:p>
            <w:pPr>
              <w:spacing w:after="0" w:line="160" w:lineRule="exact"/>
              <w:rPr>
                <w:sz w:val="20"/>
                <w:szCs w:val="20"/>
                <w:color w:val="auto"/>
              </w:rPr>
            </w:pPr>
            <w:r>
              <w:rPr>
                <w:rFonts w:ascii="Arial" w:cs="Arial" w:eastAsia="Arial" w:hAnsi="Arial"/>
                <w:sz w:val="16"/>
                <w:szCs w:val="16"/>
                <w:color w:val="auto"/>
                <w:w w:val="99"/>
              </w:rPr>
              <w:t>Net income . . . . . . . . . . .</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gridSpan w:val="2"/>
          </w:tcPr>
          <w:p>
            <w:pPr>
              <w:jc w:val="right"/>
              <w:ind w:right="10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100"/>
              <w:spacing w:after="0" w:line="160"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620" w:type="dxa"/>
            <w:vAlign w:val="bottom"/>
            <w:gridSpan w:val="2"/>
          </w:tcPr>
          <w:p>
            <w:pPr>
              <w:jc w:val="right"/>
              <w:ind w:right="6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line="160" w:lineRule="exact"/>
              <w:rPr>
                <w:sz w:val="20"/>
                <w:szCs w:val="20"/>
                <w:color w:val="auto"/>
              </w:rPr>
            </w:pPr>
            <w:r>
              <w:rPr>
                <w:rFonts w:ascii="Arial" w:cs="Arial" w:eastAsia="Arial" w:hAnsi="Arial"/>
                <w:sz w:val="16"/>
                <w:szCs w:val="16"/>
                <w:color w:val="auto"/>
              </w:rPr>
              <w:t>524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gridSpan w:val="2"/>
          </w:tcPr>
          <w:p>
            <w:pPr>
              <w:jc w:val="right"/>
              <w:ind w:right="6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60" w:lineRule="exact"/>
              <w:rPr>
                <w:sz w:val="20"/>
                <w:szCs w:val="20"/>
                <w:color w:val="auto"/>
              </w:rPr>
            </w:pPr>
            <w:r>
              <w:rPr>
                <w:rFonts w:ascii="Arial" w:cs="Arial" w:eastAsia="Arial" w:hAnsi="Arial"/>
                <w:sz w:val="16"/>
                <w:szCs w:val="16"/>
                <w:color w:val="auto"/>
              </w:rPr>
              <w:t>524</w:t>
            </w:r>
          </w:p>
        </w:tc>
        <w:tc>
          <w:tcPr>
            <w:tcW w:w="40" w:type="dxa"/>
            <w:vAlign w:val="bottom"/>
          </w:tcPr>
          <w:p>
            <w:pPr>
              <w:spacing w:after="0"/>
              <w:rPr>
                <w:sz w:val="13"/>
                <w:szCs w:val="13"/>
                <w:color w:val="auto"/>
              </w:rPr>
            </w:pPr>
          </w:p>
        </w:tc>
        <w:tc>
          <w:tcPr>
            <w:tcW w:w="220" w:type="dxa"/>
            <w:vAlign w:val="bottom"/>
            <w:gridSpan w:val="2"/>
          </w:tcPr>
          <w:p>
            <w:pPr>
              <w:ind w:left="60"/>
              <w:spacing w:after="0" w:line="160"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line="160" w:lineRule="exact"/>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160"/>
        </w:trPr>
        <w:tc>
          <w:tcPr>
            <w:tcW w:w="1800" w:type="dxa"/>
            <w:vAlign w:val="bottom"/>
          </w:tcPr>
          <w:p>
            <w:pPr>
              <w:spacing w:after="0" w:line="160" w:lineRule="exact"/>
              <w:rPr>
                <w:sz w:val="20"/>
                <w:szCs w:val="20"/>
                <w:color w:val="auto"/>
              </w:rPr>
            </w:pPr>
            <w:r>
              <w:rPr>
                <w:rFonts w:ascii="Arial" w:cs="Arial" w:eastAsia="Arial" w:hAnsi="Arial"/>
                <w:sz w:val="16"/>
                <w:szCs w:val="16"/>
                <w:color w:val="auto"/>
              </w:rPr>
              <w:t>Cash dividends</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00" w:type="dxa"/>
            <w:vAlign w:val="bottom"/>
          </w:tcPr>
          <w:p>
            <w:pPr>
              <w:spacing w:after="0" w:line="160" w:lineRule="exact"/>
              <w:rPr>
                <w:sz w:val="20"/>
                <w:szCs w:val="20"/>
                <w:color w:val="auto"/>
              </w:rPr>
            </w:pPr>
            <w:r>
              <w:rPr>
                <w:rFonts w:ascii="Arial" w:cs="Arial" w:eastAsia="Arial" w:hAnsi="Arial"/>
                <w:sz w:val="16"/>
                <w:szCs w:val="16"/>
                <w:color w:val="auto"/>
              </w:rPr>
              <w:t>($0.7925 per share) . . . .</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gridSpan w:val="2"/>
          </w:tcPr>
          <w:p>
            <w:pPr>
              <w:jc w:val="right"/>
              <w:ind w:right="10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100"/>
              <w:spacing w:after="0" w:line="160"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620" w:type="dxa"/>
            <w:vAlign w:val="bottom"/>
            <w:gridSpan w:val="2"/>
          </w:tcPr>
          <w:p>
            <w:pPr>
              <w:jc w:val="right"/>
              <w:ind w:right="6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line="160" w:lineRule="exact"/>
              <w:rPr>
                <w:sz w:val="20"/>
                <w:szCs w:val="20"/>
                <w:color w:val="auto"/>
              </w:rPr>
            </w:pPr>
            <w:r>
              <w:rPr>
                <w:rFonts w:ascii="Arial" w:cs="Arial" w:eastAsia="Arial" w:hAnsi="Arial"/>
                <w:sz w:val="16"/>
                <w:szCs w:val="16"/>
                <w:color w:val="auto"/>
              </w:rPr>
              <w:t>(61)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gridSpan w:val="2"/>
          </w:tcPr>
          <w:p>
            <w:pPr>
              <w:jc w:val="right"/>
              <w:ind w:right="6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40"/>
              <w:spacing w:after="0" w:line="160" w:lineRule="exact"/>
              <w:rPr>
                <w:sz w:val="20"/>
                <w:szCs w:val="20"/>
                <w:color w:val="auto"/>
              </w:rPr>
            </w:pPr>
            <w:r>
              <w:rPr>
                <w:rFonts w:ascii="Arial" w:cs="Arial" w:eastAsia="Arial" w:hAnsi="Arial"/>
                <w:sz w:val="16"/>
                <w:szCs w:val="16"/>
                <w:color w:val="auto"/>
              </w:rPr>
              <w:t>(61)</w:t>
            </w:r>
          </w:p>
        </w:tc>
        <w:tc>
          <w:tcPr>
            <w:tcW w:w="220" w:type="dxa"/>
            <w:vAlign w:val="bottom"/>
            <w:gridSpan w:val="2"/>
          </w:tcPr>
          <w:p>
            <w:pPr>
              <w:ind w:left="60"/>
              <w:spacing w:after="0" w:line="160"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line="160" w:lineRule="exact"/>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60"/>
        </w:trPr>
        <w:tc>
          <w:tcPr>
            <w:tcW w:w="1800" w:type="dxa"/>
            <w:vAlign w:val="bottom"/>
          </w:tcPr>
          <w:p>
            <w:pPr>
              <w:spacing w:after="0" w:line="160" w:lineRule="exact"/>
              <w:rPr>
                <w:sz w:val="20"/>
                <w:szCs w:val="20"/>
                <w:color w:val="auto"/>
              </w:rPr>
            </w:pPr>
            <w:r>
              <w:rPr>
                <w:rFonts w:ascii="Arial" w:cs="Arial" w:eastAsia="Arial" w:hAnsi="Arial"/>
                <w:sz w:val="16"/>
                <w:szCs w:val="16"/>
                <w:color w:val="auto"/>
              </w:rPr>
              <w:t>Share-based</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00" w:type="dxa"/>
            <w:vAlign w:val="bottom"/>
          </w:tcPr>
          <w:p>
            <w:pPr>
              <w:spacing w:after="0" w:line="160" w:lineRule="exact"/>
              <w:rPr>
                <w:sz w:val="20"/>
                <w:szCs w:val="20"/>
                <w:color w:val="auto"/>
              </w:rPr>
            </w:pPr>
            <w:r>
              <w:rPr>
                <w:rFonts w:ascii="Arial" w:cs="Arial" w:eastAsia="Arial" w:hAnsi="Arial"/>
                <w:sz w:val="16"/>
                <w:szCs w:val="16"/>
                <w:color w:val="auto"/>
                <w:w w:val="99"/>
              </w:rPr>
              <w:t>compensation . . . . . . . . .</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gridSpan w:val="2"/>
          </w:tcPr>
          <w:p>
            <w:pPr>
              <w:jc w:val="right"/>
              <w:ind w:right="10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100"/>
              <w:spacing w:after="0" w:line="160"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600" w:type="dxa"/>
            <w:vAlign w:val="bottom"/>
          </w:tcPr>
          <w:p>
            <w:pPr>
              <w:jc w:val="right"/>
              <w:spacing w:after="0" w:line="160" w:lineRule="exact"/>
              <w:rPr>
                <w:sz w:val="20"/>
                <w:szCs w:val="20"/>
                <w:color w:val="auto"/>
              </w:rPr>
            </w:pPr>
            <w:r>
              <w:rPr>
                <w:rFonts w:ascii="Arial" w:cs="Arial" w:eastAsia="Arial" w:hAnsi="Arial"/>
                <w:sz w:val="16"/>
                <w:szCs w:val="16"/>
                <w:color w:val="auto"/>
              </w:rPr>
              <w:t>19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gridSpan w:val="2"/>
          </w:tcPr>
          <w:p>
            <w:pPr>
              <w:jc w:val="right"/>
              <w:ind w:right="6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60" w:lineRule="exact"/>
              <w:rPr>
                <w:sz w:val="20"/>
                <w:szCs w:val="20"/>
                <w:color w:val="auto"/>
              </w:rPr>
            </w:pPr>
            <w:r>
              <w:rPr>
                <w:rFonts w:ascii="Arial" w:cs="Arial" w:eastAsia="Arial" w:hAnsi="Arial"/>
                <w:sz w:val="16"/>
                <w:szCs w:val="16"/>
                <w:color w:val="auto"/>
              </w:rPr>
              <w:t>19</w:t>
            </w:r>
          </w:p>
        </w:tc>
        <w:tc>
          <w:tcPr>
            <w:tcW w:w="40" w:type="dxa"/>
            <w:vAlign w:val="bottom"/>
          </w:tcPr>
          <w:p>
            <w:pPr>
              <w:spacing w:after="0"/>
              <w:rPr>
                <w:sz w:val="13"/>
                <w:szCs w:val="13"/>
                <w:color w:val="auto"/>
              </w:rPr>
            </w:pPr>
          </w:p>
        </w:tc>
        <w:tc>
          <w:tcPr>
            <w:tcW w:w="220" w:type="dxa"/>
            <w:vAlign w:val="bottom"/>
            <w:gridSpan w:val="2"/>
          </w:tcPr>
          <w:p>
            <w:pPr>
              <w:ind w:left="60"/>
              <w:spacing w:after="0" w:line="160"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line="160" w:lineRule="exact"/>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60"/>
        </w:trPr>
        <w:tc>
          <w:tcPr>
            <w:tcW w:w="1800" w:type="dxa"/>
            <w:vAlign w:val="bottom"/>
          </w:tcPr>
          <w:p>
            <w:pPr>
              <w:spacing w:after="0" w:line="160" w:lineRule="exact"/>
              <w:rPr>
                <w:sz w:val="20"/>
                <w:szCs w:val="20"/>
                <w:color w:val="auto"/>
              </w:rPr>
            </w:pPr>
            <w:r>
              <w:rPr>
                <w:rFonts w:ascii="Arial" w:cs="Arial" w:eastAsia="Arial" w:hAnsi="Arial"/>
                <w:sz w:val="16"/>
                <w:szCs w:val="16"/>
                <w:color w:val="auto"/>
              </w:rPr>
              <w:t>Repurchases of</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00" w:type="dxa"/>
            <w:vAlign w:val="bottom"/>
          </w:tcPr>
          <w:p>
            <w:pPr>
              <w:spacing w:after="0" w:line="160" w:lineRule="exact"/>
              <w:rPr>
                <w:sz w:val="20"/>
                <w:szCs w:val="20"/>
                <w:color w:val="auto"/>
              </w:rPr>
            </w:pPr>
            <w:r>
              <w:rPr>
                <w:rFonts w:ascii="Arial" w:cs="Arial" w:eastAsia="Arial" w:hAnsi="Arial"/>
                <w:sz w:val="16"/>
                <w:szCs w:val="16"/>
                <w:color w:val="auto"/>
                <w:w w:val="99"/>
              </w:rPr>
              <w:t>common stock  . . . . . . . .</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gridSpan w:val="2"/>
          </w:tcPr>
          <w:p>
            <w:pPr>
              <w:jc w:val="right"/>
              <w:ind w:right="10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40"/>
              <w:spacing w:after="0" w:line="160" w:lineRule="exact"/>
              <w:rPr>
                <w:sz w:val="20"/>
                <w:szCs w:val="20"/>
                <w:color w:val="auto"/>
              </w:rPr>
            </w:pPr>
            <w:r>
              <w:rPr>
                <w:rFonts w:ascii="Arial" w:cs="Arial" w:eastAsia="Arial" w:hAnsi="Arial"/>
                <w:sz w:val="16"/>
                <w:szCs w:val="16"/>
                <w:color w:val="auto"/>
              </w:rPr>
              <w:t>(313)</w:t>
            </w:r>
          </w:p>
        </w:tc>
        <w:tc>
          <w:tcPr>
            <w:tcW w:w="140" w:type="dxa"/>
            <w:vAlign w:val="bottom"/>
          </w:tcPr>
          <w:p>
            <w:pPr>
              <w:spacing w:after="0"/>
              <w:rPr>
                <w:sz w:val="13"/>
                <w:szCs w:val="13"/>
                <w:color w:val="auto"/>
              </w:rPr>
            </w:pPr>
          </w:p>
        </w:tc>
        <w:tc>
          <w:tcPr>
            <w:tcW w:w="620" w:type="dxa"/>
            <w:vAlign w:val="bottom"/>
            <w:gridSpan w:val="2"/>
          </w:tcPr>
          <w:p>
            <w:pPr>
              <w:jc w:val="right"/>
              <w:ind w:right="6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gridSpan w:val="2"/>
          </w:tcPr>
          <w:p>
            <w:pPr>
              <w:jc w:val="right"/>
              <w:ind w:right="6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40"/>
              <w:spacing w:after="0" w:line="160" w:lineRule="exact"/>
              <w:rPr>
                <w:sz w:val="20"/>
                <w:szCs w:val="20"/>
                <w:color w:val="auto"/>
              </w:rPr>
            </w:pPr>
            <w:r>
              <w:rPr>
                <w:rFonts w:ascii="Arial" w:cs="Arial" w:eastAsia="Arial" w:hAnsi="Arial"/>
                <w:sz w:val="16"/>
                <w:szCs w:val="16"/>
                <w:color w:val="auto"/>
              </w:rPr>
              <w:t>(313)</w:t>
            </w:r>
          </w:p>
        </w:tc>
        <w:tc>
          <w:tcPr>
            <w:tcW w:w="220" w:type="dxa"/>
            <w:vAlign w:val="bottom"/>
            <w:gridSpan w:val="2"/>
          </w:tcPr>
          <w:p>
            <w:pPr>
              <w:ind w:left="60"/>
              <w:spacing w:after="0" w:line="160"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line="160" w:lineRule="exact"/>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160"/>
        </w:trPr>
        <w:tc>
          <w:tcPr>
            <w:tcW w:w="1800" w:type="dxa"/>
            <w:vAlign w:val="bottom"/>
          </w:tcPr>
          <w:p>
            <w:pPr>
              <w:spacing w:after="0" w:line="160" w:lineRule="exact"/>
              <w:rPr>
                <w:sz w:val="20"/>
                <w:szCs w:val="20"/>
                <w:color w:val="auto"/>
              </w:rPr>
            </w:pPr>
            <w:r>
              <w:rPr>
                <w:rFonts w:ascii="Arial" w:cs="Arial" w:eastAsia="Arial" w:hAnsi="Arial"/>
                <w:sz w:val="16"/>
                <w:szCs w:val="16"/>
                <w:color w:val="auto"/>
                <w:w w:val="97"/>
              </w:rPr>
              <w:t>Other . . . . . . . . . . . . . . . .</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gridSpan w:val="2"/>
          </w:tcPr>
          <w:p>
            <w:pPr>
              <w:jc w:val="right"/>
              <w:ind w:right="10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100"/>
              <w:spacing w:after="0" w:line="160"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620" w:type="dxa"/>
            <w:vAlign w:val="bottom"/>
            <w:gridSpan w:val="2"/>
          </w:tcPr>
          <w:p>
            <w:pPr>
              <w:jc w:val="right"/>
              <w:ind w:right="20"/>
              <w:spacing w:after="0" w:line="160" w:lineRule="exact"/>
              <w:rPr>
                <w:sz w:val="20"/>
                <w:szCs w:val="20"/>
                <w:color w:val="auto"/>
              </w:rPr>
            </w:pPr>
            <w:r>
              <w:rPr>
                <w:rFonts w:ascii="Arial" w:cs="Arial" w:eastAsia="Arial" w:hAnsi="Arial"/>
                <w:sz w:val="16"/>
                <w:szCs w:val="16"/>
                <w:color w:val="auto"/>
              </w:rPr>
              <w:t>(2)</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gridSpan w:val="2"/>
          </w:tcPr>
          <w:p>
            <w:pPr>
              <w:jc w:val="right"/>
              <w:ind w:right="6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40"/>
              <w:spacing w:after="0" w:line="160" w:lineRule="exact"/>
              <w:rPr>
                <w:sz w:val="20"/>
                <w:szCs w:val="20"/>
                <w:color w:val="auto"/>
              </w:rPr>
            </w:pPr>
            <w:r>
              <w:rPr>
                <w:rFonts w:ascii="Arial" w:cs="Arial" w:eastAsia="Arial" w:hAnsi="Arial"/>
                <w:sz w:val="16"/>
                <w:szCs w:val="16"/>
                <w:color w:val="auto"/>
              </w:rPr>
              <w:t>(2)</w:t>
            </w:r>
          </w:p>
        </w:tc>
        <w:tc>
          <w:tcPr>
            <w:tcW w:w="220" w:type="dxa"/>
            <w:vAlign w:val="bottom"/>
            <w:gridSpan w:val="2"/>
          </w:tcPr>
          <w:p>
            <w:pPr>
              <w:ind w:left="60"/>
              <w:spacing w:after="0" w:line="160"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line="16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line="160"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0"/>
        </w:trPr>
        <w:tc>
          <w:tcPr>
            <w:tcW w:w="1800" w:type="dxa"/>
            <w:vAlign w:val="bottom"/>
          </w:tcPr>
          <w:p>
            <w:pPr>
              <w:spacing w:after="0" w:line="160" w:lineRule="exact"/>
              <w:rPr>
                <w:sz w:val="20"/>
                <w:szCs w:val="20"/>
                <w:color w:val="auto"/>
              </w:rPr>
            </w:pPr>
            <w:r>
              <w:rPr>
                <w:rFonts w:ascii="Arial" w:cs="Arial" w:eastAsia="Arial" w:hAnsi="Arial"/>
                <w:sz w:val="16"/>
                <w:szCs w:val="16"/>
                <w:color w:val="auto"/>
              </w:rPr>
              <w:t>Other comprehensive</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800" w:type="dxa"/>
            <w:vAlign w:val="bottom"/>
          </w:tcPr>
          <w:p>
            <w:pPr>
              <w:spacing w:after="0" w:line="179" w:lineRule="exact"/>
              <w:rPr>
                <w:sz w:val="20"/>
                <w:szCs w:val="20"/>
                <w:color w:val="auto"/>
              </w:rPr>
            </w:pPr>
            <w:r>
              <w:rPr>
                <w:rFonts w:ascii="Arial" w:cs="Arial" w:eastAsia="Arial" w:hAnsi="Arial"/>
                <w:sz w:val="16"/>
                <w:szCs w:val="16"/>
                <w:color w:val="auto"/>
              </w:rPr>
              <w:t>income, net of tax  . . . . .</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gridSpan w:val="2"/>
          </w:tcPr>
          <w:p>
            <w:pPr>
              <w:jc w:val="right"/>
              <w:ind w:right="100"/>
              <w:spacing w:after="0" w:line="179"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jc w:val="right"/>
              <w:ind w:right="100"/>
              <w:spacing w:after="0" w:line="179"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620" w:type="dxa"/>
            <w:vAlign w:val="bottom"/>
            <w:gridSpan w:val="2"/>
          </w:tcPr>
          <w:p>
            <w:pPr>
              <w:jc w:val="right"/>
              <w:ind w:right="60"/>
              <w:spacing w:after="0" w:line="179"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line="179"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jc w:val="right"/>
              <w:spacing w:after="0" w:line="179" w:lineRule="exact"/>
              <w:rPr>
                <w:sz w:val="20"/>
                <w:szCs w:val="20"/>
                <w:color w:val="auto"/>
              </w:rPr>
            </w:pPr>
            <w:r>
              <w:rPr>
                <w:rFonts w:ascii="Arial" w:cs="Arial" w:eastAsia="Arial" w:hAnsi="Arial"/>
                <w:sz w:val="16"/>
                <w:szCs w:val="16"/>
                <w:color w:val="auto"/>
              </w:rPr>
              <w:t>9</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line="179" w:lineRule="exact"/>
              <w:rPr>
                <w:sz w:val="20"/>
                <w:szCs w:val="20"/>
                <w:color w:val="auto"/>
              </w:rPr>
            </w:pPr>
            <w:r>
              <w:rPr>
                <w:rFonts w:ascii="Arial" w:cs="Arial" w:eastAsia="Arial" w:hAnsi="Arial"/>
                <w:sz w:val="16"/>
                <w:szCs w:val="16"/>
                <w:color w:val="auto"/>
              </w:rPr>
              <w:t>9</w:t>
            </w:r>
          </w:p>
        </w:tc>
        <w:tc>
          <w:tcPr>
            <w:tcW w:w="40" w:type="dxa"/>
            <w:vAlign w:val="bottom"/>
          </w:tcPr>
          <w:p>
            <w:pPr>
              <w:spacing w:after="0"/>
              <w:rPr>
                <w:sz w:val="15"/>
                <w:szCs w:val="15"/>
                <w:color w:val="auto"/>
              </w:rPr>
            </w:pPr>
          </w:p>
        </w:tc>
        <w:tc>
          <w:tcPr>
            <w:tcW w:w="220" w:type="dxa"/>
            <w:vAlign w:val="bottom"/>
            <w:gridSpan w:val="2"/>
          </w:tcPr>
          <w:p>
            <w:pPr>
              <w:ind w:left="60"/>
              <w:spacing w:after="0" w:line="179"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line="179"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line="179"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8"/>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auto"/>
              </w:rPr>
              <w:t>Balance, December 31,</w:t>
            </w:r>
          </w:p>
        </w:tc>
        <w:tc>
          <w:tcPr>
            <w:tcW w:w="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18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800" w:type="dxa"/>
            <w:vAlign w:val="bottom"/>
          </w:tcPr>
          <w:p>
            <w:pPr>
              <w:spacing w:after="0" w:line="181" w:lineRule="exact"/>
              <w:rPr>
                <w:sz w:val="20"/>
                <w:szCs w:val="20"/>
                <w:color w:val="auto"/>
              </w:rPr>
            </w:pPr>
            <w:r>
              <w:rPr>
                <w:rFonts w:ascii="Arial" w:cs="Arial" w:eastAsia="Arial" w:hAnsi="Arial"/>
                <w:sz w:val="16"/>
                <w:szCs w:val="16"/>
                <w:b w:val="1"/>
                <w:bCs w:val="1"/>
                <w:color w:val="auto"/>
                <w:w w:val="97"/>
              </w:rPr>
              <w:t xml:space="preserve">2022  </w:t>
            </w:r>
            <w:r>
              <w:rPr>
                <w:rFonts w:ascii="Arial" w:cs="Arial" w:eastAsia="Arial" w:hAnsi="Arial"/>
                <w:sz w:val="16"/>
                <w:szCs w:val="16"/>
                <w:color w:val="auto"/>
                <w:w w:val="97"/>
              </w:rPr>
              <w:t>. . . . . . . . . . . . . . . .</w:t>
            </w:r>
          </w:p>
        </w:tc>
        <w:tc>
          <w:tcPr>
            <w:tcW w:w="300" w:type="dxa"/>
            <w:vAlign w:val="bottom"/>
            <w:gridSpan w:val="2"/>
          </w:tcPr>
          <w:p>
            <w:pPr>
              <w:jc w:val="right"/>
              <w:ind w:right="50"/>
              <w:spacing w:after="0" w:line="181" w:lineRule="exact"/>
              <w:rPr>
                <w:sz w:val="20"/>
                <w:szCs w:val="20"/>
                <w:color w:val="auto"/>
              </w:rPr>
            </w:pPr>
            <w:r>
              <w:rPr>
                <w:rFonts w:ascii="Arial" w:cs="Arial" w:eastAsia="Arial" w:hAnsi="Arial"/>
                <w:sz w:val="16"/>
                <w:szCs w:val="16"/>
                <w:color w:val="auto"/>
              </w:rPr>
              <w:t>$</w:t>
            </w:r>
          </w:p>
        </w:tc>
        <w:tc>
          <w:tcPr>
            <w:tcW w:w="340" w:type="dxa"/>
            <w:vAlign w:val="bottom"/>
          </w:tcPr>
          <w:p>
            <w:pPr>
              <w:jc w:val="right"/>
              <w:spacing w:after="0" w:line="181" w:lineRule="exact"/>
              <w:rPr>
                <w:sz w:val="20"/>
                <w:szCs w:val="20"/>
                <w:color w:val="auto"/>
              </w:rPr>
            </w:pPr>
            <w:r>
              <w:rPr>
                <w:rFonts w:ascii="Arial" w:cs="Arial" w:eastAsia="Arial" w:hAnsi="Arial"/>
                <w:sz w:val="16"/>
                <w:szCs w:val="16"/>
                <w:color w:val="auto"/>
              </w:rPr>
              <w:t>1</w:t>
            </w:r>
          </w:p>
        </w:tc>
        <w:tc>
          <w:tcPr>
            <w:tcW w:w="40" w:type="dxa"/>
            <w:vAlign w:val="bottom"/>
          </w:tcPr>
          <w:p>
            <w:pPr>
              <w:spacing w:after="0"/>
              <w:rPr>
                <w:sz w:val="15"/>
                <w:szCs w:val="15"/>
                <w:color w:val="auto"/>
              </w:rPr>
            </w:pPr>
          </w:p>
        </w:tc>
        <w:tc>
          <w:tcPr>
            <w:tcW w:w="20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(461)</w:t>
            </w:r>
          </w:p>
        </w:tc>
        <w:tc>
          <w:tcPr>
            <w:tcW w:w="140" w:type="dxa"/>
            <w:vAlign w:val="bottom"/>
          </w:tcPr>
          <w:p>
            <w:pPr>
              <w:ind w:left="40"/>
              <w:spacing w:after="0" w:line="181" w:lineRule="exact"/>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line="181" w:lineRule="exact"/>
              <w:rPr>
                <w:sz w:val="20"/>
                <w:szCs w:val="20"/>
                <w:color w:val="auto"/>
              </w:rPr>
            </w:pPr>
            <w:r>
              <w:rPr>
                <w:rFonts w:ascii="Arial" w:cs="Arial" w:eastAsia="Arial" w:hAnsi="Arial"/>
                <w:sz w:val="16"/>
                <w:szCs w:val="16"/>
                <w:color w:val="auto"/>
              </w:rPr>
              <w:t>1,305</w:t>
            </w:r>
          </w:p>
        </w:tc>
        <w:tc>
          <w:tcPr>
            <w:tcW w:w="20" w:type="dxa"/>
            <w:vAlign w:val="bottom"/>
          </w:tcPr>
          <w:p>
            <w:pPr>
              <w:spacing w:after="0"/>
              <w:rPr>
                <w:sz w:val="15"/>
                <w:szCs w:val="15"/>
                <w:color w:val="auto"/>
              </w:rPr>
            </w:pPr>
          </w:p>
        </w:tc>
        <w:tc>
          <w:tcPr>
            <w:tcW w:w="200" w:type="dxa"/>
            <w:vAlign w:val="bottom"/>
            <w:gridSpan w:val="2"/>
          </w:tcPr>
          <w:p>
            <w:pPr>
              <w:ind w:left="80"/>
              <w:spacing w:after="0" w:line="181"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81" w:lineRule="exact"/>
              <w:rPr>
                <w:sz w:val="20"/>
                <w:szCs w:val="20"/>
                <w:color w:val="auto"/>
              </w:rPr>
            </w:pPr>
            <w:r>
              <w:rPr>
                <w:rFonts w:ascii="Arial" w:cs="Arial" w:eastAsia="Arial" w:hAnsi="Arial"/>
                <w:sz w:val="16"/>
                <w:szCs w:val="16"/>
                <w:color w:val="auto"/>
              </w:rPr>
              <w:t>938</w:t>
            </w:r>
          </w:p>
        </w:tc>
        <w:tc>
          <w:tcPr>
            <w:tcW w:w="860" w:type="dxa"/>
            <w:vAlign w:val="bottom"/>
            <w:gridSpan w:val="3"/>
          </w:tcPr>
          <w:p>
            <w:pPr>
              <w:ind w:left="100"/>
              <w:spacing w:after="0" w:line="181" w:lineRule="exact"/>
              <w:rPr>
                <w:sz w:val="20"/>
                <w:szCs w:val="20"/>
                <w:color w:val="auto"/>
              </w:rPr>
            </w:pPr>
            <w:r>
              <w:rPr>
                <w:rFonts w:ascii="Arial" w:cs="Arial" w:eastAsia="Arial" w:hAnsi="Arial"/>
                <w:sz w:val="16"/>
                <w:szCs w:val="16"/>
                <w:color w:val="auto"/>
              </w:rPr>
              <w:t>$</w:t>
            </w:r>
          </w:p>
        </w:tc>
        <w:tc>
          <w:tcPr>
            <w:tcW w:w="280" w:type="dxa"/>
            <w:vAlign w:val="bottom"/>
          </w:tcPr>
          <w:p>
            <w:pPr>
              <w:jc w:val="right"/>
              <w:spacing w:after="0" w:line="181" w:lineRule="exact"/>
              <w:rPr>
                <w:sz w:val="20"/>
                <w:szCs w:val="20"/>
                <w:color w:val="auto"/>
              </w:rPr>
            </w:pPr>
            <w:r>
              <w:rPr>
                <w:rFonts w:ascii="Arial" w:cs="Arial" w:eastAsia="Arial" w:hAnsi="Arial"/>
                <w:sz w:val="16"/>
                <w:szCs w:val="16"/>
                <w:color w:val="auto"/>
              </w:rPr>
              <w:t>81</w:t>
            </w:r>
          </w:p>
        </w:tc>
        <w:tc>
          <w:tcPr>
            <w:tcW w:w="20" w:type="dxa"/>
            <w:vAlign w:val="bottom"/>
          </w:tcPr>
          <w:p>
            <w:pPr>
              <w:spacing w:after="0"/>
              <w:rPr>
                <w:sz w:val="15"/>
                <w:szCs w:val="15"/>
                <w:color w:val="auto"/>
              </w:rPr>
            </w:pPr>
          </w:p>
        </w:tc>
        <w:tc>
          <w:tcPr>
            <w:tcW w:w="220" w:type="dxa"/>
            <w:vAlign w:val="bottom"/>
            <w:gridSpan w:val="2"/>
          </w:tcPr>
          <w:p>
            <w:pPr>
              <w:ind w:left="80"/>
              <w:spacing w:after="0" w:line="181"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81" w:lineRule="exact"/>
              <w:rPr>
                <w:sz w:val="20"/>
                <w:szCs w:val="20"/>
                <w:color w:val="auto"/>
              </w:rPr>
            </w:pPr>
            <w:r>
              <w:rPr>
                <w:rFonts w:ascii="Arial" w:cs="Arial" w:eastAsia="Arial" w:hAnsi="Arial"/>
                <w:sz w:val="16"/>
                <w:szCs w:val="16"/>
                <w:color w:val="auto"/>
              </w:rPr>
              <w:t>1,864</w:t>
            </w:r>
          </w:p>
        </w:tc>
        <w:tc>
          <w:tcPr>
            <w:tcW w:w="40" w:type="dxa"/>
            <w:vAlign w:val="bottom"/>
          </w:tcPr>
          <w:p>
            <w:pPr>
              <w:spacing w:after="0"/>
              <w:rPr>
                <w:sz w:val="15"/>
                <w:szCs w:val="15"/>
                <w:color w:val="auto"/>
              </w:rPr>
            </w:pPr>
          </w:p>
        </w:tc>
        <w:tc>
          <w:tcPr>
            <w:tcW w:w="220" w:type="dxa"/>
            <w:vAlign w:val="bottom"/>
            <w:gridSpan w:val="2"/>
          </w:tcPr>
          <w:p>
            <w:pPr>
              <w:ind w:left="100"/>
              <w:spacing w:after="0" w:line="181"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81" w:lineRule="exact"/>
              <w:rPr>
                <w:sz w:val="20"/>
                <w:szCs w:val="20"/>
                <w:color w:val="auto"/>
              </w:rPr>
            </w:pPr>
            <w:r>
              <w:rPr>
                <w:rFonts w:ascii="Arial" w:cs="Arial" w:eastAsia="Arial" w:hAnsi="Arial"/>
                <w:sz w:val="16"/>
                <w:szCs w:val="16"/>
                <w:color w:val="auto"/>
              </w:rPr>
              <w:t>1,864</w:t>
            </w:r>
          </w:p>
        </w:tc>
        <w:tc>
          <w:tcPr>
            <w:tcW w:w="0" w:type="dxa"/>
            <w:vAlign w:val="bottom"/>
          </w:tcPr>
          <w:p>
            <w:pPr>
              <w:spacing w:after="0"/>
              <w:rPr>
                <w:sz w:val="1"/>
                <w:szCs w:val="1"/>
                <w:color w:val="auto"/>
              </w:rPr>
            </w:pPr>
          </w:p>
        </w:tc>
      </w:tr>
      <w:tr>
        <w:trPr>
          <w:trHeight w:val="38"/>
        </w:trPr>
        <w:tc>
          <w:tcPr>
            <w:tcW w:w="180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320" w:right="240" w:hanging="320"/>
        <w:spacing w:after="0" w:line="257" w:lineRule="auto"/>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The remaining balance in equity attributable to noncontrolling interest was reallocated to additional paid-in capital of the parent upon redemption of ECR’s preferred member interest in the BSP JV. No gain or loss was recognized on the equity transaction. See </w:t>
      </w:r>
      <w:r>
        <w:rPr>
          <w:rFonts w:ascii="Arial" w:cs="Arial" w:eastAsia="Arial" w:hAnsi="Arial"/>
          <w:sz w:val="16"/>
          <w:szCs w:val="16"/>
          <w:i w:val="1"/>
          <w:iCs w:val="1"/>
          <w:color w:val="auto"/>
        </w:rPr>
        <w:t>Note 15 Chapter 11 Proceedings</w:t>
      </w:r>
      <w:r>
        <w:rPr>
          <w:rFonts w:ascii="Arial" w:cs="Arial" w:eastAsia="Arial" w:hAnsi="Arial"/>
          <w:sz w:val="16"/>
          <w:szCs w:val="16"/>
          <w:color w:val="auto"/>
        </w:rPr>
        <w:t xml:space="preserve">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880" w:h="15480" w:orient="portrait"/>
          <w:cols w:equalWidth="0" w:num="1">
            <w:col w:w="9120"/>
          </w:cols>
          <w:pgMar w:left="1380" w:top="1267" w:right="1380" w:bottom="695" w:gutter="0" w:footer="0" w:header="0"/>
        </w:sect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97</w:t>
      </w:r>
    </w:p>
    <w:p>
      <w:pPr>
        <w:sectPr>
          <w:pgSz w:w="11880" w:h="15480" w:orient="portrait"/>
          <w:cols w:equalWidth="0" w:num="1">
            <w:col w:w="9120"/>
          </w:cols>
          <w:pgMar w:left="1380" w:top="1267" w:right="1380" w:bottom="695" w:gutter="0" w:footer="0" w:header="0"/>
          <w:type w:val="continuous"/>
        </w:sectPr>
      </w:pPr>
    </w:p>
    <w:bookmarkStart w:id="101" w:name="page102"/>
    <w:bookmarkEnd w:id="101"/>
    <w:p>
      <w:pPr>
        <w:jc w:val="center"/>
        <w:ind w:right="40"/>
        <w:spacing w:after="0"/>
        <w:rPr>
          <w:sz w:val="20"/>
          <w:szCs w:val="20"/>
          <w:color w:val="auto"/>
        </w:rPr>
      </w:pPr>
      <w:r>
        <w:rPr>
          <w:rFonts w:ascii="Arial" w:cs="Arial" w:eastAsia="Arial" w:hAnsi="Arial"/>
          <w:sz w:val="20"/>
          <w:szCs w:val="20"/>
          <w:b w:val="1"/>
          <w:bCs w:val="1"/>
          <w:color w:val="auto"/>
        </w:rPr>
        <w:t>CALIFORNIA RESOURCES CORPORATION AND SUBSIDIARIES</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For the years ended December 31, 2022 and 2021, the period from November 1, 2020 through</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December 31, 2020 and the period from January 1, 2020 through October 31, 2020</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5"/>
                <w:szCs w:val="15"/>
                <w:b w:val="1"/>
                <w:bCs w:val="1"/>
                <w:color w:val="auto"/>
              </w:rPr>
              <w:t>Successor</w:t>
            </w:r>
          </w:p>
        </w:tc>
        <w:tc>
          <w:tcPr>
            <w:tcW w:w="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40"/>
              <w:spacing w:after="0"/>
              <w:rPr>
                <w:sz w:val="20"/>
                <w:szCs w:val="20"/>
                <w:color w:val="auto"/>
              </w:rPr>
            </w:pPr>
            <w:r>
              <w:rPr>
                <w:rFonts w:ascii="Arial" w:cs="Arial" w:eastAsia="Arial" w:hAnsi="Arial"/>
                <w:sz w:val="15"/>
                <w:szCs w:val="15"/>
                <w:b w:val="1"/>
                <w:bCs w:val="1"/>
                <w:color w:val="auto"/>
                <w:w w:val="99"/>
              </w:rPr>
              <w:t>Predecessor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4"/>
          </w:tcPr>
          <w:p>
            <w:pPr>
              <w:jc w:val="center"/>
              <w:ind w:right="300"/>
              <w:spacing w:after="0" w:line="160" w:lineRule="exact"/>
              <w:rPr>
                <w:sz w:val="20"/>
                <w:szCs w:val="20"/>
                <w:color w:val="auto"/>
              </w:rPr>
            </w:pPr>
            <w:r>
              <w:rPr>
                <w:rFonts w:ascii="Arial" w:cs="Arial" w:eastAsia="Arial" w:hAnsi="Arial"/>
                <w:sz w:val="15"/>
                <w:szCs w:val="15"/>
                <w:b w:val="1"/>
                <w:bCs w:val="1"/>
                <w:color w:val="auto"/>
                <w:w w:val="98"/>
              </w:rPr>
              <w:t>Year ended</w:t>
            </w:r>
          </w:p>
        </w:tc>
        <w:tc>
          <w:tcPr>
            <w:tcW w:w="120" w:type="dxa"/>
            <w:vAlign w:val="bottom"/>
          </w:tcPr>
          <w:p>
            <w:pPr>
              <w:spacing w:after="0"/>
              <w:rPr>
                <w:sz w:val="13"/>
                <w:szCs w:val="13"/>
                <w:color w:val="auto"/>
              </w:rPr>
            </w:pPr>
          </w:p>
        </w:tc>
        <w:tc>
          <w:tcPr>
            <w:tcW w:w="1060" w:type="dxa"/>
            <w:vAlign w:val="bottom"/>
            <w:gridSpan w:val="3"/>
          </w:tcPr>
          <w:p>
            <w:pPr>
              <w:jc w:val="center"/>
              <w:ind w:right="260"/>
              <w:spacing w:after="0" w:line="160" w:lineRule="exact"/>
              <w:rPr>
                <w:sz w:val="20"/>
                <w:szCs w:val="20"/>
                <w:color w:val="auto"/>
              </w:rPr>
            </w:pPr>
            <w:r>
              <w:rPr>
                <w:rFonts w:ascii="Arial" w:cs="Arial" w:eastAsia="Arial" w:hAnsi="Arial"/>
                <w:sz w:val="15"/>
                <w:szCs w:val="15"/>
                <w:b w:val="1"/>
                <w:bCs w:val="1"/>
                <w:color w:val="auto"/>
                <w:w w:val="98"/>
              </w:rPr>
              <w:t>Year ended</w:t>
            </w:r>
          </w:p>
        </w:tc>
        <w:tc>
          <w:tcPr>
            <w:tcW w:w="1520" w:type="dxa"/>
            <w:vAlign w:val="bottom"/>
            <w:gridSpan w:val="5"/>
            <w:vMerge w:val="restart"/>
          </w:tcPr>
          <w:p>
            <w:pPr>
              <w:ind w:left="40"/>
              <w:spacing w:after="0"/>
              <w:rPr>
                <w:sz w:val="20"/>
                <w:szCs w:val="20"/>
                <w:color w:val="auto"/>
              </w:rPr>
            </w:pPr>
            <w:r>
              <w:rPr>
                <w:rFonts w:ascii="Arial" w:cs="Arial" w:eastAsia="Arial" w:hAnsi="Arial"/>
                <w:sz w:val="15"/>
                <w:szCs w:val="15"/>
                <w:b w:val="1"/>
                <w:bCs w:val="1"/>
                <w:color w:val="auto"/>
              </w:rPr>
              <w:t>November 1, 2020 -</w:t>
            </w:r>
          </w:p>
        </w:tc>
        <w:tc>
          <w:tcPr>
            <w:tcW w:w="160" w:type="dxa"/>
            <w:vAlign w:val="bottom"/>
            <w:tcBorders>
              <w:lef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gridSpan w:val="3"/>
            <w:vMerge w:val="restart"/>
          </w:tcPr>
          <w:p>
            <w:pPr>
              <w:jc w:val="center"/>
              <w:ind w:right="40"/>
              <w:spacing w:after="0"/>
              <w:rPr>
                <w:sz w:val="20"/>
                <w:szCs w:val="20"/>
                <w:color w:val="auto"/>
              </w:rPr>
            </w:pPr>
            <w:r>
              <w:rPr>
                <w:rFonts w:ascii="Arial" w:cs="Arial" w:eastAsia="Arial" w:hAnsi="Arial"/>
                <w:sz w:val="15"/>
                <w:szCs w:val="15"/>
                <w:b w:val="1"/>
                <w:bCs w:val="1"/>
                <w:color w:val="auto"/>
                <w:w w:val="99"/>
              </w:rPr>
              <w:t>January 1, 2020 -</w:t>
            </w:r>
          </w:p>
        </w:tc>
        <w:tc>
          <w:tcPr>
            <w:tcW w:w="0" w:type="dxa"/>
            <w:vAlign w:val="bottom"/>
          </w:tcPr>
          <w:p>
            <w:pPr>
              <w:spacing w:after="0"/>
              <w:rPr>
                <w:sz w:val="1"/>
                <w:szCs w:val="1"/>
                <w:color w:val="auto"/>
              </w:rPr>
            </w:pPr>
          </w:p>
        </w:tc>
      </w:tr>
      <w:tr>
        <w:trPr>
          <w:trHeight w:val="140"/>
        </w:trPr>
        <w:tc>
          <w:tcPr>
            <w:tcW w:w="3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5"/>
          </w:tcPr>
          <w:p>
            <w:pPr>
              <w:jc w:val="center"/>
              <w:ind w:right="220"/>
              <w:spacing w:after="0" w:line="140" w:lineRule="exact"/>
              <w:rPr>
                <w:sz w:val="20"/>
                <w:szCs w:val="20"/>
                <w:color w:val="auto"/>
              </w:rPr>
            </w:pPr>
            <w:r>
              <w:rPr>
                <w:rFonts w:ascii="Arial" w:cs="Arial" w:eastAsia="Arial" w:hAnsi="Arial"/>
                <w:sz w:val="15"/>
                <w:szCs w:val="15"/>
                <w:b w:val="1"/>
                <w:bCs w:val="1"/>
                <w:color w:val="auto"/>
              </w:rPr>
              <w:t>December 31,</w:t>
            </w:r>
          </w:p>
        </w:tc>
        <w:tc>
          <w:tcPr>
            <w:tcW w:w="1180" w:type="dxa"/>
            <w:vAlign w:val="bottom"/>
            <w:gridSpan w:val="4"/>
          </w:tcPr>
          <w:p>
            <w:pPr>
              <w:jc w:val="center"/>
              <w:ind w:right="140"/>
              <w:spacing w:after="0" w:line="140" w:lineRule="exact"/>
              <w:rPr>
                <w:sz w:val="20"/>
                <w:szCs w:val="20"/>
                <w:color w:val="auto"/>
              </w:rPr>
            </w:pPr>
            <w:r>
              <w:rPr>
                <w:rFonts w:ascii="Arial" w:cs="Arial" w:eastAsia="Arial" w:hAnsi="Arial"/>
                <w:sz w:val="15"/>
                <w:szCs w:val="15"/>
                <w:b w:val="1"/>
                <w:bCs w:val="1"/>
                <w:color w:val="auto"/>
                <w:w w:val="98"/>
              </w:rPr>
              <w:t>December 31,</w:t>
            </w:r>
          </w:p>
        </w:tc>
        <w:tc>
          <w:tcPr>
            <w:tcW w:w="1520" w:type="dxa"/>
            <w:vAlign w:val="bottom"/>
            <w:gridSpan w:val="5"/>
            <w:vMerge w:val="continue"/>
          </w:tcPr>
          <w:p>
            <w:pPr>
              <w:spacing w:after="0"/>
              <w:rPr>
                <w:sz w:val="12"/>
                <w:szCs w:val="12"/>
                <w:color w:val="auto"/>
              </w:rPr>
            </w:pPr>
          </w:p>
        </w:tc>
        <w:tc>
          <w:tcPr>
            <w:tcW w:w="160" w:type="dxa"/>
            <w:vAlign w:val="bottom"/>
            <w:tcBorders>
              <w:lef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3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20" w:type="dxa"/>
            <w:vAlign w:val="bottom"/>
            <w:gridSpan w:val="5"/>
            <w:vMerge w:val="restart"/>
          </w:tcPr>
          <w:p>
            <w:pPr>
              <w:ind w:left="60"/>
              <w:spacing w:after="0" w:line="170" w:lineRule="exact"/>
              <w:rPr>
                <w:sz w:val="20"/>
                <w:szCs w:val="20"/>
                <w:color w:val="auto"/>
              </w:rPr>
            </w:pPr>
            <w:r>
              <w:rPr>
                <w:rFonts w:ascii="Arial" w:cs="Arial" w:eastAsia="Arial" w:hAnsi="Arial"/>
                <w:sz w:val="15"/>
                <w:szCs w:val="15"/>
                <w:b w:val="1"/>
                <w:bCs w:val="1"/>
                <w:color w:val="auto"/>
              </w:rPr>
              <w:t>December 31, 2020</w:t>
            </w:r>
          </w:p>
        </w:tc>
        <w:tc>
          <w:tcPr>
            <w:tcW w:w="160" w:type="dxa"/>
            <w:vAlign w:val="bottom"/>
            <w:tcBorders>
              <w:lef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320" w:type="dxa"/>
            <w:vAlign w:val="bottom"/>
            <w:gridSpan w:val="3"/>
            <w:vMerge w:val="restart"/>
          </w:tcPr>
          <w:p>
            <w:pPr>
              <w:jc w:val="center"/>
              <w:ind w:right="40"/>
              <w:spacing w:after="0" w:line="170" w:lineRule="exact"/>
              <w:rPr>
                <w:sz w:val="20"/>
                <w:szCs w:val="20"/>
                <w:color w:val="auto"/>
              </w:rPr>
            </w:pPr>
            <w:r>
              <w:rPr>
                <w:rFonts w:ascii="Arial" w:cs="Arial" w:eastAsia="Arial" w:hAnsi="Arial"/>
                <w:sz w:val="15"/>
                <w:szCs w:val="15"/>
                <w:b w:val="1"/>
                <w:bCs w:val="1"/>
                <w:color w:val="auto"/>
                <w:w w:val="99"/>
              </w:rPr>
              <w:t>October 31, 2020</w:t>
            </w:r>
          </w:p>
        </w:tc>
        <w:tc>
          <w:tcPr>
            <w:tcW w:w="0" w:type="dxa"/>
            <w:vAlign w:val="bottom"/>
          </w:tcPr>
          <w:p>
            <w:pPr>
              <w:spacing w:after="0"/>
              <w:rPr>
                <w:sz w:val="1"/>
                <w:szCs w:val="1"/>
                <w:color w:val="auto"/>
              </w:rPr>
            </w:pPr>
          </w:p>
        </w:tc>
      </w:tr>
      <w:tr>
        <w:trPr>
          <w:trHeight w:val="90"/>
        </w:trPr>
        <w:tc>
          <w:tcPr>
            <w:tcW w:w="3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vMerge w:val="restart"/>
          </w:tcPr>
          <w:p>
            <w:pPr>
              <w:jc w:val="center"/>
              <w:ind w:right="40"/>
              <w:spacing w:after="0"/>
              <w:rPr>
                <w:sz w:val="20"/>
                <w:szCs w:val="20"/>
                <w:color w:val="auto"/>
              </w:rPr>
            </w:pPr>
            <w:r>
              <w:rPr>
                <w:rFonts w:ascii="Arial" w:cs="Arial" w:eastAsia="Arial" w:hAnsi="Arial"/>
                <w:sz w:val="15"/>
                <w:szCs w:val="15"/>
                <w:b w:val="1"/>
                <w:bCs w:val="1"/>
                <w:color w:val="auto"/>
              </w:rPr>
              <w:t>2022</w:t>
            </w: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vMerge w:val="restart"/>
          </w:tcPr>
          <w:p>
            <w:pPr>
              <w:jc w:val="center"/>
              <w:ind w:right="40"/>
              <w:spacing w:after="0"/>
              <w:rPr>
                <w:sz w:val="20"/>
                <w:szCs w:val="20"/>
                <w:color w:val="auto"/>
              </w:rPr>
            </w:pPr>
            <w:r>
              <w:rPr>
                <w:rFonts w:ascii="Arial" w:cs="Arial" w:eastAsia="Arial" w:hAnsi="Arial"/>
                <w:sz w:val="15"/>
                <w:szCs w:val="15"/>
                <w:b w:val="1"/>
                <w:bCs w:val="1"/>
                <w:color w:val="auto"/>
                <w:w w:val="95"/>
              </w:rPr>
              <w:t>2021</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20" w:type="dxa"/>
            <w:vAlign w:val="bottom"/>
            <w:gridSpan w:val="5"/>
            <w:vMerge w:val="continue"/>
          </w:tcPr>
          <w:p>
            <w:pPr>
              <w:spacing w:after="0"/>
              <w:rPr>
                <w:sz w:val="7"/>
                <w:szCs w:val="7"/>
                <w:color w:val="auto"/>
              </w:rPr>
            </w:pPr>
          </w:p>
        </w:tc>
        <w:tc>
          <w:tcPr>
            <w:tcW w:w="160" w:type="dxa"/>
            <w:vAlign w:val="bottom"/>
            <w:tcBorders>
              <w:lef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3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Borders>
              <w:lef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
        </w:trPr>
        <w:tc>
          <w:tcPr>
            <w:tcW w:w="37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CASH FLOW FROM OPERATING ACTIVITIES</w:t>
            </w: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3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700" w:type="dxa"/>
            <w:vAlign w:val="bottom"/>
            <w:gridSpan w:val="2"/>
          </w:tcPr>
          <w:p>
            <w:pPr>
              <w:ind w:left="160"/>
              <w:spacing w:after="0" w:line="180" w:lineRule="exact"/>
              <w:rPr>
                <w:sz w:val="20"/>
                <w:szCs w:val="20"/>
                <w:color w:val="auto"/>
              </w:rPr>
            </w:pPr>
            <w:r>
              <w:rPr>
                <w:rFonts w:ascii="Arial" w:cs="Arial" w:eastAsia="Arial" w:hAnsi="Arial"/>
                <w:sz w:val="16"/>
                <w:szCs w:val="16"/>
                <w:color w:val="auto"/>
              </w:rPr>
              <w:t>Net income (loss) . . . . . . . . . . . . . . . . . . . . . . . . .</w:t>
            </w:r>
          </w:p>
        </w:tc>
        <w:tc>
          <w:tcPr>
            <w:tcW w:w="100" w:type="dxa"/>
            <w:vAlign w:val="bottom"/>
          </w:tcPr>
          <w:p>
            <w:pPr>
              <w:jc w:val="right"/>
              <w:spacing w:after="0" w:line="180" w:lineRule="exact"/>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line="180" w:lineRule="exact"/>
              <w:rPr>
                <w:sz w:val="20"/>
                <w:szCs w:val="20"/>
                <w:color w:val="auto"/>
              </w:rPr>
            </w:pPr>
            <w:r>
              <w:rPr>
                <w:rFonts w:ascii="Arial" w:cs="Arial" w:eastAsia="Arial" w:hAnsi="Arial"/>
                <w:sz w:val="16"/>
                <w:szCs w:val="16"/>
                <w:color w:val="auto"/>
              </w:rPr>
              <w:t>524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jc w:val="right"/>
              <w:spacing w:after="0" w:line="180"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80" w:lineRule="exact"/>
              <w:rPr>
                <w:sz w:val="20"/>
                <w:szCs w:val="20"/>
                <w:color w:val="auto"/>
              </w:rPr>
            </w:pPr>
            <w:r>
              <w:rPr>
                <w:rFonts w:ascii="Arial" w:cs="Arial" w:eastAsia="Arial" w:hAnsi="Arial"/>
                <w:sz w:val="16"/>
                <w:szCs w:val="16"/>
                <w:color w:val="auto"/>
              </w:rPr>
              <w:t>625</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ind w:left="20"/>
              <w:spacing w:after="0" w:line="180" w:lineRule="exact"/>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(125)</w:t>
            </w:r>
          </w:p>
        </w:tc>
        <w:tc>
          <w:tcPr>
            <w:tcW w:w="60" w:type="dxa"/>
            <w:vAlign w:val="bottom"/>
          </w:tcPr>
          <w:p>
            <w:pPr>
              <w:spacing w:after="0"/>
              <w:rPr>
                <w:sz w:val="15"/>
                <w:szCs w:val="15"/>
                <w:color w:val="auto"/>
              </w:rPr>
            </w:pPr>
          </w:p>
        </w:tc>
        <w:tc>
          <w:tcPr>
            <w:tcW w:w="340" w:type="dxa"/>
            <w:vAlign w:val="bottom"/>
            <w:tcBorders>
              <w:left w:val="single" w:sz="8" w:color="auto"/>
            </w:tcBorders>
            <w:gridSpan w:val="3"/>
          </w:tcPr>
          <w:p>
            <w:pPr>
              <w:jc w:val="right"/>
              <w:spacing w:after="0" w:line="180" w:lineRule="exact"/>
              <w:rPr>
                <w:sz w:val="20"/>
                <w:szCs w:val="20"/>
                <w:color w:val="auto"/>
              </w:rPr>
            </w:pPr>
            <w:r>
              <w:rPr>
                <w:rFonts w:ascii="Arial" w:cs="Arial" w:eastAsia="Arial" w:hAnsi="Arial"/>
                <w:sz w:val="16"/>
                <w:szCs w:val="16"/>
                <w:color w:val="auto"/>
              </w:rPr>
              <w:t>$</w:t>
            </w:r>
          </w:p>
        </w:tc>
        <w:tc>
          <w:tcPr>
            <w:tcW w:w="1140" w:type="dxa"/>
            <w:vAlign w:val="bottom"/>
          </w:tcPr>
          <w:p>
            <w:pPr>
              <w:jc w:val="right"/>
              <w:spacing w:after="0" w:line="180" w:lineRule="exact"/>
              <w:rPr>
                <w:sz w:val="20"/>
                <w:szCs w:val="20"/>
                <w:color w:val="auto"/>
              </w:rPr>
            </w:pPr>
            <w:r>
              <w:rPr>
                <w:rFonts w:ascii="Arial" w:cs="Arial" w:eastAsia="Arial" w:hAnsi="Arial"/>
                <w:sz w:val="16"/>
                <w:szCs w:val="16"/>
                <w:color w:val="auto"/>
              </w:rPr>
              <w:t>1,996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00" w:type="dxa"/>
            <w:vAlign w:val="bottom"/>
            <w:gridSpan w:val="2"/>
          </w:tcPr>
          <w:p>
            <w:pPr>
              <w:ind w:left="160"/>
              <w:spacing w:after="0" w:line="180" w:lineRule="exact"/>
              <w:rPr>
                <w:sz w:val="20"/>
                <w:szCs w:val="20"/>
                <w:color w:val="auto"/>
              </w:rPr>
            </w:pPr>
            <w:r>
              <w:rPr>
                <w:rFonts w:ascii="Arial" w:cs="Arial" w:eastAsia="Arial" w:hAnsi="Arial"/>
                <w:sz w:val="16"/>
                <w:szCs w:val="16"/>
                <w:color w:val="auto"/>
              </w:rPr>
              <w:t>Adjustments to reconcile net income (loss) to net</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00" w:type="dxa"/>
            <w:vAlign w:val="bottom"/>
            <w:gridSpan w:val="2"/>
          </w:tcPr>
          <w:p>
            <w:pPr>
              <w:ind w:left="160"/>
              <w:spacing w:after="0" w:line="180" w:lineRule="exact"/>
              <w:rPr>
                <w:sz w:val="20"/>
                <w:szCs w:val="20"/>
                <w:color w:val="auto"/>
              </w:rPr>
            </w:pPr>
            <w:r>
              <w:rPr>
                <w:rFonts w:ascii="Arial" w:cs="Arial" w:eastAsia="Arial" w:hAnsi="Arial"/>
                <w:sz w:val="16"/>
                <w:szCs w:val="16"/>
                <w:color w:val="auto"/>
              </w:rPr>
              <w:t>cash provided (used) by operating activities:</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00" w:type="dxa"/>
            <w:vAlign w:val="bottom"/>
            <w:gridSpan w:val="2"/>
          </w:tcPr>
          <w:p>
            <w:pPr>
              <w:ind w:left="480"/>
              <w:spacing w:after="0" w:line="180" w:lineRule="exact"/>
              <w:rPr>
                <w:sz w:val="20"/>
                <w:szCs w:val="20"/>
                <w:color w:val="auto"/>
              </w:rPr>
            </w:pPr>
            <w:r>
              <w:rPr>
                <w:rFonts w:ascii="Arial" w:cs="Arial" w:eastAsia="Arial" w:hAnsi="Arial"/>
                <w:sz w:val="16"/>
                <w:szCs w:val="16"/>
                <w:color w:val="auto"/>
              </w:rPr>
              <w:t>Depreciation, depletion and amortization . . .</w:t>
            </w:r>
          </w:p>
        </w:tc>
        <w:tc>
          <w:tcPr>
            <w:tcW w:w="1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Arial" w:cs="Arial" w:eastAsia="Arial" w:hAnsi="Arial"/>
                <w:sz w:val="16"/>
                <w:szCs w:val="16"/>
                <w:color w:val="auto"/>
              </w:rPr>
              <w:t>198</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Arial" w:cs="Arial" w:eastAsia="Arial" w:hAnsi="Arial"/>
                <w:sz w:val="16"/>
                <w:szCs w:val="16"/>
                <w:color w:val="auto"/>
              </w:rPr>
              <w:t>213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34</w:t>
            </w:r>
          </w:p>
        </w:tc>
        <w:tc>
          <w:tcPr>
            <w:tcW w:w="60" w:type="dxa"/>
            <w:vAlign w:val="bottom"/>
          </w:tcPr>
          <w:p>
            <w:pPr>
              <w:spacing w:after="0"/>
              <w:rPr>
                <w:sz w:val="15"/>
                <w:szCs w:val="15"/>
                <w:color w:val="auto"/>
              </w:rPr>
            </w:pPr>
          </w:p>
        </w:tc>
        <w:tc>
          <w:tcPr>
            <w:tcW w:w="16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Arial" w:cs="Arial" w:eastAsia="Arial" w:hAnsi="Arial"/>
                <w:sz w:val="16"/>
                <w:szCs w:val="16"/>
                <w:color w:val="auto"/>
              </w:rPr>
              <w:t>328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00" w:type="dxa"/>
            <w:vAlign w:val="bottom"/>
            <w:gridSpan w:val="2"/>
          </w:tcPr>
          <w:p>
            <w:pPr>
              <w:ind w:left="480"/>
              <w:spacing w:after="0" w:line="180" w:lineRule="exact"/>
              <w:rPr>
                <w:sz w:val="20"/>
                <w:szCs w:val="20"/>
                <w:color w:val="auto"/>
              </w:rPr>
            </w:pPr>
            <w:r>
              <w:rPr>
                <w:rFonts w:ascii="Arial" w:cs="Arial" w:eastAsia="Arial" w:hAnsi="Arial"/>
                <w:sz w:val="16"/>
                <w:szCs w:val="16"/>
                <w:color w:val="auto"/>
              </w:rPr>
              <w:t>Deferred income tax provision (benefit) . . . .</w:t>
            </w:r>
          </w:p>
        </w:tc>
        <w:tc>
          <w:tcPr>
            <w:tcW w:w="1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Arial" w:cs="Arial" w:eastAsia="Arial" w:hAnsi="Arial"/>
                <w:sz w:val="16"/>
                <w:szCs w:val="16"/>
                <w:color w:val="auto"/>
              </w:rPr>
              <w:t>226</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120"/>
              <w:spacing w:after="0" w:line="180" w:lineRule="exact"/>
              <w:rPr>
                <w:sz w:val="20"/>
                <w:szCs w:val="20"/>
                <w:color w:val="auto"/>
              </w:rPr>
            </w:pPr>
            <w:r>
              <w:rPr>
                <w:rFonts w:ascii="Arial" w:cs="Arial" w:eastAsia="Arial" w:hAnsi="Arial"/>
                <w:sz w:val="16"/>
                <w:szCs w:val="16"/>
                <w:color w:val="auto"/>
              </w:rPr>
              <w:t>(396)</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gridSpan w:val="3"/>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16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3700" w:type="dxa"/>
            <w:vAlign w:val="bottom"/>
            <w:gridSpan w:val="2"/>
          </w:tcPr>
          <w:p>
            <w:pPr>
              <w:ind w:left="480"/>
              <w:spacing w:after="0" w:line="180" w:lineRule="exact"/>
              <w:rPr>
                <w:sz w:val="20"/>
                <w:szCs w:val="20"/>
                <w:color w:val="auto"/>
              </w:rPr>
            </w:pPr>
            <w:r>
              <w:rPr>
                <w:rFonts w:ascii="Arial" w:cs="Arial" w:eastAsia="Arial" w:hAnsi="Arial"/>
                <w:sz w:val="16"/>
                <w:szCs w:val="16"/>
                <w:color w:val="auto"/>
              </w:rPr>
              <w:t>Asset impairments  . . . . . . . . . . . . . . . . . . . .</w:t>
            </w:r>
          </w:p>
        </w:tc>
        <w:tc>
          <w:tcPr>
            <w:tcW w:w="1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Arial" w:cs="Arial" w:eastAsia="Arial" w:hAnsi="Arial"/>
                <w:sz w:val="16"/>
                <w:szCs w:val="16"/>
                <w:color w:val="auto"/>
              </w:rPr>
              <w:t>2</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Arial" w:cs="Arial" w:eastAsia="Arial" w:hAnsi="Arial"/>
                <w:sz w:val="16"/>
                <w:szCs w:val="16"/>
                <w:color w:val="auto"/>
              </w:rPr>
              <w:t>28</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gridSpan w:val="3"/>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16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Arial" w:cs="Arial" w:eastAsia="Arial" w:hAnsi="Arial"/>
                <w:sz w:val="16"/>
                <w:szCs w:val="16"/>
                <w:color w:val="auto"/>
              </w:rPr>
              <w:t>1,736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00" w:type="dxa"/>
            <w:vAlign w:val="bottom"/>
            <w:gridSpan w:val="2"/>
          </w:tcPr>
          <w:p>
            <w:pPr>
              <w:ind w:left="480"/>
              <w:spacing w:after="0" w:line="180" w:lineRule="exact"/>
              <w:rPr>
                <w:sz w:val="20"/>
                <w:szCs w:val="20"/>
                <w:color w:val="auto"/>
              </w:rPr>
            </w:pPr>
            <w:r>
              <w:rPr>
                <w:rFonts w:ascii="Arial" w:cs="Arial" w:eastAsia="Arial" w:hAnsi="Arial"/>
                <w:sz w:val="16"/>
                <w:szCs w:val="16"/>
                <w:color w:val="auto"/>
              </w:rPr>
              <w:t>Net loss (gain) from commodity</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00" w:type="dxa"/>
            <w:vAlign w:val="bottom"/>
            <w:gridSpan w:val="2"/>
          </w:tcPr>
          <w:p>
            <w:pPr>
              <w:ind w:left="480"/>
              <w:spacing w:after="0" w:line="180" w:lineRule="exact"/>
              <w:rPr>
                <w:sz w:val="20"/>
                <w:szCs w:val="20"/>
                <w:color w:val="auto"/>
              </w:rPr>
            </w:pPr>
            <w:r>
              <w:rPr>
                <w:rFonts w:ascii="Arial" w:cs="Arial" w:eastAsia="Arial" w:hAnsi="Arial"/>
                <w:sz w:val="16"/>
                <w:szCs w:val="16"/>
                <w:color w:val="auto"/>
              </w:rPr>
              <w:t>derivatives . . . . . . . . . . . . . . . . . . . . . . . . . . .</w:t>
            </w:r>
          </w:p>
        </w:tc>
        <w:tc>
          <w:tcPr>
            <w:tcW w:w="1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Arial" w:cs="Arial" w:eastAsia="Arial" w:hAnsi="Arial"/>
                <w:sz w:val="16"/>
                <w:szCs w:val="16"/>
                <w:color w:val="auto"/>
              </w:rPr>
              <w:t>551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Arial" w:cs="Arial" w:eastAsia="Arial" w:hAnsi="Arial"/>
                <w:sz w:val="16"/>
                <w:szCs w:val="16"/>
                <w:color w:val="auto"/>
              </w:rPr>
              <w:t>676</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141</w:t>
            </w:r>
          </w:p>
        </w:tc>
        <w:tc>
          <w:tcPr>
            <w:tcW w:w="60" w:type="dxa"/>
            <w:vAlign w:val="bottom"/>
          </w:tcPr>
          <w:p>
            <w:pPr>
              <w:spacing w:after="0"/>
              <w:rPr>
                <w:sz w:val="15"/>
                <w:szCs w:val="15"/>
                <w:color w:val="auto"/>
              </w:rPr>
            </w:pPr>
          </w:p>
        </w:tc>
        <w:tc>
          <w:tcPr>
            <w:tcW w:w="16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80"/>
        </w:trPr>
        <w:tc>
          <w:tcPr>
            <w:tcW w:w="3700" w:type="dxa"/>
            <w:vAlign w:val="bottom"/>
            <w:gridSpan w:val="2"/>
          </w:tcPr>
          <w:p>
            <w:pPr>
              <w:ind w:left="480"/>
              <w:spacing w:after="0" w:line="180" w:lineRule="exact"/>
              <w:rPr>
                <w:sz w:val="20"/>
                <w:szCs w:val="20"/>
                <w:color w:val="auto"/>
              </w:rPr>
            </w:pPr>
            <w:r>
              <w:rPr>
                <w:rFonts w:ascii="Arial" w:cs="Arial" w:eastAsia="Arial" w:hAnsi="Arial"/>
                <w:sz w:val="16"/>
                <w:szCs w:val="16"/>
                <w:color w:val="auto"/>
              </w:rPr>
              <w:t>Net settlement (payments) proceeds from</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00" w:type="dxa"/>
            <w:vAlign w:val="bottom"/>
            <w:gridSpan w:val="2"/>
          </w:tcPr>
          <w:p>
            <w:pPr>
              <w:ind w:left="480"/>
              <w:spacing w:after="0" w:line="180" w:lineRule="exact"/>
              <w:rPr>
                <w:sz w:val="20"/>
                <w:szCs w:val="20"/>
                <w:color w:val="auto"/>
              </w:rPr>
            </w:pPr>
            <w:r>
              <w:rPr>
                <w:rFonts w:ascii="Arial" w:cs="Arial" w:eastAsia="Arial" w:hAnsi="Arial"/>
                <w:sz w:val="16"/>
                <w:szCs w:val="16"/>
                <w:color w:val="auto"/>
              </w:rPr>
              <w:t>commodity derivatives  . . . . . . . . . . . . . . . . .</w:t>
            </w:r>
          </w:p>
        </w:tc>
        <w:tc>
          <w:tcPr>
            <w:tcW w:w="100" w:type="dxa"/>
            <w:vAlign w:val="bottom"/>
          </w:tcPr>
          <w:p>
            <w:pPr>
              <w:spacing w:after="0"/>
              <w:rPr>
                <w:sz w:val="15"/>
                <w:szCs w:val="15"/>
                <w:color w:val="auto"/>
              </w:rPr>
            </w:pPr>
          </w:p>
        </w:tc>
        <w:tc>
          <w:tcPr>
            <w:tcW w:w="1120" w:type="dxa"/>
            <w:vAlign w:val="bottom"/>
            <w:gridSpan w:val="3"/>
          </w:tcPr>
          <w:p>
            <w:pPr>
              <w:jc w:val="right"/>
              <w:ind w:right="160"/>
              <w:spacing w:after="0" w:line="180" w:lineRule="exact"/>
              <w:rPr>
                <w:sz w:val="20"/>
                <w:szCs w:val="20"/>
                <w:color w:val="auto"/>
              </w:rPr>
            </w:pPr>
            <w:r>
              <w:rPr>
                <w:rFonts w:ascii="Arial" w:cs="Arial" w:eastAsia="Arial" w:hAnsi="Arial"/>
                <w:sz w:val="16"/>
                <w:szCs w:val="16"/>
                <w:color w:val="auto"/>
              </w:rPr>
              <w:t>(738)</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120"/>
              <w:spacing w:after="0" w:line="180" w:lineRule="exact"/>
              <w:rPr>
                <w:sz w:val="20"/>
                <w:szCs w:val="20"/>
                <w:color w:val="auto"/>
              </w:rPr>
            </w:pPr>
            <w:r>
              <w:rPr>
                <w:rFonts w:ascii="Arial" w:cs="Arial" w:eastAsia="Arial" w:hAnsi="Arial"/>
                <w:sz w:val="16"/>
                <w:szCs w:val="16"/>
                <w:color w:val="auto"/>
              </w:rPr>
              <w:t>(319)</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gridSpan w:val="3"/>
          </w:tcPr>
          <w:p>
            <w:pPr>
              <w:jc w:val="right"/>
              <w:ind w:right="60"/>
              <w:spacing w:after="0" w:line="180" w:lineRule="exact"/>
              <w:rPr>
                <w:sz w:val="20"/>
                <w:szCs w:val="20"/>
                <w:color w:val="auto"/>
              </w:rPr>
            </w:pPr>
            <w:r>
              <w:rPr>
                <w:rFonts w:ascii="Arial" w:cs="Arial" w:eastAsia="Arial" w:hAnsi="Arial"/>
                <w:sz w:val="16"/>
                <w:szCs w:val="16"/>
                <w:color w:val="auto"/>
              </w:rPr>
              <w:t>(1)</w:t>
            </w:r>
          </w:p>
        </w:tc>
        <w:tc>
          <w:tcPr>
            <w:tcW w:w="16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Arial" w:cs="Arial" w:eastAsia="Arial" w:hAnsi="Arial"/>
                <w:sz w:val="16"/>
                <w:szCs w:val="16"/>
                <w:color w:val="auto"/>
              </w:rPr>
              <w:t>108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00" w:type="dxa"/>
            <w:vAlign w:val="bottom"/>
            <w:gridSpan w:val="2"/>
          </w:tcPr>
          <w:p>
            <w:pPr>
              <w:ind w:left="480"/>
              <w:spacing w:after="0" w:line="180" w:lineRule="exact"/>
              <w:rPr>
                <w:sz w:val="20"/>
                <w:szCs w:val="20"/>
                <w:color w:val="auto"/>
              </w:rPr>
            </w:pPr>
            <w:r>
              <w:rPr>
                <w:rFonts w:ascii="Arial" w:cs="Arial" w:eastAsia="Arial" w:hAnsi="Arial"/>
                <w:sz w:val="16"/>
                <w:szCs w:val="16"/>
                <w:color w:val="auto"/>
              </w:rPr>
              <w:t>Net loss (gain) on early extinguishment of</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00" w:type="dxa"/>
            <w:vAlign w:val="bottom"/>
            <w:gridSpan w:val="2"/>
          </w:tcPr>
          <w:p>
            <w:pPr>
              <w:ind w:left="480"/>
              <w:spacing w:after="0" w:line="180" w:lineRule="exact"/>
              <w:rPr>
                <w:sz w:val="20"/>
                <w:szCs w:val="20"/>
                <w:color w:val="auto"/>
              </w:rPr>
            </w:pPr>
            <w:r>
              <w:rPr>
                <w:rFonts w:ascii="Arial" w:cs="Arial" w:eastAsia="Arial" w:hAnsi="Arial"/>
                <w:sz w:val="16"/>
                <w:szCs w:val="16"/>
                <w:color w:val="auto"/>
              </w:rPr>
              <w:t>debt . . . . . . . . . . . . . . . . . . . . . . . . . . . . . . . .</w:t>
            </w:r>
          </w:p>
        </w:tc>
        <w:tc>
          <w:tcPr>
            <w:tcW w:w="100" w:type="dxa"/>
            <w:vAlign w:val="bottom"/>
          </w:tcPr>
          <w:p>
            <w:pPr>
              <w:spacing w:after="0"/>
              <w:rPr>
                <w:sz w:val="15"/>
                <w:szCs w:val="15"/>
                <w:color w:val="auto"/>
              </w:rPr>
            </w:pPr>
          </w:p>
        </w:tc>
        <w:tc>
          <w:tcPr>
            <w:tcW w:w="1140" w:type="dxa"/>
            <w:vAlign w:val="bottom"/>
            <w:gridSpan w:val="4"/>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Arial" w:cs="Arial" w:eastAsia="Arial" w:hAnsi="Arial"/>
                <w:sz w:val="16"/>
                <w:szCs w:val="16"/>
                <w:color w:val="auto"/>
              </w:rPr>
              <w:t>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gridSpan w:val="3"/>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16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0"/>
        </w:trPr>
        <w:tc>
          <w:tcPr>
            <w:tcW w:w="3700" w:type="dxa"/>
            <w:vAlign w:val="bottom"/>
            <w:gridSpan w:val="2"/>
          </w:tcPr>
          <w:p>
            <w:pPr>
              <w:ind w:left="480"/>
              <w:spacing w:after="0" w:line="180" w:lineRule="exact"/>
              <w:rPr>
                <w:sz w:val="20"/>
                <w:szCs w:val="20"/>
                <w:color w:val="auto"/>
              </w:rPr>
            </w:pPr>
            <w:r>
              <w:rPr>
                <w:rFonts w:ascii="Arial" w:cs="Arial" w:eastAsia="Arial" w:hAnsi="Arial"/>
                <w:sz w:val="16"/>
                <w:szCs w:val="16"/>
                <w:color w:val="auto"/>
              </w:rPr>
              <w:t>Amortization of deferred gain . . . . . . . . . . . .</w:t>
            </w:r>
          </w:p>
        </w:tc>
        <w:tc>
          <w:tcPr>
            <w:tcW w:w="100" w:type="dxa"/>
            <w:vAlign w:val="bottom"/>
          </w:tcPr>
          <w:p>
            <w:pPr>
              <w:spacing w:after="0"/>
              <w:rPr>
                <w:sz w:val="15"/>
                <w:szCs w:val="15"/>
                <w:color w:val="auto"/>
              </w:rPr>
            </w:pPr>
          </w:p>
        </w:tc>
        <w:tc>
          <w:tcPr>
            <w:tcW w:w="1140" w:type="dxa"/>
            <w:vAlign w:val="bottom"/>
            <w:gridSpan w:val="4"/>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060" w:type="dxa"/>
            <w:vAlign w:val="bottom"/>
            <w:gridSpan w:val="3"/>
          </w:tcPr>
          <w:p>
            <w:pPr>
              <w:jc w:val="right"/>
              <w:ind w:right="18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gridSpan w:val="3"/>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16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80"/>
        </w:trPr>
        <w:tc>
          <w:tcPr>
            <w:tcW w:w="3700" w:type="dxa"/>
            <w:vAlign w:val="bottom"/>
            <w:gridSpan w:val="2"/>
          </w:tcPr>
          <w:p>
            <w:pPr>
              <w:ind w:left="480"/>
              <w:spacing w:after="0" w:line="180" w:lineRule="exact"/>
              <w:rPr>
                <w:sz w:val="20"/>
                <w:szCs w:val="20"/>
                <w:color w:val="auto"/>
              </w:rPr>
            </w:pPr>
            <w:r>
              <w:rPr>
                <w:rFonts w:ascii="Arial" w:cs="Arial" w:eastAsia="Arial" w:hAnsi="Arial"/>
                <w:sz w:val="16"/>
                <w:szCs w:val="16"/>
                <w:color w:val="auto"/>
              </w:rPr>
              <w:t>Net gain on asset divestitures  . . . . . . . . . . .</w:t>
            </w:r>
          </w:p>
        </w:tc>
        <w:tc>
          <w:tcPr>
            <w:tcW w:w="100" w:type="dxa"/>
            <w:vAlign w:val="bottom"/>
          </w:tcPr>
          <w:p>
            <w:pPr>
              <w:spacing w:after="0"/>
              <w:rPr>
                <w:sz w:val="15"/>
                <w:szCs w:val="15"/>
                <w:color w:val="auto"/>
              </w:rPr>
            </w:pPr>
          </w:p>
        </w:tc>
        <w:tc>
          <w:tcPr>
            <w:tcW w:w="1120" w:type="dxa"/>
            <w:vAlign w:val="bottom"/>
            <w:gridSpan w:val="3"/>
          </w:tcPr>
          <w:p>
            <w:pPr>
              <w:jc w:val="right"/>
              <w:ind w:right="160"/>
              <w:spacing w:after="0" w:line="180" w:lineRule="exact"/>
              <w:rPr>
                <w:sz w:val="20"/>
                <w:szCs w:val="20"/>
                <w:color w:val="auto"/>
              </w:rPr>
            </w:pPr>
            <w:r>
              <w:rPr>
                <w:rFonts w:ascii="Arial" w:cs="Arial" w:eastAsia="Arial" w:hAnsi="Arial"/>
                <w:sz w:val="16"/>
                <w:szCs w:val="16"/>
                <w:color w:val="auto"/>
              </w:rPr>
              <w:t>(59)</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120"/>
              <w:spacing w:after="0" w:line="180" w:lineRule="exact"/>
              <w:rPr>
                <w:sz w:val="20"/>
                <w:szCs w:val="20"/>
                <w:color w:val="auto"/>
              </w:rPr>
            </w:pPr>
            <w:r>
              <w:rPr>
                <w:rFonts w:ascii="Arial" w:cs="Arial" w:eastAsia="Arial" w:hAnsi="Arial"/>
                <w:sz w:val="16"/>
                <w:szCs w:val="16"/>
                <w:color w:val="auto"/>
              </w:rPr>
              <w:t>(124)</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gridSpan w:val="3"/>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16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3700" w:type="dxa"/>
            <w:vAlign w:val="bottom"/>
            <w:gridSpan w:val="2"/>
          </w:tcPr>
          <w:p>
            <w:pPr>
              <w:ind w:left="480"/>
              <w:spacing w:after="0" w:line="180" w:lineRule="exact"/>
              <w:rPr>
                <w:sz w:val="20"/>
                <w:szCs w:val="20"/>
                <w:color w:val="auto"/>
              </w:rPr>
            </w:pPr>
            <w:r>
              <w:rPr>
                <w:rFonts w:ascii="Arial" w:cs="Arial" w:eastAsia="Arial" w:hAnsi="Arial"/>
                <w:sz w:val="16"/>
                <w:szCs w:val="16"/>
                <w:color w:val="auto"/>
              </w:rPr>
              <w:t>Other non-cash charges to income, net . . . .</w:t>
            </w:r>
          </w:p>
        </w:tc>
        <w:tc>
          <w:tcPr>
            <w:tcW w:w="1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Arial" w:cs="Arial" w:eastAsia="Arial" w:hAnsi="Arial"/>
                <w:sz w:val="16"/>
                <w:szCs w:val="16"/>
                <w:color w:val="auto"/>
              </w:rPr>
              <w:t>43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Arial" w:cs="Arial" w:eastAsia="Arial" w:hAnsi="Arial"/>
                <w:sz w:val="16"/>
                <w:szCs w:val="16"/>
                <w:color w:val="auto"/>
              </w:rPr>
              <w:t>62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27</w:t>
            </w:r>
          </w:p>
        </w:tc>
        <w:tc>
          <w:tcPr>
            <w:tcW w:w="60" w:type="dxa"/>
            <w:vAlign w:val="bottom"/>
          </w:tcPr>
          <w:p>
            <w:pPr>
              <w:spacing w:after="0"/>
              <w:rPr>
                <w:sz w:val="15"/>
                <w:szCs w:val="15"/>
                <w:color w:val="auto"/>
              </w:rPr>
            </w:pPr>
          </w:p>
        </w:tc>
        <w:tc>
          <w:tcPr>
            <w:tcW w:w="16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Arial" w:cs="Arial" w:eastAsia="Arial" w:hAnsi="Arial"/>
                <w:sz w:val="16"/>
                <w:szCs w:val="16"/>
                <w:color w:val="auto"/>
              </w:rPr>
              <w:t>60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00" w:type="dxa"/>
            <w:vAlign w:val="bottom"/>
            <w:gridSpan w:val="2"/>
          </w:tcPr>
          <w:p>
            <w:pPr>
              <w:ind w:left="480"/>
              <w:spacing w:after="0" w:line="180" w:lineRule="exact"/>
              <w:rPr>
                <w:sz w:val="20"/>
                <w:szCs w:val="20"/>
                <w:color w:val="auto"/>
              </w:rPr>
            </w:pPr>
            <w:r>
              <w:rPr>
                <w:rFonts w:ascii="Arial" w:cs="Arial" w:eastAsia="Arial" w:hAnsi="Arial"/>
                <w:sz w:val="16"/>
                <w:szCs w:val="16"/>
                <w:color w:val="auto"/>
              </w:rPr>
              <w:t>Reorganization items, net (non-cash)  . . . . .</w:t>
            </w:r>
          </w:p>
        </w:tc>
        <w:tc>
          <w:tcPr>
            <w:tcW w:w="100" w:type="dxa"/>
            <w:vAlign w:val="bottom"/>
          </w:tcPr>
          <w:p>
            <w:pPr>
              <w:spacing w:after="0"/>
              <w:rPr>
                <w:sz w:val="15"/>
                <w:szCs w:val="15"/>
                <w:color w:val="auto"/>
              </w:rPr>
            </w:pPr>
          </w:p>
        </w:tc>
        <w:tc>
          <w:tcPr>
            <w:tcW w:w="1140" w:type="dxa"/>
            <w:vAlign w:val="bottom"/>
            <w:gridSpan w:val="4"/>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060" w:type="dxa"/>
            <w:vAlign w:val="bottom"/>
            <w:gridSpan w:val="3"/>
          </w:tcPr>
          <w:p>
            <w:pPr>
              <w:jc w:val="right"/>
              <w:ind w:right="18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gridSpan w:val="3"/>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16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(4,128)</w:t>
            </w:r>
          </w:p>
        </w:tc>
        <w:tc>
          <w:tcPr>
            <w:tcW w:w="0" w:type="dxa"/>
            <w:vAlign w:val="bottom"/>
          </w:tcPr>
          <w:p>
            <w:pPr>
              <w:spacing w:after="0"/>
              <w:rPr>
                <w:sz w:val="1"/>
                <w:szCs w:val="1"/>
                <w:color w:val="auto"/>
              </w:rPr>
            </w:pPr>
          </w:p>
        </w:tc>
      </w:tr>
      <w:tr>
        <w:trPr>
          <w:trHeight w:val="180"/>
        </w:trPr>
        <w:tc>
          <w:tcPr>
            <w:tcW w:w="3700" w:type="dxa"/>
            <w:vAlign w:val="bottom"/>
            <w:gridSpan w:val="2"/>
          </w:tcPr>
          <w:p>
            <w:pPr>
              <w:ind w:left="480"/>
              <w:spacing w:after="0" w:line="180" w:lineRule="exact"/>
              <w:rPr>
                <w:sz w:val="20"/>
                <w:szCs w:val="20"/>
                <w:color w:val="auto"/>
              </w:rPr>
            </w:pPr>
            <w:r>
              <w:rPr>
                <w:rFonts w:ascii="Arial" w:cs="Arial" w:eastAsia="Arial" w:hAnsi="Arial"/>
                <w:sz w:val="16"/>
                <w:szCs w:val="16"/>
                <w:color w:val="auto"/>
              </w:rPr>
              <w:t>Reorganization items, net</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00" w:type="dxa"/>
            <w:vAlign w:val="bottom"/>
            <w:gridSpan w:val="2"/>
          </w:tcPr>
          <w:p>
            <w:pPr>
              <w:ind w:left="480"/>
              <w:spacing w:after="0" w:line="180" w:lineRule="exact"/>
              <w:rPr>
                <w:sz w:val="20"/>
                <w:szCs w:val="20"/>
                <w:color w:val="auto"/>
              </w:rPr>
            </w:pPr>
            <w:r>
              <w:rPr>
                <w:rFonts w:ascii="Arial" w:cs="Arial" w:eastAsia="Arial" w:hAnsi="Arial"/>
                <w:sz w:val="16"/>
                <w:szCs w:val="16"/>
                <w:color w:val="auto"/>
              </w:rPr>
              <w:t>(debtor-in-possession financing costs) . . . . .</w:t>
            </w:r>
          </w:p>
        </w:tc>
        <w:tc>
          <w:tcPr>
            <w:tcW w:w="100" w:type="dxa"/>
            <w:vAlign w:val="bottom"/>
          </w:tcPr>
          <w:p>
            <w:pPr>
              <w:spacing w:after="0"/>
              <w:rPr>
                <w:sz w:val="15"/>
                <w:szCs w:val="15"/>
                <w:color w:val="auto"/>
              </w:rPr>
            </w:pPr>
          </w:p>
        </w:tc>
        <w:tc>
          <w:tcPr>
            <w:tcW w:w="1140" w:type="dxa"/>
            <w:vAlign w:val="bottom"/>
            <w:gridSpan w:val="4"/>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060" w:type="dxa"/>
            <w:vAlign w:val="bottom"/>
            <w:gridSpan w:val="3"/>
          </w:tcPr>
          <w:p>
            <w:pPr>
              <w:jc w:val="right"/>
              <w:ind w:right="18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gridSpan w:val="3"/>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16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Arial" w:cs="Arial" w:eastAsia="Arial" w:hAnsi="Arial"/>
                <w:sz w:val="16"/>
                <w:szCs w:val="16"/>
                <w:color w:val="auto"/>
              </w:rPr>
              <w:t>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00" w:type="dxa"/>
            <w:vAlign w:val="bottom"/>
            <w:gridSpan w:val="2"/>
          </w:tcPr>
          <w:p>
            <w:pPr>
              <w:ind w:left="160"/>
              <w:spacing w:after="0" w:line="180" w:lineRule="exact"/>
              <w:rPr>
                <w:sz w:val="20"/>
                <w:szCs w:val="20"/>
                <w:color w:val="auto"/>
              </w:rPr>
            </w:pPr>
            <w:r>
              <w:rPr>
                <w:rFonts w:ascii="Arial" w:cs="Arial" w:eastAsia="Arial" w:hAnsi="Arial"/>
                <w:sz w:val="16"/>
                <w:szCs w:val="16"/>
                <w:color w:val="auto"/>
              </w:rPr>
              <w:t>Changes in operating assets and liabilities, net:</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00" w:type="dxa"/>
            <w:vAlign w:val="bottom"/>
            <w:gridSpan w:val="2"/>
          </w:tcPr>
          <w:p>
            <w:pPr>
              <w:ind w:left="480"/>
              <w:spacing w:after="0" w:line="180" w:lineRule="exact"/>
              <w:rPr>
                <w:sz w:val="20"/>
                <w:szCs w:val="20"/>
                <w:color w:val="auto"/>
              </w:rPr>
            </w:pPr>
            <w:r>
              <w:rPr>
                <w:rFonts w:ascii="Arial" w:cs="Arial" w:eastAsia="Arial" w:hAnsi="Arial"/>
                <w:sz w:val="16"/>
                <w:szCs w:val="16"/>
                <w:color w:val="auto"/>
              </w:rPr>
              <w:t>(Increase) decrease in trade receivables . . .</w:t>
            </w:r>
          </w:p>
        </w:tc>
        <w:tc>
          <w:tcPr>
            <w:tcW w:w="100" w:type="dxa"/>
            <w:vAlign w:val="bottom"/>
          </w:tcPr>
          <w:p>
            <w:pPr>
              <w:spacing w:after="0"/>
              <w:rPr>
                <w:sz w:val="15"/>
                <w:szCs w:val="15"/>
                <w:color w:val="auto"/>
              </w:rPr>
            </w:pPr>
          </w:p>
        </w:tc>
        <w:tc>
          <w:tcPr>
            <w:tcW w:w="1120" w:type="dxa"/>
            <w:vAlign w:val="bottom"/>
            <w:gridSpan w:val="3"/>
          </w:tcPr>
          <w:p>
            <w:pPr>
              <w:jc w:val="right"/>
              <w:ind w:right="160"/>
              <w:spacing w:after="0" w:line="180" w:lineRule="exact"/>
              <w:rPr>
                <w:sz w:val="20"/>
                <w:szCs w:val="20"/>
                <w:color w:val="auto"/>
              </w:rPr>
            </w:pPr>
            <w:r>
              <w:rPr>
                <w:rFonts w:ascii="Arial" w:cs="Arial" w:eastAsia="Arial" w:hAnsi="Arial"/>
                <w:sz w:val="16"/>
                <w:szCs w:val="16"/>
                <w:color w:val="auto"/>
              </w:rPr>
              <w:t>(81)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120"/>
              <w:spacing w:after="0" w:line="180" w:lineRule="exact"/>
              <w:rPr>
                <w:sz w:val="20"/>
                <w:szCs w:val="20"/>
                <w:color w:val="auto"/>
              </w:rPr>
            </w:pPr>
            <w:r>
              <w:rPr>
                <w:rFonts w:ascii="Arial" w:cs="Arial" w:eastAsia="Arial" w:hAnsi="Arial"/>
                <w:sz w:val="16"/>
                <w:szCs w:val="16"/>
                <w:color w:val="auto"/>
              </w:rPr>
              <w:t>(68)</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gridSpan w:val="3"/>
          </w:tcPr>
          <w:p>
            <w:pPr>
              <w:jc w:val="right"/>
              <w:ind w:right="60"/>
              <w:spacing w:after="0" w:line="180" w:lineRule="exact"/>
              <w:rPr>
                <w:sz w:val="20"/>
                <w:szCs w:val="20"/>
                <w:color w:val="auto"/>
              </w:rPr>
            </w:pPr>
            <w:r>
              <w:rPr>
                <w:rFonts w:ascii="Arial" w:cs="Arial" w:eastAsia="Arial" w:hAnsi="Arial"/>
                <w:sz w:val="16"/>
                <w:szCs w:val="16"/>
                <w:color w:val="auto"/>
              </w:rPr>
              <w:t>(28)</w:t>
            </w:r>
          </w:p>
        </w:tc>
        <w:tc>
          <w:tcPr>
            <w:tcW w:w="16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Arial" w:cs="Arial" w:eastAsia="Arial" w:hAnsi="Arial"/>
                <w:sz w:val="16"/>
                <w:szCs w:val="16"/>
                <w:color w:val="auto"/>
              </w:rPr>
              <w:t>128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00" w:type="dxa"/>
            <w:vAlign w:val="bottom"/>
            <w:gridSpan w:val="2"/>
          </w:tcPr>
          <w:p>
            <w:pPr>
              <w:ind w:left="480"/>
              <w:spacing w:after="0" w:line="180" w:lineRule="exact"/>
              <w:rPr>
                <w:sz w:val="20"/>
                <w:szCs w:val="20"/>
                <w:color w:val="auto"/>
              </w:rPr>
            </w:pPr>
            <w:r>
              <w:rPr>
                <w:rFonts w:ascii="Arial" w:cs="Arial" w:eastAsia="Arial" w:hAnsi="Arial"/>
                <w:sz w:val="16"/>
                <w:szCs w:val="16"/>
                <w:color w:val="auto"/>
              </w:rPr>
              <w:t>Decrease (increase) in inventories . . . . . . . .</w:t>
            </w:r>
          </w:p>
        </w:tc>
        <w:tc>
          <w:tcPr>
            <w:tcW w:w="100" w:type="dxa"/>
            <w:vAlign w:val="bottom"/>
          </w:tcPr>
          <w:p>
            <w:pPr>
              <w:spacing w:after="0"/>
              <w:rPr>
                <w:sz w:val="15"/>
                <w:szCs w:val="15"/>
                <w:color w:val="auto"/>
              </w:rPr>
            </w:pPr>
          </w:p>
        </w:tc>
        <w:tc>
          <w:tcPr>
            <w:tcW w:w="1140" w:type="dxa"/>
            <w:vAlign w:val="bottom"/>
            <w:gridSpan w:val="4"/>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060" w:type="dxa"/>
            <w:vAlign w:val="bottom"/>
            <w:gridSpan w:val="3"/>
          </w:tcPr>
          <w:p>
            <w:pPr>
              <w:jc w:val="right"/>
              <w:ind w:right="18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1</w:t>
            </w:r>
          </w:p>
        </w:tc>
        <w:tc>
          <w:tcPr>
            <w:tcW w:w="60" w:type="dxa"/>
            <w:vAlign w:val="bottom"/>
          </w:tcPr>
          <w:p>
            <w:pPr>
              <w:spacing w:after="0"/>
              <w:rPr>
                <w:sz w:val="15"/>
                <w:szCs w:val="15"/>
                <w:color w:val="auto"/>
              </w:rPr>
            </w:pPr>
          </w:p>
        </w:tc>
        <w:tc>
          <w:tcPr>
            <w:tcW w:w="16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0"/>
        </w:trPr>
        <w:tc>
          <w:tcPr>
            <w:tcW w:w="3700" w:type="dxa"/>
            <w:vAlign w:val="bottom"/>
            <w:gridSpan w:val="2"/>
          </w:tcPr>
          <w:p>
            <w:pPr>
              <w:ind w:left="480"/>
              <w:spacing w:after="0" w:line="180" w:lineRule="exact"/>
              <w:rPr>
                <w:sz w:val="20"/>
                <w:szCs w:val="20"/>
                <w:color w:val="auto"/>
              </w:rPr>
            </w:pPr>
            <w:r>
              <w:rPr>
                <w:rFonts w:ascii="Arial" w:cs="Arial" w:eastAsia="Arial" w:hAnsi="Arial"/>
                <w:sz w:val="16"/>
                <w:szCs w:val="16"/>
                <w:color w:val="auto"/>
              </w:rPr>
              <w:t>Decrease (increase) in other current</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00" w:type="dxa"/>
            <w:vAlign w:val="bottom"/>
            <w:gridSpan w:val="2"/>
          </w:tcPr>
          <w:p>
            <w:pPr>
              <w:ind w:left="480"/>
              <w:spacing w:after="0" w:line="180" w:lineRule="exact"/>
              <w:rPr>
                <w:sz w:val="20"/>
                <w:szCs w:val="20"/>
                <w:color w:val="auto"/>
              </w:rPr>
            </w:pPr>
            <w:r>
              <w:rPr>
                <w:rFonts w:ascii="Arial" w:cs="Arial" w:eastAsia="Arial" w:hAnsi="Arial"/>
                <w:sz w:val="16"/>
                <w:szCs w:val="16"/>
                <w:color w:val="auto"/>
              </w:rPr>
              <w:t>assets . . . . . . . . . . . . . . . . . . . . . . . . . . . . . .</w:t>
            </w:r>
          </w:p>
        </w:tc>
        <w:tc>
          <w:tcPr>
            <w:tcW w:w="1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Arial" w:cs="Arial" w:eastAsia="Arial" w:hAnsi="Arial"/>
                <w:sz w:val="16"/>
                <w:szCs w:val="16"/>
                <w:color w:val="auto"/>
              </w:rPr>
              <w:t>35</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120"/>
              <w:spacing w:after="0" w:line="180" w:lineRule="exact"/>
              <w:rPr>
                <w:sz w:val="20"/>
                <w:szCs w:val="20"/>
                <w:color w:val="auto"/>
              </w:rPr>
            </w:pPr>
            <w:r>
              <w:rPr>
                <w:rFonts w:ascii="Arial" w:cs="Arial" w:eastAsia="Arial" w:hAnsi="Arial"/>
                <w:sz w:val="16"/>
                <w:szCs w:val="16"/>
                <w:color w:val="auto"/>
              </w:rPr>
              <w:t>(47)</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6</w:t>
            </w:r>
          </w:p>
        </w:tc>
        <w:tc>
          <w:tcPr>
            <w:tcW w:w="60" w:type="dxa"/>
            <w:vAlign w:val="bottom"/>
          </w:tcPr>
          <w:p>
            <w:pPr>
              <w:spacing w:after="0"/>
              <w:rPr>
                <w:sz w:val="15"/>
                <w:szCs w:val="15"/>
                <w:color w:val="auto"/>
              </w:rPr>
            </w:pPr>
          </w:p>
        </w:tc>
        <w:tc>
          <w:tcPr>
            <w:tcW w:w="16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Arial" w:cs="Arial" w:eastAsia="Arial" w:hAnsi="Arial"/>
                <w:sz w:val="16"/>
                <w:szCs w:val="16"/>
                <w:color w:val="auto"/>
              </w:rPr>
              <w:t>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00" w:type="dxa"/>
            <w:vAlign w:val="bottom"/>
            <w:gridSpan w:val="2"/>
          </w:tcPr>
          <w:p>
            <w:pPr>
              <w:ind w:left="480"/>
              <w:spacing w:after="0" w:line="180" w:lineRule="exact"/>
              <w:rPr>
                <w:sz w:val="20"/>
                <w:szCs w:val="20"/>
                <w:color w:val="auto"/>
              </w:rPr>
            </w:pPr>
            <w:r>
              <w:rPr>
                <w:rFonts w:ascii="Arial" w:cs="Arial" w:eastAsia="Arial" w:hAnsi="Arial"/>
                <w:sz w:val="16"/>
                <w:szCs w:val="16"/>
                <w:color w:val="auto"/>
              </w:rPr>
              <w:t>(Decrease) increase in accounts payable</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00" w:type="dxa"/>
            <w:vAlign w:val="bottom"/>
            <w:gridSpan w:val="2"/>
          </w:tcPr>
          <w:p>
            <w:pPr>
              <w:ind w:left="480"/>
              <w:spacing w:after="0" w:line="180" w:lineRule="exact"/>
              <w:rPr>
                <w:sz w:val="20"/>
                <w:szCs w:val="20"/>
                <w:color w:val="auto"/>
              </w:rPr>
            </w:pPr>
            <w:r>
              <w:rPr>
                <w:rFonts w:ascii="Arial" w:cs="Arial" w:eastAsia="Arial" w:hAnsi="Arial"/>
                <w:sz w:val="16"/>
                <w:szCs w:val="16"/>
                <w:color w:val="auto"/>
              </w:rPr>
              <w:t>and accrued liabilities . . . . . . . . . . . . . . . . . .</w:t>
            </w:r>
          </w:p>
        </w:tc>
        <w:tc>
          <w:tcPr>
            <w:tcW w:w="100" w:type="dxa"/>
            <w:vAlign w:val="bottom"/>
          </w:tcPr>
          <w:p>
            <w:pPr>
              <w:spacing w:after="0"/>
              <w:rPr>
                <w:sz w:val="15"/>
                <w:szCs w:val="15"/>
                <w:color w:val="auto"/>
              </w:rPr>
            </w:pPr>
          </w:p>
        </w:tc>
        <w:tc>
          <w:tcPr>
            <w:tcW w:w="1120" w:type="dxa"/>
            <w:vAlign w:val="bottom"/>
            <w:gridSpan w:val="3"/>
          </w:tcPr>
          <w:p>
            <w:pPr>
              <w:jc w:val="right"/>
              <w:ind w:right="160"/>
              <w:spacing w:after="0" w:line="180" w:lineRule="exact"/>
              <w:rPr>
                <w:sz w:val="20"/>
                <w:szCs w:val="20"/>
                <w:color w:val="auto"/>
              </w:rPr>
            </w:pPr>
            <w:r>
              <w:rPr>
                <w:rFonts w:ascii="Arial" w:cs="Arial" w:eastAsia="Arial" w:hAnsi="Arial"/>
                <w:sz w:val="16"/>
                <w:szCs w:val="16"/>
                <w:color w:val="auto"/>
              </w:rPr>
              <w:t>(11)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Arial" w:cs="Arial" w:eastAsia="Arial" w:hAnsi="Arial"/>
                <w:sz w:val="16"/>
                <w:szCs w:val="16"/>
                <w:color w:val="auto"/>
              </w:rPr>
              <w:t>8</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gridSpan w:val="3"/>
          </w:tcPr>
          <w:p>
            <w:pPr>
              <w:jc w:val="right"/>
              <w:ind w:right="60"/>
              <w:spacing w:after="0" w:line="180" w:lineRule="exact"/>
              <w:rPr>
                <w:sz w:val="20"/>
                <w:szCs w:val="20"/>
                <w:color w:val="auto"/>
              </w:rPr>
            </w:pPr>
            <w:r>
              <w:rPr>
                <w:rFonts w:ascii="Arial" w:cs="Arial" w:eastAsia="Arial" w:hAnsi="Arial"/>
                <w:sz w:val="16"/>
                <w:szCs w:val="16"/>
                <w:color w:val="auto"/>
              </w:rPr>
              <w:t>(67)</w:t>
            </w:r>
          </w:p>
        </w:tc>
        <w:tc>
          <w:tcPr>
            <w:tcW w:w="16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8"/>
        </w:trPr>
        <w:tc>
          <w:tcPr>
            <w:tcW w:w="36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Borders>
              <w:lef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3700" w:type="dxa"/>
            <w:vAlign w:val="bottom"/>
            <w:gridSpan w:val="2"/>
          </w:tcPr>
          <w:p>
            <w:pPr>
              <w:ind w:left="800"/>
              <w:spacing w:after="0"/>
              <w:rPr>
                <w:sz w:val="20"/>
                <w:szCs w:val="20"/>
                <w:color w:val="auto"/>
              </w:rPr>
            </w:pPr>
            <w:r>
              <w:rPr>
                <w:rFonts w:ascii="Arial" w:cs="Arial" w:eastAsia="Arial" w:hAnsi="Arial"/>
                <w:sz w:val="16"/>
                <w:szCs w:val="16"/>
                <w:b w:val="1"/>
                <w:bCs w:val="1"/>
                <w:color w:val="auto"/>
              </w:rPr>
              <w:t>Net cash provided (used) by</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700" w:type="dxa"/>
            <w:vAlign w:val="bottom"/>
            <w:gridSpan w:val="2"/>
          </w:tcPr>
          <w:p>
            <w:pPr>
              <w:ind w:left="800"/>
              <w:spacing w:after="0" w:line="181" w:lineRule="exact"/>
              <w:rPr>
                <w:sz w:val="20"/>
                <w:szCs w:val="20"/>
                <w:color w:val="auto"/>
              </w:rPr>
            </w:pPr>
            <w:r>
              <w:rPr>
                <w:rFonts w:ascii="Arial" w:cs="Arial" w:eastAsia="Arial" w:hAnsi="Arial"/>
                <w:sz w:val="16"/>
                <w:szCs w:val="16"/>
                <w:b w:val="1"/>
                <w:bCs w:val="1"/>
                <w:color w:val="auto"/>
              </w:rPr>
              <w:t xml:space="preserve">operating activities </w:t>
            </w:r>
            <w:r>
              <w:rPr>
                <w:rFonts w:ascii="Arial" w:cs="Arial" w:eastAsia="Arial" w:hAnsi="Arial"/>
                <w:sz w:val="16"/>
                <w:szCs w:val="16"/>
                <w:color w:val="auto"/>
              </w:rPr>
              <w:t>. . . . . . . . . . . . . . .</w:t>
            </w:r>
          </w:p>
        </w:tc>
        <w:tc>
          <w:tcPr>
            <w:tcW w:w="100" w:type="dxa"/>
            <w:vAlign w:val="bottom"/>
          </w:tcPr>
          <w:p>
            <w:pPr>
              <w:spacing w:after="0"/>
              <w:rPr>
                <w:sz w:val="15"/>
                <w:szCs w:val="15"/>
                <w:color w:val="auto"/>
              </w:rPr>
            </w:pPr>
          </w:p>
        </w:tc>
        <w:tc>
          <w:tcPr>
            <w:tcW w:w="940" w:type="dxa"/>
            <w:vAlign w:val="bottom"/>
          </w:tcPr>
          <w:p>
            <w:pPr>
              <w:jc w:val="right"/>
              <w:spacing w:after="0" w:line="181" w:lineRule="exact"/>
              <w:rPr>
                <w:sz w:val="20"/>
                <w:szCs w:val="20"/>
                <w:color w:val="auto"/>
              </w:rPr>
            </w:pPr>
            <w:r>
              <w:rPr>
                <w:rFonts w:ascii="Arial" w:cs="Arial" w:eastAsia="Arial" w:hAnsi="Arial"/>
                <w:sz w:val="16"/>
                <w:szCs w:val="16"/>
                <w:color w:val="auto"/>
              </w:rPr>
              <w:t>690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81" w:lineRule="exact"/>
              <w:rPr>
                <w:sz w:val="20"/>
                <w:szCs w:val="20"/>
                <w:color w:val="auto"/>
              </w:rPr>
            </w:pPr>
            <w:r>
              <w:rPr>
                <w:rFonts w:ascii="Arial" w:cs="Arial" w:eastAsia="Arial" w:hAnsi="Arial"/>
                <w:sz w:val="16"/>
                <w:szCs w:val="16"/>
                <w:color w:val="auto"/>
              </w:rPr>
              <w:t>660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gridSpan w:val="3"/>
          </w:tcPr>
          <w:p>
            <w:pPr>
              <w:jc w:val="right"/>
              <w:ind w:right="60"/>
              <w:spacing w:after="0" w:line="181" w:lineRule="exact"/>
              <w:rPr>
                <w:sz w:val="20"/>
                <w:szCs w:val="20"/>
                <w:color w:val="auto"/>
              </w:rPr>
            </w:pPr>
            <w:r>
              <w:rPr>
                <w:rFonts w:ascii="Arial" w:cs="Arial" w:eastAsia="Arial" w:hAnsi="Arial"/>
                <w:sz w:val="16"/>
                <w:szCs w:val="16"/>
                <w:color w:val="auto"/>
              </w:rPr>
              <w:t>(12)</w:t>
            </w:r>
          </w:p>
        </w:tc>
        <w:tc>
          <w:tcPr>
            <w:tcW w:w="16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line="181" w:lineRule="exact"/>
              <w:rPr>
                <w:sz w:val="20"/>
                <w:szCs w:val="20"/>
                <w:color w:val="auto"/>
              </w:rPr>
            </w:pPr>
            <w:r>
              <w:rPr>
                <w:rFonts w:ascii="Arial" w:cs="Arial" w:eastAsia="Arial" w:hAnsi="Arial"/>
                <w:sz w:val="16"/>
                <w:szCs w:val="16"/>
                <w:color w:val="auto"/>
              </w:rPr>
              <w:t>118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6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Borders>
              <w:lef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3700" w:type="dxa"/>
            <w:vAlign w:val="bottom"/>
            <w:gridSpan w:val="2"/>
          </w:tcPr>
          <w:p>
            <w:pPr>
              <w:spacing w:after="0"/>
              <w:rPr>
                <w:sz w:val="20"/>
                <w:szCs w:val="20"/>
                <w:color w:val="auto"/>
              </w:rPr>
            </w:pPr>
            <w:r>
              <w:rPr>
                <w:rFonts w:ascii="Arial" w:cs="Arial" w:eastAsia="Arial" w:hAnsi="Arial"/>
                <w:sz w:val="16"/>
                <w:szCs w:val="16"/>
                <w:b w:val="1"/>
                <w:bCs w:val="1"/>
                <w:color w:val="auto"/>
              </w:rPr>
              <w:t>CASH FLOW FROM INVESTING ACTIVITIES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lef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700" w:type="dxa"/>
            <w:vAlign w:val="bottom"/>
            <w:gridSpan w:val="2"/>
          </w:tcPr>
          <w:p>
            <w:pPr>
              <w:ind w:left="160"/>
              <w:spacing w:after="0" w:line="180" w:lineRule="exact"/>
              <w:rPr>
                <w:sz w:val="20"/>
                <w:szCs w:val="20"/>
                <w:color w:val="auto"/>
              </w:rPr>
            </w:pPr>
            <w:r>
              <w:rPr>
                <w:rFonts w:ascii="Arial" w:cs="Arial" w:eastAsia="Arial" w:hAnsi="Arial"/>
                <w:sz w:val="16"/>
                <w:szCs w:val="16"/>
                <w:color w:val="auto"/>
              </w:rPr>
              <w:t>Capital investments  . . . . . . . . . . . . . . . . . . . . . . .</w:t>
            </w:r>
          </w:p>
        </w:tc>
        <w:tc>
          <w:tcPr>
            <w:tcW w:w="100" w:type="dxa"/>
            <w:vAlign w:val="bottom"/>
          </w:tcPr>
          <w:p>
            <w:pPr>
              <w:spacing w:after="0"/>
              <w:rPr>
                <w:sz w:val="15"/>
                <w:szCs w:val="15"/>
                <w:color w:val="auto"/>
              </w:rPr>
            </w:pPr>
          </w:p>
        </w:tc>
        <w:tc>
          <w:tcPr>
            <w:tcW w:w="96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(379)</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120"/>
              <w:spacing w:after="0" w:line="180" w:lineRule="exact"/>
              <w:rPr>
                <w:sz w:val="20"/>
                <w:szCs w:val="20"/>
                <w:color w:val="auto"/>
              </w:rPr>
            </w:pPr>
            <w:r>
              <w:rPr>
                <w:rFonts w:ascii="Arial" w:cs="Arial" w:eastAsia="Arial" w:hAnsi="Arial"/>
                <w:sz w:val="16"/>
                <w:szCs w:val="16"/>
                <w:color w:val="auto"/>
              </w:rPr>
              <w:t>(194)</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gridSpan w:val="3"/>
          </w:tcPr>
          <w:p>
            <w:pPr>
              <w:jc w:val="right"/>
              <w:ind w:right="60"/>
              <w:spacing w:after="0" w:line="180" w:lineRule="exact"/>
              <w:rPr>
                <w:sz w:val="20"/>
                <w:szCs w:val="20"/>
                <w:color w:val="auto"/>
              </w:rPr>
            </w:pPr>
            <w:r>
              <w:rPr>
                <w:rFonts w:ascii="Arial" w:cs="Arial" w:eastAsia="Arial" w:hAnsi="Arial"/>
                <w:sz w:val="16"/>
                <w:szCs w:val="16"/>
                <w:color w:val="auto"/>
              </w:rPr>
              <w:t>(7)</w:t>
            </w:r>
          </w:p>
        </w:tc>
        <w:tc>
          <w:tcPr>
            <w:tcW w:w="16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80"/>
        </w:trPr>
        <w:tc>
          <w:tcPr>
            <w:tcW w:w="3700" w:type="dxa"/>
            <w:vAlign w:val="bottom"/>
            <w:gridSpan w:val="2"/>
          </w:tcPr>
          <w:p>
            <w:pPr>
              <w:ind w:left="160"/>
              <w:spacing w:after="0" w:line="180" w:lineRule="exact"/>
              <w:rPr>
                <w:sz w:val="20"/>
                <w:szCs w:val="20"/>
                <w:color w:val="auto"/>
              </w:rPr>
            </w:pPr>
            <w:r>
              <w:rPr>
                <w:rFonts w:ascii="Arial" w:cs="Arial" w:eastAsia="Arial" w:hAnsi="Arial"/>
                <w:sz w:val="16"/>
                <w:szCs w:val="16"/>
                <w:color w:val="auto"/>
              </w:rPr>
              <w:t>Changes in accrued capital investments . . . . . . .</w:t>
            </w:r>
          </w:p>
        </w:tc>
        <w:tc>
          <w:tcPr>
            <w:tcW w:w="1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Arial" w:cs="Arial" w:eastAsia="Arial" w:hAnsi="Arial"/>
                <w:sz w:val="16"/>
                <w:szCs w:val="16"/>
                <w:color w:val="auto"/>
              </w:rPr>
              <w:t>20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gridSpan w:val="3"/>
          </w:tcPr>
          <w:p>
            <w:pPr>
              <w:jc w:val="right"/>
              <w:ind w:right="60"/>
              <w:spacing w:after="0" w:line="180" w:lineRule="exact"/>
              <w:rPr>
                <w:sz w:val="20"/>
                <w:szCs w:val="20"/>
                <w:color w:val="auto"/>
              </w:rPr>
            </w:pPr>
            <w:r>
              <w:rPr>
                <w:rFonts w:ascii="Arial" w:cs="Arial" w:eastAsia="Arial" w:hAnsi="Arial"/>
                <w:sz w:val="16"/>
                <w:szCs w:val="16"/>
                <w:color w:val="auto"/>
              </w:rPr>
              <w:t>(1)</w:t>
            </w:r>
          </w:p>
        </w:tc>
        <w:tc>
          <w:tcPr>
            <w:tcW w:w="16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80"/>
        </w:trPr>
        <w:tc>
          <w:tcPr>
            <w:tcW w:w="3700" w:type="dxa"/>
            <w:vAlign w:val="bottom"/>
            <w:gridSpan w:val="2"/>
          </w:tcPr>
          <w:p>
            <w:pPr>
              <w:ind w:left="160"/>
              <w:spacing w:after="0" w:line="180" w:lineRule="exact"/>
              <w:rPr>
                <w:sz w:val="20"/>
                <w:szCs w:val="20"/>
                <w:color w:val="auto"/>
              </w:rPr>
            </w:pPr>
            <w:r>
              <w:rPr>
                <w:rFonts w:ascii="Arial" w:cs="Arial" w:eastAsia="Arial" w:hAnsi="Arial"/>
                <w:sz w:val="16"/>
                <w:szCs w:val="16"/>
                <w:color w:val="auto"/>
              </w:rPr>
              <w:t>Proceeds from asset divestitures . . . . . . . . . . . . .</w:t>
            </w:r>
          </w:p>
        </w:tc>
        <w:tc>
          <w:tcPr>
            <w:tcW w:w="1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Arial" w:cs="Arial" w:eastAsia="Arial" w:hAnsi="Arial"/>
                <w:sz w:val="16"/>
                <w:szCs w:val="16"/>
                <w:color w:val="auto"/>
              </w:rPr>
              <w:t>80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Arial" w:cs="Arial" w:eastAsia="Arial" w:hAnsi="Arial"/>
                <w:sz w:val="16"/>
                <w:szCs w:val="16"/>
                <w:color w:val="auto"/>
              </w:rPr>
              <w:t>67</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gridSpan w:val="3"/>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16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Arial" w:cs="Arial" w:eastAsia="Arial" w:hAnsi="Arial"/>
                <w:sz w:val="16"/>
                <w:szCs w:val="16"/>
                <w:color w:val="auto"/>
              </w:rPr>
              <w:t>41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00" w:type="dxa"/>
            <w:vAlign w:val="bottom"/>
            <w:gridSpan w:val="2"/>
          </w:tcPr>
          <w:p>
            <w:pPr>
              <w:ind w:left="160"/>
              <w:spacing w:after="0" w:line="180" w:lineRule="exact"/>
              <w:rPr>
                <w:sz w:val="20"/>
                <w:szCs w:val="20"/>
                <w:color w:val="auto"/>
              </w:rPr>
            </w:pPr>
            <w:r>
              <w:rPr>
                <w:rFonts w:ascii="Arial" w:cs="Arial" w:eastAsia="Arial" w:hAnsi="Arial"/>
                <w:sz w:val="16"/>
                <w:szCs w:val="16"/>
                <w:color w:val="auto"/>
              </w:rPr>
              <w:t>Acquisitions  . . . . . . . . . . . . . . . . . . . . . . . . . . . . .</w:t>
            </w:r>
          </w:p>
        </w:tc>
        <w:tc>
          <w:tcPr>
            <w:tcW w:w="100" w:type="dxa"/>
            <w:vAlign w:val="bottom"/>
          </w:tcPr>
          <w:p>
            <w:pPr>
              <w:spacing w:after="0"/>
              <w:rPr>
                <w:sz w:val="15"/>
                <w:szCs w:val="15"/>
                <w:color w:val="auto"/>
              </w:rPr>
            </w:pPr>
          </w:p>
        </w:tc>
        <w:tc>
          <w:tcPr>
            <w:tcW w:w="1120" w:type="dxa"/>
            <w:vAlign w:val="bottom"/>
            <w:gridSpan w:val="3"/>
          </w:tcPr>
          <w:p>
            <w:pPr>
              <w:jc w:val="right"/>
              <w:ind w:right="160"/>
              <w:spacing w:after="0" w:line="180" w:lineRule="exact"/>
              <w:rPr>
                <w:sz w:val="20"/>
                <w:szCs w:val="20"/>
                <w:color w:val="auto"/>
              </w:rPr>
            </w:pPr>
            <w:r>
              <w:rPr>
                <w:rFonts w:ascii="Arial" w:cs="Arial" w:eastAsia="Arial" w:hAnsi="Arial"/>
                <w:sz w:val="16"/>
                <w:szCs w:val="16"/>
                <w:color w:val="auto"/>
              </w:rPr>
              <w:t>(17)</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120"/>
              <w:spacing w:after="0" w:line="180" w:lineRule="exact"/>
              <w:rPr>
                <w:sz w:val="20"/>
                <w:szCs w:val="20"/>
                <w:color w:val="auto"/>
              </w:rPr>
            </w:pPr>
            <w:r>
              <w:rPr>
                <w:rFonts w:ascii="Arial" w:cs="Arial" w:eastAsia="Arial" w:hAnsi="Arial"/>
                <w:sz w:val="16"/>
                <w:szCs w:val="16"/>
                <w:color w:val="auto"/>
              </w:rPr>
              <w:t>(52)</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gridSpan w:val="3"/>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16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3700" w:type="dxa"/>
            <w:vAlign w:val="bottom"/>
            <w:gridSpan w:val="2"/>
          </w:tcPr>
          <w:p>
            <w:pPr>
              <w:ind w:left="160"/>
              <w:spacing w:after="0" w:line="180" w:lineRule="exact"/>
              <w:rPr>
                <w:sz w:val="20"/>
                <w:szCs w:val="20"/>
                <w:color w:val="auto"/>
              </w:rPr>
            </w:pPr>
            <w:r>
              <w:rPr>
                <w:rFonts w:ascii="Arial" w:cs="Arial" w:eastAsia="Arial" w:hAnsi="Arial"/>
                <w:sz w:val="16"/>
                <w:szCs w:val="16"/>
                <w:color w:val="auto"/>
              </w:rPr>
              <w:t>Distribution related to the Carbon TerraVault</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00" w:type="dxa"/>
            <w:vAlign w:val="bottom"/>
            <w:gridSpan w:val="2"/>
          </w:tcPr>
          <w:p>
            <w:pPr>
              <w:ind w:left="160"/>
              <w:spacing w:after="0" w:line="180" w:lineRule="exact"/>
              <w:rPr>
                <w:sz w:val="20"/>
                <w:szCs w:val="20"/>
                <w:color w:val="auto"/>
              </w:rPr>
            </w:pPr>
            <w:r>
              <w:rPr>
                <w:rFonts w:ascii="Arial" w:cs="Arial" w:eastAsia="Arial" w:hAnsi="Arial"/>
                <w:sz w:val="16"/>
                <w:szCs w:val="16"/>
                <w:color w:val="auto"/>
              </w:rPr>
              <w:t>JV . . . . . . . . . . . . . . . . . . . . . . . . . . . . . . . . . . . . .</w:t>
            </w:r>
          </w:p>
        </w:tc>
        <w:tc>
          <w:tcPr>
            <w:tcW w:w="1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Arial" w:cs="Arial" w:eastAsia="Arial" w:hAnsi="Arial"/>
                <w:sz w:val="16"/>
                <w:szCs w:val="16"/>
                <w:color w:val="auto"/>
              </w:rPr>
              <w:t>12</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18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gridSpan w:val="3"/>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16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3700" w:type="dxa"/>
            <w:vAlign w:val="bottom"/>
            <w:gridSpan w:val="2"/>
          </w:tcPr>
          <w:p>
            <w:pPr>
              <w:ind w:left="160"/>
              <w:spacing w:after="0" w:line="180" w:lineRule="exact"/>
              <w:rPr>
                <w:sz w:val="20"/>
                <w:szCs w:val="20"/>
                <w:color w:val="auto"/>
              </w:rPr>
            </w:pPr>
            <w:r>
              <w:rPr>
                <w:rFonts w:ascii="Arial" w:cs="Arial" w:eastAsia="Arial" w:hAnsi="Arial"/>
                <w:sz w:val="16"/>
                <w:szCs w:val="16"/>
                <w:color w:val="auto"/>
              </w:rPr>
              <w:t>Capitalized joint venture transaction costs . . . . . .</w:t>
            </w:r>
          </w:p>
        </w:tc>
        <w:tc>
          <w:tcPr>
            <w:tcW w:w="100" w:type="dxa"/>
            <w:vAlign w:val="bottom"/>
          </w:tcPr>
          <w:p>
            <w:pPr>
              <w:spacing w:after="0"/>
              <w:rPr>
                <w:sz w:val="15"/>
                <w:szCs w:val="15"/>
                <w:color w:val="auto"/>
              </w:rPr>
            </w:pPr>
          </w:p>
        </w:tc>
        <w:tc>
          <w:tcPr>
            <w:tcW w:w="1120" w:type="dxa"/>
            <w:vAlign w:val="bottom"/>
            <w:gridSpan w:val="3"/>
          </w:tcPr>
          <w:p>
            <w:pPr>
              <w:jc w:val="right"/>
              <w:ind w:right="160"/>
              <w:spacing w:after="0" w:line="180" w:lineRule="exact"/>
              <w:rPr>
                <w:sz w:val="20"/>
                <w:szCs w:val="20"/>
                <w:color w:val="auto"/>
              </w:rPr>
            </w:pPr>
            <w:r>
              <w:rPr>
                <w:rFonts w:ascii="Arial" w:cs="Arial" w:eastAsia="Arial" w:hAnsi="Arial"/>
                <w:sz w:val="16"/>
                <w:szCs w:val="16"/>
                <w:color w:val="auto"/>
              </w:rPr>
              <w:t>(12)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18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gridSpan w:val="3"/>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16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3700" w:type="dxa"/>
            <w:vAlign w:val="bottom"/>
            <w:gridSpan w:val="2"/>
          </w:tcPr>
          <w:p>
            <w:pPr>
              <w:ind w:left="160"/>
              <w:spacing w:after="0" w:line="180" w:lineRule="exact"/>
              <w:rPr>
                <w:sz w:val="20"/>
                <w:szCs w:val="20"/>
                <w:color w:val="auto"/>
              </w:rPr>
            </w:pPr>
            <w:r>
              <w:rPr>
                <w:rFonts w:ascii="Arial" w:cs="Arial" w:eastAsia="Arial" w:hAnsi="Arial"/>
                <w:sz w:val="16"/>
                <w:szCs w:val="16"/>
                <w:color w:val="auto"/>
              </w:rPr>
              <w:t>Other . . . . . . . . . . . . . . . . . . . . . . . . . . . . . . . . . . .</w:t>
            </w:r>
          </w:p>
        </w:tc>
        <w:tc>
          <w:tcPr>
            <w:tcW w:w="100" w:type="dxa"/>
            <w:vAlign w:val="bottom"/>
          </w:tcPr>
          <w:p>
            <w:pPr>
              <w:spacing w:after="0"/>
              <w:rPr>
                <w:sz w:val="15"/>
                <w:szCs w:val="15"/>
                <w:color w:val="auto"/>
              </w:rPr>
            </w:pPr>
          </w:p>
        </w:tc>
        <w:tc>
          <w:tcPr>
            <w:tcW w:w="1120" w:type="dxa"/>
            <w:vAlign w:val="bottom"/>
            <w:gridSpan w:val="3"/>
          </w:tcPr>
          <w:p>
            <w:pPr>
              <w:jc w:val="right"/>
              <w:ind w:right="160"/>
              <w:spacing w:after="0" w:line="180" w:lineRule="exact"/>
              <w:rPr>
                <w:sz w:val="20"/>
                <w:szCs w:val="20"/>
                <w:color w:val="auto"/>
              </w:rPr>
            </w:pPr>
            <w:r>
              <w:rPr>
                <w:rFonts w:ascii="Arial" w:cs="Arial" w:eastAsia="Arial" w:hAnsi="Arial"/>
                <w:sz w:val="16"/>
                <w:szCs w:val="16"/>
                <w:color w:val="auto"/>
              </w:rPr>
              <w:t>(2)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120"/>
              <w:spacing w:after="0" w:line="180" w:lineRule="exact"/>
              <w:rPr>
                <w:sz w:val="20"/>
                <w:szCs w:val="20"/>
                <w:color w:val="auto"/>
              </w:rPr>
            </w:pPr>
            <w:r>
              <w:rPr>
                <w:rFonts w:ascii="Arial" w:cs="Arial" w:eastAsia="Arial" w:hAnsi="Arial"/>
                <w:sz w:val="16"/>
                <w:szCs w:val="16"/>
                <w:color w:val="auto"/>
              </w:rPr>
              <w:t>(2)</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1</w:t>
            </w:r>
          </w:p>
        </w:tc>
        <w:tc>
          <w:tcPr>
            <w:tcW w:w="60" w:type="dxa"/>
            <w:vAlign w:val="bottom"/>
          </w:tcPr>
          <w:p>
            <w:pPr>
              <w:spacing w:after="0"/>
              <w:rPr>
                <w:sz w:val="15"/>
                <w:szCs w:val="15"/>
                <w:color w:val="auto"/>
              </w:rPr>
            </w:pPr>
          </w:p>
        </w:tc>
        <w:tc>
          <w:tcPr>
            <w:tcW w:w="16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8"/>
        </w:trPr>
        <w:tc>
          <w:tcPr>
            <w:tcW w:w="36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Borders>
              <w:lef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3700" w:type="dxa"/>
            <w:vAlign w:val="bottom"/>
            <w:gridSpan w:val="2"/>
          </w:tcPr>
          <w:p>
            <w:pPr>
              <w:ind w:left="800"/>
              <w:spacing w:after="0"/>
              <w:rPr>
                <w:sz w:val="20"/>
                <w:szCs w:val="20"/>
                <w:color w:val="auto"/>
              </w:rPr>
            </w:pPr>
            <w:r>
              <w:rPr>
                <w:rFonts w:ascii="Arial" w:cs="Arial" w:eastAsia="Arial" w:hAnsi="Arial"/>
                <w:sz w:val="16"/>
                <w:szCs w:val="16"/>
                <w:b w:val="1"/>
                <w:bCs w:val="1"/>
                <w:color w:val="auto"/>
              </w:rPr>
              <w:t>Net cash used in investing</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700" w:type="dxa"/>
            <w:vAlign w:val="bottom"/>
            <w:gridSpan w:val="2"/>
          </w:tcPr>
          <w:p>
            <w:pPr>
              <w:ind w:left="800"/>
              <w:spacing w:after="0" w:line="181" w:lineRule="exact"/>
              <w:rPr>
                <w:sz w:val="20"/>
                <w:szCs w:val="20"/>
                <w:color w:val="auto"/>
              </w:rPr>
            </w:pPr>
            <w:r>
              <w:rPr>
                <w:rFonts w:ascii="Arial" w:cs="Arial" w:eastAsia="Arial" w:hAnsi="Arial"/>
                <w:sz w:val="16"/>
                <w:szCs w:val="16"/>
                <w:b w:val="1"/>
                <w:bCs w:val="1"/>
                <w:color w:val="auto"/>
              </w:rPr>
              <w:t xml:space="preserve">activities </w:t>
            </w:r>
            <w:r>
              <w:rPr>
                <w:rFonts w:ascii="Arial" w:cs="Arial" w:eastAsia="Arial" w:hAnsi="Arial"/>
                <w:sz w:val="16"/>
                <w:szCs w:val="16"/>
                <w:color w:val="auto"/>
              </w:rPr>
              <w:t>. . . . . . . . . . . . . . . . . . . . . . . .</w:t>
            </w:r>
          </w:p>
        </w:tc>
        <w:tc>
          <w:tcPr>
            <w:tcW w:w="100" w:type="dxa"/>
            <w:vAlign w:val="bottom"/>
          </w:tcPr>
          <w:p>
            <w:pPr>
              <w:spacing w:after="0"/>
              <w:rPr>
                <w:sz w:val="15"/>
                <w:szCs w:val="15"/>
                <w:color w:val="auto"/>
              </w:rPr>
            </w:pPr>
          </w:p>
        </w:tc>
        <w:tc>
          <w:tcPr>
            <w:tcW w:w="96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(317)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120"/>
              <w:spacing w:after="0" w:line="181" w:lineRule="exact"/>
              <w:rPr>
                <w:sz w:val="20"/>
                <w:szCs w:val="20"/>
                <w:color w:val="auto"/>
              </w:rPr>
            </w:pPr>
            <w:r>
              <w:rPr>
                <w:rFonts w:ascii="Arial" w:cs="Arial" w:eastAsia="Arial" w:hAnsi="Arial"/>
                <w:sz w:val="16"/>
                <w:szCs w:val="16"/>
                <w:color w:val="auto"/>
              </w:rPr>
              <w:t>(161)</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gridSpan w:val="3"/>
          </w:tcPr>
          <w:p>
            <w:pPr>
              <w:jc w:val="right"/>
              <w:ind w:right="60"/>
              <w:spacing w:after="0" w:line="181" w:lineRule="exact"/>
              <w:rPr>
                <w:sz w:val="20"/>
                <w:szCs w:val="20"/>
                <w:color w:val="auto"/>
              </w:rPr>
            </w:pPr>
            <w:r>
              <w:rPr>
                <w:rFonts w:ascii="Arial" w:cs="Arial" w:eastAsia="Arial" w:hAnsi="Arial"/>
                <w:sz w:val="16"/>
                <w:szCs w:val="16"/>
                <w:color w:val="auto"/>
              </w:rPr>
              <w:t>(7)</w:t>
            </w:r>
          </w:p>
        </w:tc>
        <w:tc>
          <w:tcPr>
            <w:tcW w:w="16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8"/>
        </w:trPr>
        <w:tc>
          <w:tcPr>
            <w:tcW w:w="36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Borders>
              <w:lef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3700" w:type="dxa"/>
            <w:vAlign w:val="bottom"/>
            <w:gridSpan w:val="2"/>
          </w:tcPr>
          <w:p>
            <w:pPr>
              <w:spacing w:after="0"/>
              <w:rPr>
                <w:sz w:val="20"/>
                <w:szCs w:val="20"/>
                <w:color w:val="auto"/>
              </w:rPr>
            </w:pPr>
            <w:r>
              <w:rPr>
                <w:rFonts w:ascii="Arial" w:cs="Arial" w:eastAsia="Arial" w:hAnsi="Arial"/>
                <w:sz w:val="16"/>
                <w:szCs w:val="16"/>
                <w:b w:val="1"/>
                <w:bCs w:val="1"/>
                <w:color w:val="auto"/>
              </w:rPr>
              <w:t>CASH FLOW FROM FINANCING ACTIVITIES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lef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700" w:type="dxa"/>
            <w:vAlign w:val="bottom"/>
            <w:gridSpan w:val="2"/>
          </w:tcPr>
          <w:p>
            <w:pPr>
              <w:ind w:left="160"/>
              <w:spacing w:after="0" w:line="180" w:lineRule="exact"/>
              <w:rPr>
                <w:sz w:val="20"/>
                <w:szCs w:val="20"/>
                <w:color w:val="auto"/>
              </w:rPr>
            </w:pPr>
            <w:r>
              <w:rPr>
                <w:rFonts w:ascii="Arial" w:cs="Arial" w:eastAsia="Arial" w:hAnsi="Arial"/>
                <w:sz w:val="16"/>
                <w:szCs w:val="16"/>
                <w:color w:val="auto"/>
              </w:rPr>
              <w:t>Proceeds from 2014 Revolving Credit Facility . . .</w:t>
            </w:r>
          </w:p>
        </w:tc>
        <w:tc>
          <w:tcPr>
            <w:tcW w:w="100" w:type="dxa"/>
            <w:vAlign w:val="bottom"/>
          </w:tcPr>
          <w:p>
            <w:pPr>
              <w:spacing w:after="0"/>
              <w:rPr>
                <w:sz w:val="15"/>
                <w:szCs w:val="15"/>
                <w:color w:val="auto"/>
              </w:rPr>
            </w:pPr>
          </w:p>
        </w:tc>
        <w:tc>
          <w:tcPr>
            <w:tcW w:w="1140" w:type="dxa"/>
            <w:vAlign w:val="bottom"/>
            <w:gridSpan w:val="4"/>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060" w:type="dxa"/>
            <w:vAlign w:val="bottom"/>
            <w:gridSpan w:val="3"/>
          </w:tcPr>
          <w:p>
            <w:pPr>
              <w:jc w:val="right"/>
              <w:ind w:right="18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gridSpan w:val="3"/>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16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Arial" w:cs="Arial" w:eastAsia="Arial" w:hAnsi="Arial"/>
                <w:sz w:val="16"/>
                <w:szCs w:val="16"/>
                <w:color w:val="auto"/>
              </w:rPr>
              <w:t>797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00" w:type="dxa"/>
            <w:vAlign w:val="bottom"/>
            <w:gridSpan w:val="2"/>
          </w:tcPr>
          <w:p>
            <w:pPr>
              <w:ind w:left="160"/>
              <w:spacing w:after="0" w:line="180" w:lineRule="exact"/>
              <w:rPr>
                <w:sz w:val="20"/>
                <w:szCs w:val="20"/>
                <w:color w:val="auto"/>
              </w:rPr>
            </w:pPr>
            <w:r>
              <w:rPr>
                <w:rFonts w:ascii="Arial" w:cs="Arial" w:eastAsia="Arial" w:hAnsi="Arial"/>
                <w:sz w:val="16"/>
                <w:szCs w:val="16"/>
                <w:color w:val="auto"/>
              </w:rPr>
              <w:t>Repayments of 2014 Revolving Credit Facility  . .</w:t>
            </w:r>
          </w:p>
        </w:tc>
        <w:tc>
          <w:tcPr>
            <w:tcW w:w="100" w:type="dxa"/>
            <w:vAlign w:val="bottom"/>
          </w:tcPr>
          <w:p>
            <w:pPr>
              <w:spacing w:after="0"/>
              <w:rPr>
                <w:sz w:val="15"/>
                <w:szCs w:val="15"/>
                <w:color w:val="auto"/>
              </w:rPr>
            </w:pPr>
          </w:p>
        </w:tc>
        <w:tc>
          <w:tcPr>
            <w:tcW w:w="1140" w:type="dxa"/>
            <w:vAlign w:val="bottom"/>
            <w:gridSpan w:val="4"/>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060" w:type="dxa"/>
            <w:vAlign w:val="bottom"/>
            <w:gridSpan w:val="3"/>
          </w:tcPr>
          <w:p>
            <w:pPr>
              <w:jc w:val="right"/>
              <w:ind w:right="18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gridSpan w:val="3"/>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16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(1,315)</w:t>
            </w:r>
          </w:p>
        </w:tc>
        <w:tc>
          <w:tcPr>
            <w:tcW w:w="0" w:type="dxa"/>
            <w:vAlign w:val="bottom"/>
          </w:tcPr>
          <w:p>
            <w:pPr>
              <w:spacing w:after="0"/>
              <w:rPr>
                <w:sz w:val="1"/>
                <w:szCs w:val="1"/>
                <w:color w:val="auto"/>
              </w:rPr>
            </w:pPr>
          </w:p>
        </w:tc>
      </w:tr>
      <w:tr>
        <w:trPr>
          <w:trHeight w:val="180"/>
        </w:trPr>
        <w:tc>
          <w:tcPr>
            <w:tcW w:w="3700" w:type="dxa"/>
            <w:vAlign w:val="bottom"/>
            <w:gridSpan w:val="2"/>
          </w:tcPr>
          <w:p>
            <w:pPr>
              <w:ind w:left="160"/>
              <w:spacing w:after="0" w:line="180" w:lineRule="exact"/>
              <w:rPr>
                <w:sz w:val="20"/>
                <w:szCs w:val="20"/>
                <w:color w:val="auto"/>
              </w:rPr>
            </w:pPr>
            <w:r>
              <w:rPr>
                <w:rFonts w:ascii="Arial" w:cs="Arial" w:eastAsia="Arial" w:hAnsi="Arial"/>
                <w:sz w:val="16"/>
                <w:szCs w:val="16"/>
                <w:color w:val="auto"/>
              </w:rPr>
              <w:t>Proceeds from debtor-in-possession facilities . . .</w:t>
            </w:r>
          </w:p>
        </w:tc>
        <w:tc>
          <w:tcPr>
            <w:tcW w:w="100" w:type="dxa"/>
            <w:vAlign w:val="bottom"/>
          </w:tcPr>
          <w:p>
            <w:pPr>
              <w:spacing w:after="0"/>
              <w:rPr>
                <w:sz w:val="15"/>
                <w:szCs w:val="15"/>
                <w:color w:val="auto"/>
              </w:rPr>
            </w:pPr>
          </w:p>
        </w:tc>
        <w:tc>
          <w:tcPr>
            <w:tcW w:w="1140" w:type="dxa"/>
            <w:vAlign w:val="bottom"/>
            <w:gridSpan w:val="4"/>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060" w:type="dxa"/>
            <w:vAlign w:val="bottom"/>
            <w:gridSpan w:val="3"/>
          </w:tcPr>
          <w:p>
            <w:pPr>
              <w:jc w:val="right"/>
              <w:ind w:right="18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gridSpan w:val="3"/>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16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Arial" w:cs="Arial" w:eastAsia="Arial" w:hAnsi="Arial"/>
                <w:sz w:val="16"/>
                <w:szCs w:val="16"/>
                <w:color w:val="auto"/>
              </w:rPr>
              <w:t>802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00" w:type="dxa"/>
            <w:vAlign w:val="bottom"/>
            <w:gridSpan w:val="2"/>
          </w:tcPr>
          <w:p>
            <w:pPr>
              <w:ind w:left="160"/>
              <w:spacing w:after="0" w:line="180" w:lineRule="exact"/>
              <w:rPr>
                <w:sz w:val="20"/>
                <w:szCs w:val="20"/>
                <w:color w:val="auto"/>
              </w:rPr>
            </w:pPr>
            <w:r>
              <w:rPr>
                <w:rFonts w:ascii="Arial" w:cs="Arial" w:eastAsia="Arial" w:hAnsi="Arial"/>
                <w:sz w:val="16"/>
                <w:szCs w:val="16"/>
                <w:color w:val="auto"/>
              </w:rPr>
              <w:t>Repayments of debtor-in-possession facilities  . .</w:t>
            </w:r>
          </w:p>
        </w:tc>
        <w:tc>
          <w:tcPr>
            <w:tcW w:w="100" w:type="dxa"/>
            <w:vAlign w:val="bottom"/>
          </w:tcPr>
          <w:p>
            <w:pPr>
              <w:spacing w:after="0"/>
              <w:rPr>
                <w:sz w:val="15"/>
                <w:szCs w:val="15"/>
                <w:color w:val="auto"/>
              </w:rPr>
            </w:pPr>
          </w:p>
        </w:tc>
        <w:tc>
          <w:tcPr>
            <w:tcW w:w="1140" w:type="dxa"/>
            <w:vAlign w:val="bottom"/>
            <w:gridSpan w:val="4"/>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060" w:type="dxa"/>
            <w:vAlign w:val="bottom"/>
            <w:gridSpan w:val="3"/>
          </w:tcPr>
          <w:p>
            <w:pPr>
              <w:jc w:val="right"/>
              <w:ind w:right="18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gridSpan w:val="3"/>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16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(802)</w:t>
            </w:r>
          </w:p>
        </w:tc>
        <w:tc>
          <w:tcPr>
            <w:tcW w:w="0" w:type="dxa"/>
            <w:vAlign w:val="bottom"/>
          </w:tcPr>
          <w:p>
            <w:pPr>
              <w:spacing w:after="0"/>
              <w:rPr>
                <w:sz w:val="1"/>
                <w:szCs w:val="1"/>
                <w:color w:val="auto"/>
              </w:rPr>
            </w:pPr>
          </w:p>
        </w:tc>
      </w:tr>
      <w:tr>
        <w:trPr>
          <w:trHeight w:val="180"/>
        </w:trPr>
        <w:tc>
          <w:tcPr>
            <w:tcW w:w="3700" w:type="dxa"/>
            <w:vAlign w:val="bottom"/>
            <w:gridSpan w:val="2"/>
          </w:tcPr>
          <w:p>
            <w:pPr>
              <w:ind w:left="160"/>
              <w:spacing w:after="0" w:line="180" w:lineRule="exact"/>
              <w:rPr>
                <w:sz w:val="20"/>
                <w:szCs w:val="20"/>
                <w:color w:val="auto"/>
              </w:rPr>
            </w:pPr>
            <w:r>
              <w:rPr>
                <w:rFonts w:ascii="Arial" w:cs="Arial" w:eastAsia="Arial" w:hAnsi="Arial"/>
                <w:sz w:val="16"/>
                <w:szCs w:val="16"/>
                <w:color w:val="auto"/>
              </w:rPr>
              <w:t>Proceeds from Revolving Credit Facility  . . . . . . .</w:t>
            </w:r>
          </w:p>
        </w:tc>
        <w:tc>
          <w:tcPr>
            <w:tcW w:w="100" w:type="dxa"/>
            <w:vAlign w:val="bottom"/>
          </w:tcPr>
          <w:p>
            <w:pPr>
              <w:spacing w:after="0"/>
              <w:rPr>
                <w:sz w:val="15"/>
                <w:szCs w:val="15"/>
                <w:color w:val="auto"/>
              </w:rPr>
            </w:pPr>
          </w:p>
        </w:tc>
        <w:tc>
          <w:tcPr>
            <w:tcW w:w="1140" w:type="dxa"/>
            <w:vAlign w:val="bottom"/>
            <w:gridSpan w:val="4"/>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Arial" w:cs="Arial" w:eastAsia="Arial" w:hAnsi="Arial"/>
                <w:sz w:val="16"/>
                <w:szCs w:val="16"/>
                <w:color w:val="auto"/>
              </w:rPr>
              <w:t>16</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82</w:t>
            </w:r>
          </w:p>
        </w:tc>
        <w:tc>
          <w:tcPr>
            <w:tcW w:w="60" w:type="dxa"/>
            <w:vAlign w:val="bottom"/>
          </w:tcPr>
          <w:p>
            <w:pPr>
              <w:spacing w:after="0"/>
              <w:rPr>
                <w:sz w:val="15"/>
                <w:szCs w:val="15"/>
                <w:color w:val="auto"/>
              </w:rPr>
            </w:pPr>
          </w:p>
        </w:tc>
        <w:tc>
          <w:tcPr>
            <w:tcW w:w="16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Arial" w:cs="Arial" w:eastAsia="Arial" w:hAnsi="Arial"/>
                <w:sz w:val="16"/>
                <w:szCs w:val="16"/>
                <w:color w:val="auto"/>
              </w:rPr>
              <w:t>225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00" w:type="dxa"/>
            <w:vAlign w:val="bottom"/>
            <w:gridSpan w:val="2"/>
          </w:tcPr>
          <w:p>
            <w:pPr>
              <w:ind w:left="160"/>
              <w:spacing w:after="0" w:line="180" w:lineRule="exact"/>
              <w:rPr>
                <w:sz w:val="20"/>
                <w:szCs w:val="20"/>
                <w:color w:val="auto"/>
              </w:rPr>
            </w:pPr>
            <w:r>
              <w:rPr>
                <w:rFonts w:ascii="Arial" w:cs="Arial" w:eastAsia="Arial" w:hAnsi="Arial"/>
                <w:sz w:val="16"/>
                <w:szCs w:val="16"/>
                <w:color w:val="auto"/>
              </w:rPr>
              <w:t>Repayments of Revolving Credit Facility . . . . . . .</w:t>
            </w:r>
          </w:p>
        </w:tc>
        <w:tc>
          <w:tcPr>
            <w:tcW w:w="100" w:type="dxa"/>
            <w:vAlign w:val="bottom"/>
          </w:tcPr>
          <w:p>
            <w:pPr>
              <w:spacing w:after="0"/>
              <w:rPr>
                <w:sz w:val="15"/>
                <w:szCs w:val="15"/>
                <w:color w:val="auto"/>
              </w:rPr>
            </w:pPr>
          </w:p>
        </w:tc>
        <w:tc>
          <w:tcPr>
            <w:tcW w:w="1140" w:type="dxa"/>
            <w:vAlign w:val="bottom"/>
            <w:gridSpan w:val="4"/>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060" w:type="dxa"/>
            <w:vAlign w:val="bottom"/>
            <w:gridSpan w:val="3"/>
          </w:tcPr>
          <w:p>
            <w:pPr>
              <w:jc w:val="right"/>
              <w:ind w:right="120"/>
              <w:spacing w:after="0" w:line="180" w:lineRule="exact"/>
              <w:rPr>
                <w:sz w:val="20"/>
                <w:szCs w:val="20"/>
                <w:color w:val="auto"/>
              </w:rPr>
            </w:pPr>
            <w:r>
              <w:rPr>
                <w:rFonts w:ascii="Arial" w:cs="Arial" w:eastAsia="Arial" w:hAnsi="Arial"/>
                <w:sz w:val="16"/>
                <w:szCs w:val="16"/>
                <w:color w:val="auto"/>
              </w:rPr>
              <w:t>(115)</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gridSpan w:val="3"/>
          </w:tcPr>
          <w:p>
            <w:pPr>
              <w:jc w:val="right"/>
              <w:ind w:right="60"/>
              <w:spacing w:after="0" w:line="180" w:lineRule="exact"/>
              <w:rPr>
                <w:sz w:val="20"/>
                <w:szCs w:val="20"/>
                <w:color w:val="auto"/>
              </w:rPr>
            </w:pPr>
            <w:r>
              <w:rPr>
                <w:rFonts w:ascii="Arial" w:cs="Arial" w:eastAsia="Arial" w:hAnsi="Arial"/>
                <w:sz w:val="16"/>
                <w:szCs w:val="16"/>
                <w:color w:val="auto"/>
              </w:rPr>
              <w:t>(208)</w:t>
            </w:r>
          </w:p>
        </w:tc>
        <w:tc>
          <w:tcPr>
            <w:tcW w:w="16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3700" w:type="dxa"/>
            <w:vAlign w:val="bottom"/>
            <w:gridSpan w:val="2"/>
          </w:tcPr>
          <w:p>
            <w:pPr>
              <w:ind w:left="160"/>
              <w:spacing w:after="0" w:line="180" w:lineRule="exact"/>
              <w:rPr>
                <w:sz w:val="20"/>
                <w:szCs w:val="20"/>
                <w:color w:val="auto"/>
              </w:rPr>
            </w:pPr>
            <w:r>
              <w:rPr>
                <w:rFonts w:ascii="Arial" w:cs="Arial" w:eastAsia="Arial" w:hAnsi="Arial"/>
                <w:sz w:val="16"/>
                <w:szCs w:val="16"/>
                <w:color w:val="auto"/>
              </w:rPr>
              <w:t>Proceeds from Second Lien Term Loan  . . . . . . .</w:t>
            </w:r>
          </w:p>
        </w:tc>
        <w:tc>
          <w:tcPr>
            <w:tcW w:w="100" w:type="dxa"/>
            <w:vAlign w:val="bottom"/>
          </w:tcPr>
          <w:p>
            <w:pPr>
              <w:spacing w:after="0"/>
              <w:rPr>
                <w:sz w:val="15"/>
                <w:szCs w:val="15"/>
                <w:color w:val="auto"/>
              </w:rPr>
            </w:pPr>
          </w:p>
        </w:tc>
        <w:tc>
          <w:tcPr>
            <w:tcW w:w="1140" w:type="dxa"/>
            <w:vAlign w:val="bottom"/>
            <w:gridSpan w:val="4"/>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060" w:type="dxa"/>
            <w:vAlign w:val="bottom"/>
            <w:gridSpan w:val="3"/>
          </w:tcPr>
          <w:p>
            <w:pPr>
              <w:jc w:val="right"/>
              <w:ind w:right="18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gridSpan w:val="3"/>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16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Arial" w:cs="Arial" w:eastAsia="Arial" w:hAnsi="Arial"/>
                <w:sz w:val="16"/>
                <w:szCs w:val="16"/>
                <w:color w:val="auto"/>
              </w:rPr>
              <w:t>200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00" w:type="dxa"/>
            <w:vAlign w:val="bottom"/>
            <w:gridSpan w:val="2"/>
          </w:tcPr>
          <w:p>
            <w:pPr>
              <w:ind w:left="160"/>
              <w:spacing w:after="0" w:line="180" w:lineRule="exact"/>
              <w:rPr>
                <w:sz w:val="20"/>
                <w:szCs w:val="20"/>
                <w:color w:val="auto"/>
              </w:rPr>
            </w:pPr>
            <w:r>
              <w:rPr>
                <w:rFonts w:ascii="Arial" w:cs="Arial" w:eastAsia="Arial" w:hAnsi="Arial"/>
                <w:sz w:val="16"/>
                <w:szCs w:val="16"/>
                <w:color w:val="auto"/>
              </w:rPr>
              <w:t>Debtor-in-possession financing costs  . . . . . . . . .</w:t>
            </w:r>
          </w:p>
        </w:tc>
        <w:tc>
          <w:tcPr>
            <w:tcW w:w="100" w:type="dxa"/>
            <w:vAlign w:val="bottom"/>
          </w:tcPr>
          <w:p>
            <w:pPr>
              <w:spacing w:after="0"/>
              <w:rPr>
                <w:sz w:val="15"/>
                <w:szCs w:val="15"/>
                <w:color w:val="auto"/>
              </w:rPr>
            </w:pPr>
          </w:p>
        </w:tc>
        <w:tc>
          <w:tcPr>
            <w:tcW w:w="1140" w:type="dxa"/>
            <w:vAlign w:val="bottom"/>
            <w:gridSpan w:val="4"/>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060" w:type="dxa"/>
            <w:vAlign w:val="bottom"/>
            <w:gridSpan w:val="3"/>
          </w:tcPr>
          <w:p>
            <w:pPr>
              <w:jc w:val="right"/>
              <w:ind w:right="18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gridSpan w:val="3"/>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16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80"/>
        </w:trPr>
        <w:tc>
          <w:tcPr>
            <w:tcW w:w="3700" w:type="dxa"/>
            <w:vAlign w:val="bottom"/>
            <w:gridSpan w:val="2"/>
          </w:tcPr>
          <w:p>
            <w:pPr>
              <w:ind w:left="160"/>
              <w:spacing w:after="0" w:line="180" w:lineRule="exact"/>
              <w:rPr>
                <w:sz w:val="20"/>
                <w:szCs w:val="20"/>
                <w:color w:val="auto"/>
              </w:rPr>
            </w:pPr>
            <w:r>
              <w:rPr>
                <w:rFonts w:ascii="Arial" w:cs="Arial" w:eastAsia="Arial" w:hAnsi="Arial"/>
                <w:sz w:val="16"/>
                <w:szCs w:val="16"/>
                <w:color w:val="auto"/>
              </w:rPr>
              <w:t>Proceeds from Senior Notes  . . . . . . . . . . . . . . . .</w:t>
            </w:r>
          </w:p>
        </w:tc>
        <w:tc>
          <w:tcPr>
            <w:tcW w:w="100" w:type="dxa"/>
            <w:vAlign w:val="bottom"/>
          </w:tcPr>
          <w:p>
            <w:pPr>
              <w:spacing w:after="0"/>
              <w:rPr>
                <w:sz w:val="15"/>
                <w:szCs w:val="15"/>
                <w:color w:val="auto"/>
              </w:rPr>
            </w:pPr>
          </w:p>
        </w:tc>
        <w:tc>
          <w:tcPr>
            <w:tcW w:w="1140" w:type="dxa"/>
            <w:vAlign w:val="bottom"/>
            <w:gridSpan w:val="4"/>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Arial" w:cs="Arial" w:eastAsia="Arial" w:hAnsi="Arial"/>
                <w:sz w:val="16"/>
                <w:szCs w:val="16"/>
                <w:color w:val="auto"/>
              </w:rPr>
              <w:t>600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gridSpan w:val="3"/>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16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3700" w:type="dxa"/>
            <w:vAlign w:val="bottom"/>
            <w:gridSpan w:val="2"/>
          </w:tcPr>
          <w:p>
            <w:pPr>
              <w:ind w:left="160"/>
              <w:spacing w:after="0" w:line="180" w:lineRule="exact"/>
              <w:rPr>
                <w:sz w:val="20"/>
                <w:szCs w:val="20"/>
                <w:color w:val="auto"/>
              </w:rPr>
            </w:pPr>
            <w:r>
              <w:rPr>
                <w:rFonts w:ascii="Arial" w:cs="Arial" w:eastAsia="Arial" w:hAnsi="Arial"/>
                <w:sz w:val="16"/>
                <w:szCs w:val="16"/>
                <w:color w:val="auto"/>
              </w:rPr>
              <w:t>Debt repurchases . . . . . . . . . . . . . . . . . . . . . . . . .</w:t>
            </w:r>
          </w:p>
        </w:tc>
        <w:tc>
          <w:tcPr>
            <w:tcW w:w="100" w:type="dxa"/>
            <w:vAlign w:val="bottom"/>
          </w:tcPr>
          <w:p>
            <w:pPr>
              <w:spacing w:after="0"/>
              <w:rPr>
                <w:sz w:val="15"/>
                <w:szCs w:val="15"/>
                <w:color w:val="auto"/>
              </w:rPr>
            </w:pPr>
          </w:p>
        </w:tc>
        <w:tc>
          <w:tcPr>
            <w:tcW w:w="1140" w:type="dxa"/>
            <w:vAlign w:val="bottom"/>
            <w:gridSpan w:val="4"/>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060" w:type="dxa"/>
            <w:vAlign w:val="bottom"/>
            <w:gridSpan w:val="3"/>
          </w:tcPr>
          <w:p>
            <w:pPr>
              <w:jc w:val="right"/>
              <w:ind w:right="18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gridSpan w:val="3"/>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16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43"/>
        </w:trPr>
        <w:tc>
          <w:tcPr>
            <w:tcW w:w="3700" w:type="dxa"/>
            <w:vAlign w:val="bottom"/>
            <w:gridSpan w:val="2"/>
            <w:vMerge w:val="restart"/>
          </w:tcPr>
          <w:p>
            <w:pPr>
              <w:ind w:left="160"/>
              <w:spacing w:after="0" w:line="180" w:lineRule="exact"/>
              <w:rPr>
                <w:sz w:val="20"/>
                <w:szCs w:val="20"/>
                <w:color w:val="auto"/>
              </w:rPr>
            </w:pPr>
            <w:r>
              <w:rPr>
                <w:rFonts w:ascii="Arial" w:cs="Arial" w:eastAsia="Arial" w:hAnsi="Arial"/>
                <w:sz w:val="16"/>
                <w:szCs w:val="16"/>
                <w:color w:val="auto"/>
              </w:rPr>
              <w:t>Debt issuance costs . . . . . . . . . . . . . . . . . . . . . . .</w:t>
            </w:r>
          </w:p>
        </w:tc>
        <w:tc>
          <w:tcPr>
            <w:tcW w:w="100" w:type="dxa"/>
            <w:vAlign w:val="bottom"/>
          </w:tcPr>
          <w:p>
            <w:pPr>
              <w:spacing w:after="0"/>
              <w:rPr>
                <w:sz w:val="12"/>
                <w:szCs w:val="12"/>
                <w:color w:val="auto"/>
              </w:rPr>
            </w:pPr>
          </w:p>
        </w:tc>
        <w:tc>
          <w:tcPr>
            <w:tcW w:w="1140" w:type="dxa"/>
            <w:vAlign w:val="bottom"/>
            <w:gridSpan w:val="4"/>
            <w:vMerge w:val="restart"/>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1060" w:type="dxa"/>
            <w:vAlign w:val="bottom"/>
            <w:gridSpan w:val="3"/>
            <w:vMerge w:val="restart"/>
          </w:tcPr>
          <w:p>
            <w:pPr>
              <w:jc w:val="right"/>
              <w:ind w:right="120"/>
              <w:spacing w:after="0" w:line="180" w:lineRule="exact"/>
              <w:rPr>
                <w:sz w:val="20"/>
                <w:szCs w:val="20"/>
                <w:color w:val="auto"/>
              </w:rPr>
            </w:pPr>
            <w:r>
              <w:rPr>
                <w:rFonts w:ascii="Arial" w:cs="Arial" w:eastAsia="Arial" w:hAnsi="Arial"/>
                <w:sz w:val="16"/>
                <w:szCs w:val="16"/>
                <w:color w:val="auto"/>
              </w:rPr>
              <w:t>(13)</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gridSpan w:val="3"/>
            <w:vMerge w:val="restart"/>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160" w:type="dxa"/>
            <w:vAlign w:val="bottom"/>
            <w:tcBorders>
              <w:lef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jc w:val="right"/>
              <w:spacing w:after="0" w:line="180"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7"/>
        </w:trPr>
        <w:tc>
          <w:tcPr>
            <w:tcW w:w="37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gridSpan w:val="4"/>
            <w:vMerge w:val="continue"/>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0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880" w:h="15480" w:orient="portrait"/>
          <w:cols w:equalWidth="0" w:num="1">
            <w:col w:w="9160"/>
          </w:cols>
          <w:pgMar w:left="1380" w:top="1310" w:right="1340" w:bottom="695" w:gutter="0" w:footer="0" w:header="0"/>
        </w:sect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98</w:t>
      </w:r>
    </w:p>
    <w:p>
      <w:pPr>
        <w:sectPr>
          <w:pgSz w:w="11880" w:h="15480" w:orient="portrait"/>
          <w:cols w:equalWidth="0" w:num="1">
            <w:col w:w="9160"/>
          </w:cols>
          <w:pgMar w:left="1380" w:top="1310" w:right="1340" w:bottom="695"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207"/>
        </w:trPr>
        <w:tc>
          <w:tcPr>
            <w:tcW w:w="3640" w:type="dxa"/>
            <w:vAlign w:val="bottom"/>
          </w:tcPr>
          <w:p>
            <w:pPr>
              <w:ind w:left="160"/>
              <w:spacing w:after="0"/>
              <w:rPr>
                <w:sz w:val="20"/>
                <w:szCs w:val="20"/>
                <w:color w:val="auto"/>
              </w:rPr>
            </w:pPr>
            <w:r>
              <w:rPr>
                <w:rFonts w:ascii="Arial" w:cs="Arial" w:eastAsia="Arial" w:hAnsi="Arial"/>
                <w:sz w:val="16"/>
                <w:szCs w:val="16"/>
                <w:color w:val="auto"/>
              </w:rPr>
              <w:t>Repayment of Second Lien Term Loan  . . . . . . .</w:t>
            </w:r>
          </w:p>
        </w:tc>
        <w:tc>
          <w:tcPr>
            <w:tcW w:w="4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(200)</w:t>
            </w:r>
          </w:p>
        </w:tc>
        <w:tc>
          <w:tcPr>
            <w:tcW w:w="62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3640" w:type="dxa"/>
            <w:vAlign w:val="bottom"/>
          </w:tcPr>
          <w:p>
            <w:pPr>
              <w:ind w:left="160"/>
              <w:spacing w:after="0" w:line="180" w:lineRule="exact"/>
              <w:rPr>
                <w:sz w:val="20"/>
                <w:szCs w:val="20"/>
                <w:color w:val="auto"/>
              </w:rPr>
            </w:pPr>
            <w:r>
              <w:rPr>
                <w:rFonts w:ascii="Arial" w:cs="Arial" w:eastAsia="Arial" w:hAnsi="Arial"/>
                <w:sz w:val="16"/>
                <w:szCs w:val="16"/>
                <w:color w:val="auto"/>
              </w:rPr>
              <w:t>Repayment of EHP Notes . . . . . . . . . . . . . . . . . .</w:t>
            </w:r>
          </w:p>
        </w:tc>
        <w:tc>
          <w:tcPr>
            <w:tcW w:w="420" w:type="dxa"/>
            <w:vAlign w:val="bottom"/>
          </w:tcPr>
          <w:p>
            <w:pPr>
              <w:spacing w:after="0"/>
              <w:rPr>
                <w:sz w:val="15"/>
                <w:szCs w:val="15"/>
                <w:color w:val="auto"/>
              </w:rPr>
            </w:pPr>
          </w:p>
        </w:tc>
        <w:tc>
          <w:tcPr>
            <w:tcW w:w="820" w:type="dxa"/>
            <w:vAlign w:val="bottom"/>
            <w:gridSpan w:val="2"/>
          </w:tcPr>
          <w:p>
            <w:pPr>
              <w:jc w:val="right"/>
              <w:ind w:right="220"/>
              <w:spacing w:after="0" w:line="180" w:lineRule="exact"/>
              <w:rPr>
                <w:sz w:val="20"/>
                <w:szCs w:val="20"/>
                <w:color w:val="auto"/>
              </w:rPr>
            </w:pPr>
            <w:r>
              <w:rPr>
                <w:rFonts w:ascii="Arial" w:cs="Arial" w:eastAsia="Arial" w:hAnsi="Arial"/>
                <w:sz w:val="16"/>
                <w:szCs w:val="16"/>
                <w:color w:val="auto"/>
              </w:rPr>
              <w:t>—</w:t>
            </w:r>
          </w:p>
        </w:tc>
        <w:tc>
          <w:tcPr>
            <w:tcW w:w="420" w:type="dxa"/>
            <w:vAlign w:val="bottom"/>
          </w:tcPr>
          <w:p>
            <w:pPr>
              <w:spacing w:after="0"/>
              <w:rPr>
                <w:sz w:val="15"/>
                <w:szCs w:val="15"/>
                <w:color w:val="auto"/>
              </w:rPr>
            </w:pPr>
          </w:p>
        </w:tc>
        <w:tc>
          <w:tcPr>
            <w:tcW w:w="820" w:type="dxa"/>
            <w:vAlign w:val="bottom"/>
            <w:gridSpan w:val="2"/>
          </w:tcPr>
          <w:p>
            <w:pPr>
              <w:jc w:val="right"/>
              <w:ind w:right="160"/>
              <w:spacing w:after="0" w:line="180" w:lineRule="exact"/>
              <w:rPr>
                <w:sz w:val="20"/>
                <w:szCs w:val="20"/>
                <w:color w:val="auto"/>
              </w:rPr>
            </w:pPr>
            <w:r>
              <w:rPr>
                <w:rFonts w:ascii="Arial" w:cs="Arial" w:eastAsia="Arial" w:hAnsi="Arial"/>
                <w:sz w:val="16"/>
                <w:szCs w:val="16"/>
                <w:color w:val="auto"/>
              </w:rPr>
              <w:t>(300)</w:t>
            </w:r>
          </w:p>
        </w:tc>
        <w:tc>
          <w:tcPr>
            <w:tcW w:w="620" w:type="dxa"/>
            <w:vAlign w:val="bottom"/>
          </w:tcPr>
          <w:p>
            <w:pPr>
              <w:spacing w:after="0"/>
              <w:rPr>
                <w:sz w:val="15"/>
                <w:szCs w:val="15"/>
                <w:color w:val="auto"/>
              </w:rPr>
            </w:pPr>
          </w:p>
        </w:tc>
        <w:tc>
          <w:tcPr>
            <w:tcW w:w="920" w:type="dxa"/>
            <w:vAlign w:val="bottom"/>
            <w:tcBorders>
              <w:right w:val="single" w:sz="8" w:color="auto"/>
            </w:tcBorders>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3640" w:type="dxa"/>
            <w:vAlign w:val="bottom"/>
          </w:tcPr>
          <w:p>
            <w:pPr>
              <w:ind w:left="160"/>
              <w:spacing w:after="0" w:line="180" w:lineRule="exact"/>
              <w:rPr>
                <w:sz w:val="20"/>
                <w:szCs w:val="20"/>
                <w:color w:val="auto"/>
              </w:rPr>
            </w:pPr>
            <w:r>
              <w:rPr>
                <w:rFonts w:ascii="Arial" w:cs="Arial" w:eastAsia="Arial" w:hAnsi="Arial"/>
                <w:sz w:val="16"/>
                <w:szCs w:val="16"/>
                <w:color w:val="auto"/>
              </w:rPr>
              <w:t>Repayment of 2020 Senior Notes . . . . . . . . . . . .</w:t>
            </w:r>
          </w:p>
        </w:tc>
        <w:tc>
          <w:tcPr>
            <w:tcW w:w="420" w:type="dxa"/>
            <w:vAlign w:val="bottom"/>
          </w:tcPr>
          <w:p>
            <w:pPr>
              <w:spacing w:after="0"/>
              <w:rPr>
                <w:sz w:val="15"/>
                <w:szCs w:val="15"/>
                <w:color w:val="auto"/>
              </w:rPr>
            </w:pPr>
          </w:p>
        </w:tc>
        <w:tc>
          <w:tcPr>
            <w:tcW w:w="820" w:type="dxa"/>
            <w:vAlign w:val="bottom"/>
            <w:gridSpan w:val="2"/>
          </w:tcPr>
          <w:p>
            <w:pPr>
              <w:jc w:val="right"/>
              <w:ind w:right="220"/>
              <w:spacing w:after="0" w:line="180" w:lineRule="exact"/>
              <w:rPr>
                <w:sz w:val="20"/>
                <w:szCs w:val="20"/>
                <w:color w:val="auto"/>
              </w:rPr>
            </w:pPr>
            <w:r>
              <w:rPr>
                <w:rFonts w:ascii="Arial" w:cs="Arial" w:eastAsia="Arial" w:hAnsi="Arial"/>
                <w:sz w:val="16"/>
                <w:szCs w:val="16"/>
                <w:color w:val="auto"/>
              </w:rPr>
              <w:t>—</w:t>
            </w:r>
          </w:p>
        </w:tc>
        <w:tc>
          <w:tcPr>
            <w:tcW w:w="420" w:type="dxa"/>
            <w:vAlign w:val="bottom"/>
          </w:tcPr>
          <w:p>
            <w:pPr>
              <w:spacing w:after="0"/>
              <w:rPr>
                <w:sz w:val="15"/>
                <w:szCs w:val="15"/>
                <w:color w:val="auto"/>
              </w:rPr>
            </w:pPr>
          </w:p>
        </w:tc>
        <w:tc>
          <w:tcPr>
            <w:tcW w:w="82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rPr>
              <w:t>—</w:t>
            </w:r>
          </w:p>
        </w:tc>
        <w:tc>
          <w:tcPr>
            <w:tcW w:w="620" w:type="dxa"/>
            <w:vAlign w:val="bottom"/>
          </w:tcPr>
          <w:p>
            <w:pPr>
              <w:spacing w:after="0"/>
              <w:rPr>
                <w:sz w:val="15"/>
                <w:szCs w:val="15"/>
                <w:color w:val="auto"/>
              </w:rPr>
            </w:pPr>
          </w:p>
        </w:tc>
        <w:tc>
          <w:tcPr>
            <w:tcW w:w="920" w:type="dxa"/>
            <w:vAlign w:val="bottom"/>
            <w:tcBorders>
              <w:right w:val="single" w:sz="8" w:color="auto"/>
            </w:tcBorders>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80"/>
        </w:trPr>
        <w:tc>
          <w:tcPr>
            <w:tcW w:w="3640" w:type="dxa"/>
            <w:vAlign w:val="bottom"/>
          </w:tcPr>
          <w:p>
            <w:pPr>
              <w:ind w:left="160"/>
              <w:spacing w:after="0" w:line="180" w:lineRule="exact"/>
              <w:rPr>
                <w:sz w:val="20"/>
                <w:szCs w:val="20"/>
                <w:color w:val="auto"/>
              </w:rPr>
            </w:pPr>
            <w:r>
              <w:rPr>
                <w:rFonts w:ascii="Arial" w:cs="Arial" w:eastAsia="Arial" w:hAnsi="Arial"/>
                <w:sz w:val="16"/>
                <w:szCs w:val="16"/>
                <w:color w:val="auto"/>
              </w:rPr>
              <w:t>Contributions from noncontrolling interest</w:t>
            </w: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40" w:type="dxa"/>
            <w:vAlign w:val="bottom"/>
          </w:tcPr>
          <w:p>
            <w:pPr>
              <w:ind w:left="160"/>
              <w:spacing w:after="0" w:line="180" w:lineRule="exact"/>
              <w:rPr>
                <w:sz w:val="20"/>
                <w:szCs w:val="20"/>
                <w:color w:val="auto"/>
              </w:rPr>
            </w:pPr>
            <w:r>
              <w:rPr>
                <w:rFonts w:ascii="Arial" w:cs="Arial" w:eastAsia="Arial" w:hAnsi="Arial"/>
                <w:sz w:val="16"/>
                <w:szCs w:val="16"/>
                <w:color w:val="auto"/>
                <w:w w:val="99"/>
              </w:rPr>
              <w:t>holders . . . . . . . . . . . . . . . . . . . . . . . . . . . . . . . . .</w:t>
            </w:r>
          </w:p>
        </w:tc>
        <w:tc>
          <w:tcPr>
            <w:tcW w:w="420" w:type="dxa"/>
            <w:vAlign w:val="bottom"/>
          </w:tcPr>
          <w:p>
            <w:pPr>
              <w:spacing w:after="0"/>
              <w:rPr>
                <w:sz w:val="15"/>
                <w:szCs w:val="15"/>
                <w:color w:val="auto"/>
              </w:rPr>
            </w:pPr>
          </w:p>
        </w:tc>
        <w:tc>
          <w:tcPr>
            <w:tcW w:w="820" w:type="dxa"/>
            <w:vAlign w:val="bottom"/>
            <w:gridSpan w:val="2"/>
          </w:tcPr>
          <w:p>
            <w:pPr>
              <w:jc w:val="right"/>
              <w:ind w:right="220"/>
              <w:spacing w:after="0" w:line="180" w:lineRule="exact"/>
              <w:rPr>
                <w:sz w:val="20"/>
                <w:szCs w:val="20"/>
                <w:color w:val="auto"/>
              </w:rPr>
            </w:pPr>
            <w:r>
              <w:rPr>
                <w:rFonts w:ascii="Arial" w:cs="Arial" w:eastAsia="Arial" w:hAnsi="Arial"/>
                <w:sz w:val="16"/>
                <w:szCs w:val="16"/>
                <w:color w:val="auto"/>
              </w:rPr>
              <w:t>—</w:t>
            </w:r>
          </w:p>
        </w:tc>
        <w:tc>
          <w:tcPr>
            <w:tcW w:w="420" w:type="dxa"/>
            <w:vAlign w:val="bottom"/>
          </w:tcPr>
          <w:p>
            <w:pPr>
              <w:spacing w:after="0"/>
              <w:rPr>
                <w:sz w:val="15"/>
                <w:szCs w:val="15"/>
                <w:color w:val="auto"/>
              </w:rPr>
            </w:pPr>
          </w:p>
        </w:tc>
        <w:tc>
          <w:tcPr>
            <w:tcW w:w="82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rPr>
              <w:t>—</w:t>
            </w:r>
          </w:p>
        </w:tc>
        <w:tc>
          <w:tcPr>
            <w:tcW w:w="620" w:type="dxa"/>
            <w:vAlign w:val="bottom"/>
          </w:tcPr>
          <w:p>
            <w:pPr>
              <w:spacing w:after="0"/>
              <w:rPr>
                <w:sz w:val="15"/>
                <w:szCs w:val="15"/>
                <w:color w:val="auto"/>
              </w:rPr>
            </w:pPr>
          </w:p>
        </w:tc>
        <w:tc>
          <w:tcPr>
            <w:tcW w:w="920" w:type="dxa"/>
            <w:vAlign w:val="bottom"/>
            <w:tcBorders>
              <w:right w:val="single" w:sz="8" w:color="auto"/>
            </w:tcBorders>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3640" w:type="dxa"/>
            <w:vAlign w:val="bottom"/>
          </w:tcPr>
          <w:p>
            <w:pPr>
              <w:ind w:left="160"/>
              <w:spacing w:after="0" w:line="180" w:lineRule="exact"/>
              <w:rPr>
                <w:sz w:val="20"/>
                <w:szCs w:val="20"/>
                <w:color w:val="auto"/>
              </w:rPr>
            </w:pPr>
            <w:r>
              <w:rPr>
                <w:rFonts w:ascii="Arial" w:cs="Arial" w:eastAsia="Arial" w:hAnsi="Arial"/>
                <w:sz w:val="16"/>
                <w:szCs w:val="16"/>
                <w:color w:val="auto"/>
              </w:rPr>
              <w:t>Distributions to noncontrolling interest</w:t>
            </w: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40" w:type="dxa"/>
            <w:vAlign w:val="bottom"/>
          </w:tcPr>
          <w:p>
            <w:pPr>
              <w:ind w:left="160"/>
              <w:spacing w:after="0" w:line="180" w:lineRule="exact"/>
              <w:rPr>
                <w:sz w:val="20"/>
                <w:szCs w:val="20"/>
                <w:color w:val="auto"/>
              </w:rPr>
            </w:pPr>
            <w:r>
              <w:rPr>
                <w:rFonts w:ascii="Arial" w:cs="Arial" w:eastAsia="Arial" w:hAnsi="Arial"/>
                <w:sz w:val="16"/>
                <w:szCs w:val="16"/>
                <w:color w:val="auto"/>
                <w:w w:val="99"/>
              </w:rPr>
              <w:t>holders . . . . . . . . . . . . . . . . . . . . . . . . . . . . . . . . .</w:t>
            </w:r>
          </w:p>
        </w:tc>
        <w:tc>
          <w:tcPr>
            <w:tcW w:w="420" w:type="dxa"/>
            <w:vAlign w:val="bottom"/>
          </w:tcPr>
          <w:p>
            <w:pPr>
              <w:spacing w:after="0"/>
              <w:rPr>
                <w:sz w:val="15"/>
                <w:szCs w:val="15"/>
                <w:color w:val="auto"/>
              </w:rPr>
            </w:pPr>
          </w:p>
        </w:tc>
        <w:tc>
          <w:tcPr>
            <w:tcW w:w="820" w:type="dxa"/>
            <w:vAlign w:val="bottom"/>
            <w:gridSpan w:val="2"/>
          </w:tcPr>
          <w:p>
            <w:pPr>
              <w:jc w:val="right"/>
              <w:ind w:right="220"/>
              <w:spacing w:after="0" w:line="180" w:lineRule="exact"/>
              <w:rPr>
                <w:sz w:val="20"/>
                <w:szCs w:val="20"/>
                <w:color w:val="auto"/>
              </w:rPr>
            </w:pPr>
            <w:r>
              <w:rPr>
                <w:rFonts w:ascii="Arial" w:cs="Arial" w:eastAsia="Arial" w:hAnsi="Arial"/>
                <w:sz w:val="16"/>
                <w:szCs w:val="16"/>
                <w:color w:val="auto"/>
              </w:rPr>
              <w:t>—</w:t>
            </w:r>
          </w:p>
        </w:tc>
        <w:tc>
          <w:tcPr>
            <w:tcW w:w="420" w:type="dxa"/>
            <w:vAlign w:val="bottom"/>
          </w:tcPr>
          <w:p>
            <w:pPr>
              <w:spacing w:after="0"/>
              <w:rPr>
                <w:sz w:val="15"/>
                <w:szCs w:val="15"/>
                <w:color w:val="auto"/>
              </w:rPr>
            </w:pPr>
          </w:p>
        </w:tc>
        <w:tc>
          <w:tcPr>
            <w:tcW w:w="820" w:type="dxa"/>
            <w:vAlign w:val="bottom"/>
            <w:gridSpan w:val="2"/>
          </w:tcPr>
          <w:p>
            <w:pPr>
              <w:jc w:val="right"/>
              <w:ind w:right="160"/>
              <w:spacing w:after="0" w:line="180" w:lineRule="exact"/>
              <w:rPr>
                <w:sz w:val="20"/>
                <w:szCs w:val="20"/>
                <w:color w:val="auto"/>
              </w:rPr>
            </w:pPr>
            <w:r>
              <w:rPr>
                <w:rFonts w:ascii="Arial" w:cs="Arial" w:eastAsia="Arial" w:hAnsi="Arial"/>
                <w:sz w:val="16"/>
                <w:szCs w:val="16"/>
                <w:color w:val="auto"/>
              </w:rPr>
              <w:t>(50)</w:t>
            </w:r>
          </w:p>
        </w:tc>
        <w:tc>
          <w:tcPr>
            <w:tcW w:w="620" w:type="dxa"/>
            <w:vAlign w:val="bottom"/>
          </w:tcPr>
          <w:p>
            <w:pPr>
              <w:spacing w:after="0"/>
              <w:rPr>
                <w:sz w:val="15"/>
                <w:szCs w:val="15"/>
                <w:color w:val="auto"/>
              </w:rPr>
            </w:pPr>
          </w:p>
        </w:tc>
        <w:tc>
          <w:tcPr>
            <w:tcW w:w="920" w:type="dxa"/>
            <w:vAlign w:val="bottom"/>
            <w:tcBorders>
              <w:right w:val="single" w:sz="8" w:color="auto"/>
            </w:tcBorders>
            <w:gridSpan w:val="2"/>
          </w:tcPr>
          <w:p>
            <w:pPr>
              <w:jc w:val="right"/>
              <w:ind w:right="60"/>
              <w:spacing w:after="0" w:line="180" w:lineRule="exact"/>
              <w:rPr>
                <w:sz w:val="20"/>
                <w:szCs w:val="20"/>
                <w:color w:val="auto"/>
              </w:rPr>
            </w:pPr>
            <w:r>
              <w:rPr>
                <w:rFonts w:ascii="Arial" w:cs="Arial" w:eastAsia="Arial" w:hAnsi="Arial"/>
                <w:sz w:val="16"/>
                <w:szCs w:val="16"/>
                <w:color w:val="auto"/>
              </w:rPr>
              <w:t>(30)</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180"/>
        </w:trPr>
        <w:tc>
          <w:tcPr>
            <w:tcW w:w="3640" w:type="dxa"/>
            <w:vAlign w:val="bottom"/>
          </w:tcPr>
          <w:p>
            <w:pPr>
              <w:ind w:left="160"/>
              <w:spacing w:after="0" w:line="180" w:lineRule="exact"/>
              <w:rPr>
                <w:sz w:val="20"/>
                <w:szCs w:val="20"/>
                <w:color w:val="auto"/>
              </w:rPr>
            </w:pPr>
            <w:r>
              <w:rPr>
                <w:rFonts w:ascii="Arial" w:cs="Arial" w:eastAsia="Arial" w:hAnsi="Arial"/>
                <w:sz w:val="16"/>
                <w:szCs w:val="16"/>
                <w:color w:val="auto"/>
              </w:rPr>
              <w:t>Repurchases of common stock . . . . . . . . . . . . . .</w:t>
            </w:r>
          </w:p>
        </w:tc>
        <w:tc>
          <w:tcPr>
            <w:tcW w:w="420" w:type="dxa"/>
            <w:vAlign w:val="bottom"/>
          </w:tcPr>
          <w:p>
            <w:pPr>
              <w:spacing w:after="0"/>
              <w:rPr>
                <w:sz w:val="15"/>
                <w:szCs w:val="15"/>
                <w:color w:val="auto"/>
              </w:rPr>
            </w:pPr>
          </w:p>
        </w:tc>
        <w:tc>
          <w:tcPr>
            <w:tcW w:w="820" w:type="dxa"/>
            <w:vAlign w:val="bottom"/>
            <w:gridSpan w:val="2"/>
          </w:tcPr>
          <w:p>
            <w:pPr>
              <w:jc w:val="right"/>
              <w:ind w:right="160"/>
              <w:spacing w:after="0" w:line="180" w:lineRule="exact"/>
              <w:rPr>
                <w:sz w:val="20"/>
                <w:szCs w:val="20"/>
                <w:color w:val="auto"/>
              </w:rPr>
            </w:pPr>
            <w:r>
              <w:rPr>
                <w:rFonts w:ascii="Arial" w:cs="Arial" w:eastAsia="Arial" w:hAnsi="Arial"/>
                <w:sz w:val="16"/>
                <w:szCs w:val="16"/>
                <w:color w:val="auto"/>
              </w:rPr>
              <w:t>(313)</w:t>
            </w:r>
          </w:p>
        </w:tc>
        <w:tc>
          <w:tcPr>
            <w:tcW w:w="420" w:type="dxa"/>
            <w:vAlign w:val="bottom"/>
          </w:tcPr>
          <w:p>
            <w:pPr>
              <w:spacing w:after="0"/>
              <w:rPr>
                <w:sz w:val="15"/>
                <w:szCs w:val="15"/>
                <w:color w:val="auto"/>
              </w:rPr>
            </w:pPr>
          </w:p>
        </w:tc>
        <w:tc>
          <w:tcPr>
            <w:tcW w:w="820" w:type="dxa"/>
            <w:vAlign w:val="bottom"/>
            <w:gridSpan w:val="2"/>
          </w:tcPr>
          <w:p>
            <w:pPr>
              <w:jc w:val="right"/>
              <w:ind w:right="160"/>
              <w:spacing w:after="0" w:line="180" w:lineRule="exact"/>
              <w:rPr>
                <w:sz w:val="20"/>
                <w:szCs w:val="20"/>
                <w:color w:val="auto"/>
              </w:rPr>
            </w:pPr>
            <w:r>
              <w:rPr>
                <w:rFonts w:ascii="Arial" w:cs="Arial" w:eastAsia="Arial" w:hAnsi="Arial"/>
                <w:sz w:val="16"/>
                <w:szCs w:val="16"/>
                <w:color w:val="auto"/>
              </w:rPr>
              <w:t>(148)</w:t>
            </w:r>
          </w:p>
        </w:tc>
        <w:tc>
          <w:tcPr>
            <w:tcW w:w="620" w:type="dxa"/>
            <w:vAlign w:val="bottom"/>
          </w:tcPr>
          <w:p>
            <w:pPr>
              <w:spacing w:after="0"/>
              <w:rPr>
                <w:sz w:val="15"/>
                <w:szCs w:val="15"/>
                <w:color w:val="auto"/>
              </w:rPr>
            </w:pPr>
          </w:p>
        </w:tc>
        <w:tc>
          <w:tcPr>
            <w:tcW w:w="920" w:type="dxa"/>
            <w:vAlign w:val="bottom"/>
            <w:tcBorders>
              <w:right w:val="single" w:sz="8" w:color="auto"/>
            </w:tcBorders>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3640" w:type="dxa"/>
            <w:vAlign w:val="bottom"/>
          </w:tcPr>
          <w:p>
            <w:pPr>
              <w:ind w:left="160"/>
              <w:spacing w:after="0" w:line="180" w:lineRule="exact"/>
              <w:rPr>
                <w:sz w:val="20"/>
                <w:szCs w:val="20"/>
                <w:color w:val="auto"/>
              </w:rPr>
            </w:pPr>
            <w:r>
              <w:rPr>
                <w:rFonts w:ascii="Arial" w:cs="Arial" w:eastAsia="Arial" w:hAnsi="Arial"/>
                <w:sz w:val="16"/>
                <w:szCs w:val="16"/>
                <w:color w:val="auto"/>
              </w:rPr>
              <w:t>Common stock dividends  . . . . . . . . . . . . . . . . . .</w:t>
            </w:r>
          </w:p>
        </w:tc>
        <w:tc>
          <w:tcPr>
            <w:tcW w:w="420" w:type="dxa"/>
            <w:vAlign w:val="bottom"/>
          </w:tcPr>
          <w:p>
            <w:pPr>
              <w:spacing w:after="0"/>
              <w:rPr>
                <w:sz w:val="15"/>
                <w:szCs w:val="15"/>
                <w:color w:val="auto"/>
              </w:rPr>
            </w:pPr>
          </w:p>
        </w:tc>
        <w:tc>
          <w:tcPr>
            <w:tcW w:w="820" w:type="dxa"/>
            <w:vAlign w:val="bottom"/>
            <w:gridSpan w:val="2"/>
          </w:tcPr>
          <w:p>
            <w:pPr>
              <w:jc w:val="right"/>
              <w:ind w:right="160"/>
              <w:spacing w:after="0" w:line="180" w:lineRule="exact"/>
              <w:rPr>
                <w:sz w:val="20"/>
                <w:szCs w:val="20"/>
                <w:color w:val="auto"/>
              </w:rPr>
            </w:pPr>
            <w:r>
              <w:rPr>
                <w:rFonts w:ascii="Arial" w:cs="Arial" w:eastAsia="Arial" w:hAnsi="Arial"/>
                <w:sz w:val="16"/>
                <w:szCs w:val="16"/>
                <w:color w:val="auto"/>
              </w:rPr>
              <w:t>(59)</w:t>
            </w:r>
          </w:p>
        </w:tc>
        <w:tc>
          <w:tcPr>
            <w:tcW w:w="420" w:type="dxa"/>
            <w:vAlign w:val="bottom"/>
          </w:tcPr>
          <w:p>
            <w:pPr>
              <w:spacing w:after="0"/>
              <w:rPr>
                <w:sz w:val="15"/>
                <w:szCs w:val="15"/>
                <w:color w:val="auto"/>
              </w:rPr>
            </w:pPr>
          </w:p>
        </w:tc>
        <w:tc>
          <w:tcPr>
            <w:tcW w:w="820" w:type="dxa"/>
            <w:vAlign w:val="bottom"/>
            <w:gridSpan w:val="2"/>
          </w:tcPr>
          <w:p>
            <w:pPr>
              <w:jc w:val="right"/>
              <w:ind w:right="160"/>
              <w:spacing w:after="0" w:line="180" w:lineRule="exact"/>
              <w:rPr>
                <w:sz w:val="20"/>
                <w:szCs w:val="20"/>
                <w:color w:val="auto"/>
              </w:rPr>
            </w:pPr>
            <w:r>
              <w:rPr>
                <w:rFonts w:ascii="Arial" w:cs="Arial" w:eastAsia="Arial" w:hAnsi="Arial"/>
                <w:sz w:val="16"/>
                <w:szCs w:val="16"/>
                <w:color w:val="auto"/>
              </w:rPr>
              <w:t>(14)</w:t>
            </w:r>
          </w:p>
        </w:tc>
        <w:tc>
          <w:tcPr>
            <w:tcW w:w="620" w:type="dxa"/>
            <w:vAlign w:val="bottom"/>
          </w:tcPr>
          <w:p>
            <w:pPr>
              <w:spacing w:after="0"/>
              <w:rPr>
                <w:sz w:val="15"/>
                <w:szCs w:val="15"/>
                <w:color w:val="auto"/>
              </w:rPr>
            </w:pPr>
          </w:p>
        </w:tc>
        <w:tc>
          <w:tcPr>
            <w:tcW w:w="920" w:type="dxa"/>
            <w:vAlign w:val="bottom"/>
            <w:tcBorders>
              <w:right w:val="single" w:sz="8" w:color="auto"/>
            </w:tcBorders>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3640" w:type="dxa"/>
            <w:vAlign w:val="bottom"/>
          </w:tcPr>
          <w:p>
            <w:pPr>
              <w:ind w:left="160"/>
              <w:spacing w:after="0" w:line="180" w:lineRule="exact"/>
              <w:rPr>
                <w:sz w:val="20"/>
                <w:szCs w:val="20"/>
                <w:color w:val="auto"/>
              </w:rPr>
            </w:pPr>
            <w:r>
              <w:rPr>
                <w:rFonts w:ascii="Arial" w:cs="Arial" w:eastAsia="Arial" w:hAnsi="Arial"/>
                <w:sz w:val="16"/>
                <w:szCs w:val="16"/>
                <w:color w:val="auto"/>
              </w:rPr>
              <w:t>Acquisition of noncontrolling interest in</w:t>
            </w: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40" w:type="dxa"/>
            <w:vAlign w:val="bottom"/>
          </w:tcPr>
          <w:p>
            <w:pPr>
              <w:ind w:left="160"/>
              <w:spacing w:after="0" w:line="180" w:lineRule="exact"/>
              <w:rPr>
                <w:sz w:val="20"/>
                <w:szCs w:val="20"/>
                <w:color w:val="auto"/>
              </w:rPr>
            </w:pPr>
            <w:r>
              <w:rPr>
                <w:rFonts w:ascii="Arial" w:cs="Arial" w:eastAsia="Arial" w:hAnsi="Arial"/>
                <w:sz w:val="16"/>
                <w:szCs w:val="16"/>
                <w:color w:val="auto"/>
              </w:rPr>
              <w:t>connection with the Plan . . . . . . . . . . . . . . . . . . .</w:t>
            </w:r>
          </w:p>
        </w:tc>
        <w:tc>
          <w:tcPr>
            <w:tcW w:w="420" w:type="dxa"/>
            <w:vAlign w:val="bottom"/>
          </w:tcPr>
          <w:p>
            <w:pPr>
              <w:spacing w:after="0"/>
              <w:rPr>
                <w:sz w:val="15"/>
                <w:szCs w:val="15"/>
                <w:color w:val="auto"/>
              </w:rPr>
            </w:pPr>
          </w:p>
        </w:tc>
        <w:tc>
          <w:tcPr>
            <w:tcW w:w="820" w:type="dxa"/>
            <w:vAlign w:val="bottom"/>
            <w:gridSpan w:val="2"/>
          </w:tcPr>
          <w:p>
            <w:pPr>
              <w:jc w:val="right"/>
              <w:ind w:right="220"/>
              <w:spacing w:after="0" w:line="180" w:lineRule="exact"/>
              <w:rPr>
                <w:sz w:val="20"/>
                <w:szCs w:val="20"/>
                <w:color w:val="auto"/>
              </w:rPr>
            </w:pPr>
            <w:r>
              <w:rPr>
                <w:rFonts w:ascii="Arial" w:cs="Arial" w:eastAsia="Arial" w:hAnsi="Arial"/>
                <w:sz w:val="16"/>
                <w:szCs w:val="16"/>
                <w:color w:val="auto"/>
              </w:rPr>
              <w:t>—</w:t>
            </w:r>
          </w:p>
        </w:tc>
        <w:tc>
          <w:tcPr>
            <w:tcW w:w="420" w:type="dxa"/>
            <w:vAlign w:val="bottom"/>
          </w:tcPr>
          <w:p>
            <w:pPr>
              <w:spacing w:after="0"/>
              <w:rPr>
                <w:sz w:val="15"/>
                <w:szCs w:val="15"/>
                <w:color w:val="auto"/>
              </w:rPr>
            </w:pPr>
          </w:p>
        </w:tc>
        <w:tc>
          <w:tcPr>
            <w:tcW w:w="82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rPr>
              <w:t>—</w:t>
            </w:r>
          </w:p>
        </w:tc>
        <w:tc>
          <w:tcPr>
            <w:tcW w:w="620" w:type="dxa"/>
            <w:vAlign w:val="bottom"/>
          </w:tcPr>
          <w:p>
            <w:pPr>
              <w:spacing w:after="0"/>
              <w:rPr>
                <w:sz w:val="15"/>
                <w:szCs w:val="15"/>
                <w:color w:val="auto"/>
              </w:rPr>
            </w:pPr>
          </w:p>
        </w:tc>
        <w:tc>
          <w:tcPr>
            <w:tcW w:w="920" w:type="dxa"/>
            <w:vAlign w:val="bottom"/>
            <w:tcBorders>
              <w:right w:val="single" w:sz="8" w:color="auto"/>
            </w:tcBorders>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0"/>
        </w:trPr>
        <w:tc>
          <w:tcPr>
            <w:tcW w:w="3640" w:type="dxa"/>
            <w:vAlign w:val="bottom"/>
          </w:tcPr>
          <w:p>
            <w:pPr>
              <w:ind w:left="160"/>
              <w:spacing w:after="0" w:line="180" w:lineRule="exact"/>
              <w:rPr>
                <w:sz w:val="20"/>
                <w:szCs w:val="20"/>
                <w:color w:val="auto"/>
              </w:rPr>
            </w:pPr>
            <w:r>
              <w:rPr>
                <w:rFonts w:ascii="Arial" w:cs="Arial" w:eastAsia="Arial" w:hAnsi="Arial"/>
                <w:sz w:val="16"/>
                <w:szCs w:val="16"/>
                <w:color w:val="auto"/>
              </w:rPr>
              <w:t>Issuance of common stock . . . . . . . . . . . . . . . . .</w:t>
            </w:r>
          </w:p>
        </w:tc>
        <w:tc>
          <w:tcPr>
            <w:tcW w:w="42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Arial" w:cs="Arial" w:eastAsia="Arial" w:hAnsi="Arial"/>
                <w:sz w:val="16"/>
                <w:szCs w:val="16"/>
                <w:color w:val="auto"/>
              </w:rPr>
              <w:t>1</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Arial" w:cs="Arial" w:eastAsia="Arial" w:hAnsi="Arial"/>
                <w:sz w:val="16"/>
                <w:szCs w:val="16"/>
                <w:color w:val="auto"/>
              </w:rPr>
              <w:t>2</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Borders>
              <w:right w:val="single" w:sz="8" w:color="auto"/>
            </w:tcBorders>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180"/>
        </w:trPr>
        <w:tc>
          <w:tcPr>
            <w:tcW w:w="3640" w:type="dxa"/>
            <w:vAlign w:val="bottom"/>
          </w:tcPr>
          <w:p>
            <w:pPr>
              <w:ind w:left="160"/>
              <w:spacing w:after="0" w:line="180" w:lineRule="exact"/>
              <w:rPr>
                <w:sz w:val="20"/>
                <w:szCs w:val="20"/>
                <w:color w:val="auto"/>
              </w:rPr>
            </w:pPr>
            <w:r>
              <w:rPr>
                <w:rFonts w:ascii="Arial" w:cs="Arial" w:eastAsia="Arial" w:hAnsi="Arial"/>
                <w:sz w:val="16"/>
                <w:szCs w:val="16"/>
                <w:color w:val="auto"/>
              </w:rPr>
              <w:t>Shares cancelled for taxes and other . . . . . . . .</w:t>
            </w:r>
          </w:p>
        </w:tc>
        <w:tc>
          <w:tcPr>
            <w:tcW w:w="420" w:type="dxa"/>
            <w:vAlign w:val="bottom"/>
          </w:tcPr>
          <w:p>
            <w:pPr>
              <w:spacing w:after="0"/>
              <w:rPr>
                <w:sz w:val="15"/>
                <w:szCs w:val="15"/>
                <w:color w:val="auto"/>
              </w:rPr>
            </w:pPr>
          </w:p>
        </w:tc>
        <w:tc>
          <w:tcPr>
            <w:tcW w:w="820" w:type="dxa"/>
            <w:vAlign w:val="bottom"/>
            <w:gridSpan w:val="2"/>
          </w:tcPr>
          <w:p>
            <w:pPr>
              <w:jc w:val="right"/>
              <w:ind w:right="220"/>
              <w:spacing w:after="0" w:line="180" w:lineRule="exact"/>
              <w:rPr>
                <w:sz w:val="20"/>
                <w:szCs w:val="20"/>
                <w:color w:val="auto"/>
              </w:rPr>
            </w:pPr>
            <w:r>
              <w:rPr>
                <w:rFonts w:ascii="Arial" w:cs="Arial" w:eastAsia="Arial" w:hAnsi="Arial"/>
                <w:sz w:val="16"/>
                <w:szCs w:val="16"/>
                <w:color w:val="auto"/>
              </w:rPr>
              <w:t>—</w:t>
            </w:r>
          </w:p>
        </w:tc>
        <w:tc>
          <w:tcPr>
            <w:tcW w:w="420" w:type="dxa"/>
            <w:vAlign w:val="bottom"/>
          </w:tcPr>
          <w:p>
            <w:pPr>
              <w:spacing w:after="0"/>
              <w:rPr>
                <w:sz w:val="15"/>
                <w:szCs w:val="15"/>
                <w:color w:val="auto"/>
              </w:rPr>
            </w:pPr>
          </w:p>
        </w:tc>
        <w:tc>
          <w:tcPr>
            <w:tcW w:w="82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rPr>
              <w:t>—</w:t>
            </w:r>
          </w:p>
        </w:tc>
        <w:tc>
          <w:tcPr>
            <w:tcW w:w="620" w:type="dxa"/>
            <w:vAlign w:val="bottom"/>
          </w:tcPr>
          <w:p>
            <w:pPr>
              <w:spacing w:after="0"/>
              <w:rPr>
                <w:sz w:val="15"/>
                <w:szCs w:val="15"/>
                <w:color w:val="auto"/>
              </w:rPr>
            </w:pPr>
          </w:p>
        </w:tc>
        <w:tc>
          <w:tcPr>
            <w:tcW w:w="920" w:type="dxa"/>
            <w:vAlign w:val="bottom"/>
            <w:tcBorders>
              <w:right w:val="single" w:sz="8" w:color="auto"/>
            </w:tcBorders>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8"/>
        </w:trPr>
        <w:tc>
          <w:tcPr>
            <w:tcW w:w="3640" w:type="dxa"/>
            <w:vAlign w:val="bottom"/>
            <w:vMerge w:val="restart"/>
          </w:tcPr>
          <w:p>
            <w:pPr>
              <w:ind w:left="800"/>
              <w:spacing w:after="0"/>
              <w:rPr>
                <w:sz w:val="20"/>
                <w:szCs w:val="20"/>
                <w:color w:val="auto"/>
              </w:rPr>
            </w:pPr>
            <w:r>
              <w:rPr>
                <w:rFonts w:ascii="Arial" w:cs="Arial" w:eastAsia="Arial" w:hAnsi="Arial"/>
                <w:sz w:val="16"/>
                <w:szCs w:val="16"/>
                <w:b w:val="1"/>
                <w:bCs w:val="1"/>
                <w:color w:val="auto"/>
              </w:rPr>
              <w:t>Net cash (used) provided by</w:t>
            </w:r>
          </w:p>
        </w:tc>
        <w:tc>
          <w:tcPr>
            <w:tcW w:w="4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36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640" w:type="dxa"/>
            <w:vAlign w:val="bottom"/>
          </w:tcPr>
          <w:p>
            <w:pPr>
              <w:jc w:val="right"/>
              <w:ind w:right="100"/>
              <w:spacing w:after="0" w:line="181" w:lineRule="exact"/>
              <w:rPr>
                <w:sz w:val="20"/>
                <w:szCs w:val="20"/>
                <w:color w:val="auto"/>
              </w:rPr>
            </w:pPr>
            <w:r>
              <w:rPr>
                <w:rFonts w:ascii="Arial" w:cs="Arial" w:eastAsia="Arial" w:hAnsi="Arial"/>
                <w:sz w:val="16"/>
                <w:szCs w:val="16"/>
                <w:b w:val="1"/>
                <w:bCs w:val="1"/>
                <w:color w:val="auto"/>
              </w:rPr>
              <w:t xml:space="preserve">financing activities </w:t>
            </w:r>
            <w:r>
              <w:rPr>
                <w:rFonts w:ascii="Arial" w:cs="Arial" w:eastAsia="Arial" w:hAnsi="Arial"/>
                <w:sz w:val="16"/>
                <w:szCs w:val="16"/>
                <w:color w:val="auto"/>
              </w:rPr>
              <w:t>. . . . . . . . . . . . . .</w:t>
            </w:r>
          </w:p>
        </w:tc>
        <w:tc>
          <w:tcPr>
            <w:tcW w:w="420" w:type="dxa"/>
            <w:vAlign w:val="bottom"/>
          </w:tcPr>
          <w:p>
            <w:pPr>
              <w:spacing w:after="0"/>
              <w:rPr>
                <w:sz w:val="15"/>
                <w:szCs w:val="15"/>
                <w:color w:val="auto"/>
              </w:rPr>
            </w:pPr>
          </w:p>
        </w:tc>
        <w:tc>
          <w:tcPr>
            <w:tcW w:w="820" w:type="dxa"/>
            <w:vAlign w:val="bottom"/>
            <w:gridSpan w:val="2"/>
          </w:tcPr>
          <w:p>
            <w:pPr>
              <w:jc w:val="right"/>
              <w:ind w:right="160"/>
              <w:spacing w:after="0" w:line="181" w:lineRule="exact"/>
              <w:rPr>
                <w:sz w:val="20"/>
                <w:szCs w:val="20"/>
                <w:color w:val="auto"/>
              </w:rPr>
            </w:pPr>
            <w:r>
              <w:rPr>
                <w:rFonts w:ascii="Arial" w:cs="Arial" w:eastAsia="Arial" w:hAnsi="Arial"/>
                <w:sz w:val="16"/>
                <w:szCs w:val="16"/>
                <w:color w:val="auto"/>
              </w:rPr>
              <w:t>(371)</w:t>
            </w:r>
          </w:p>
        </w:tc>
        <w:tc>
          <w:tcPr>
            <w:tcW w:w="420" w:type="dxa"/>
            <w:vAlign w:val="bottom"/>
          </w:tcPr>
          <w:p>
            <w:pPr>
              <w:spacing w:after="0"/>
              <w:rPr>
                <w:sz w:val="15"/>
                <w:szCs w:val="15"/>
                <w:color w:val="auto"/>
              </w:rPr>
            </w:pPr>
          </w:p>
        </w:tc>
        <w:tc>
          <w:tcPr>
            <w:tcW w:w="820" w:type="dxa"/>
            <w:vAlign w:val="bottom"/>
            <w:gridSpan w:val="2"/>
          </w:tcPr>
          <w:p>
            <w:pPr>
              <w:jc w:val="right"/>
              <w:ind w:right="160"/>
              <w:spacing w:after="0" w:line="181" w:lineRule="exact"/>
              <w:rPr>
                <w:sz w:val="20"/>
                <w:szCs w:val="20"/>
                <w:color w:val="auto"/>
              </w:rPr>
            </w:pPr>
            <w:r>
              <w:rPr>
                <w:rFonts w:ascii="Arial" w:cs="Arial" w:eastAsia="Arial" w:hAnsi="Arial"/>
                <w:sz w:val="16"/>
                <w:szCs w:val="16"/>
                <w:color w:val="auto"/>
              </w:rPr>
              <w:t>(222)</w:t>
            </w:r>
          </w:p>
        </w:tc>
        <w:tc>
          <w:tcPr>
            <w:tcW w:w="620" w:type="dxa"/>
            <w:vAlign w:val="bottom"/>
          </w:tcPr>
          <w:p>
            <w:pPr>
              <w:spacing w:after="0"/>
              <w:rPr>
                <w:sz w:val="15"/>
                <w:szCs w:val="15"/>
                <w:color w:val="auto"/>
              </w:rPr>
            </w:pPr>
          </w:p>
        </w:tc>
        <w:tc>
          <w:tcPr>
            <w:tcW w:w="920" w:type="dxa"/>
            <w:vAlign w:val="bottom"/>
            <w:tcBorders>
              <w:right w:val="single" w:sz="8" w:color="auto"/>
            </w:tcBorders>
            <w:gridSpan w:val="2"/>
          </w:tcPr>
          <w:p>
            <w:pPr>
              <w:jc w:val="right"/>
              <w:ind w:right="60"/>
              <w:spacing w:after="0" w:line="181" w:lineRule="exact"/>
              <w:rPr>
                <w:sz w:val="20"/>
                <w:szCs w:val="20"/>
                <w:color w:val="auto"/>
              </w:rPr>
            </w:pPr>
            <w:r>
              <w:rPr>
                <w:rFonts w:ascii="Arial" w:cs="Arial" w:eastAsia="Arial" w:hAnsi="Arial"/>
                <w:sz w:val="16"/>
                <w:szCs w:val="16"/>
                <w:color w:val="auto"/>
              </w:rPr>
              <w:t>(156)</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jc w:val="right"/>
              <w:spacing w:after="0" w:line="181" w:lineRule="exact"/>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38"/>
        </w:trPr>
        <w:tc>
          <w:tcPr>
            <w:tcW w:w="3640" w:type="dxa"/>
            <w:vAlign w:val="bottom"/>
            <w:vMerge w:val="restart"/>
          </w:tcPr>
          <w:p>
            <w:pPr>
              <w:jc w:val="right"/>
              <w:ind w:right="100"/>
              <w:spacing w:after="0"/>
              <w:rPr>
                <w:sz w:val="20"/>
                <w:szCs w:val="20"/>
                <w:color w:val="auto"/>
              </w:rPr>
            </w:pPr>
            <w:r>
              <w:rPr>
                <w:rFonts w:ascii="Arial" w:cs="Arial" w:eastAsia="Arial" w:hAnsi="Arial"/>
                <w:sz w:val="16"/>
                <w:szCs w:val="16"/>
                <w:b w:val="1"/>
                <w:bCs w:val="1"/>
                <w:color w:val="auto"/>
                <w:w w:val="97"/>
              </w:rPr>
              <w:t xml:space="preserve">Increase (decrease) in cash </w:t>
            </w:r>
            <w:r>
              <w:rPr>
                <w:rFonts w:ascii="Arial" w:cs="Arial" w:eastAsia="Arial" w:hAnsi="Arial"/>
                <w:sz w:val="16"/>
                <w:szCs w:val="16"/>
                <w:color w:val="auto"/>
                <w:w w:val="97"/>
              </w:rPr>
              <w:t>. . . . . . . . . . . . . . . .</w:t>
            </w:r>
          </w:p>
        </w:tc>
        <w:tc>
          <w:tcPr>
            <w:tcW w:w="4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36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277</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(175)</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181"/>
        </w:trPr>
        <w:tc>
          <w:tcPr>
            <w:tcW w:w="3640" w:type="dxa"/>
            <w:vAlign w:val="bottom"/>
          </w:tcPr>
          <w:p>
            <w:pPr>
              <w:jc w:val="right"/>
              <w:ind w:right="100"/>
              <w:spacing w:after="0" w:line="181" w:lineRule="exact"/>
              <w:rPr>
                <w:sz w:val="20"/>
                <w:szCs w:val="20"/>
                <w:color w:val="auto"/>
              </w:rPr>
            </w:pPr>
            <w:r>
              <w:rPr>
                <w:rFonts w:ascii="Arial" w:cs="Arial" w:eastAsia="Arial" w:hAnsi="Arial"/>
                <w:sz w:val="16"/>
                <w:szCs w:val="16"/>
                <w:b w:val="1"/>
                <w:bCs w:val="1"/>
                <w:color w:val="auto"/>
                <w:w w:val="97"/>
              </w:rPr>
              <w:t xml:space="preserve">Cash—beginning of period  </w:t>
            </w:r>
            <w:r>
              <w:rPr>
                <w:rFonts w:ascii="Arial" w:cs="Arial" w:eastAsia="Arial" w:hAnsi="Arial"/>
                <w:sz w:val="16"/>
                <w:szCs w:val="16"/>
                <w:color w:val="auto"/>
                <w:w w:val="97"/>
              </w:rPr>
              <w:t>. . . . . . . . . . . . . . . .</w:t>
            </w:r>
          </w:p>
        </w:tc>
        <w:tc>
          <w:tcPr>
            <w:tcW w:w="420" w:type="dxa"/>
            <w:vAlign w:val="bottom"/>
          </w:tcPr>
          <w:p>
            <w:pPr>
              <w:spacing w:after="0"/>
              <w:rPr>
                <w:sz w:val="15"/>
                <w:szCs w:val="15"/>
                <w:color w:val="auto"/>
              </w:rPr>
            </w:pPr>
          </w:p>
        </w:tc>
        <w:tc>
          <w:tcPr>
            <w:tcW w:w="660" w:type="dxa"/>
            <w:vAlign w:val="bottom"/>
          </w:tcPr>
          <w:p>
            <w:pPr>
              <w:jc w:val="right"/>
              <w:spacing w:after="0" w:line="181" w:lineRule="exact"/>
              <w:rPr>
                <w:sz w:val="20"/>
                <w:szCs w:val="20"/>
                <w:color w:val="auto"/>
              </w:rPr>
            </w:pPr>
            <w:r>
              <w:rPr>
                <w:rFonts w:ascii="Arial" w:cs="Arial" w:eastAsia="Arial" w:hAnsi="Arial"/>
                <w:sz w:val="16"/>
                <w:szCs w:val="16"/>
                <w:color w:val="auto"/>
              </w:rPr>
              <w:t>305</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jc w:val="right"/>
              <w:spacing w:after="0" w:line="181" w:lineRule="exact"/>
              <w:rPr>
                <w:sz w:val="20"/>
                <w:szCs w:val="20"/>
                <w:color w:val="auto"/>
              </w:rPr>
            </w:pPr>
            <w:r>
              <w:rPr>
                <w:rFonts w:ascii="Arial" w:cs="Arial" w:eastAsia="Arial" w:hAnsi="Arial"/>
                <w:sz w:val="16"/>
                <w:szCs w:val="16"/>
                <w:color w:val="auto"/>
              </w:rPr>
              <w:t>28</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jc w:val="right"/>
              <w:spacing w:after="0" w:line="181" w:lineRule="exact"/>
              <w:rPr>
                <w:sz w:val="20"/>
                <w:szCs w:val="20"/>
                <w:color w:val="auto"/>
              </w:rPr>
            </w:pPr>
            <w:r>
              <w:rPr>
                <w:rFonts w:ascii="Arial" w:cs="Arial" w:eastAsia="Arial" w:hAnsi="Arial"/>
                <w:sz w:val="16"/>
                <w:szCs w:val="16"/>
                <w:color w:val="auto"/>
              </w:rPr>
              <w:t>203</w:t>
            </w:r>
          </w:p>
        </w:tc>
        <w:tc>
          <w:tcPr>
            <w:tcW w:w="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jc w:val="right"/>
              <w:spacing w:after="0" w:line="181"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8"/>
        </w:trPr>
        <w:tc>
          <w:tcPr>
            <w:tcW w:w="3640" w:type="dxa"/>
            <w:vAlign w:val="bottom"/>
            <w:vMerge w:val="restart"/>
          </w:tcPr>
          <w:p>
            <w:pPr>
              <w:jc w:val="right"/>
              <w:ind w:right="100"/>
              <w:spacing w:after="0"/>
              <w:rPr>
                <w:sz w:val="20"/>
                <w:szCs w:val="20"/>
                <w:color w:val="auto"/>
              </w:rPr>
            </w:pPr>
            <w:r>
              <w:rPr>
                <w:rFonts w:ascii="Arial" w:cs="Arial" w:eastAsia="Arial" w:hAnsi="Arial"/>
                <w:sz w:val="16"/>
                <w:szCs w:val="16"/>
                <w:b w:val="1"/>
                <w:bCs w:val="1"/>
                <w:color w:val="auto"/>
                <w:w w:val="97"/>
              </w:rPr>
              <w:t xml:space="preserve">Cash—end of period </w:t>
            </w:r>
            <w:r>
              <w:rPr>
                <w:rFonts w:ascii="Arial" w:cs="Arial" w:eastAsia="Arial" w:hAnsi="Arial"/>
                <w:sz w:val="16"/>
                <w:szCs w:val="16"/>
                <w:color w:val="auto"/>
                <w:w w:val="97"/>
              </w:rPr>
              <w:t>. . . . . . . . . . . . . . . . . . . . . .</w:t>
            </w:r>
          </w:p>
        </w:tc>
        <w:tc>
          <w:tcPr>
            <w:tcW w:w="4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3640" w:type="dxa"/>
            <w:vAlign w:val="bottom"/>
            <w:vMerge w:val="continue"/>
          </w:tcPr>
          <w:p>
            <w:pPr>
              <w:spacing w:after="0"/>
              <w:rPr>
                <w:sz w:val="17"/>
                <w:szCs w:val="17"/>
                <w:color w:val="auto"/>
              </w:rPr>
            </w:pPr>
          </w:p>
        </w:tc>
        <w:tc>
          <w:tcPr>
            <w:tcW w:w="42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307</w:t>
            </w:r>
          </w:p>
        </w:tc>
        <w:tc>
          <w:tcPr>
            <w:tcW w:w="160" w:type="dxa"/>
            <w:vAlign w:val="bottom"/>
          </w:tcPr>
          <w:p>
            <w:pPr>
              <w:spacing w:after="0"/>
              <w:rPr>
                <w:sz w:val="17"/>
                <w:szCs w:val="17"/>
                <w:color w:val="auto"/>
              </w:rPr>
            </w:pPr>
          </w:p>
        </w:tc>
        <w:tc>
          <w:tcPr>
            <w:tcW w:w="42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305</w:t>
            </w:r>
          </w:p>
        </w:tc>
        <w:tc>
          <w:tcPr>
            <w:tcW w:w="160" w:type="dxa"/>
            <w:vAlign w:val="bottom"/>
          </w:tcPr>
          <w:p>
            <w:pPr>
              <w:spacing w:after="0"/>
              <w:rPr>
                <w:sz w:val="17"/>
                <w:szCs w:val="17"/>
                <w:color w:val="auto"/>
              </w:rPr>
            </w:pPr>
          </w:p>
        </w:tc>
        <w:tc>
          <w:tcPr>
            <w:tcW w:w="620" w:type="dxa"/>
            <w:vAlign w:val="bottom"/>
          </w:tcPr>
          <w:p>
            <w:pPr>
              <w:jc w:val="right"/>
              <w:ind w:right="4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28</w:t>
            </w:r>
          </w:p>
        </w:tc>
        <w:tc>
          <w:tcPr>
            <w:tcW w:w="60" w:type="dxa"/>
            <w:vAlign w:val="bottom"/>
            <w:tcBorders>
              <w:right w:val="single" w:sz="8" w:color="auto"/>
            </w:tcBorders>
          </w:tcPr>
          <w:p>
            <w:pPr>
              <w:spacing w:after="0"/>
              <w:rPr>
                <w:sz w:val="17"/>
                <w:szCs w:val="17"/>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38"/>
        </w:trPr>
        <w:tc>
          <w:tcPr>
            <w:tcW w:w="364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880" w:h="15480" w:orient="portrait"/>
          <w:cols w:equalWidth="0" w:num="1">
            <w:col w:w="9100"/>
          </w:cols>
          <w:pgMar w:left="1380" w:top="1265" w:right="1400" w:bottom="695" w:gutter="0" w:footer="0" w:header="0"/>
        </w:sect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99</w:t>
      </w:r>
    </w:p>
    <w:p>
      <w:pPr>
        <w:sectPr>
          <w:pgSz w:w="11880" w:h="15480" w:orient="portrait"/>
          <w:cols w:equalWidth="0" w:num="1">
            <w:col w:w="9100"/>
          </w:cols>
          <w:pgMar w:left="1380" w:top="1265" w:right="1400" w:bottom="695" w:gutter="0" w:footer="0" w:header="0"/>
          <w:type w:val="continuous"/>
        </w:sectPr>
      </w:pPr>
    </w:p>
    <w:bookmarkStart w:id="103" w:name="page104"/>
    <w:bookmarkEnd w:id="103"/>
    <w:p>
      <w:pPr>
        <w:jc w:val="center"/>
        <w:ind w:right="-19"/>
        <w:spacing w:after="0"/>
        <w:rPr>
          <w:sz w:val="20"/>
          <w:szCs w:val="20"/>
          <w:color w:val="auto"/>
        </w:rPr>
      </w:pPr>
      <w:r>
        <w:rPr>
          <w:rFonts w:ascii="Arial" w:cs="Arial" w:eastAsia="Arial" w:hAnsi="Arial"/>
          <w:sz w:val="20"/>
          <w:szCs w:val="20"/>
          <w:b w:val="1"/>
          <w:bCs w:val="1"/>
          <w:color w:val="auto"/>
        </w:rPr>
        <w:t>CALIFORNIA RESOURCES CORPORATION AND SUBSIDIARIES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12" w:lineRule="exact"/>
        <w:rPr>
          <w:sz w:val="20"/>
          <w:szCs w:val="20"/>
          <w:color w:val="auto"/>
        </w:rPr>
      </w:pPr>
    </w:p>
    <w:p>
      <w:pPr>
        <w:ind w:right="240"/>
        <w:spacing w:after="0" w:line="248" w:lineRule="auto"/>
        <w:rPr>
          <w:sz w:val="20"/>
          <w:szCs w:val="20"/>
          <w:color w:val="auto"/>
        </w:rPr>
      </w:pPr>
      <w:r>
        <w:rPr>
          <w:rFonts w:ascii="Arial" w:cs="Arial" w:eastAsia="Arial" w:hAnsi="Arial"/>
          <w:sz w:val="20"/>
          <w:szCs w:val="20"/>
          <w:b w:val="1"/>
          <w:bCs w:val="1"/>
          <w:color w:val="auto"/>
        </w:rPr>
        <w:t>NOTE 1 NATURE OF BUSINESS, SUMMARY OF SIGNIFICANT ACCOUNTING POLICIES AND OTHER</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Nature of Business</w:t>
      </w:r>
    </w:p>
    <w:p>
      <w:pPr>
        <w:spacing w:after="0" w:line="215" w:lineRule="exact"/>
        <w:rPr>
          <w:sz w:val="20"/>
          <w:szCs w:val="20"/>
          <w:color w:val="auto"/>
        </w:rPr>
      </w:pPr>
    </w:p>
    <w:p>
      <w:pPr>
        <w:ind w:firstLine="300"/>
        <w:spacing w:after="0" w:line="256" w:lineRule="auto"/>
        <w:rPr>
          <w:sz w:val="20"/>
          <w:szCs w:val="20"/>
          <w:color w:val="auto"/>
        </w:rPr>
      </w:pPr>
      <w:r>
        <w:rPr>
          <w:rFonts w:ascii="Arial" w:cs="Arial" w:eastAsia="Arial" w:hAnsi="Arial"/>
          <w:sz w:val="19"/>
          <w:szCs w:val="19"/>
          <w:color w:val="auto"/>
        </w:rPr>
        <w:t>We are an independent oil and natural gas exploration and production company operating properties exclusively within California. We are committed to energy transition and have some of the lowest carbon intensity production in the United States. We are in the early stages of permitting several carbon capture and storage projects in California. Our subsidiary Carbon TerraVault is expected to build, install, operate and maintain CO</w:t>
      </w:r>
      <w:r>
        <w:rPr>
          <w:rFonts w:ascii="Arial" w:cs="Arial" w:eastAsia="Arial" w:hAnsi="Arial"/>
          <w:sz w:val="25"/>
          <w:szCs w:val="25"/>
          <w:color w:val="auto"/>
          <w:vertAlign w:val="subscript"/>
        </w:rPr>
        <w:t>2</w:t>
      </w:r>
      <w:r>
        <w:rPr>
          <w:rFonts w:ascii="Arial" w:cs="Arial" w:eastAsia="Arial" w:hAnsi="Arial"/>
          <w:sz w:val="19"/>
          <w:szCs w:val="19"/>
          <w:color w:val="auto"/>
        </w:rPr>
        <w:t xml:space="preserve"> capture equipment, transportation assets and storage facilities in California. In August 2022, Carbon TerraVault entered into a joint venture with BGTF Sierra Aggregator LLC (Brookfield) to pursue certain of these opportunities (Carbon TerraVault JV). See </w:t>
      </w:r>
      <w:r>
        <w:rPr>
          <w:rFonts w:ascii="Arial" w:cs="Arial" w:eastAsia="Arial" w:hAnsi="Arial"/>
          <w:sz w:val="19"/>
          <w:szCs w:val="19"/>
          <w:i w:val="1"/>
          <w:iCs w:val="1"/>
          <w:color w:val="auto"/>
        </w:rPr>
        <w:t>Joint</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Ventures and Investments in Unconsolidated Subsidiaries </w:t>
      </w:r>
      <w:r>
        <w:rPr>
          <w:rFonts w:ascii="Arial" w:cs="Arial" w:eastAsia="Arial" w:hAnsi="Arial"/>
          <w:sz w:val="19"/>
          <w:szCs w:val="19"/>
          <w:color w:val="auto"/>
        </w:rPr>
        <w:t>below for our accounting policy related to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joint ventures and investments in unconsolidated subsidiaries and </w:t>
      </w:r>
      <w:r>
        <w:rPr>
          <w:rFonts w:ascii="Arial" w:cs="Arial" w:eastAsia="Arial" w:hAnsi="Arial"/>
          <w:sz w:val="19"/>
          <w:szCs w:val="19"/>
          <w:i w:val="1"/>
          <w:iCs w:val="1"/>
          <w:color w:val="auto"/>
        </w:rPr>
        <w:t>Note 8 Investments and Related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Party Transactions </w:t>
      </w:r>
      <w:r>
        <w:rPr>
          <w:rFonts w:ascii="Arial" w:cs="Arial" w:eastAsia="Arial" w:hAnsi="Arial"/>
          <w:sz w:val="19"/>
          <w:szCs w:val="19"/>
          <w:color w:val="auto"/>
        </w:rPr>
        <w:t>for more information on the Carbon TerraVault JV. Separately, we are evaluating</w:t>
      </w:r>
      <w:r>
        <w:rPr>
          <w:rFonts w:ascii="Arial" w:cs="Arial" w:eastAsia="Arial" w:hAnsi="Arial"/>
          <w:sz w:val="19"/>
          <w:szCs w:val="19"/>
          <w:i w:val="1"/>
          <w:iCs w:val="1"/>
          <w:color w:val="auto"/>
        </w:rPr>
        <w:t xml:space="preserve"> </w:t>
      </w:r>
      <w:r>
        <w:rPr>
          <w:rFonts w:ascii="Arial" w:cs="Arial" w:eastAsia="Arial" w:hAnsi="Arial"/>
          <w:sz w:val="19"/>
          <w:szCs w:val="19"/>
          <w:color w:val="auto"/>
        </w:rPr>
        <w:t>the feasibility of a carbon capture system to be located at our Elk Hills power plant (CalCapture).</w:t>
      </w:r>
    </w:p>
    <w:p>
      <w:pPr>
        <w:spacing w:after="0" w:line="203" w:lineRule="exact"/>
        <w:rPr>
          <w:sz w:val="20"/>
          <w:szCs w:val="20"/>
          <w:color w:val="auto"/>
        </w:rPr>
      </w:pPr>
    </w:p>
    <w:p>
      <w:pPr>
        <w:ind w:right="80" w:firstLine="300"/>
        <w:spacing w:after="0" w:line="271" w:lineRule="auto"/>
        <w:rPr>
          <w:sz w:val="20"/>
          <w:szCs w:val="20"/>
          <w:color w:val="auto"/>
        </w:rPr>
      </w:pPr>
      <w:r>
        <w:rPr>
          <w:rFonts w:ascii="Arial" w:cs="Arial" w:eastAsia="Arial" w:hAnsi="Arial"/>
          <w:sz w:val="19"/>
          <w:szCs w:val="19"/>
          <w:color w:val="auto"/>
        </w:rPr>
        <w:t>Except when the context otherwise requires or where otherwise indicated, all references to ‘‘CRC,’’ the ‘‘Company,’’ ‘‘we,’’ ‘‘us’’ and ‘‘our’’ refer to California Resources Corporation and its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of Presentation</w:t>
      </w:r>
    </w:p>
    <w:p>
      <w:pPr>
        <w:spacing w:after="0" w:line="215" w:lineRule="exact"/>
        <w:rPr>
          <w:sz w:val="20"/>
          <w:szCs w:val="20"/>
          <w:color w:val="auto"/>
        </w:rPr>
      </w:pPr>
    </w:p>
    <w:p>
      <w:pPr>
        <w:ind w:right="140" w:firstLine="300"/>
        <w:spacing w:after="0" w:line="248" w:lineRule="auto"/>
        <w:rPr>
          <w:sz w:val="20"/>
          <w:szCs w:val="20"/>
          <w:color w:val="auto"/>
        </w:rPr>
      </w:pPr>
      <w:r>
        <w:rPr>
          <w:rFonts w:ascii="Arial" w:cs="Arial" w:eastAsia="Arial" w:hAnsi="Arial"/>
          <w:sz w:val="20"/>
          <w:szCs w:val="20"/>
          <w:color w:val="auto"/>
        </w:rPr>
        <w:t>We have prepared this report in accordance with United States (U.S.) generally accepted accounting principles (U.S. GAAP) and the rules and regulations of the U.S. Securities and Exchange Commission applicable to annual financial information.</w:t>
      </w:r>
    </w:p>
    <w:p>
      <w:pPr>
        <w:spacing w:after="0" w:line="207" w:lineRule="exact"/>
        <w:rPr>
          <w:sz w:val="20"/>
          <w:szCs w:val="20"/>
          <w:color w:val="auto"/>
        </w:rPr>
      </w:pPr>
    </w:p>
    <w:p>
      <w:pPr>
        <w:ind w:right="180" w:firstLine="300"/>
        <w:spacing w:after="0" w:line="249" w:lineRule="auto"/>
        <w:rPr>
          <w:sz w:val="20"/>
          <w:szCs w:val="20"/>
          <w:color w:val="auto"/>
        </w:rPr>
      </w:pPr>
      <w:r>
        <w:rPr>
          <w:rFonts w:ascii="Arial" w:cs="Arial" w:eastAsia="Arial" w:hAnsi="Arial"/>
          <w:sz w:val="20"/>
          <w:szCs w:val="20"/>
          <w:color w:val="auto"/>
        </w:rPr>
        <w:t>All financial information presented consists of our consolidated results of operations, financial position and cash flows. We have eliminated significant intercompany transactions and balances. We account for our share of oil and natural gas producing activities, in which we have a direct working interest, by reporting our proportionate share of assets, liabilities, revenues, costs and cash flows within the relevant lines on our consolidated financial statements.</w:t>
      </w:r>
    </w:p>
    <w:p>
      <w:pPr>
        <w:spacing w:after="0" w:line="207" w:lineRule="exact"/>
        <w:rPr>
          <w:sz w:val="20"/>
          <w:szCs w:val="20"/>
          <w:color w:val="auto"/>
        </w:rPr>
      </w:pPr>
    </w:p>
    <w:p>
      <w:pPr>
        <w:ind w:right="240" w:firstLine="300"/>
        <w:spacing w:after="0" w:line="248" w:lineRule="auto"/>
        <w:rPr>
          <w:sz w:val="20"/>
          <w:szCs w:val="20"/>
          <w:color w:val="auto"/>
        </w:rPr>
      </w:pPr>
      <w:r>
        <w:rPr>
          <w:rFonts w:ascii="Arial" w:cs="Arial" w:eastAsia="Arial" w:hAnsi="Arial"/>
          <w:sz w:val="20"/>
          <w:szCs w:val="20"/>
          <w:color w:val="auto"/>
        </w:rPr>
        <w:t>We qualified for and adopted fresh start accounting upon emergence from Chapter 11 in October 2020 at which point we became a new entity for financial reporting purposes. We adopted an accounting convenience date of October 31, 2020 for the application of fresh start accounting.</w:t>
      </w:r>
    </w:p>
    <w:p>
      <w:pPr>
        <w:spacing w:after="0" w:line="207"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auto"/>
        </w:rPr>
        <w:t xml:space="preserve">As a result of the application of fresh start accounting and the effects of the implementation of our Plan of Reorganization, the financial statements after October 31, 2020 may not be comparable to the financial statements prior to that date. Accordingly, “black-line” financial statements are presented to distinguish between the Predecessor and Successor companies. References to “Predecessor” refer to the Company for periods ended on or prior to October 31, 2020 and references to “Successor” refer to the Company for periods subsequent to October 31, 2020. See </w:t>
      </w:r>
      <w:r>
        <w:rPr>
          <w:rFonts w:ascii="Arial" w:cs="Arial" w:eastAsia="Arial" w:hAnsi="Arial"/>
          <w:sz w:val="20"/>
          <w:szCs w:val="20"/>
          <w:i w:val="1"/>
          <w:iCs w:val="1"/>
          <w:color w:val="auto"/>
        </w:rPr>
        <w:t>Note 15 Chapter 11 Proceedings</w:t>
      </w:r>
      <w:r>
        <w:rPr>
          <w:rFonts w:ascii="Arial" w:cs="Arial" w:eastAsia="Arial" w:hAnsi="Arial"/>
          <w:sz w:val="20"/>
          <w:szCs w:val="20"/>
          <w:color w:val="auto"/>
        </w:rPr>
        <w:t xml:space="preserve"> and </w:t>
      </w:r>
      <w:r>
        <w:rPr>
          <w:rFonts w:ascii="Arial" w:cs="Arial" w:eastAsia="Arial" w:hAnsi="Arial"/>
          <w:sz w:val="20"/>
          <w:szCs w:val="20"/>
          <w:i w:val="1"/>
          <w:iCs w:val="1"/>
          <w:color w:val="auto"/>
        </w:rPr>
        <w:t xml:space="preserve">Note 16 Fresh Start Accounting </w:t>
      </w:r>
      <w:r>
        <w:rPr>
          <w:rFonts w:ascii="Arial" w:cs="Arial" w:eastAsia="Arial" w:hAnsi="Arial"/>
          <w:sz w:val="20"/>
          <w:szCs w:val="20"/>
          <w:color w:val="auto"/>
        </w:rPr>
        <w:t>for additional information on our bankruptcy proceedings and the</w:t>
      </w:r>
      <w:r>
        <w:rPr>
          <w:rFonts w:ascii="Arial" w:cs="Arial" w:eastAsia="Arial" w:hAnsi="Arial"/>
          <w:sz w:val="20"/>
          <w:szCs w:val="20"/>
          <w:i w:val="1"/>
          <w:iCs w:val="1"/>
          <w:color w:val="auto"/>
        </w:rPr>
        <w:t xml:space="preserve"> </w:t>
      </w:r>
      <w:r>
        <w:rPr>
          <w:rFonts w:ascii="Arial" w:cs="Arial" w:eastAsia="Arial" w:hAnsi="Arial"/>
          <w:sz w:val="20"/>
          <w:szCs w:val="20"/>
          <w:color w:val="auto"/>
        </w:rPr>
        <w:t>impact of fresh start accounting on our consolidated financial statements.</w:t>
      </w:r>
    </w:p>
    <w:p>
      <w:pPr>
        <w:sectPr>
          <w:pgSz w:w="11880" w:h="15480" w:orient="portrait"/>
          <w:cols w:equalWidth="0" w:num="1">
            <w:col w:w="9100"/>
          </w:cols>
          <w:pgMar w:left="1380" w:top="1310" w:right="140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100</w:t>
      </w:r>
    </w:p>
    <w:p>
      <w:pPr>
        <w:sectPr>
          <w:pgSz w:w="11880" w:h="15480" w:orient="portrait"/>
          <w:cols w:equalWidth="0" w:num="1">
            <w:col w:w="9100"/>
          </w:cols>
          <w:pgMar w:left="1380" w:top="1310" w:right="1400" w:bottom="661" w:gutter="0" w:footer="0" w:header="0"/>
          <w:type w:val="continuous"/>
        </w:sectPr>
      </w:pPr>
    </w:p>
    <w:bookmarkStart w:id="104" w:name="page105"/>
    <w:bookmarkEnd w:id="104"/>
    <w:p>
      <w:pPr>
        <w:spacing w:after="0"/>
        <w:rPr>
          <w:sz w:val="20"/>
          <w:szCs w:val="20"/>
          <w:color w:val="auto"/>
        </w:rPr>
      </w:pPr>
      <w:r>
        <w:rPr>
          <w:rFonts w:ascii="Arial" w:cs="Arial" w:eastAsia="Arial" w:hAnsi="Arial"/>
          <w:sz w:val="20"/>
          <w:szCs w:val="20"/>
          <w:b w:val="1"/>
          <w:bCs w:val="1"/>
          <w:i w:val="1"/>
          <w:iCs w:val="1"/>
          <w:color w:val="auto"/>
        </w:rPr>
        <w:t>Use of Estimates</w:t>
      </w:r>
    </w:p>
    <w:p>
      <w:pPr>
        <w:spacing w:after="0" w:line="215" w:lineRule="exact"/>
        <w:rPr>
          <w:sz w:val="20"/>
          <w:szCs w:val="20"/>
          <w:color w:val="auto"/>
        </w:rPr>
      </w:pPr>
    </w:p>
    <w:p>
      <w:pPr>
        <w:ind w:right="120" w:firstLine="300"/>
        <w:spacing w:after="0" w:line="249" w:lineRule="auto"/>
        <w:rPr>
          <w:sz w:val="20"/>
          <w:szCs w:val="20"/>
          <w:color w:val="auto"/>
        </w:rPr>
      </w:pPr>
      <w:r>
        <w:rPr>
          <w:rFonts w:ascii="Arial" w:cs="Arial" w:eastAsia="Arial" w:hAnsi="Arial"/>
          <w:sz w:val="20"/>
          <w:szCs w:val="20"/>
          <w:color w:val="auto"/>
        </w:rPr>
        <w:t>The process of preparing financial statements in conformity with U.S. GAAP requires management to select appropriate accounting policies and make informed estimates and judgments regarding certain types of financial statement balances and disclosures. Such estimates primarily relate to unsettled transactions and events as of the date of the financial statements and judgments on expected outcomes as well as the materiality of transactions and balances. Changes in facts and circumstances or discovery of new information relating to such transactions and events may result in revised estimates and judgments. Further, actual results may differ from estimates upon settlement. Management believes that these estimates and judgments provide a reasonable basis for the fair presentation of our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Risks and Uncertainties</w:t>
      </w:r>
    </w:p>
    <w:p>
      <w:pPr>
        <w:spacing w:after="0" w:line="215"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color w:val="auto"/>
        </w:rPr>
        <w:t>Our revenue, profitability and future growth or our oil and natural gas operations are substantially dependent upon prevailing and future prices for oil and natural gas, which can be volatile and dependent on factors beyond our control including global production inventories, available storage and transportation capacities, government regulation, the Russia-Ukraine conflict and economic conditions. The Coronavirus Disease 2019 (COVID-19) pandemic continues to create price volatility for oil and natural gas. The ongoing impacts from the Russia-Ukraine conflict and COVID-19 on our financial position, results of operations and cash flows will depend on uncertain factors, including future developments that are beyond our control. We are in the early stages of developing a carbon capture and sequestration business which is subject to risks as an emerging industry. We operate exclusively in California which is a highly regulated environment.</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Concentration of Customers</w:t>
      </w:r>
    </w:p>
    <w:p>
      <w:pPr>
        <w:spacing w:after="0" w:line="215"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auto"/>
        </w:rPr>
        <w:t>We sell crude oil, natural gas and NGLs to marketers, California refineries and other customers that have access to transportation and storage facilities. In light of the ongoing energy deficit in California and strong demand for native crude oil production, we do not believe that the loss of any single customer would have a material adverse effect on our consolidated financial statements taken as a whole.</w:t>
      </w:r>
    </w:p>
    <w:p>
      <w:pPr>
        <w:spacing w:after="0" w:line="207"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For the year ended December 31, 2022, three California refineries each accounted for at least 10%, and collectively 52%, of our sales (before the effects of hedging). For the year ended December 31, 2021, three California refineries each accounted for at least 10%, and collectively accounted for 51%, of our sales (before the effects of hedging). For the 2020 Successor period, three California refineries each accounted for at least 10%, and collectively accounted for 50%, of our sales (before the effects of hedging). For the 2020 Predecessor period, two California refineries, each accounted for at least 10%, and collectively accounted for 46%, of our sales (before the effects of hedging).</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Recently Adopted Accounting and Disclosure Changes</w:t>
      </w:r>
    </w:p>
    <w:p>
      <w:pPr>
        <w:spacing w:after="0" w:line="213" w:lineRule="exact"/>
        <w:rPr>
          <w:sz w:val="20"/>
          <w:szCs w:val="20"/>
          <w:color w:val="auto"/>
        </w:rPr>
      </w:pPr>
    </w:p>
    <w:p>
      <w:pPr>
        <w:ind w:right="300" w:firstLine="300"/>
        <w:spacing w:after="0" w:line="249" w:lineRule="auto"/>
        <w:rPr>
          <w:sz w:val="20"/>
          <w:szCs w:val="20"/>
          <w:color w:val="auto"/>
        </w:rPr>
      </w:pPr>
      <w:r>
        <w:rPr>
          <w:rFonts w:ascii="Arial" w:cs="Arial" w:eastAsia="Arial" w:hAnsi="Arial"/>
          <w:sz w:val="20"/>
          <w:szCs w:val="20"/>
          <w:color w:val="auto"/>
        </w:rPr>
        <w:t xml:space="preserve">ASC Topic 848, </w:t>
      </w:r>
      <w:r>
        <w:rPr>
          <w:rFonts w:ascii="Arial" w:cs="Arial" w:eastAsia="Arial" w:hAnsi="Arial"/>
          <w:sz w:val="20"/>
          <w:szCs w:val="20"/>
          <w:i w:val="1"/>
          <w:iCs w:val="1"/>
          <w:color w:val="auto"/>
        </w:rPr>
        <w:t>Reference Rate Reform</w:t>
      </w:r>
      <w:r>
        <w:rPr>
          <w:rFonts w:ascii="Arial" w:cs="Arial" w:eastAsia="Arial" w:hAnsi="Arial"/>
          <w:sz w:val="20"/>
          <w:szCs w:val="20"/>
          <w:color w:val="auto"/>
        </w:rPr>
        <w:t xml:space="preserve"> contains guidance for applying U.S. GAAP to contracts, hedging relationships and other transactions that are impacted by reference rate reform. Under this guidance, we elected to account for the February 2022 amendment of our Revolving Credit Facility described in </w:t>
      </w:r>
      <w:r>
        <w:rPr>
          <w:rFonts w:ascii="Arial" w:cs="Arial" w:eastAsia="Arial" w:hAnsi="Arial"/>
          <w:sz w:val="20"/>
          <w:szCs w:val="20"/>
          <w:i w:val="1"/>
          <w:iCs w:val="1"/>
          <w:color w:val="auto"/>
        </w:rPr>
        <w:t>Note 4 Debt</w:t>
      </w:r>
      <w:r>
        <w:rPr>
          <w:rFonts w:ascii="Arial" w:cs="Arial" w:eastAsia="Arial" w:hAnsi="Arial"/>
          <w:sz w:val="20"/>
          <w:szCs w:val="20"/>
          <w:color w:val="auto"/>
        </w:rPr>
        <w:t xml:space="preserve"> as a modification of the original instrument. The debt modification did not have a material impact to our consolidated financial statements.</w:t>
      </w:r>
    </w:p>
    <w:p>
      <w:pPr>
        <w:sectPr>
          <w:pgSz w:w="11880" w:h="15480" w:orient="portrait"/>
          <w:cols w:equalWidth="0" w:num="1">
            <w:col w:w="9120"/>
          </w:cols>
          <w:pgMar w:left="1380" w:top="1311" w:right="138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101</w:t>
      </w:r>
    </w:p>
    <w:p>
      <w:pPr>
        <w:sectPr>
          <w:pgSz w:w="11880" w:h="15480" w:orient="portrait"/>
          <w:cols w:equalWidth="0" w:num="1">
            <w:col w:w="9120"/>
          </w:cols>
          <w:pgMar w:left="1380" w:top="1311" w:right="1380" w:bottom="661" w:gutter="0" w:footer="0" w:header="0"/>
          <w:type w:val="continuous"/>
        </w:sectPr>
      </w:pPr>
    </w:p>
    <w:bookmarkStart w:id="105" w:name="page106"/>
    <w:bookmarkEnd w:id="105"/>
    <w:p>
      <w:pPr>
        <w:spacing w:after="0"/>
        <w:rPr>
          <w:sz w:val="20"/>
          <w:szCs w:val="20"/>
          <w:color w:val="auto"/>
        </w:rPr>
      </w:pPr>
      <w:r>
        <w:rPr>
          <w:rFonts w:ascii="Arial" w:cs="Arial" w:eastAsia="Arial" w:hAnsi="Arial"/>
          <w:sz w:val="20"/>
          <w:szCs w:val="20"/>
          <w:b w:val="1"/>
          <w:bCs w:val="1"/>
          <w:i w:val="1"/>
          <w:iCs w:val="1"/>
          <w:color w:val="auto"/>
        </w:rPr>
        <w:t>Significant Accounting Policies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Restructuring under Chapter 11 of the Bankruptcy Code and Workforce Reductions</w:t>
      </w:r>
    </w:p>
    <w:p>
      <w:pPr>
        <w:spacing w:after="0" w:line="185"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color w:val="auto"/>
        </w:rPr>
        <w:t xml:space="preserve">On July 15, 2020, we filed voluntary petitions for relief under Chapter 11 of Title 11 of the Bankruptcy Code (Chapter 11 Cases) in the United States Bankruptcy Court for the Southern District of Texas, Houston Division (Bankruptcy Court). On October 13, 2020, the Bankruptcy Court confirmed our joint plan of reorganization (the Plan) and we subsequently emerged from Chapter 11 proceedings on October 27, 2020 (Effective Date). See </w:t>
      </w:r>
      <w:r>
        <w:rPr>
          <w:rFonts w:ascii="Arial" w:cs="Arial" w:eastAsia="Arial" w:hAnsi="Arial"/>
          <w:sz w:val="20"/>
          <w:szCs w:val="20"/>
          <w:i w:val="1"/>
          <w:iCs w:val="1"/>
          <w:color w:val="auto"/>
        </w:rPr>
        <w:t>Note 15 Chapter 11 Proceedings</w:t>
      </w:r>
      <w:r>
        <w:rPr>
          <w:rFonts w:ascii="Arial" w:cs="Arial" w:eastAsia="Arial" w:hAnsi="Arial"/>
          <w:sz w:val="20"/>
          <w:szCs w:val="20"/>
          <w:color w:val="auto"/>
        </w:rPr>
        <w:t xml:space="preserve"> for more information on our voluntary reorganization. We qualified for fresh start accounting and allocated the reorganization value to our individual assets and liabilities based on their estimated relative fair value. Our reorganization value was less than the fair value of identifiable assets of the emerging entity and we allocated the difference to nonfinancial assets on a relative fair value basis. Our valuation approach for determining the estimated fair value of our significant assets acquired and liabilities assumed is discussed in </w:t>
      </w:r>
      <w:r>
        <w:rPr>
          <w:rFonts w:ascii="Arial" w:cs="Arial" w:eastAsia="Arial" w:hAnsi="Arial"/>
          <w:sz w:val="20"/>
          <w:szCs w:val="20"/>
          <w:i w:val="1"/>
          <w:iCs w:val="1"/>
          <w:color w:val="auto"/>
        </w:rPr>
        <w:t>Note 16 Fresh Start Accounting</w:t>
      </w:r>
      <w:r>
        <w:rPr>
          <w:rFonts w:ascii="Arial" w:cs="Arial" w:eastAsia="Arial" w:hAnsi="Arial"/>
          <w:sz w:val="20"/>
          <w:szCs w:val="20"/>
          <w:color w:val="auto"/>
        </w:rPr>
        <w:t>.</w:t>
      </w:r>
    </w:p>
    <w:p>
      <w:pPr>
        <w:spacing w:after="0" w:line="176" w:lineRule="exact"/>
        <w:rPr>
          <w:sz w:val="20"/>
          <w:szCs w:val="20"/>
          <w:color w:val="auto"/>
        </w:rPr>
      </w:pPr>
    </w:p>
    <w:p>
      <w:pPr>
        <w:ind w:right="280" w:firstLine="300"/>
        <w:spacing w:after="0" w:line="249" w:lineRule="auto"/>
        <w:rPr>
          <w:sz w:val="20"/>
          <w:szCs w:val="20"/>
          <w:color w:val="auto"/>
        </w:rPr>
      </w:pPr>
      <w:r>
        <w:rPr>
          <w:rFonts w:ascii="Arial" w:cs="Arial" w:eastAsia="Arial" w:hAnsi="Arial"/>
          <w:sz w:val="20"/>
          <w:szCs w:val="20"/>
          <w:color w:val="auto"/>
        </w:rPr>
        <w:t>In 2021, we reduced the size of our management team and realigned several functions, which resulted in headcount and cost reductions. We recorded a restructuring charge of $15 million during the year ended December 31, 2021. In 2020, we reduced our workforce in response to economic conditions, resulting in a restructuring charge of $10 million in the Predecessor period ended October 31, 2020 and $5 million in the Successor period ended December 31, 2020. These charges are included in other operating expenses, net on our consolidated statement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Property, Plant and Equipment (PP&amp;E)</w:t>
      </w:r>
    </w:p>
    <w:p>
      <w:pPr>
        <w:spacing w:after="0" w:line="187" w:lineRule="exact"/>
        <w:rPr>
          <w:sz w:val="20"/>
          <w:szCs w:val="20"/>
          <w:color w:val="auto"/>
        </w:rPr>
      </w:pPr>
    </w:p>
    <w:p>
      <w:pPr>
        <w:ind w:right="220" w:firstLine="300"/>
        <w:spacing w:after="0" w:line="249" w:lineRule="auto"/>
        <w:rPr>
          <w:sz w:val="20"/>
          <w:szCs w:val="20"/>
          <w:color w:val="auto"/>
        </w:rPr>
      </w:pPr>
      <w:r>
        <w:rPr>
          <w:rFonts w:ascii="Arial" w:cs="Arial" w:eastAsia="Arial" w:hAnsi="Arial"/>
          <w:sz w:val="20"/>
          <w:szCs w:val="20"/>
          <w:color w:val="auto"/>
        </w:rPr>
        <w:t>We use the successful efforts method to account for our oil and natural gas properties. Under this method, we capitalize costs of acquiring properties, costs of drilling successful exploration wells and development costs. The costs of exploratory wells, including permitting, land preparation and drilling costs, are initially capitalized pending a determination of whether we find proved reserves. If we find proved reserves, the costs of exploratory wells remain capitalized. Otherwise, we charge the costs of the related wells to expense. In cases where we cannot determine whether we have found proved reserves at the completion of exploration drilling, we conduct additional testing and evaluation of the wells. We generally expense the costs of such exploratory wells if we do not find proved reserves within a one-year period after initial drilling has been completed.</w:t>
      </w:r>
    </w:p>
    <w:p>
      <w:pPr>
        <w:spacing w:after="0" w:line="179" w:lineRule="exact"/>
        <w:rPr>
          <w:sz w:val="20"/>
          <w:szCs w:val="20"/>
          <w:color w:val="auto"/>
        </w:rPr>
      </w:pPr>
    </w:p>
    <w:p>
      <w:pPr>
        <w:ind w:right="100" w:firstLine="300"/>
        <w:spacing w:after="0" w:line="250" w:lineRule="auto"/>
        <w:rPr>
          <w:sz w:val="20"/>
          <w:szCs w:val="20"/>
          <w:color w:val="auto"/>
        </w:rPr>
      </w:pPr>
      <w:r>
        <w:rPr>
          <w:rFonts w:ascii="Arial" w:cs="Arial" w:eastAsia="Arial" w:hAnsi="Arial"/>
          <w:sz w:val="20"/>
          <w:szCs w:val="20"/>
          <w:b w:val="1"/>
          <w:bCs w:val="1"/>
          <w:i w:val="1"/>
          <w:iCs w:val="1"/>
          <w:color w:val="auto"/>
        </w:rPr>
        <w:t xml:space="preserve">Proved Reserves </w:t>
      </w:r>
      <w:r>
        <w:rPr>
          <w:rFonts w:ascii="Arial" w:cs="Arial" w:eastAsia="Arial" w:hAnsi="Arial"/>
          <w:sz w:val="20"/>
          <w:szCs w:val="20"/>
          <w:color w:val="auto"/>
        </w:rPr>
        <w:t>– Proved reserves are those quantities of oil and natural gas that, by analysis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geoscience and engineering data, can be estimated with reasonable certainty to be economically producible—from a specific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We have no proved oil and natural gas reserves for which the determination of economic producibility is subject to the completion of major capital investments.</w:t>
      </w:r>
    </w:p>
    <w:p>
      <w:pPr>
        <w:spacing w:after="0" w:line="179"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Several factors could change our proved oil and natural gas reserves. For example, for long-lived properties, higher commodity prices typically result in additional reserves becoming economic and lower commodity prices may lead to existing reserves becoming uneconomic. Estimation of future production and development costs is also subject to change partially due to factors beyond our control, such as energy costs and inflation or deflation of oil field service costs. These factors, in turn, could lead to changes in the quantity of proved reserves. Additional factors that could result in a change of proved reserves include production decline rates and operating performance differing from those estimated when the proved reserves were initially recorded as well as availability of capital to implement the development activities contemplated in the reserves estimates and changes in management’s plans with respect to such development activities.</w:t>
      </w:r>
    </w:p>
    <w:p>
      <w:pPr>
        <w:sectPr>
          <w:pgSz w:w="11880" w:h="15480" w:orient="portrait"/>
          <w:cols w:equalWidth="0" w:num="1">
            <w:col w:w="9120"/>
          </w:cols>
          <w:pgMar w:left="1380" w:top="1311" w:right="1380" w:bottom="661" w:gutter="0" w:footer="0" w:header="0"/>
        </w:sect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102</w:t>
      </w:r>
    </w:p>
    <w:p>
      <w:pPr>
        <w:sectPr>
          <w:pgSz w:w="11880" w:h="15480" w:orient="portrait"/>
          <w:cols w:equalWidth="0" w:num="1">
            <w:col w:w="9120"/>
          </w:cols>
          <w:pgMar w:left="1380" w:top="1311" w:right="1380" w:bottom="661" w:gutter="0" w:footer="0" w:header="0"/>
          <w:type w:val="continuous"/>
        </w:sectPr>
      </w:pPr>
    </w:p>
    <w:bookmarkStart w:id="106" w:name="page107"/>
    <w:bookmarkEnd w:id="106"/>
    <w:p>
      <w:pPr>
        <w:ind w:right="20" w:firstLine="300"/>
        <w:spacing w:after="0" w:line="249" w:lineRule="auto"/>
        <w:rPr>
          <w:sz w:val="20"/>
          <w:szCs w:val="20"/>
          <w:color w:val="auto"/>
        </w:rPr>
      </w:pPr>
      <w:r>
        <w:rPr>
          <w:rFonts w:ascii="Arial" w:cs="Arial" w:eastAsia="Arial" w:hAnsi="Arial"/>
          <w:sz w:val="20"/>
          <w:szCs w:val="20"/>
          <w:color w:val="auto"/>
        </w:rPr>
        <w:t>We perform impairment tests with respect to proved properties when product prices decline other than temporarily, reserves estimates change significantly, other significant events occur or management’s plans change with respect to these properties in a manner that may impact our ability to realize the recorded asset amounts. Impairment tests incorporate a number of assumptions involving expectations of undiscounted future cash flows, which can change significantly over time. These assumptions include estimates of future product prices, which we base on forward price curves and, when applicable, contractual prices, estimates of oil and natural gas reserves and estimates of future expected operating and development costs. Any impairment loss would be calculated as the excess of the asset’s net book value over its estimated fair value. We recognize any impairment loss on proved properties by adjusting the carrying amount of the asset.</w:t>
      </w:r>
    </w:p>
    <w:p>
      <w:pPr>
        <w:spacing w:after="0" w:line="159" w:lineRule="exact"/>
        <w:rPr>
          <w:sz w:val="20"/>
          <w:szCs w:val="20"/>
          <w:color w:val="auto"/>
        </w:rPr>
      </w:pPr>
    </w:p>
    <w:p>
      <w:pPr>
        <w:ind w:right="40" w:firstLine="300"/>
        <w:spacing w:after="0" w:line="250" w:lineRule="auto"/>
        <w:rPr>
          <w:sz w:val="20"/>
          <w:szCs w:val="20"/>
          <w:color w:val="auto"/>
        </w:rPr>
      </w:pPr>
      <w:r>
        <w:rPr>
          <w:rFonts w:ascii="Arial" w:cs="Arial" w:eastAsia="Arial" w:hAnsi="Arial"/>
          <w:sz w:val="20"/>
          <w:szCs w:val="20"/>
          <w:b w:val="1"/>
          <w:bCs w:val="1"/>
          <w:i w:val="1"/>
          <w:iCs w:val="1"/>
          <w:color w:val="auto"/>
        </w:rPr>
        <w:t xml:space="preserve">Unproved Properties </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When we make acquisitions that include unproved properties, we assign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values based on estimated reserves that we believe will ultimately be proved. As exploration and development work progresses and if reserves are proved, we transfer the book value from unproved to proved based on the initially determined rate per BOE. If the exploration and development work were to be unsuccessful, or management decided not to pursue development of these properties as a result of lower commodity prices, higher development and operating costs, regulatory changes, contractual conditions or other factors, the capitalized costs of the related properties would be expensed.</w:t>
      </w:r>
    </w:p>
    <w:p>
      <w:pPr>
        <w:spacing w:after="0" w:line="158"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Impairments of unproved properties are primarily based on qualitative factors including intent of property development, lease term and recent development activity. The timing of impairments on unproved properties, if warranted, depends upon management’s plans, the nature, timing and extent of future exploration and development activities and their results. We recognize any impairment loss on unproved properties by providing a valuation allowance.</w:t>
      </w:r>
    </w:p>
    <w:p>
      <w:pPr>
        <w:spacing w:after="0" w:line="152" w:lineRule="exact"/>
        <w:rPr>
          <w:sz w:val="20"/>
          <w:szCs w:val="20"/>
          <w:color w:val="auto"/>
        </w:rPr>
      </w:pPr>
    </w:p>
    <w:p>
      <w:pPr>
        <w:ind w:right="80" w:firstLine="300"/>
        <w:spacing w:after="0" w:line="250" w:lineRule="auto"/>
        <w:rPr>
          <w:sz w:val="20"/>
          <w:szCs w:val="20"/>
          <w:color w:val="auto"/>
        </w:rPr>
      </w:pPr>
      <w:r>
        <w:rPr>
          <w:rFonts w:ascii="Arial" w:cs="Arial" w:eastAsia="Arial" w:hAnsi="Arial"/>
          <w:sz w:val="20"/>
          <w:szCs w:val="20"/>
          <w:b w:val="1"/>
          <w:bCs w:val="1"/>
          <w:i w:val="1"/>
          <w:iCs w:val="1"/>
          <w:color w:val="auto"/>
        </w:rPr>
        <w:t xml:space="preserve">Depreciation, Depletion and Amortization </w:t>
      </w:r>
      <w:r>
        <w:rPr>
          <w:rFonts w:ascii="Arial" w:cs="Arial" w:eastAsia="Arial" w:hAnsi="Arial"/>
          <w:sz w:val="20"/>
          <w:szCs w:val="20"/>
          <w:color w:val="auto"/>
        </w:rPr>
        <w:t>– We determine depreciation, depletion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amortization (DD&amp;A) of oil and natural gas producing properties by the unit-of-production method. Our unproved reserves are not subject to DD&amp;A until they are classified as proved properties. We amortize acquisition costs over total proved reserves, and capitalized development and successful exploration costs over proved developed reserves. Our gas and power plant assets are depreciated over the estimated useful lives of the assets, using the straight-line method, with expected initial useful lives of the assets of up to 30 years. We depreciated other property and equipment using the straight-line method based on expected useful lives of the individual assets or group of assets. The useful lives typically include ranges of 4-10 years for leasehold improvements, 1-4 years for software and telecommunications equipment and up to 5 years for computer hardware.</w:t>
      </w:r>
    </w:p>
    <w:p>
      <w:pPr>
        <w:spacing w:after="0" w:line="159" w:lineRule="exact"/>
        <w:rPr>
          <w:sz w:val="20"/>
          <w:szCs w:val="20"/>
          <w:color w:val="auto"/>
        </w:rPr>
      </w:pPr>
    </w:p>
    <w:p>
      <w:pPr>
        <w:ind w:firstLine="300"/>
        <w:spacing w:after="0" w:line="248" w:lineRule="auto"/>
        <w:rPr>
          <w:sz w:val="20"/>
          <w:szCs w:val="20"/>
          <w:color w:val="auto"/>
        </w:rPr>
      </w:pPr>
      <w:r>
        <w:rPr>
          <w:rFonts w:ascii="Arial" w:cs="Arial" w:eastAsia="Arial" w:hAnsi="Arial"/>
          <w:sz w:val="20"/>
          <w:szCs w:val="20"/>
          <w:color w:val="auto"/>
        </w:rPr>
        <w:t>We expense annual lease rentals, the costs of injection used in production and exploration, and geological, geophysical and seismic costs as incurred. Costs of maintenance and repairs are expensed as incurred, except that the costs of replacements that expand capacity or add proven oil and natural gas reserves are capitalized.</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Fair Value Measurements</w:t>
      </w:r>
    </w:p>
    <w:p>
      <w:pPr>
        <w:spacing w:after="0" w:line="164" w:lineRule="exact"/>
        <w:rPr>
          <w:sz w:val="20"/>
          <w:szCs w:val="20"/>
          <w:color w:val="auto"/>
        </w:rPr>
      </w:pPr>
    </w:p>
    <w:p>
      <w:pPr>
        <w:ind w:firstLine="300"/>
        <w:spacing w:after="0" w:line="245" w:lineRule="auto"/>
        <w:rPr>
          <w:sz w:val="20"/>
          <w:szCs w:val="20"/>
          <w:color w:val="auto"/>
        </w:rPr>
      </w:pPr>
      <w:r>
        <w:rPr>
          <w:rFonts w:ascii="Arial" w:cs="Arial" w:eastAsia="Arial" w:hAnsi="Arial"/>
          <w:sz w:val="20"/>
          <w:szCs w:val="20"/>
          <w:color w:val="auto"/>
        </w:rPr>
        <w:t>Our assets and liabilities measured at fair value are categorized in a three-level fair-value hierarchy, based on the inputs to the valuation techniques:</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20"/>
          <w:szCs w:val="20"/>
          <w:color w:val="auto"/>
        </w:rPr>
        <w:t>Level 1—using quoted prices in active markets for the assets or liabilities;</w:t>
      </w:r>
    </w:p>
    <w:p>
      <w:pPr>
        <w:spacing w:after="0" w:line="14" w:lineRule="exact"/>
        <w:rPr>
          <w:sz w:val="20"/>
          <w:szCs w:val="20"/>
          <w:color w:val="auto"/>
        </w:rPr>
      </w:pPr>
    </w:p>
    <w:p>
      <w:pPr>
        <w:ind w:left="300" w:right="920"/>
        <w:spacing w:after="0" w:line="245" w:lineRule="auto"/>
        <w:rPr>
          <w:sz w:val="20"/>
          <w:szCs w:val="20"/>
          <w:color w:val="auto"/>
        </w:rPr>
      </w:pPr>
      <w:r>
        <w:rPr>
          <w:rFonts w:ascii="Arial" w:cs="Arial" w:eastAsia="Arial" w:hAnsi="Arial"/>
          <w:sz w:val="20"/>
          <w:szCs w:val="20"/>
          <w:color w:val="auto"/>
        </w:rPr>
        <w:t>Level 2—using observable inputs other than quoted prices for the assets or liabilities; and Level 3—using unobservable inputs.</w:t>
      </w:r>
    </w:p>
    <w:p>
      <w:pPr>
        <w:spacing w:after="0" w:line="160" w:lineRule="exact"/>
        <w:rPr>
          <w:sz w:val="20"/>
          <w:szCs w:val="20"/>
          <w:color w:val="auto"/>
        </w:rPr>
      </w:pPr>
    </w:p>
    <w:p>
      <w:pPr>
        <w:ind w:right="40" w:firstLine="300"/>
        <w:spacing w:after="0" w:line="248" w:lineRule="auto"/>
        <w:rPr>
          <w:sz w:val="20"/>
          <w:szCs w:val="20"/>
          <w:color w:val="auto"/>
        </w:rPr>
      </w:pPr>
      <w:r>
        <w:rPr>
          <w:rFonts w:ascii="Arial" w:cs="Arial" w:eastAsia="Arial" w:hAnsi="Arial"/>
          <w:sz w:val="20"/>
          <w:szCs w:val="20"/>
          <w:color w:val="auto"/>
        </w:rPr>
        <w:t>Transfers between levels, if any, are recognized at the end of each reporting period. We apply the market approach for certain recurring fair value measurements, maximize our use of observable inputs and minimize use of unobservable inputs. We generally use an income approach to measure fair value when observable inputs are unavailable. This approach utilizes management’s judgments regarding expectations of projected cash flows and discount rates.</w:t>
      </w:r>
    </w:p>
    <w:p>
      <w:pPr>
        <w:sectPr>
          <w:pgSz w:w="11880" w:h="15480" w:orient="portrait"/>
          <w:cols w:equalWidth="0" w:num="1">
            <w:col w:w="9120"/>
          </w:cols>
          <w:pgMar w:left="1380" w:top="1316" w:right="1380" w:bottom="66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103</w:t>
      </w:r>
    </w:p>
    <w:p>
      <w:pPr>
        <w:sectPr>
          <w:pgSz w:w="11880" w:h="15480" w:orient="portrait"/>
          <w:cols w:equalWidth="0" w:num="1">
            <w:col w:w="9120"/>
          </w:cols>
          <w:pgMar w:left="1380" w:top="1316" w:right="1380" w:bottom="661" w:gutter="0" w:footer="0" w:header="0"/>
          <w:type w:val="continuous"/>
        </w:sectPr>
      </w:pPr>
    </w:p>
    <w:bookmarkStart w:id="107" w:name="page108"/>
    <w:bookmarkEnd w:id="107"/>
    <w:p>
      <w:pPr>
        <w:ind w:right="20" w:firstLine="300"/>
        <w:spacing w:after="0" w:line="249" w:lineRule="auto"/>
        <w:rPr>
          <w:sz w:val="20"/>
          <w:szCs w:val="20"/>
          <w:color w:val="auto"/>
        </w:rPr>
      </w:pPr>
      <w:r>
        <w:rPr>
          <w:rFonts w:ascii="Arial" w:cs="Arial" w:eastAsia="Arial" w:hAnsi="Arial"/>
          <w:sz w:val="20"/>
          <w:szCs w:val="20"/>
          <w:color w:val="auto"/>
        </w:rPr>
        <w:t>Commodity derivatives are carried at fair value. We utilize the mid-point between bid and ask prices for valuing these instruments. Our commodity derivatives comprise over-the-counter bilateral financial commodity contracts, which are generally valued using industry-standard models that consider various inputs, including quoted forward prices for commodities, time value, volatility factors, credit risk and current market and contracted prices for the underlying instruments, as well as other relevant economic measures. Substantially all of these inputs are observable data or are supported by observable prices based on transactions executed in the marketplace. We classify these measurements as Level 2. Commodity derivatives are the most significant items on our consolidated balance sheets affected by recurring fair value measurements.</w:t>
      </w:r>
    </w:p>
    <w:p>
      <w:pPr>
        <w:spacing w:after="0" w:line="213"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color w:val="auto"/>
        </w:rPr>
        <w:t>Our PP&amp;E may be written down to fair value if we determine that there has been an impairment. The fair value is determined as of the date of the assessment generally using discounted cash flow models based on management’s expectations for the future. Inputs include estimates of future production, prices based on commodity forward price curves, inclusive of market differentials, as of the date of the estimate, estimated future operating and development costs and a risk-adjusted discount rate.</w:t>
      </w:r>
    </w:p>
    <w:p>
      <w:pPr>
        <w:spacing w:after="0" w:line="208" w:lineRule="exact"/>
        <w:rPr>
          <w:sz w:val="20"/>
          <w:szCs w:val="20"/>
          <w:color w:val="auto"/>
        </w:rPr>
      </w:pPr>
    </w:p>
    <w:p>
      <w:pPr>
        <w:ind w:right="260" w:firstLine="300"/>
        <w:spacing w:after="0" w:line="245" w:lineRule="auto"/>
        <w:rPr>
          <w:sz w:val="20"/>
          <w:szCs w:val="20"/>
          <w:color w:val="auto"/>
        </w:rPr>
      </w:pPr>
      <w:r>
        <w:rPr>
          <w:rFonts w:ascii="Arial" w:cs="Arial" w:eastAsia="Arial" w:hAnsi="Arial"/>
          <w:sz w:val="20"/>
          <w:szCs w:val="20"/>
          <w:color w:val="auto"/>
        </w:rPr>
        <w:t>The carrying amounts of cash and other on-balance sheet financial instruments, other than fixed-rate debt, approximate fair value.</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Revenue Recognition</w:t>
      </w:r>
    </w:p>
    <w:p>
      <w:pPr>
        <w:spacing w:after="0" w:line="214"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We derive substantially all of our revenue from sales of oil, natural gas and NGLs and associated hedging activities, with the remaining revenue generated from sales of electricity and trading activities related to storage and managing excess pipeline capacity. Revenues are recognized when control of promised goods is transferred to our customers, in an amount that reflects the consideration we expect to receive in exchange for those goods.</w:t>
      </w:r>
    </w:p>
    <w:p>
      <w:pPr>
        <w:spacing w:after="0" w:line="205" w:lineRule="exact"/>
        <w:rPr>
          <w:sz w:val="20"/>
          <w:szCs w:val="20"/>
          <w:color w:val="auto"/>
        </w:rPr>
      </w:pPr>
    </w:p>
    <w:p>
      <w:pPr>
        <w:ind w:right="200" w:firstLine="300"/>
        <w:spacing w:after="0" w:line="247" w:lineRule="auto"/>
        <w:rPr>
          <w:sz w:val="20"/>
          <w:szCs w:val="20"/>
          <w:color w:val="auto"/>
        </w:rPr>
      </w:pPr>
      <w:r>
        <w:rPr>
          <w:rFonts w:ascii="Arial" w:cs="Arial" w:eastAsia="Arial" w:hAnsi="Arial"/>
          <w:sz w:val="20"/>
          <w:szCs w:val="20"/>
          <w:i w:val="1"/>
          <w:iCs w:val="1"/>
          <w:color w:val="auto"/>
        </w:rPr>
        <w:t xml:space="preserve">Commodity sales contracts </w:t>
      </w:r>
      <w:r>
        <w:rPr>
          <w:rFonts w:ascii="Arial" w:cs="Arial" w:eastAsia="Arial" w:hAnsi="Arial"/>
          <w:sz w:val="20"/>
          <w:szCs w:val="20"/>
          <w:color w:val="auto"/>
        </w:rPr>
        <w:t>— Disaggregated revenue for sales of oil, natural gas and natural gas</w:t>
      </w:r>
      <w:r>
        <w:rPr>
          <w:rFonts w:ascii="Arial" w:cs="Arial" w:eastAsia="Arial" w:hAnsi="Arial"/>
          <w:sz w:val="20"/>
          <w:szCs w:val="20"/>
          <w:i w:val="1"/>
          <w:iCs w:val="1"/>
          <w:color w:val="auto"/>
        </w:rPr>
        <w:t xml:space="preserve"> </w:t>
      </w:r>
      <w:r>
        <w:rPr>
          <w:rFonts w:ascii="Arial" w:cs="Arial" w:eastAsia="Arial" w:hAnsi="Arial"/>
          <w:sz w:val="20"/>
          <w:szCs w:val="20"/>
          <w:color w:val="auto"/>
        </w:rPr>
        <w:t>liquids (NGLs) to customers includes the following:</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20"/>
                <w:szCs w:val="20"/>
                <w:b w:val="1"/>
                <w:bCs w:val="1"/>
                <w:color w:val="auto"/>
              </w:rPr>
              <w:t>Successor</w:t>
            </w:r>
          </w:p>
        </w:tc>
        <w:tc>
          <w:tcPr>
            <w:tcW w:w="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60"/>
              <w:spacing w:after="0"/>
              <w:rPr>
                <w:sz w:val="20"/>
                <w:szCs w:val="20"/>
                <w:color w:val="auto"/>
              </w:rPr>
            </w:pPr>
            <w:r>
              <w:rPr>
                <w:rFonts w:ascii="Arial" w:cs="Arial" w:eastAsia="Arial" w:hAnsi="Arial"/>
                <w:sz w:val="20"/>
                <w:szCs w:val="20"/>
                <w:b w:val="1"/>
                <w:bCs w:val="1"/>
                <w:color w:val="auto"/>
              </w:rPr>
              <w:t>Predecessor</w:t>
            </w:r>
          </w:p>
        </w:tc>
        <w:tc>
          <w:tcPr>
            <w:tcW w:w="0" w:type="dxa"/>
            <w:vAlign w:val="bottom"/>
          </w:tcPr>
          <w:p>
            <w:pPr>
              <w:spacing w:after="0"/>
              <w:rPr>
                <w:sz w:val="1"/>
                <w:szCs w:val="1"/>
                <w:color w:val="auto"/>
              </w:rPr>
            </w:pPr>
          </w:p>
        </w:tc>
      </w:tr>
      <w:tr>
        <w:trPr>
          <w:trHeight w:val="212"/>
        </w:trPr>
        <w:tc>
          <w:tcPr>
            <w:tcW w:w="2180" w:type="dxa"/>
            <w:vAlign w:val="bottom"/>
          </w:tcPr>
          <w:p>
            <w:pPr>
              <w:spacing w:after="0"/>
              <w:rPr>
                <w:sz w:val="18"/>
                <w:szCs w:val="18"/>
                <w:color w:val="auto"/>
              </w:rPr>
            </w:pPr>
          </w:p>
        </w:tc>
        <w:tc>
          <w:tcPr>
            <w:tcW w:w="1320" w:type="dxa"/>
            <w:vAlign w:val="bottom"/>
            <w:gridSpan w:val="2"/>
          </w:tcPr>
          <w:p>
            <w:pPr>
              <w:jc w:val="center"/>
              <w:spacing w:after="0" w:line="212" w:lineRule="exact"/>
              <w:rPr>
                <w:sz w:val="20"/>
                <w:szCs w:val="20"/>
                <w:color w:val="auto"/>
              </w:rPr>
            </w:pPr>
            <w:r>
              <w:rPr>
                <w:rFonts w:ascii="Arial" w:cs="Arial" w:eastAsia="Arial" w:hAnsi="Arial"/>
                <w:sz w:val="20"/>
                <w:szCs w:val="20"/>
                <w:b w:val="1"/>
                <w:bCs w:val="1"/>
                <w:color w:val="auto"/>
              </w:rPr>
              <w:t>Year ended</w:t>
            </w:r>
          </w:p>
        </w:tc>
        <w:tc>
          <w:tcPr>
            <w:tcW w:w="200" w:type="dxa"/>
            <w:vAlign w:val="bottom"/>
          </w:tcPr>
          <w:p>
            <w:pPr>
              <w:spacing w:after="0"/>
              <w:rPr>
                <w:sz w:val="18"/>
                <w:szCs w:val="18"/>
                <w:color w:val="auto"/>
              </w:rPr>
            </w:pPr>
          </w:p>
        </w:tc>
        <w:tc>
          <w:tcPr>
            <w:tcW w:w="1520" w:type="dxa"/>
            <w:vAlign w:val="bottom"/>
            <w:gridSpan w:val="3"/>
          </w:tcPr>
          <w:p>
            <w:pPr>
              <w:jc w:val="center"/>
              <w:ind w:right="200"/>
              <w:spacing w:after="0" w:line="212" w:lineRule="exact"/>
              <w:rPr>
                <w:sz w:val="20"/>
                <w:szCs w:val="20"/>
                <w:color w:val="auto"/>
              </w:rPr>
            </w:pPr>
            <w:r>
              <w:rPr>
                <w:rFonts w:ascii="Arial" w:cs="Arial" w:eastAsia="Arial" w:hAnsi="Arial"/>
                <w:sz w:val="20"/>
                <w:szCs w:val="20"/>
                <w:b w:val="1"/>
                <w:bCs w:val="1"/>
                <w:color w:val="auto"/>
              </w:rPr>
              <w:t>Year ended</w:t>
            </w:r>
          </w:p>
        </w:tc>
        <w:tc>
          <w:tcPr>
            <w:tcW w:w="1980" w:type="dxa"/>
            <w:vAlign w:val="bottom"/>
            <w:tcBorders>
              <w:right w:val="single" w:sz="8" w:color="auto"/>
            </w:tcBorders>
            <w:gridSpan w:val="5"/>
            <w:vMerge w:val="restart"/>
          </w:tcPr>
          <w:p>
            <w:pPr>
              <w:spacing w:after="0"/>
              <w:rPr>
                <w:sz w:val="20"/>
                <w:szCs w:val="20"/>
                <w:color w:val="auto"/>
              </w:rPr>
            </w:pPr>
            <w:r>
              <w:rPr>
                <w:rFonts w:ascii="Arial" w:cs="Arial" w:eastAsia="Arial" w:hAnsi="Arial"/>
                <w:sz w:val="20"/>
                <w:szCs w:val="20"/>
                <w:b w:val="1"/>
                <w:bCs w:val="1"/>
                <w:color w:val="auto"/>
              </w:rPr>
              <w:t>November 1, 2020 -</w:t>
            </w:r>
          </w:p>
        </w:tc>
        <w:tc>
          <w:tcPr>
            <w:tcW w:w="200" w:type="dxa"/>
            <w:vAlign w:val="bottom"/>
          </w:tcPr>
          <w:p>
            <w:pPr>
              <w:spacing w:after="0"/>
              <w:rPr>
                <w:sz w:val="18"/>
                <w:szCs w:val="18"/>
                <w:color w:val="auto"/>
              </w:rPr>
            </w:pPr>
          </w:p>
        </w:tc>
        <w:tc>
          <w:tcPr>
            <w:tcW w:w="1720" w:type="dxa"/>
            <w:vAlign w:val="bottom"/>
            <w:gridSpan w:val="2"/>
            <w:vMerge w:val="restart"/>
          </w:tcPr>
          <w:p>
            <w:pPr>
              <w:ind w:left="60"/>
              <w:spacing w:after="0"/>
              <w:rPr>
                <w:sz w:val="20"/>
                <w:szCs w:val="20"/>
                <w:color w:val="auto"/>
              </w:rPr>
            </w:pPr>
            <w:r>
              <w:rPr>
                <w:rFonts w:ascii="Arial" w:cs="Arial" w:eastAsia="Arial" w:hAnsi="Arial"/>
                <w:sz w:val="20"/>
                <w:szCs w:val="20"/>
                <w:b w:val="1"/>
                <w:bCs w:val="1"/>
                <w:color w:val="auto"/>
              </w:rPr>
              <w:t>January 1, 2020 -</w:t>
            </w:r>
          </w:p>
        </w:tc>
        <w:tc>
          <w:tcPr>
            <w:tcW w:w="0" w:type="dxa"/>
            <w:vAlign w:val="bottom"/>
          </w:tcPr>
          <w:p>
            <w:pPr>
              <w:spacing w:after="0"/>
              <w:rPr>
                <w:sz w:val="1"/>
                <w:szCs w:val="1"/>
                <w:color w:val="auto"/>
              </w:rPr>
            </w:pPr>
          </w:p>
        </w:tc>
      </w:tr>
      <w:tr>
        <w:trPr>
          <w:trHeight w:val="188"/>
        </w:trPr>
        <w:tc>
          <w:tcPr>
            <w:tcW w:w="2180" w:type="dxa"/>
            <w:vAlign w:val="bottom"/>
          </w:tcPr>
          <w:p>
            <w:pPr>
              <w:spacing w:after="0"/>
              <w:rPr>
                <w:sz w:val="16"/>
                <w:szCs w:val="16"/>
                <w:color w:val="auto"/>
              </w:rPr>
            </w:pPr>
          </w:p>
        </w:tc>
        <w:tc>
          <w:tcPr>
            <w:tcW w:w="1320" w:type="dxa"/>
            <w:vAlign w:val="bottom"/>
            <w:gridSpan w:val="2"/>
          </w:tcPr>
          <w:p>
            <w:pPr>
              <w:jc w:val="center"/>
              <w:spacing w:after="0" w:line="187" w:lineRule="exact"/>
              <w:rPr>
                <w:sz w:val="20"/>
                <w:szCs w:val="20"/>
                <w:color w:val="auto"/>
              </w:rPr>
            </w:pPr>
            <w:r>
              <w:rPr>
                <w:rFonts w:ascii="Arial" w:cs="Arial" w:eastAsia="Arial" w:hAnsi="Arial"/>
                <w:sz w:val="20"/>
                <w:szCs w:val="20"/>
                <w:b w:val="1"/>
                <w:bCs w:val="1"/>
                <w:color w:val="auto"/>
                <w:w w:val="99"/>
              </w:rPr>
              <w:t>December 31,</w:t>
            </w:r>
          </w:p>
        </w:tc>
        <w:tc>
          <w:tcPr>
            <w:tcW w:w="200" w:type="dxa"/>
            <w:vAlign w:val="bottom"/>
          </w:tcPr>
          <w:p>
            <w:pPr>
              <w:spacing w:after="0"/>
              <w:rPr>
                <w:sz w:val="16"/>
                <w:szCs w:val="16"/>
                <w:color w:val="auto"/>
              </w:rPr>
            </w:pPr>
          </w:p>
        </w:tc>
        <w:tc>
          <w:tcPr>
            <w:tcW w:w="1520" w:type="dxa"/>
            <w:vAlign w:val="bottom"/>
            <w:gridSpan w:val="3"/>
          </w:tcPr>
          <w:p>
            <w:pPr>
              <w:jc w:val="center"/>
              <w:ind w:right="180"/>
              <w:spacing w:after="0" w:line="187" w:lineRule="exact"/>
              <w:rPr>
                <w:sz w:val="20"/>
                <w:szCs w:val="20"/>
                <w:color w:val="auto"/>
              </w:rPr>
            </w:pPr>
            <w:r>
              <w:rPr>
                <w:rFonts w:ascii="Arial" w:cs="Arial" w:eastAsia="Arial" w:hAnsi="Arial"/>
                <w:sz w:val="20"/>
                <w:szCs w:val="20"/>
                <w:b w:val="1"/>
                <w:bCs w:val="1"/>
                <w:color w:val="auto"/>
                <w:w w:val="99"/>
              </w:rPr>
              <w:t>December 31,</w:t>
            </w:r>
          </w:p>
        </w:tc>
        <w:tc>
          <w:tcPr>
            <w:tcW w:w="1980" w:type="dxa"/>
            <w:vAlign w:val="bottom"/>
            <w:tcBorders>
              <w:right w:val="single" w:sz="8" w:color="auto"/>
            </w:tcBorders>
            <w:gridSpan w:val="5"/>
            <w:vMerge w:val="continue"/>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18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980" w:type="dxa"/>
            <w:vAlign w:val="bottom"/>
            <w:tcBorders>
              <w:right w:val="single" w:sz="8" w:color="auto"/>
            </w:tcBorders>
            <w:gridSpan w:val="5"/>
            <w:vMerge w:val="restart"/>
          </w:tcPr>
          <w:p>
            <w:pPr>
              <w:ind w:left="20"/>
              <w:spacing w:after="0"/>
              <w:rPr>
                <w:sz w:val="20"/>
                <w:szCs w:val="20"/>
                <w:color w:val="auto"/>
              </w:rPr>
            </w:pPr>
            <w:r>
              <w:rPr>
                <w:rFonts w:ascii="Arial" w:cs="Arial" w:eastAsia="Arial" w:hAnsi="Arial"/>
                <w:sz w:val="20"/>
                <w:szCs w:val="20"/>
                <w:b w:val="1"/>
                <w:bCs w:val="1"/>
                <w:color w:val="auto"/>
              </w:rPr>
              <w:t>December 31, 2020</w:t>
            </w:r>
          </w:p>
        </w:tc>
        <w:tc>
          <w:tcPr>
            <w:tcW w:w="200" w:type="dxa"/>
            <w:vAlign w:val="bottom"/>
          </w:tcPr>
          <w:p>
            <w:pPr>
              <w:spacing w:after="0"/>
              <w:rPr>
                <w:sz w:val="5"/>
                <w:szCs w:val="5"/>
                <w:color w:val="auto"/>
              </w:rPr>
            </w:pPr>
          </w:p>
        </w:tc>
        <w:tc>
          <w:tcPr>
            <w:tcW w:w="1720" w:type="dxa"/>
            <w:vAlign w:val="bottom"/>
            <w:gridSpan w:val="2"/>
            <w:vMerge w:val="restart"/>
          </w:tcPr>
          <w:p>
            <w:pPr>
              <w:ind w:left="60"/>
              <w:spacing w:after="0"/>
              <w:rPr>
                <w:sz w:val="20"/>
                <w:szCs w:val="20"/>
                <w:color w:val="auto"/>
              </w:rPr>
            </w:pPr>
            <w:r>
              <w:rPr>
                <w:rFonts w:ascii="Arial" w:cs="Arial" w:eastAsia="Arial" w:hAnsi="Arial"/>
                <w:sz w:val="20"/>
                <w:szCs w:val="20"/>
                <w:b w:val="1"/>
                <w:bCs w:val="1"/>
                <w:color w:val="auto"/>
              </w:rPr>
              <w:t>October 31, 2020</w:t>
            </w:r>
          </w:p>
        </w:tc>
        <w:tc>
          <w:tcPr>
            <w:tcW w:w="0" w:type="dxa"/>
            <w:vAlign w:val="bottom"/>
          </w:tcPr>
          <w:p>
            <w:pPr>
              <w:spacing w:after="0"/>
              <w:rPr>
                <w:sz w:val="1"/>
                <w:szCs w:val="1"/>
                <w:color w:val="auto"/>
              </w:rPr>
            </w:pPr>
          </w:p>
        </w:tc>
      </w:tr>
      <w:tr>
        <w:trPr>
          <w:trHeight w:val="150"/>
        </w:trPr>
        <w:tc>
          <w:tcPr>
            <w:tcW w:w="2180" w:type="dxa"/>
            <w:vAlign w:val="bottom"/>
            <w:vMerge w:val="restart"/>
          </w:tcPr>
          <w:p>
            <w:pPr>
              <w:jc w:val="right"/>
              <w:ind w:right="1283"/>
              <w:spacing w:after="0"/>
              <w:rPr>
                <w:sz w:val="20"/>
                <w:szCs w:val="20"/>
                <w:color w:val="auto"/>
              </w:rPr>
            </w:pPr>
            <w:r>
              <w:rPr>
                <w:rFonts w:ascii="Arial" w:cs="Arial" w:eastAsia="Arial" w:hAnsi="Arial"/>
                <w:sz w:val="16"/>
                <w:szCs w:val="16"/>
                <w:color w:val="auto"/>
                <w:w w:val="96"/>
              </w:rPr>
              <w:t>(in millions)</w:t>
            </w:r>
          </w:p>
        </w:tc>
        <w:tc>
          <w:tcPr>
            <w:tcW w:w="300" w:type="dxa"/>
            <w:vAlign w:val="bottom"/>
          </w:tcPr>
          <w:p>
            <w:pPr>
              <w:spacing w:after="0"/>
              <w:rPr>
                <w:sz w:val="13"/>
                <w:szCs w:val="13"/>
                <w:color w:val="auto"/>
              </w:rPr>
            </w:pPr>
          </w:p>
        </w:tc>
        <w:tc>
          <w:tcPr>
            <w:tcW w:w="1020" w:type="dxa"/>
            <w:vAlign w:val="bottom"/>
            <w:vMerge w:val="restart"/>
          </w:tcPr>
          <w:p>
            <w:pPr>
              <w:jc w:val="center"/>
              <w:ind w:right="200"/>
              <w:spacing w:after="0"/>
              <w:rPr>
                <w:sz w:val="20"/>
                <w:szCs w:val="20"/>
                <w:color w:val="auto"/>
              </w:rPr>
            </w:pPr>
            <w:r>
              <w:rPr>
                <w:rFonts w:ascii="Arial" w:cs="Arial" w:eastAsia="Arial" w:hAnsi="Arial"/>
                <w:sz w:val="20"/>
                <w:szCs w:val="20"/>
                <w:b w:val="1"/>
                <w:bCs w:val="1"/>
                <w:color w:val="auto"/>
                <w:w w:val="98"/>
              </w:rPr>
              <w:t>2022</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vMerge w:val="restart"/>
          </w:tcPr>
          <w:p>
            <w:pPr>
              <w:jc w:val="center"/>
              <w:ind w:right="180"/>
              <w:spacing w:after="0"/>
              <w:rPr>
                <w:sz w:val="20"/>
                <w:szCs w:val="20"/>
                <w:color w:val="auto"/>
              </w:rPr>
            </w:pPr>
            <w:r>
              <w:rPr>
                <w:rFonts w:ascii="Arial" w:cs="Arial" w:eastAsia="Arial" w:hAnsi="Arial"/>
                <w:sz w:val="20"/>
                <w:szCs w:val="20"/>
                <w:b w:val="1"/>
                <w:bCs w:val="1"/>
                <w:color w:val="auto"/>
                <w:w w:val="98"/>
              </w:rPr>
              <w:t>2021</w:t>
            </w:r>
          </w:p>
        </w:tc>
        <w:tc>
          <w:tcPr>
            <w:tcW w:w="200" w:type="dxa"/>
            <w:vAlign w:val="bottom"/>
          </w:tcPr>
          <w:p>
            <w:pPr>
              <w:spacing w:after="0"/>
              <w:rPr>
                <w:sz w:val="13"/>
                <w:szCs w:val="13"/>
                <w:color w:val="auto"/>
              </w:rPr>
            </w:pPr>
          </w:p>
        </w:tc>
        <w:tc>
          <w:tcPr>
            <w:tcW w:w="1980" w:type="dxa"/>
            <w:vAlign w:val="bottom"/>
            <w:tcBorders>
              <w:right w:val="single" w:sz="8" w:color="auto"/>
            </w:tcBorders>
            <w:gridSpan w:val="5"/>
            <w:vMerge w:val="continue"/>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180" w:type="dxa"/>
            <w:vAlign w:val="bottom"/>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22"/>
        </w:trPr>
        <w:tc>
          <w:tcPr>
            <w:tcW w:w="2180" w:type="dxa"/>
            <w:vAlign w:val="bottom"/>
          </w:tcPr>
          <w:p>
            <w:pPr>
              <w:jc w:val="right"/>
              <w:ind w:right="103"/>
              <w:spacing w:after="0"/>
              <w:rPr>
                <w:sz w:val="20"/>
                <w:szCs w:val="20"/>
                <w:color w:val="auto"/>
              </w:rPr>
            </w:pPr>
            <w:r>
              <w:rPr>
                <w:rFonts w:ascii="Arial" w:cs="Arial" w:eastAsia="Arial" w:hAnsi="Arial"/>
                <w:sz w:val="20"/>
                <w:szCs w:val="20"/>
                <w:color w:val="auto"/>
                <w:w w:val="96"/>
              </w:rPr>
              <w:t>Oil . . . . . . . . . . . . . . . .</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1,968</w:t>
            </w:r>
          </w:p>
        </w:tc>
        <w:tc>
          <w:tcPr>
            <w:tcW w:w="48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1,555</w:t>
            </w:r>
          </w:p>
        </w:tc>
        <w:tc>
          <w:tcPr>
            <w:tcW w:w="200" w:type="dxa"/>
            <w:vAlign w:val="bottom"/>
          </w:tcPr>
          <w:p>
            <w:pPr>
              <w:spacing w:after="0"/>
              <w:rPr>
                <w:sz w:val="24"/>
                <w:szCs w:val="24"/>
                <w:color w:val="auto"/>
              </w:rPr>
            </w:pPr>
          </w:p>
        </w:tc>
        <w:tc>
          <w:tcPr>
            <w:tcW w:w="800" w:type="dxa"/>
            <w:vAlign w:val="bottom"/>
            <w:gridSpan w:val="2"/>
          </w:tcPr>
          <w:p>
            <w:pPr>
              <w:jc w:val="right"/>
              <w:ind w:right="60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176</w:t>
            </w:r>
          </w:p>
        </w:tc>
        <w:tc>
          <w:tcPr>
            <w:tcW w:w="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400" w:type="dxa"/>
            <w:vAlign w:val="bottom"/>
            <w:gridSpan w:val="2"/>
          </w:tcPr>
          <w:p>
            <w:pPr>
              <w:ind w:left="240"/>
              <w:spacing w:after="0"/>
              <w:rPr>
                <w:sz w:val="20"/>
                <w:szCs w:val="20"/>
                <w:color w:val="auto"/>
              </w:rPr>
            </w:pPr>
            <w:r>
              <w:rPr>
                <w:rFonts w:ascii="Arial" w:cs="Arial" w:eastAsia="Arial" w:hAnsi="Arial"/>
                <w:sz w:val="20"/>
                <w:szCs w:val="20"/>
                <w:color w:val="auto"/>
              </w:rPr>
              <w:t>$</w:t>
            </w:r>
          </w:p>
        </w:tc>
        <w:tc>
          <w:tcPr>
            <w:tcW w:w="1520" w:type="dxa"/>
            <w:vAlign w:val="bottom"/>
          </w:tcPr>
          <w:p>
            <w:pPr>
              <w:jc w:val="right"/>
              <w:spacing w:after="0"/>
              <w:rPr>
                <w:sz w:val="20"/>
                <w:szCs w:val="20"/>
                <w:color w:val="auto"/>
              </w:rPr>
            </w:pPr>
            <w:r>
              <w:rPr>
                <w:rFonts w:ascii="Arial" w:cs="Arial" w:eastAsia="Arial" w:hAnsi="Arial"/>
                <w:sz w:val="20"/>
                <w:szCs w:val="20"/>
                <w:color w:val="auto"/>
              </w:rPr>
              <w:t>874</w:t>
            </w:r>
          </w:p>
        </w:tc>
        <w:tc>
          <w:tcPr>
            <w:tcW w:w="0" w:type="dxa"/>
            <w:vAlign w:val="bottom"/>
          </w:tcPr>
          <w:p>
            <w:pPr>
              <w:spacing w:after="0"/>
              <w:rPr>
                <w:sz w:val="1"/>
                <w:szCs w:val="1"/>
                <w:color w:val="auto"/>
              </w:rPr>
            </w:pPr>
          </w:p>
        </w:tc>
      </w:tr>
      <w:tr>
        <w:trPr>
          <w:trHeight w:val="240"/>
        </w:trPr>
        <w:tc>
          <w:tcPr>
            <w:tcW w:w="2180" w:type="dxa"/>
            <w:vAlign w:val="bottom"/>
          </w:tcPr>
          <w:p>
            <w:pPr>
              <w:jc w:val="right"/>
              <w:ind w:right="103"/>
              <w:spacing w:after="0"/>
              <w:rPr>
                <w:sz w:val="20"/>
                <w:szCs w:val="20"/>
                <w:color w:val="auto"/>
              </w:rPr>
            </w:pPr>
            <w:r>
              <w:rPr>
                <w:rFonts w:ascii="Arial" w:cs="Arial" w:eastAsia="Arial" w:hAnsi="Arial"/>
                <w:sz w:val="20"/>
                <w:szCs w:val="20"/>
                <w:color w:val="auto"/>
                <w:w w:val="97"/>
              </w:rPr>
              <w:t>NGLs  . . . . . . . . . . . . .</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264</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250</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29</w:t>
            </w:r>
          </w:p>
        </w:tc>
        <w:tc>
          <w:tcPr>
            <w:tcW w:w="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106</w:t>
            </w:r>
          </w:p>
        </w:tc>
        <w:tc>
          <w:tcPr>
            <w:tcW w:w="0" w:type="dxa"/>
            <w:vAlign w:val="bottom"/>
          </w:tcPr>
          <w:p>
            <w:pPr>
              <w:spacing w:after="0"/>
              <w:rPr>
                <w:sz w:val="1"/>
                <w:szCs w:val="1"/>
                <w:color w:val="auto"/>
              </w:rPr>
            </w:pPr>
          </w:p>
        </w:tc>
      </w:tr>
      <w:tr>
        <w:trPr>
          <w:trHeight w:val="240"/>
        </w:trPr>
        <w:tc>
          <w:tcPr>
            <w:tcW w:w="2180" w:type="dxa"/>
            <w:vAlign w:val="bottom"/>
          </w:tcPr>
          <w:p>
            <w:pPr>
              <w:jc w:val="right"/>
              <w:ind w:right="103"/>
              <w:spacing w:after="0"/>
              <w:rPr>
                <w:sz w:val="20"/>
                <w:szCs w:val="20"/>
                <w:color w:val="auto"/>
              </w:rPr>
            </w:pPr>
            <w:r>
              <w:rPr>
                <w:rFonts w:ascii="Arial" w:cs="Arial" w:eastAsia="Arial" w:hAnsi="Arial"/>
                <w:sz w:val="20"/>
                <w:szCs w:val="20"/>
                <w:color w:val="auto"/>
                <w:w w:val="99"/>
              </w:rPr>
              <w:t>Natural gas  . . . . . . . .</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411</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243</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32</w:t>
            </w:r>
          </w:p>
        </w:tc>
        <w:tc>
          <w:tcPr>
            <w:tcW w:w="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112</w:t>
            </w:r>
          </w:p>
        </w:tc>
        <w:tc>
          <w:tcPr>
            <w:tcW w:w="0" w:type="dxa"/>
            <w:vAlign w:val="bottom"/>
          </w:tcPr>
          <w:p>
            <w:pPr>
              <w:spacing w:after="0"/>
              <w:rPr>
                <w:sz w:val="1"/>
                <w:szCs w:val="1"/>
                <w:color w:val="auto"/>
              </w:rPr>
            </w:pPr>
          </w:p>
        </w:tc>
      </w:tr>
      <w:tr>
        <w:trPr>
          <w:trHeight w:val="28"/>
        </w:trPr>
        <w:tc>
          <w:tcPr>
            <w:tcW w:w="2180" w:type="dxa"/>
            <w:vAlign w:val="bottom"/>
            <w:vMerge w:val="restart"/>
          </w:tcPr>
          <w:p>
            <w:pPr>
              <w:jc w:val="right"/>
              <w:ind w:right="143"/>
              <w:spacing w:after="0"/>
              <w:rPr>
                <w:sz w:val="20"/>
                <w:szCs w:val="20"/>
                <w:color w:val="auto"/>
              </w:rPr>
            </w:pPr>
            <w:r>
              <w:rPr>
                <w:rFonts w:ascii="Arial" w:cs="Arial" w:eastAsia="Arial" w:hAnsi="Arial"/>
                <w:sz w:val="20"/>
                <w:szCs w:val="20"/>
                <w:color w:val="auto"/>
              </w:rPr>
              <w:t>Oil, natural gas and</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180" w:type="dxa"/>
            <w:vAlign w:val="bottom"/>
            <w:vMerge w:val="continue"/>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180" w:type="dxa"/>
            <w:vAlign w:val="bottom"/>
          </w:tcPr>
          <w:p>
            <w:pPr>
              <w:jc w:val="right"/>
              <w:ind w:right="103"/>
              <w:spacing w:after="0"/>
              <w:rPr>
                <w:sz w:val="20"/>
                <w:szCs w:val="20"/>
                <w:color w:val="auto"/>
              </w:rPr>
            </w:pPr>
            <w:r>
              <w:rPr>
                <w:rFonts w:ascii="Arial" w:cs="Arial" w:eastAsia="Arial" w:hAnsi="Arial"/>
                <w:sz w:val="20"/>
                <w:szCs w:val="20"/>
                <w:color w:val="auto"/>
              </w:rPr>
              <w:t>NGL sales  . . . . . . .</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2,643</w:t>
            </w:r>
          </w:p>
        </w:tc>
        <w:tc>
          <w:tcPr>
            <w:tcW w:w="48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2,048</w:t>
            </w:r>
          </w:p>
        </w:tc>
        <w:tc>
          <w:tcPr>
            <w:tcW w:w="200" w:type="dxa"/>
            <w:vAlign w:val="bottom"/>
          </w:tcPr>
          <w:p>
            <w:pPr>
              <w:spacing w:after="0"/>
              <w:rPr>
                <w:sz w:val="20"/>
                <w:szCs w:val="20"/>
                <w:color w:val="auto"/>
              </w:rPr>
            </w:pPr>
          </w:p>
        </w:tc>
        <w:tc>
          <w:tcPr>
            <w:tcW w:w="800" w:type="dxa"/>
            <w:vAlign w:val="bottom"/>
            <w:gridSpan w:val="2"/>
          </w:tcPr>
          <w:p>
            <w:pPr>
              <w:jc w:val="right"/>
              <w:ind w:right="60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237</w:t>
            </w:r>
          </w:p>
        </w:tc>
        <w:tc>
          <w:tcPr>
            <w:tcW w:w="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400" w:type="dxa"/>
            <w:vAlign w:val="bottom"/>
            <w:gridSpan w:val="2"/>
          </w:tcPr>
          <w:p>
            <w:pPr>
              <w:ind w:left="240"/>
              <w:spacing w:after="0"/>
              <w:rPr>
                <w:sz w:val="20"/>
                <w:szCs w:val="20"/>
                <w:color w:val="auto"/>
              </w:rPr>
            </w:pPr>
            <w:r>
              <w:rPr>
                <w:rFonts w:ascii="Arial" w:cs="Arial" w:eastAsia="Arial" w:hAnsi="Arial"/>
                <w:sz w:val="20"/>
                <w:szCs w:val="20"/>
                <w:color w:val="auto"/>
              </w:rPr>
              <w:t>$</w:t>
            </w:r>
          </w:p>
        </w:tc>
        <w:tc>
          <w:tcPr>
            <w:tcW w:w="1520" w:type="dxa"/>
            <w:vAlign w:val="bottom"/>
          </w:tcPr>
          <w:p>
            <w:pPr>
              <w:jc w:val="right"/>
              <w:spacing w:after="0"/>
              <w:rPr>
                <w:sz w:val="20"/>
                <w:szCs w:val="20"/>
                <w:color w:val="auto"/>
              </w:rPr>
            </w:pPr>
            <w:r>
              <w:rPr>
                <w:rFonts w:ascii="Arial" w:cs="Arial" w:eastAsia="Arial" w:hAnsi="Arial"/>
                <w:sz w:val="20"/>
                <w:szCs w:val="20"/>
                <w:color w:val="auto"/>
              </w:rPr>
              <w:t>1,092</w:t>
            </w:r>
          </w:p>
        </w:tc>
        <w:tc>
          <w:tcPr>
            <w:tcW w:w="0" w:type="dxa"/>
            <w:vAlign w:val="bottom"/>
          </w:tcPr>
          <w:p>
            <w:pPr>
              <w:spacing w:after="0"/>
              <w:rPr>
                <w:sz w:val="1"/>
                <w:szCs w:val="1"/>
                <w:color w:val="auto"/>
              </w:rPr>
            </w:pPr>
          </w:p>
        </w:tc>
      </w:tr>
      <w:tr>
        <w:trPr>
          <w:trHeight w:val="28"/>
        </w:trPr>
        <w:tc>
          <w:tcPr>
            <w:tcW w:w="2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300"/>
        <w:spacing w:after="0"/>
        <w:rPr>
          <w:sz w:val="20"/>
          <w:szCs w:val="20"/>
          <w:color w:val="auto"/>
        </w:rPr>
      </w:pPr>
      <w:r>
        <w:rPr>
          <w:rFonts w:ascii="Arial" w:cs="Arial" w:eastAsia="Arial" w:hAnsi="Arial"/>
          <w:sz w:val="20"/>
          <w:szCs w:val="20"/>
          <w:color w:val="auto"/>
        </w:rPr>
        <w:t xml:space="preserve">See </w:t>
      </w:r>
      <w:r>
        <w:rPr>
          <w:rFonts w:ascii="Arial" w:cs="Arial" w:eastAsia="Arial" w:hAnsi="Arial"/>
          <w:sz w:val="20"/>
          <w:szCs w:val="20"/>
          <w:i w:val="1"/>
          <w:iCs w:val="1"/>
          <w:color w:val="auto"/>
        </w:rPr>
        <w:t>Note 14 Revenue</w:t>
      </w:r>
      <w:r>
        <w:rPr>
          <w:rFonts w:ascii="Arial" w:cs="Arial" w:eastAsia="Arial" w:hAnsi="Arial"/>
          <w:sz w:val="20"/>
          <w:szCs w:val="20"/>
          <w:color w:val="auto"/>
        </w:rPr>
        <w:t xml:space="preserve"> for more information on our revenue from contracts with customers.</w:t>
      </w:r>
    </w:p>
    <w:p>
      <w:pPr>
        <w:sectPr>
          <w:pgSz w:w="11880" w:h="15480" w:orient="portrait"/>
          <w:cols w:equalWidth="0" w:num="1">
            <w:col w:w="9120"/>
          </w:cols>
          <w:pgMar w:left="1380" w:top="1316" w:right="138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104</w:t>
      </w:r>
    </w:p>
    <w:p>
      <w:pPr>
        <w:sectPr>
          <w:pgSz w:w="11880" w:h="15480" w:orient="portrait"/>
          <w:cols w:equalWidth="0" w:num="1">
            <w:col w:w="9120"/>
          </w:cols>
          <w:pgMar w:left="1380" w:top="1316" w:right="1380" w:bottom="661" w:gutter="0" w:footer="0" w:header="0"/>
          <w:type w:val="continuous"/>
        </w:sectPr>
      </w:pPr>
    </w:p>
    <w:bookmarkStart w:id="108" w:name="page109"/>
    <w:bookmarkEnd w:id="108"/>
    <w:p>
      <w:pPr>
        <w:spacing w:after="0"/>
        <w:rPr>
          <w:sz w:val="20"/>
          <w:szCs w:val="20"/>
          <w:color w:val="auto"/>
        </w:rPr>
      </w:pPr>
      <w:r>
        <w:rPr>
          <w:rFonts w:ascii="Arial" w:cs="Arial" w:eastAsia="Arial" w:hAnsi="Arial"/>
          <w:sz w:val="20"/>
          <w:szCs w:val="20"/>
          <w:i w:val="1"/>
          <w:iCs w:val="1"/>
          <w:u w:val="single" w:color="auto"/>
          <w:color w:val="auto"/>
        </w:rPr>
        <w:t>Joint Ventures and Investments in Unconsolidated Subsidiaries</w:t>
      </w:r>
    </w:p>
    <w:p>
      <w:pPr>
        <w:spacing w:after="0" w:line="216" w:lineRule="exact"/>
        <w:rPr>
          <w:sz w:val="20"/>
          <w:szCs w:val="20"/>
          <w:color w:val="auto"/>
        </w:rPr>
      </w:pPr>
    </w:p>
    <w:p>
      <w:pPr>
        <w:ind w:right="20" w:firstLine="300"/>
        <w:spacing w:after="0" w:line="250" w:lineRule="auto"/>
        <w:rPr>
          <w:sz w:val="20"/>
          <w:szCs w:val="20"/>
          <w:color w:val="auto"/>
        </w:rPr>
      </w:pPr>
      <w:r>
        <w:rPr>
          <w:rFonts w:ascii="Arial" w:cs="Arial" w:eastAsia="Arial" w:hAnsi="Arial"/>
          <w:sz w:val="20"/>
          <w:szCs w:val="20"/>
          <w:color w:val="auto"/>
        </w:rPr>
        <w:t xml:space="preserve">We may enter into joint ventures that are considered to be a variable interest entity (VIE). A VIE is a legal entity that possesses any of the following conditions: the entity’s equity at risk is not sufficient to permit the legal entity to finance its activities without additional subordinated financial support, equity owners are unable to direct the activities that most significantly impact the legal entity’s economic performance (or they possess disproportionate voting rights in relation to the economic interest in the legal entity), or the equity owners lack the obligation to absorb the legal entity’s expected losses or the right to receive the legal entity’s expected residual returns. We consolidate a VIE if we determine that we have (i) the power to direct the activities of the VIE that most significantly impact its economic performance and (ii) the obligation to absorb losses or the right to receive benefits from the VIE that are more than insignificant to the VIE. If an entity is determined to be a VIE but we do not have a controlling interest, the entity is accounted for under either the cost or equity method depending on whether we exercise significant influence. See </w:t>
      </w:r>
      <w:r>
        <w:rPr>
          <w:rFonts w:ascii="Arial" w:cs="Arial" w:eastAsia="Arial" w:hAnsi="Arial"/>
          <w:sz w:val="20"/>
          <w:szCs w:val="20"/>
          <w:i w:val="1"/>
          <w:iCs w:val="1"/>
          <w:color w:val="auto"/>
        </w:rPr>
        <w:t>Note 8 Investment in Unconsolidated Subsidiary and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Related Party Transactions </w:t>
      </w:r>
      <w:r>
        <w:rPr>
          <w:rFonts w:ascii="Arial" w:cs="Arial" w:eastAsia="Arial" w:hAnsi="Arial"/>
          <w:sz w:val="20"/>
          <w:szCs w:val="20"/>
          <w:color w:val="auto"/>
        </w:rPr>
        <w:t>for more information on the Carbon TerraVault JV. These evaluations are</w:t>
      </w:r>
      <w:r>
        <w:rPr>
          <w:rFonts w:ascii="Arial" w:cs="Arial" w:eastAsia="Arial" w:hAnsi="Arial"/>
          <w:sz w:val="20"/>
          <w:szCs w:val="20"/>
          <w:i w:val="1"/>
          <w:iCs w:val="1"/>
          <w:color w:val="auto"/>
        </w:rPr>
        <w:t xml:space="preserve"> </w:t>
      </w:r>
      <w:r>
        <w:rPr>
          <w:rFonts w:ascii="Arial" w:cs="Arial" w:eastAsia="Arial" w:hAnsi="Arial"/>
          <w:sz w:val="20"/>
          <w:szCs w:val="20"/>
          <w:color w:val="auto"/>
        </w:rPr>
        <w:t>highly complex and involve management judgment and may involve the use of estimates and assumptions based on available information. The evaluation requires continual assessment.</w:t>
      </w:r>
    </w:p>
    <w:p>
      <w:pPr>
        <w:spacing w:after="0" w:line="207" w:lineRule="exact"/>
        <w:rPr>
          <w:sz w:val="20"/>
          <w:szCs w:val="20"/>
          <w:color w:val="auto"/>
        </w:rPr>
      </w:pPr>
    </w:p>
    <w:p>
      <w:pPr>
        <w:ind w:right="100" w:firstLine="300"/>
        <w:spacing w:after="0" w:line="245" w:lineRule="auto"/>
        <w:rPr>
          <w:sz w:val="20"/>
          <w:szCs w:val="20"/>
          <w:color w:val="auto"/>
        </w:rPr>
      </w:pPr>
      <w:r>
        <w:rPr>
          <w:rFonts w:ascii="Arial" w:cs="Arial" w:eastAsia="Arial" w:hAnsi="Arial"/>
          <w:sz w:val="20"/>
          <w:szCs w:val="20"/>
          <w:color w:val="auto"/>
        </w:rPr>
        <w:t>Investments in unconsolidated entities are assessed for impairment whenever changes in the facts and circumstances indicate a loss in value may have occurred, which is other than temporary.</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Allowance for Credit Losses</w:t>
      </w:r>
    </w:p>
    <w:p>
      <w:pPr>
        <w:spacing w:after="0" w:line="214" w:lineRule="exact"/>
        <w:rPr>
          <w:sz w:val="20"/>
          <w:szCs w:val="20"/>
          <w:color w:val="auto"/>
        </w:rPr>
      </w:pPr>
    </w:p>
    <w:p>
      <w:pPr>
        <w:ind w:right="160" w:firstLine="300"/>
        <w:spacing w:after="0" w:line="249" w:lineRule="auto"/>
        <w:rPr>
          <w:sz w:val="20"/>
          <w:szCs w:val="20"/>
          <w:color w:val="auto"/>
        </w:rPr>
      </w:pPr>
      <w:r>
        <w:rPr>
          <w:rFonts w:ascii="Arial" w:cs="Arial" w:eastAsia="Arial" w:hAnsi="Arial"/>
          <w:sz w:val="20"/>
          <w:szCs w:val="20"/>
          <w:color w:val="auto"/>
        </w:rPr>
        <w:t>Our receivables from customers relate to sales of our commodity products, trading activities and joint interest billings. Credit exposure for each customer is monitored for outstanding balances and current activity. We actively manage our credit risk by selecting counterparties that we believe to be financially sound and continue to monitor their financial health. Concentration of credit risk is regularly reviewed to ensure that counterparty credit risk is adequately diversified. We believe exposure to counterparty credit-related losses at December 31, 2022 was not material and losses associated with counterparty credit risk have been insignificant for all periods presented.</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Inventories</w:t>
      </w:r>
    </w:p>
    <w:p>
      <w:pPr>
        <w:spacing w:after="0" w:line="214" w:lineRule="exact"/>
        <w:rPr>
          <w:sz w:val="20"/>
          <w:szCs w:val="20"/>
          <w:color w:val="auto"/>
        </w:rPr>
      </w:pPr>
    </w:p>
    <w:p>
      <w:pPr>
        <w:ind w:right="160" w:firstLine="300"/>
        <w:spacing w:after="0" w:line="248" w:lineRule="auto"/>
        <w:rPr>
          <w:sz w:val="20"/>
          <w:szCs w:val="20"/>
          <w:color w:val="auto"/>
        </w:rPr>
      </w:pPr>
      <w:r>
        <w:rPr>
          <w:rFonts w:ascii="Arial" w:cs="Arial" w:eastAsia="Arial" w:hAnsi="Arial"/>
          <w:sz w:val="20"/>
          <w:szCs w:val="20"/>
          <w:color w:val="auto"/>
        </w:rPr>
        <w:t>Materials and supplies, which primarily consist of well equipment and tubular goods used in our oil and natural gas operations, are valued at weighted-average cost and are reviewed periodically for obsolescence. Finished goods predominantly comprise oil and natural gas liquids (NGLs), which are valued at the lower of cost or net realizable value. Inventories, by category,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8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24"/>
              <w:spacing w:after="0"/>
              <w:rPr>
                <w:sz w:val="20"/>
                <w:szCs w:val="20"/>
                <w:color w:val="auto"/>
              </w:rPr>
            </w:pPr>
            <w:r>
              <w:rPr>
                <w:rFonts w:ascii="Arial" w:cs="Arial" w:eastAsia="Arial" w:hAnsi="Arial"/>
                <w:sz w:val="20"/>
                <w:szCs w:val="20"/>
                <w:b w:val="1"/>
                <w:bCs w:val="1"/>
                <w:color w:val="auto"/>
              </w:rPr>
              <w:t>2022</w:t>
            </w: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00"/>
              <w:spacing w:after="0"/>
              <w:rPr>
                <w:sz w:val="20"/>
                <w:szCs w:val="20"/>
                <w:color w:val="auto"/>
              </w:rPr>
            </w:pPr>
            <w:r>
              <w:rPr>
                <w:rFonts w:ascii="Arial" w:cs="Arial" w:eastAsia="Arial" w:hAnsi="Arial"/>
                <w:sz w:val="20"/>
                <w:szCs w:val="20"/>
                <w:b w:val="1"/>
                <w:bCs w:val="1"/>
                <w:color w:val="auto"/>
                <w:w w:val="94"/>
              </w:rPr>
              <w:t>2021</w:t>
            </w:r>
          </w:p>
        </w:tc>
      </w:tr>
      <w:tr>
        <w:trPr>
          <w:trHeight w:val="192"/>
        </w:trPr>
        <w:tc>
          <w:tcPr>
            <w:tcW w:w="6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color w:val="auto"/>
              </w:rPr>
              <w:t>(in millions)</w:t>
            </w:r>
          </w:p>
        </w:tc>
        <w:tc>
          <w:tcPr>
            <w:tcW w:w="740" w:type="dxa"/>
            <w:vAlign w:val="bottom"/>
          </w:tcPr>
          <w:p>
            <w:pPr>
              <w:spacing w:after="0"/>
              <w:rPr>
                <w:sz w:val="16"/>
                <w:szCs w:val="16"/>
                <w:color w:val="auto"/>
              </w:rPr>
            </w:pPr>
          </w:p>
        </w:tc>
      </w:tr>
      <w:tr>
        <w:trPr>
          <w:trHeight w:val="250"/>
        </w:trPr>
        <w:tc>
          <w:tcPr>
            <w:tcW w:w="6820" w:type="dxa"/>
            <w:vAlign w:val="bottom"/>
          </w:tcPr>
          <w:p>
            <w:pPr>
              <w:jc w:val="right"/>
              <w:ind w:right="100"/>
              <w:spacing w:after="0"/>
              <w:rPr>
                <w:sz w:val="20"/>
                <w:szCs w:val="20"/>
                <w:color w:val="auto"/>
              </w:rPr>
            </w:pPr>
            <w:r>
              <w:rPr>
                <w:rFonts w:ascii="Arial" w:cs="Arial" w:eastAsia="Arial" w:hAnsi="Arial"/>
                <w:sz w:val="20"/>
                <w:szCs w:val="20"/>
                <w:color w:val="auto"/>
                <w:w w:val="96"/>
              </w:rPr>
              <w:t>Materials and supplies  . . . . . . . . . . . . . . . . . . . . . . . . . . . . . . . . . . . . . . . . . . .</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56</w:t>
            </w:r>
          </w:p>
        </w:tc>
        <w:tc>
          <w:tcPr>
            <w:tcW w:w="5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40"/>
        </w:trPr>
        <w:tc>
          <w:tcPr>
            <w:tcW w:w="6820" w:type="dxa"/>
            <w:vAlign w:val="bottom"/>
          </w:tcPr>
          <w:p>
            <w:pPr>
              <w:jc w:val="right"/>
              <w:ind w:right="100"/>
              <w:spacing w:after="0"/>
              <w:rPr>
                <w:sz w:val="20"/>
                <w:szCs w:val="20"/>
                <w:color w:val="auto"/>
              </w:rPr>
            </w:pPr>
            <w:r>
              <w:rPr>
                <w:rFonts w:ascii="Arial" w:cs="Arial" w:eastAsia="Arial" w:hAnsi="Arial"/>
                <w:sz w:val="20"/>
                <w:szCs w:val="20"/>
                <w:color w:val="auto"/>
                <w:w w:val="96"/>
              </w:rPr>
              <w:t>Finished goods  . . . . . . . . . . . . . . . . . . . . . . . . . . . . . . . . . . . . . . . . . . . . . . . . .</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4</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
        </w:trPr>
        <w:tc>
          <w:tcPr>
            <w:tcW w:w="6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72"/>
        </w:trPr>
        <w:tc>
          <w:tcPr>
            <w:tcW w:w="6820" w:type="dxa"/>
            <w:vAlign w:val="bottom"/>
          </w:tcPr>
          <w:p>
            <w:pPr>
              <w:jc w:val="right"/>
              <w:ind w:right="100"/>
              <w:spacing w:after="0"/>
              <w:rPr>
                <w:sz w:val="20"/>
                <w:szCs w:val="20"/>
                <w:color w:val="auto"/>
              </w:rPr>
            </w:pPr>
            <w:r>
              <w:rPr>
                <w:rFonts w:ascii="Arial" w:cs="Arial" w:eastAsia="Arial" w:hAnsi="Arial"/>
                <w:sz w:val="20"/>
                <w:szCs w:val="20"/>
                <w:color w:val="auto"/>
              </w:rPr>
              <w:t>Total . . . . . . . . . . . . . . . . . . . . . . . . . . . . . . . . . . . . . . . . . . . . . . . . . . . . . .</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60</w:t>
            </w:r>
          </w:p>
        </w:tc>
        <w:tc>
          <w:tcPr>
            <w:tcW w:w="5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28"/>
        </w:trPr>
        <w:tc>
          <w:tcPr>
            <w:tcW w:w="6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6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Derivative Instruments</w:t>
      </w:r>
    </w:p>
    <w:p>
      <w:pPr>
        <w:spacing w:after="0" w:line="214"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color w:val="auto"/>
        </w:rPr>
        <w:t>The fair value of our derivative contracts are netted when a legal right of offset exists with the same counterparty with an intent to offset. Since we did not apply hedge accounting to our commodity derivatives for any of the periods presented, we recognized fair value adjustments, on a net basis, in our consolidated statements of operations. Unless otherwise indicated, we use the term “hedge” to describe derivative instruments that are designed to achieve our hedging program goals, even though they are not accounted for as cash-flow or fair-value hedges.</w:t>
      </w:r>
    </w:p>
    <w:p>
      <w:pPr>
        <w:sectPr>
          <w:pgSz w:w="11880" w:h="15480" w:orient="portrait"/>
          <w:cols w:equalWidth="0" w:num="1">
            <w:col w:w="9120"/>
          </w:cols>
          <w:pgMar w:left="1380" w:top="1310" w:right="1380" w:bottom="661"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105</w:t>
      </w:r>
    </w:p>
    <w:p>
      <w:pPr>
        <w:sectPr>
          <w:pgSz w:w="11880" w:h="15480" w:orient="portrait"/>
          <w:cols w:equalWidth="0" w:num="1">
            <w:col w:w="9120"/>
          </w:cols>
          <w:pgMar w:left="1380" w:top="1310" w:right="1380" w:bottom="661" w:gutter="0" w:footer="0" w:header="0"/>
          <w:type w:val="continuous"/>
        </w:sectPr>
      </w:pPr>
    </w:p>
    <w:bookmarkStart w:id="109" w:name="page110"/>
    <w:bookmarkEnd w:id="109"/>
    <w:p>
      <w:pPr>
        <w:spacing w:after="0"/>
        <w:rPr>
          <w:sz w:val="20"/>
          <w:szCs w:val="20"/>
          <w:color w:val="auto"/>
        </w:rPr>
      </w:pPr>
      <w:r>
        <w:rPr>
          <w:rFonts w:ascii="Arial" w:cs="Arial" w:eastAsia="Arial" w:hAnsi="Arial"/>
          <w:sz w:val="20"/>
          <w:szCs w:val="20"/>
          <w:i w:val="1"/>
          <w:iCs w:val="1"/>
          <w:u w:val="single" w:color="auto"/>
          <w:color w:val="auto"/>
        </w:rPr>
        <w:t>Stock-Based Incentive Plans</w:t>
      </w:r>
    </w:p>
    <w:p>
      <w:pPr>
        <w:spacing w:after="0" w:line="216" w:lineRule="exact"/>
        <w:rPr>
          <w:sz w:val="20"/>
          <w:szCs w:val="20"/>
          <w:color w:val="auto"/>
        </w:rPr>
      </w:pPr>
    </w:p>
    <w:p>
      <w:pPr>
        <w:ind w:right="140" w:firstLine="300"/>
        <w:spacing w:after="0" w:line="248" w:lineRule="auto"/>
        <w:rPr>
          <w:sz w:val="20"/>
          <w:szCs w:val="20"/>
          <w:color w:val="auto"/>
        </w:rPr>
      </w:pPr>
      <w:r>
        <w:rPr>
          <w:rFonts w:ascii="Arial" w:cs="Arial" w:eastAsia="Arial" w:hAnsi="Arial"/>
          <w:sz w:val="20"/>
          <w:szCs w:val="20"/>
          <w:color w:val="auto"/>
        </w:rPr>
        <w:t xml:space="preserve">The shares issuable under our long-term incentive plan were authorized by the Bankruptcy Court and the terms of a new long-term incentive plan were approved by our new board of directors in January 2021. In accordance with our new long-term incentive plan, we reserved 9,257,740 shares of common stock (subject to adjustment) for future issuances to certain executives, employees and non-employee directors that are more fully described in </w:t>
      </w:r>
      <w:r>
        <w:rPr>
          <w:rFonts w:ascii="Arial" w:cs="Arial" w:eastAsia="Arial" w:hAnsi="Arial"/>
          <w:sz w:val="20"/>
          <w:szCs w:val="20"/>
          <w:i w:val="1"/>
          <w:iCs w:val="1"/>
          <w:color w:val="auto"/>
        </w:rPr>
        <w:t>Note 10 Stock-Based Compensation</w:t>
      </w:r>
      <w:r>
        <w:rPr>
          <w:rFonts w:ascii="Arial" w:cs="Arial" w:eastAsia="Arial" w:hAnsi="Arial"/>
          <w:sz w:val="20"/>
          <w:szCs w:val="20"/>
          <w:color w:val="auto"/>
        </w:rPr>
        <w: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Earnings Per Share</w:t>
      </w:r>
    </w:p>
    <w:p>
      <w:pPr>
        <w:spacing w:after="0" w:line="216" w:lineRule="exact"/>
        <w:rPr>
          <w:sz w:val="20"/>
          <w:szCs w:val="20"/>
          <w:color w:val="auto"/>
        </w:rPr>
      </w:pPr>
    </w:p>
    <w:p>
      <w:pPr>
        <w:ind w:right="120" w:firstLine="300"/>
        <w:spacing w:after="0" w:line="249" w:lineRule="auto"/>
        <w:rPr>
          <w:sz w:val="20"/>
          <w:szCs w:val="20"/>
          <w:color w:val="auto"/>
        </w:rPr>
      </w:pPr>
      <w:r>
        <w:rPr>
          <w:rFonts w:ascii="Arial" w:cs="Arial" w:eastAsia="Arial" w:hAnsi="Arial"/>
          <w:sz w:val="20"/>
          <w:szCs w:val="20"/>
          <w:color w:val="auto"/>
        </w:rPr>
        <w:t>Basic earnings (loss) per share is calculated as net income (loss) divided by the weighted average number of our common shares outstanding during the period. Diluted earnings (loss) per share is calculated by dividing net income (loss) by the weighted average number of our common shares outstanding including the effect of dilutive potential common shares. We compute basic and diluted earnings per share (EPS) using the two-class method required for participating securities, when applicable, and the treasury stock method when participating securities are not in place. Certain restricted and performance stock awards are considered participating securities when such shares have non-forfeitable dividend rights, which participate at the same rate as common stock.</w:t>
      </w:r>
    </w:p>
    <w:p>
      <w:pPr>
        <w:spacing w:after="0" w:line="211" w:lineRule="exact"/>
        <w:rPr>
          <w:sz w:val="20"/>
          <w:szCs w:val="20"/>
          <w:color w:val="auto"/>
        </w:rPr>
      </w:pPr>
    </w:p>
    <w:p>
      <w:pPr>
        <w:ind w:firstLine="300"/>
        <w:spacing w:after="0" w:line="248" w:lineRule="auto"/>
        <w:rPr>
          <w:sz w:val="20"/>
          <w:szCs w:val="20"/>
          <w:color w:val="auto"/>
        </w:rPr>
      </w:pPr>
      <w:r>
        <w:rPr>
          <w:rFonts w:ascii="Arial" w:cs="Arial" w:eastAsia="Arial" w:hAnsi="Arial"/>
          <w:sz w:val="20"/>
          <w:szCs w:val="20"/>
          <w:color w:val="auto"/>
        </w:rPr>
        <w:t>Under the two-class method, net income allocated to participating securities is subtracted from net income attributable to common stock in determining net income available to common stockholders. In loss periods, no allocation is made to participating securities because the participating securities do not share in losses.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Asset Retirement Obligations</w:t>
      </w:r>
    </w:p>
    <w:p>
      <w:pPr>
        <w:spacing w:after="0" w:line="214"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auto"/>
        </w:rPr>
        <w:t>We recognize the fair value of asset retirement obligations (ARO) in the period in which a determination is made that a legal obligation exists to dismantle an asset and reclaim or remediate the property at the end of its useful life and the cost of the obligation can be reasonably estimated. The fair value of the retirement obligation is based on future retirement cost estimates and incorporates many assumptions such as time of abandonment, current regulatory requirements, technological changes, future inflation rates and a risk-adjusted discount rate. When the liability is initially recorded, we capitalize the cost by increasing the related PP&amp;E balances. If the estimated future cost or timing of cash flow changes, we adjust the fair value of the liability and PP&amp;E. Over time the liability is increased, and expense is recognized for accretion. The cost capitalized to PP&amp;E is recovered over either the useful life of our facilities or the unit-of-production method for our minerals.</w:t>
      </w:r>
    </w:p>
    <w:p>
      <w:pPr>
        <w:spacing w:after="0" w:line="214" w:lineRule="exact"/>
        <w:rPr>
          <w:sz w:val="20"/>
          <w:szCs w:val="20"/>
          <w:color w:val="auto"/>
        </w:rPr>
      </w:pPr>
    </w:p>
    <w:p>
      <w:pPr>
        <w:ind w:right="180" w:firstLine="300"/>
        <w:spacing w:after="0" w:line="249" w:lineRule="auto"/>
        <w:rPr>
          <w:sz w:val="20"/>
          <w:szCs w:val="20"/>
          <w:color w:val="auto"/>
        </w:rPr>
      </w:pPr>
      <w:r>
        <w:rPr>
          <w:rFonts w:ascii="Arial" w:cs="Arial" w:eastAsia="Arial" w:hAnsi="Arial"/>
          <w:sz w:val="20"/>
          <w:szCs w:val="20"/>
          <w:color w:val="auto"/>
        </w:rPr>
        <w:t>We have asset retirement obligations for certain of our facilities, which includes plant and field decommissioning, and the plugging and abandonment of wells. In certain cases, we will recognize ARO in the periods in which sufficient information becomes available to reasonably estimate their fair values. Additionally, for certain plants, we do not have a legal obligation to decommission them and, accordingly, we have not recorded a liability.</w:t>
      </w:r>
    </w:p>
    <w:p>
      <w:pPr>
        <w:sectPr>
          <w:pgSz w:w="11880" w:h="15480" w:orient="portrait"/>
          <w:cols w:equalWidth="0" w:num="1">
            <w:col w:w="9100"/>
          </w:cols>
          <w:pgMar w:left="1380" w:top="1310" w:right="140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106</w:t>
      </w:r>
    </w:p>
    <w:p>
      <w:pPr>
        <w:sectPr>
          <w:pgSz w:w="11880" w:h="15480" w:orient="portrait"/>
          <w:cols w:equalWidth="0" w:num="1">
            <w:col w:w="9100"/>
          </w:cols>
          <w:pgMar w:left="1380" w:top="1310" w:right="1400" w:bottom="661"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230"/>
        </w:trPr>
        <w:tc>
          <w:tcPr>
            <w:tcW w:w="6000" w:type="dxa"/>
            <w:vAlign w:val="bottom"/>
          </w:tcPr>
          <w:p>
            <w:pPr>
              <w:ind w:left="300"/>
              <w:spacing w:after="0"/>
              <w:rPr>
                <w:sz w:val="20"/>
                <w:szCs w:val="20"/>
                <w:color w:val="auto"/>
              </w:rPr>
            </w:pPr>
            <w:r>
              <w:rPr>
                <w:rFonts w:ascii="Arial" w:cs="Arial" w:eastAsia="Arial" w:hAnsi="Arial"/>
                <w:sz w:val="20"/>
                <w:szCs w:val="20"/>
                <w:color w:val="auto"/>
              </w:rPr>
              <w:t>The following table presents a rollforward of our ARO.</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28"/>
        </w:trPr>
        <w:tc>
          <w:tcPr>
            <w:tcW w:w="6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center"/>
              <w:ind w:right="100"/>
              <w:spacing w:after="0"/>
              <w:rPr>
                <w:sz w:val="20"/>
                <w:szCs w:val="20"/>
                <w:color w:val="auto"/>
              </w:rPr>
            </w:pPr>
            <w:r>
              <w:rPr>
                <w:rFonts w:ascii="Arial" w:cs="Arial" w:eastAsia="Arial" w:hAnsi="Arial"/>
                <w:sz w:val="20"/>
                <w:szCs w:val="20"/>
                <w:b w:val="1"/>
                <w:bCs w:val="1"/>
                <w:color w:val="auto"/>
              </w:rPr>
              <w:t>Year ended</w:t>
            </w:r>
          </w:p>
        </w:tc>
        <w:tc>
          <w:tcPr>
            <w:tcW w:w="200" w:type="dxa"/>
            <w:vAlign w:val="bottom"/>
          </w:tcPr>
          <w:p>
            <w:pPr>
              <w:spacing w:after="0"/>
              <w:rPr>
                <w:sz w:val="24"/>
                <w:szCs w:val="24"/>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Year ended</w:t>
            </w:r>
          </w:p>
        </w:tc>
      </w:tr>
      <w:tr>
        <w:trPr>
          <w:trHeight w:val="248"/>
        </w:trPr>
        <w:tc>
          <w:tcPr>
            <w:tcW w:w="6000" w:type="dxa"/>
            <w:vAlign w:val="bottom"/>
          </w:tcPr>
          <w:p>
            <w:pPr>
              <w:spacing w:after="0"/>
              <w:rPr>
                <w:sz w:val="21"/>
                <w:szCs w:val="21"/>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99"/>
              </w:rPr>
              <w:t>December 31,</w:t>
            </w:r>
          </w:p>
        </w:tc>
        <w:tc>
          <w:tcPr>
            <w:tcW w:w="200" w:type="dxa"/>
            <w:vAlign w:val="bottom"/>
          </w:tcPr>
          <w:p>
            <w:pPr>
              <w:spacing w:after="0"/>
              <w:rPr>
                <w:sz w:val="21"/>
                <w:szCs w:val="21"/>
                <w:color w:val="auto"/>
              </w:rPr>
            </w:pPr>
          </w:p>
        </w:tc>
        <w:tc>
          <w:tcPr>
            <w:tcW w:w="1360" w:type="dxa"/>
            <w:vAlign w:val="bottom"/>
            <w:tcBorders>
              <w:bottom w:val="single" w:sz="8" w:color="auto"/>
            </w:tcBorders>
            <w:gridSpan w:val="2"/>
          </w:tcPr>
          <w:p>
            <w:pPr>
              <w:ind w:left="20"/>
              <w:spacing w:after="0" w:line="228" w:lineRule="exact"/>
              <w:rPr>
                <w:sz w:val="20"/>
                <w:szCs w:val="20"/>
                <w:color w:val="auto"/>
              </w:rPr>
            </w:pPr>
            <w:r>
              <w:rPr>
                <w:rFonts w:ascii="Arial" w:cs="Arial" w:eastAsia="Arial" w:hAnsi="Arial"/>
                <w:sz w:val="20"/>
                <w:szCs w:val="20"/>
                <w:b w:val="1"/>
                <w:bCs w:val="1"/>
                <w:color w:val="auto"/>
              </w:rPr>
              <w:t>December 31,</w:t>
            </w:r>
          </w:p>
        </w:tc>
      </w:tr>
      <w:tr>
        <w:trPr>
          <w:trHeight w:val="260"/>
        </w:trPr>
        <w:tc>
          <w:tcPr>
            <w:tcW w:w="6000" w:type="dxa"/>
            <w:vAlign w:val="bottom"/>
          </w:tcPr>
          <w:p>
            <w:pPr>
              <w:spacing w:after="0"/>
              <w:rPr>
                <w:sz w:val="20"/>
                <w:szCs w:val="20"/>
                <w:color w:val="auto"/>
              </w:rPr>
            </w:pPr>
            <w:r>
              <w:rPr>
                <w:rFonts w:ascii="Arial" w:cs="Arial" w:eastAsia="Arial" w:hAnsi="Arial"/>
                <w:sz w:val="16"/>
                <w:szCs w:val="16"/>
                <w:color w:val="auto"/>
              </w:rPr>
              <w:t>(in millions)</w:t>
            </w: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100"/>
              <w:spacing w:after="0"/>
              <w:rPr>
                <w:sz w:val="20"/>
                <w:szCs w:val="20"/>
                <w:color w:val="auto"/>
              </w:rPr>
            </w:pPr>
            <w:r>
              <w:rPr>
                <w:rFonts w:ascii="Arial" w:cs="Arial" w:eastAsia="Arial" w:hAnsi="Arial"/>
                <w:sz w:val="20"/>
                <w:szCs w:val="20"/>
                <w:b w:val="1"/>
                <w:bCs w:val="1"/>
                <w:color w:val="auto"/>
                <w:w w:val="98"/>
              </w:rPr>
              <w:t>2022</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2021</w:t>
            </w:r>
          </w:p>
        </w:tc>
      </w:tr>
      <w:tr>
        <w:trPr>
          <w:trHeight w:val="282"/>
        </w:trPr>
        <w:tc>
          <w:tcPr>
            <w:tcW w:w="6000" w:type="dxa"/>
            <w:vAlign w:val="bottom"/>
          </w:tcPr>
          <w:p>
            <w:pPr>
              <w:spacing w:after="0"/>
              <w:rPr>
                <w:sz w:val="20"/>
                <w:szCs w:val="20"/>
                <w:color w:val="auto"/>
              </w:rPr>
            </w:pPr>
            <w:r>
              <w:rPr>
                <w:rFonts w:ascii="Arial" w:cs="Arial" w:eastAsia="Arial" w:hAnsi="Arial"/>
                <w:sz w:val="20"/>
                <w:szCs w:val="20"/>
                <w:color w:val="auto"/>
                <w:w w:val="99"/>
              </w:rPr>
              <w:t>Beginning balance . . . . . . . . . . . . . . . . . . . . . . . . . . . . . . . . . . . . . . .</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360" w:type="dxa"/>
            <w:vAlign w:val="bottom"/>
          </w:tcPr>
          <w:p>
            <w:pPr>
              <w:jc w:val="right"/>
              <w:spacing w:after="0"/>
              <w:rPr>
                <w:sz w:val="20"/>
                <w:szCs w:val="20"/>
                <w:color w:val="auto"/>
              </w:rPr>
            </w:pPr>
            <w:r>
              <w:rPr>
                <w:rFonts w:ascii="Arial" w:cs="Arial" w:eastAsia="Arial" w:hAnsi="Arial"/>
                <w:sz w:val="20"/>
                <w:szCs w:val="20"/>
                <w:color w:val="auto"/>
              </w:rPr>
              <w:t>489</w:t>
            </w:r>
          </w:p>
        </w:tc>
        <w:tc>
          <w:tcPr>
            <w:tcW w:w="500" w:type="dxa"/>
            <w:vAlign w:val="bottom"/>
            <w:gridSpan w:val="2"/>
          </w:tcPr>
          <w:p>
            <w:pPr>
              <w:ind w:left="24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597</w:t>
            </w:r>
          </w:p>
        </w:tc>
      </w:tr>
      <w:tr>
        <w:trPr>
          <w:trHeight w:val="240"/>
        </w:trPr>
        <w:tc>
          <w:tcPr>
            <w:tcW w:w="6000" w:type="dxa"/>
            <w:vAlign w:val="bottom"/>
          </w:tcPr>
          <w:p>
            <w:pPr>
              <w:spacing w:after="0"/>
              <w:rPr>
                <w:sz w:val="20"/>
                <w:szCs w:val="20"/>
                <w:color w:val="auto"/>
              </w:rPr>
            </w:pPr>
            <w:r>
              <w:rPr>
                <w:rFonts w:ascii="Arial" w:cs="Arial" w:eastAsia="Arial" w:hAnsi="Arial"/>
                <w:sz w:val="20"/>
                <w:szCs w:val="20"/>
                <w:color w:val="auto"/>
              </w:rPr>
              <w:t>Liabilities settled and divested  . . . . . . . . . . . . . . . . . . . . . . . . . . . . .</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(57)</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(157)</w:t>
            </w:r>
          </w:p>
        </w:tc>
      </w:tr>
      <w:tr>
        <w:trPr>
          <w:trHeight w:val="240"/>
        </w:trPr>
        <w:tc>
          <w:tcPr>
            <w:tcW w:w="6000" w:type="dxa"/>
            <w:vAlign w:val="bottom"/>
          </w:tcPr>
          <w:p>
            <w:pPr>
              <w:spacing w:after="0"/>
              <w:rPr>
                <w:sz w:val="20"/>
                <w:szCs w:val="20"/>
                <w:color w:val="auto"/>
              </w:rPr>
            </w:pPr>
            <w:r>
              <w:rPr>
                <w:rFonts w:ascii="Arial" w:cs="Arial" w:eastAsia="Arial" w:hAnsi="Arial"/>
                <w:sz w:val="20"/>
                <w:szCs w:val="20"/>
                <w:color w:val="auto"/>
              </w:rPr>
              <w:t>Accretion expense on discounted obligation . . . . . . . . . . . . . . . . . .</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43</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240"/>
        </w:trPr>
        <w:tc>
          <w:tcPr>
            <w:tcW w:w="6000" w:type="dxa"/>
            <w:vAlign w:val="bottom"/>
          </w:tcPr>
          <w:p>
            <w:pPr>
              <w:spacing w:after="0"/>
              <w:rPr>
                <w:sz w:val="20"/>
                <w:szCs w:val="20"/>
                <w:color w:val="auto"/>
              </w:rPr>
            </w:pPr>
            <w:r>
              <w:rPr>
                <w:rFonts w:ascii="Arial" w:cs="Arial" w:eastAsia="Arial" w:hAnsi="Arial"/>
                <w:sz w:val="20"/>
                <w:szCs w:val="20"/>
                <w:color w:val="auto"/>
              </w:rPr>
              <w:t>Revisions of estimated obligation . . . . . . . . . . . . . . . . . . . . . . . . . . .</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15</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40"/>
        </w:trPr>
        <w:tc>
          <w:tcPr>
            <w:tcW w:w="6000" w:type="dxa"/>
            <w:vAlign w:val="bottom"/>
          </w:tcPr>
          <w:p>
            <w:pPr>
              <w:spacing w:after="0"/>
              <w:rPr>
                <w:sz w:val="20"/>
                <w:szCs w:val="20"/>
                <w:color w:val="auto"/>
              </w:rPr>
            </w:pPr>
            <w:r>
              <w:rPr>
                <w:rFonts w:ascii="Arial" w:cs="Arial" w:eastAsia="Arial" w:hAnsi="Arial"/>
                <w:sz w:val="20"/>
                <w:szCs w:val="20"/>
                <w:color w:val="auto"/>
                <w:w w:val="99"/>
              </w:rPr>
              <w:t>Additions  . . . . . . . . . . . . . . . . . . . . . . . . . . . . . . . . . . . . . . . . . . . . . .</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6</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40"/>
        </w:trPr>
        <w:tc>
          <w:tcPr>
            <w:tcW w:w="6000" w:type="dxa"/>
            <w:vAlign w:val="bottom"/>
          </w:tcPr>
          <w:p>
            <w:pPr>
              <w:spacing w:after="0"/>
              <w:rPr>
                <w:sz w:val="20"/>
                <w:szCs w:val="20"/>
                <w:color w:val="auto"/>
              </w:rPr>
            </w:pPr>
            <w:r>
              <w:rPr>
                <w:rFonts w:ascii="Arial" w:cs="Arial" w:eastAsia="Arial" w:hAnsi="Arial"/>
                <w:sz w:val="20"/>
                <w:szCs w:val="20"/>
                <w:color w:val="auto"/>
                <w:w w:val="99"/>
              </w:rPr>
              <w:t>Other  . . . . . . . . . . . . . . . . . . . . . . . . . . . . . . . . . . . . . . . . . . . . . . . . .</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(5)</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40"/>
        </w:trPr>
        <w:tc>
          <w:tcPr>
            <w:tcW w:w="6000" w:type="dxa"/>
            <w:vAlign w:val="bottom"/>
          </w:tcPr>
          <w:p>
            <w:pPr>
              <w:spacing w:after="0"/>
              <w:rPr>
                <w:sz w:val="20"/>
                <w:szCs w:val="20"/>
                <w:color w:val="auto"/>
              </w:rPr>
            </w:pPr>
            <w:r>
              <w:rPr>
                <w:rFonts w:ascii="Arial" w:cs="Arial" w:eastAsia="Arial" w:hAnsi="Arial"/>
                <w:sz w:val="20"/>
                <w:szCs w:val="20"/>
                <w:color w:val="auto"/>
              </w:rPr>
              <w:t>Liabilities associated with assets held for sale  . . . . . . . . . . . . . . . .</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8"/>
        </w:trPr>
        <w:tc>
          <w:tcPr>
            <w:tcW w:w="6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2"/>
        </w:trPr>
        <w:tc>
          <w:tcPr>
            <w:tcW w:w="6000" w:type="dxa"/>
            <w:vAlign w:val="bottom"/>
          </w:tcPr>
          <w:p>
            <w:pPr>
              <w:spacing w:after="0"/>
              <w:rPr>
                <w:sz w:val="20"/>
                <w:szCs w:val="20"/>
                <w:color w:val="auto"/>
              </w:rPr>
            </w:pPr>
            <w:r>
              <w:rPr>
                <w:rFonts w:ascii="Arial" w:cs="Arial" w:eastAsia="Arial" w:hAnsi="Arial"/>
                <w:sz w:val="20"/>
                <w:szCs w:val="20"/>
                <w:color w:val="auto"/>
                <w:w w:val="99"/>
              </w:rPr>
              <w:t>Ending balance  . . . . . . . . . . . . . . . . . . . . . . . . . . . . . . . . . . . . . . . . .</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360" w:type="dxa"/>
            <w:vAlign w:val="bottom"/>
          </w:tcPr>
          <w:p>
            <w:pPr>
              <w:jc w:val="right"/>
              <w:spacing w:after="0"/>
              <w:rPr>
                <w:sz w:val="20"/>
                <w:szCs w:val="20"/>
                <w:color w:val="auto"/>
              </w:rPr>
            </w:pPr>
            <w:r>
              <w:rPr>
                <w:rFonts w:ascii="Arial" w:cs="Arial" w:eastAsia="Arial" w:hAnsi="Arial"/>
                <w:sz w:val="20"/>
                <w:szCs w:val="20"/>
                <w:color w:val="auto"/>
              </w:rPr>
              <w:t>491</w:t>
            </w:r>
          </w:p>
        </w:tc>
        <w:tc>
          <w:tcPr>
            <w:tcW w:w="500" w:type="dxa"/>
            <w:vAlign w:val="bottom"/>
            <w:gridSpan w:val="2"/>
          </w:tcPr>
          <w:p>
            <w:pPr>
              <w:ind w:left="24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489</w:t>
            </w:r>
          </w:p>
        </w:tc>
      </w:tr>
      <w:tr>
        <w:trPr>
          <w:trHeight w:val="28"/>
        </w:trPr>
        <w:tc>
          <w:tcPr>
            <w:tcW w:w="6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6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72"/>
        </w:trPr>
        <w:tc>
          <w:tcPr>
            <w:tcW w:w="6000" w:type="dxa"/>
            <w:vAlign w:val="bottom"/>
          </w:tcPr>
          <w:p>
            <w:pPr>
              <w:spacing w:after="0"/>
              <w:rPr>
                <w:sz w:val="20"/>
                <w:szCs w:val="20"/>
                <w:color w:val="auto"/>
              </w:rPr>
            </w:pPr>
            <w:r>
              <w:rPr>
                <w:rFonts w:ascii="Arial" w:cs="Arial" w:eastAsia="Arial" w:hAnsi="Arial"/>
                <w:sz w:val="20"/>
                <w:szCs w:val="20"/>
                <w:color w:val="auto"/>
                <w:w w:val="99"/>
              </w:rPr>
              <w:t>Current portion . . . . . . . . . . . . . . . . . . . . . . . . . . . . . . . . . . . . . . . . . .</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360" w:type="dxa"/>
            <w:vAlign w:val="bottom"/>
          </w:tcPr>
          <w:p>
            <w:pPr>
              <w:jc w:val="right"/>
              <w:spacing w:after="0"/>
              <w:rPr>
                <w:sz w:val="20"/>
                <w:szCs w:val="20"/>
                <w:color w:val="auto"/>
              </w:rPr>
            </w:pPr>
            <w:r>
              <w:rPr>
                <w:rFonts w:ascii="Arial" w:cs="Arial" w:eastAsia="Arial" w:hAnsi="Arial"/>
                <w:sz w:val="20"/>
                <w:szCs w:val="20"/>
                <w:color w:val="auto"/>
              </w:rPr>
              <w:t>59</w:t>
            </w:r>
          </w:p>
        </w:tc>
        <w:tc>
          <w:tcPr>
            <w:tcW w:w="500" w:type="dxa"/>
            <w:vAlign w:val="bottom"/>
            <w:gridSpan w:val="2"/>
          </w:tcPr>
          <w:p>
            <w:pPr>
              <w:ind w:left="24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40"/>
        </w:trPr>
        <w:tc>
          <w:tcPr>
            <w:tcW w:w="6000" w:type="dxa"/>
            <w:vAlign w:val="bottom"/>
          </w:tcPr>
          <w:p>
            <w:pPr>
              <w:spacing w:after="0"/>
              <w:rPr>
                <w:sz w:val="20"/>
                <w:szCs w:val="20"/>
                <w:color w:val="auto"/>
              </w:rPr>
            </w:pPr>
            <w:r>
              <w:rPr>
                <w:rFonts w:ascii="Arial" w:cs="Arial" w:eastAsia="Arial" w:hAnsi="Arial"/>
                <w:sz w:val="20"/>
                <w:szCs w:val="20"/>
                <w:color w:val="auto"/>
              </w:rPr>
              <w:t>Non-current portion . . . . . . . . . . . . . . . . . . . . . . . . . . . . . . . . . . . . . .</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360" w:type="dxa"/>
            <w:vAlign w:val="bottom"/>
          </w:tcPr>
          <w:p>
            <w:pPr>
              <w:jc w:val="right"/>
              <w:spacing w:after="0"/>
              <w:rPr>
                <w:sz w:val="20"/>
                <w:szCs w:val="20"/>
                <w:color w:val="auto"/>
              </w:rPr>
            </w:pPr>
            <w:r>
              <w:rPr>
                <w:rFonts w:ascii="Arial" w:cs="Arial" w:eastAsia="Arial" w:hAnsi="Arial"/>
                <w:sz w:val="20"/>
                <w:szCs w:val="20"/>
                <w:color w:val="auto"/>
              </w:rPr>
              <w:t>432</w:t>
            </w:r>
          </w:p>
        </w:tc>
        <w:tc>
          <w:tcPr>
            <w:tcW w:w="500" w:type="dxa"/>
            <w:vAlign w:val="bottom"/>
            <w:gridSpan w:val="2"/>
          </w:tcPr>
          <w:p>
            <w:pPr>
              <w:ind w:left="24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438</w:t>
            </w:r>
          </w:p>
        </w:tc>
      </w:tr>
    </w:tbl>
    <w:p>
      <w:pPr>
        <w:spacing w:after="0" w:line="201" w:lineRule="exact"/>
        <w:rPr>
          <w:sz w:val="20"/>
          <w:szCs w:val="20"/>
          <w:color w:val="auto"/>
        </w:rPr>
      </w:pPr>
    </w:p>
    <w:p>
      <w:pPr>
        <w:ind w:right="200" w:firstLine="300"/>
        <w:spacing w:after="0" w:line="263" w:lineRule="auto"/>
        <w:rPr>
          <w:sz w:val="20"/>
          <w:szCs w:val="20"/>
          <w:color w:val="auto"/>
        </w:rPr>
      </w:pPr>
      <w:r>
        <w:rPr>
          <w:rFonts w:ascii="Arial" w:cs="Arial" w:eastAsia="Arial" w:hAnsi="Arial"/>
          <w:sz w:val="19"/>
          <w:szCs w:val="19"/>
          <w:color w:val="auto"/>
        </w:rPr>
        <w:t>During 2022, our total asset retirement obligation increased by $2 million from 2021. Our liabilities settled and divested in 2022 of $57 million, included $40 million for settlement payments and</w:t>
      </w:r>
    </w:p>
    <w:p>
      <w:pPr>
        <w:spacing w:after="0" w:line="1" w:lineRule="exact"/>
        <w:rPr>
          <w:sz w:val="20"/>
          <w:szCs w:val="20"/>
          <w:color w:val="auto"/>
        </w:rPr>
      </w:pPr>
    </w:p>
    <w:p>
      <w:pPr>
        <w:ind w:right="200"/>
        <w:spacing w:after="0" w:line="248" w:lineRule="auto"/>
        <w:rPr>
          <w:sz w:val="20"/>
          <w:szCs w:val="20"/>
          <w:color w:val="auto"/>
        </w:rPr>
      </w:pPr>
      <w:r>
        <w:rPr>
          <w:rFonts w:ascii="Arial" w:cs="Arial" w:eastAsia="Arial" w:hAnsi="Arial"/>
          <w:sz w:val="20"/>
          <w:szCs w:val="20"/>
          <w:color w:val="auto"/>
        </w:rPr>
        <w:t>$17 million of liabilities assumed related to our Lost Hills divestiture. Revisions of our estimated obligation increased $15 million, which reflect higher anticipated future abandonment costs, including inflation and changes in the timing of settlement.</w:t>
      </w:r>
    </w:p>
    <w:p>
      <w:pPr>
        <w:spacing w:after="0" w:line="163"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auto"/>
        </w:rPr>
        <w:t>During 2021, our total asset retirement obligation decreased by $108 million from 2020. Our liabilities settled and divested in 2021 of $157 million included $42 million for settlement payments and $115 million of liabilities assumed as part of our Ventura divestiture. Our liabilities included $30 million of additions, partially offset by $21 million of liabilities reclassified as held for sale. Revisions to our future cost estimates and abandonment dates for our oil and natural gas assets resulted in a decrease of $11 million.</w:t>
      </w:r>
    </w:p>
    <w:p>
      <w:pPr>
        <w:spacing w:after="0" w:line="162" w:lineRule="exact"/>
        <w:rPr>
          <w:sz w:val="20"/>
          <w:szCs w:val="20"/>
          <w:color w:val="auto"/>
        </w:rPr>
      </w:pPr>
    </w:p>
    <w:p>
      <w:pPr>
        <w:ind w:right="640" w:firstLine="300"/>
        <w:spacing w:after="0" w:line="247" w:lineRule="auto"/>
        <w:rPr>
          <w:sz w:val="20"/>
          <w:szCs w:val="20"/>
          <w:color w:val="auto"/>
        </w:rPr>
      </w:pPr>
      <w:r>
        <w:rPr>
          <w:rFonts w:ascii="Arial" w:cs="Arial" w:eastAsia="Arial" w:hAnsi="Arial"/>
          <w:sz w:val="20"/>
          <w:szCs w:val="20"/>
          <w:color w:val="auto"/>
        </w:rPr>
        <w:t xml:space="preserve">See </w:t>
      </w:r>
      <w:r>
        <w:rPr>
          <w:rFonts w:ascii="Arial" w:cs="Arial" w:eastAsia="Arial" w:hAnsi="Arial"/>
          <w:sz w:val="20"/>
          <w:szCs w:val="20"/>
          <w:i w:val="1"/>
          <w:iCs w:val="1"/>
          <w:color w:val="auto"/>
        </w:rPr>
        <w:t>Note 3 Divestitures and Acquisitions</w:t>
      </w:r>
      <w:r>
        <w:rPr>
          <w:rFonts w:ascii="Arial" w:cs="Arial" w:eastAsia="Arial" w:hAnsi="Arial"/>
          <w:sz w:val="20"/>
          <w:szCs w:val="20"/>
          <w:color w:val="auto"/>
        </w:rPr>
        <w:t xml:space="preserve"> for more information on our sold properties and our liabilities reclassified as held for sale.</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Loss Contingencies</w:t>
      </w:r>
    </w:p>
    <w:p>
      <w:pPr>
        <w:spacing w:after="0" w:line="170"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auto"/>
        </w:rPr>
        <w:t>In the normal course of business, we are involved in lawsuits, claims and other environmental and legal proceedings and audits. We accrue reserves for these matters when it is probable that a liability has been incurred and the liability can be reasonably estimated. In addition, we disclose, if material, in aggregate, our exposure to losses in excess of the amount recorded on the balance sheet for these matters if it is reasonably possible that an additional material loss may be incurred. We review our loss contingencies on an ongoing basis.</w:t>
      </w:r>
    </w:p>
    <w:p>
      <w:pPr>
        <w:spacing w:after="0" w:line="164" w:lineRule="exact"/>
        <w:rPr>
          <w:sz w:val="20"/>
          <w:szCs w:val="20"/>
          <w:color w:val="auto"/>
        </w:rPr>
      </w:pPr>
    </w:p>
    <w:p>
      <w:pPr>
        <w:ind w:right="60" w:firstLine="300"/>
        <w:spacing w:after="0" w:line="266" w:lineRule="auto"/>
        <w:rPr>
          <w:sz w:val="20"/>
          <w:szCs w:val="20"/>
          <w:color w:val="auto"/>
        </w:rPr>
      </w:pPr>
      <w:r>
        <w:rPr>
          <w:rFonts w:ascii="Arial" w:cs="Arial" w:eastAsia="Arial" w:hAnsi="Arial"/>
          <w:sz w:val="19"/>
          <w:szCs w:val="19"/>
          <w:color w:val="auto"/>
        </w:rPr>
        <w:t>Loss contingencies are based on judgments made by management with respect to the likely outcome of these matters and are adjusted as appropriate. Management’s judgments could change based on new information, changes in, or interpretations of, laws or regulations, changes in management’s plans or intentions, opinions regarding the outcome of legal proceedings, or other factors.</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Income Taxes</w:t>
      </w:r>
    </w:p>
    <w:p>
      <w:pPr>
        <w:spacing w:after="0" w:line="170" w:lineRule="exact"/>
        <w:rPr>
          <w:sz w:val="20"/>
          <w:szCs w:val="20"/>
          <w:color w:val="auto"/>
        </w:rPr>
      </w:pPr>
    </w:p>
    <w:p>
      <w:pPr>
        <w:ind w:right="160" w:firstLine="300"/>
        <w:spacing w:after="0" w:line="249" w:lineRule="auto"/>
        <w:rPr>
          <w:sz w:val="20"/>
          <w:szCs w:val="20"/>
          <w:color w:val="auto"/>
        </w:rPr>
      </w:pPr>
      <w:r>
        <w:rPr>
          <w:rFonts w:ascii="Arial" w:cs="Arial" w:eastAsia="Arial" w:hAnsi="Arial"/>
          <w:sz w:val="20"/>
          <w:szCs w:val="20"/>
          <w:color w:val="auto"/>
        </w:rPr>
        <w:t>Deferred tax assets and liabilities are recognized for the estimated future tax consequences attributable to differences between the financial statement carrying amounts of assets and liabilities and their tax basis. Deferred tax assets are recognized when it is more likely than not that they will be realized. We periodically assess our deferred tax assets and reduce such assets by a valuation allowance if we deem it is more likely than not that some portion or all of the deferred tax assets will not be realized.</w:t>
      </w:r>
    </w:p>
    <w:p>
      <w:pPr>
        <w:sectPr>
          <w:pgSz w:w="11880" w:h="15480" w:orient="portrait"/>
          <w:cols w:equalWidth="0" w:num="1">
            <w:col w:w="9120"/>
          </w:cols>
          <w:pgMar w:left="1380" w:top="1310" w:right="1380" w:bottom="661" w:gutter="0" w:footer="0" w:header="0"/>
        </w:sect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107</w:t>
      </w:r>
    </w:p>
    <w:p>
      <w:pPr>
        <w:sectPr>
          <w:pgSz w:w="11880" w:h="15480" w:orient="portrait"/>
          <w:cols w:equalWidth="0" w:num="1">
            <w:col w:w="9120"/>
          </w:cols>
          <w:pgMar w:left="1380" w:top="1310" w:right="1380" w:bottom="661" w:gutter="0" w:footer="0" w:header="0"/>
          <w:type w:val="continuous"/>
        </w:sectPr>
      </w:pPr>
    </w:p>
    <w:bookmarkStart w:id="111" w:name="page112"/>
    <w:bookmarkEnd w:id="111"/>
    <w:p>
      <w:pPr>
        <w:ind w:right="120" w:firstLine="300"/>
        <w:spacing w:after="0" w:line="248" w:lineRule="auto"/>
        <w:rPr>
          <w:sz w:val="20"/>
          <w:szCs w:val="20"/>
          <w:color w:val="auto"/>
        </w:rPr>
      </w:pPr>
      <w:r>
        <w:rPr>
          <w:rFonts w:ascii="Arial" w:cs="Arial" w:eastAsia="Arial" w:hAnsi="Arial"/>
          <w:sz w:val="20"/>
          <w:szCs w:val="20"/>
          <w:color w:val="auto"/>
        </w:rPr>
        <w:t>We recognize the financial statement effects of tax positions when it is more likely than not, based on the technical merits, that the position will be sustained upon examination by a tax authority. We recognize interest and penalties, if any, related to uncertain tax positions as a component of the income tax provision. No interest or penalties related to uncertain tax positions were recognized in the financial statements for the periods presented.</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Production-Sharing Type Contracts</w:t>
      </w:r>
    </w:p>
    <w:p>
      <w:pPr>
        <w:spacing w:after="0" w:line="216" w:lineRule="exact"/>
        <w:rPr>
          <w:sz w:val="20"/>
          <w:szCs w:val="20"/>
          <w:color w:val="auto"/>
        </w:rPr>
      </w:pPr>
    </w:p>
    <w:p>
      <w:pPr>
        <w:ind w:right="40" w:firstLine="300"/>
        <w:spacing w:after="0" w:line="250" w:lineRule="auto"/>
        <w:rPr>
          <w:sz w:val="20"/>
          <w:szCs w:val="20"/>
          <w:color w:val="auto"/>
        </w:rPr>
      </w:pPr>
      <w:r>
        <w:rPr>
          <w:rFonts w:ascii="Arial" w:cs="Arial" w:eastAsia="Arial" w:hAnsi="Arial"/>
          <w:sz w:val="20"/>
          <w:szCs w:val="20"/>
          <w:color w:val="auto"/>
        </w:rPr>
        <w:t>Our share of production and reserves from operations in the Wilmington field is subject to contractual arrangements similar to production-sharing contracts (PSCs) that are in effect through the economic life of the assets. Under such contracts we are obligated to fund all capital and operating costs. We record a share of production and reserves to recover a portion of such capital and operating costs and an additional share for profit. Our portion of the production represents volumes: (i) to recover our partners’ share of capital and operating costs that we incur on their behalf, (ii) for our share of contractually defined base production and (iii) for our share of remaining production thereafter. We generate returns through our defined share of production from (ii) and (iii) above. These contracts do not transfer any right of ownership to us and reserves reported from these arrangements are based on our economic interest as defined in the contracts. Our share of production and reserves from these contracts decreases when product prices rise and increases when prices decline, assuming comparable capital investment and operating costs. However, our net economic benefit is greater when product prices are higher. These PSCs represented approximately 16% of our total production for the year ended December 31, 2022.</w:t>
      </w:r>
    </w:p>
    <w:p>
      <w:pPr>
        <w:spacing w:after="0" w:line="206"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auto"/>
        </w:rPr>
        <w:t>In line with industry practice for reporting PSCs, we report 100% of operating costs under such contracts in our consolidated statements of operations as opposed to reporting only our share of those costs. We report the proceeds from production designed to recover our partners’ share of such costs (cost recovery) in our revenues. Our reported production volumes reflect only our share of the total volumes produced, including cost recovery, which is less than the total volumes produced under the PSCs. This difference in reporting full operating costs but only our net share of production equally inflates our revenue and operating costs per barrel and has no effect on our net results.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Pension and Postretirement Benefit Plans</w:t>
      </w:r>
    </w:p>
    <w:p>
      <w:pPr>
        <w:spacing w:after="0" w:line="214" w:lineRule="exact"/>
        <w:rPr>
          <w:sz w:val="20"/>
          <w:szCs w:val="20"/>
          <w:color w:val="auto"/>
        </w:rPr>
      </w:pPr>
    </w:p>
    <w:p>
      <w:pPr>
        <w:ind w:right="180" w:firstLine="300"/>
        <w:spacing w:after="0" w:line="248" w:lineRule="auto"/>
        <w:rPr>
          <w:sz w:val="20"/>
          <w:szCs w:val="20"/>
          <w:color w:val="auto"/>
        </w:rPr>
      </w:pPr>
      <w:r>
        <w:rPr>
          <w:rFonts w:ascii="Arial" w:cs="Arial" w:eastAsia="Arial" w:hAnsi="Arial"/>
          <w:sz w:val="20"/>
          <w:szCs w:val="20"/>
          <w:color w:val="auto"/>
        </w:rPr>
        <w:t>All of our employees participate in postretirement benefit plans we sponsor. These plans are primarily funded as benefits are paid. In addition, a small number of our employees also participate in defined benefit pension plans sponsored by us. We recognize the net overfunded or underfunded amounts in the consolidated financial statements at each measurement date.</w:t>
      </w:r>
    </w:p>
    <w:p>
      <w:pPr>
        <w:spacing w:after="0" w:line="209" w:lineRule="exact"/>
        <w:rPr>
          <w:sz w:val="20"/>
          <w:szCs w:val="20"/>
          <w:color w:val="auto"/>
        </w:rPr>
      </w:pPr>
    </w:p>
    <w:p>
      <w:pPr>
        <w:ind w:right="160" w:firstLine="300"/>
        <w:spacing w:after="0" w:line="249" w:lineRule="auto"/>
        <w:rPr>
          <w:sz w:val="20"/>
          <w:szCs w:val="20"/>
          <w:color w:val="auto"/>
        </w:rPr>
      </w:pPr>
      <w:r>
        <w:rPr>
          <w:rFonts w:ascii="Arial" w:cs="Arial" w:eastAsia="Arial" w:hAnsi="Arial"/>
          <w:sz w:val="20"/>
          <w:szCs w:val="20"/>
          <w:color w:val="auto"/>
        </w:rPr>
        <w:t>We determine our defined benefit pension and postretirement benefit plan obligations based on various assumptions and discount rates. The discount rate assumptions used are meant to reflect the interest rate at which the obligations could effectively be settled on the measurement date. We estimate the rate of return on assets with regard to current market factors but within the context of historical returns.</w:t>
      </w:r>
    </w:p>
    <w:p>
      <w:pPr>
        <w:spacing w:after="0" w:line="207" w:lineRule="exact"/>
        <w:rPr>
          <w:sz w:val="20"/>
          <w:szCs w:val="20"/>
          <w:color w:val="auto"/>
        </w:rPr>
      </w:pPr>
    </w:p>
    <w:p>
      <w:pPr>
        <w:ind w:firstLine="300"/>
        <w:spacing w:after="0" w:line="248" w:lineRule="auto"/>
        <w:rPr>
          <w:sz w:val="20"/>
          <w:szCs w:val="20"/>
          <w:color w:val="auto"/>
        </w:rPr>
      </w:pPr>
      <w:r>
        <w:rPr>
          <w:rFonts w:ascii="Arial" w:cs="Arial" w:eastAsia="Arial" w:hAnsi="Arial"/>
          <w:sz w:val="20"/>
          <w:szCs w:val="20"/>
          <w:color w:val="auto"/>
        </w:rPr>
        <w:t>Pension plan assets are measured at fair value. Publicly registered mutual funds are valued using quoted market prices in active markets. Commingled funds are valued at the fund units’ net asset value (NAV) provided by the issuer, which represents the quoted price in a non-active market. Guaranteed deposit accounts are valued at the book value provided by the issuer.</w:t>
      </w:r>
    </w:p>
    <w:p>
      <w:pPr>
        <w:spacing w:after="0" w:line="209" w:lineRule="exact"/>
        <w:rPr>
          <w:sz w:val="20"/>
          <w:szCs w:val="20"/>
          <w:color w:val="auto"/>
        </w:rPr>
      </w:pPr>
    </w:p>
    <w:p>
      <w:pPr>
        <w:ind w:right="440" w:firstLine="300"/>
        <w:spacing w:after="0" w:line="247" w:lineRule="auto"/>
        <w:rPr>
          <w:sz w:val="20"/>
          <w:szCs w:val="20"/>
          <w:color w:val="auto"/>
        </w:rPr>
      </w:pPr>
      <w:r>
        <w:rPr>
          <w:rFonts w:ascii="Arial" w:cs="Arial" w:eastAsia="Arial" w:hAnsi="Arial"/>
          <w:sz w:val="20"/>
          <w:szCs w:val="20"/>
          <w:color w:val="auto"/>
        </w:rPr>
        <w:t>Actuarial gains and losses that have not yet been recognized through income, are recorded in accumulated other comprehensive income within equity, net of taxes, until they are amortized as a component of net periodic benefit cost.</w:t>
      </w:r>
    </w:p>
    <w:p>
      <w:pPr>
        <w:sectPr>
          <w:pgSz w:w="11880" w:h="15480" w:orient="portrait"/>
          <w:cols w:equalWidth="0" w:num="1">
            <w:col w:w="9120"/>
          </w:cols>
          <w:pgMar w:left="1380" w:top="1316" w:right="1380" w:bottom="661"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108</w:t>
      </w:r>
    </w:p>
    <w:p>
      <w:pPr>
        <w:sectPr>
          <w:pgSz w:w="11880" w:h="15480" w:orient="portrait"/>
          <w:cols w:equalWidth="0" w:num="1">
            <w:col w:w="9120"/>
          </w:cols>
          <w:pgMar w:left="1380" w:top="1316" w:right="1380" w:bottom="661" w:gutter="0" w:footer="0" w:header="0"/>
          <w:type w:val="continuous"/>
        </w:sectPr>
      </w:pPr>
    </w:p>
    <w:bookmarkStart w:id="112" w:name="page113"/>
    <w:bookmarkEnd w:id="112"/>
    <w:p>
      <w:pPr>
        <w:spacing w:after="0"/>
        <w:rPr>
          <w:sz w:val="20"/>
          <w:szCs w:val="20"/>
          <w:color w:val="auto"/>
        </w:rPr>
      </w:pPr>
      <w:r>
        <w:rPr>
          <w:rFonts w:ascii="Arial" w:cs="Arial" w:eastAsia="Arial" w:hAnsi="Arial"/>
          <w:sz w:val="20"/>
          <w:szCs w:val="20"/>
          <w:i w:val="1"/>
          <w:iCs w:val="1"/>
          <w:u w:val="single" w:color="auto"/>
          <w:color w:val="auto"/>
        </w:rPr>
        <w:t>Leases</w:t>
      </w:r>
    </w:p>
    <w:p>
      <w:pPr>
        <w:spacing w:after="0" w:line="216"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We account for our leases in which we are the lessee, other than mineral leases including oil and natural gas leases, under an accounting standard which requires us to recognize most leases, including operating leases, on the balance sheet. The majority of our leases are for commercial office space, fleet vehicles, drilling rigs, easements and facilities. We categorize leases as either operating or financing at lease commencement. We recognize a right-of-use (ROU) asset and associated lease liability for each operating and finance lease with contractual terms of greater than 12 months on the balance sheet. In considering whether a contract contains a lease, we first consider whether there is an identifiable asset and then consider how and for what purpose the asset would be used over the contract term. Our ROU assets are measured at the initial amount of the lease liability determined by measuring the present value of the fixed minimum lease payments, adjusted for any payments made before or at the lease commencement date, discounted using our incremental borrowing rate (IBR). In determining our IBR, we consider the average cost of borrowing for publicly traded corporate bond yields, which are adjusted to reflect our credit rating, the remaining lease term for each class of our leases and frequency of payments.</w:t>
      </w:r>
    </w:p>
    <w:p>
      <w:pPr>
        <w:spacing w:after="0" w:line="220" w:lineRule="exact"/>
        <w:rPr>
          <w:sz w:val="20"/>
          <w:szCs w:val="20"/>
          <w:color w:val="auto"/>
        </w:rPr>
      </w:pPr>
    </w:p>
    <w:p>
      <w:pPr>
        <w:ind w:right="100" w:firstLine="300"/>
        <w:spacing w:after="0" w:line="267" w:lineRule="auto"/>
        <w:rPr>
          <w:sz w:val="20"/>
          <w:szCs w:val="20"/>
          <w:color w:val="auto"/>
        </w:rPr>
      </w:pPr>
      <w:r>
        <w:rPr>
          <w:rFonts w:ascii="Arial" w:cs="Arial" w:eastAsia="Arial" w:hAnsi="Arial"/>
          <w:sz w:val="19"/>
          <w:szCs w:val="19"/>
          <w:color w:val="auto"/>
        </w:rPr>
        <w:t>The ROU assets for operating leases are amortized over the term of the lease using the straight-line method. Lease expense also includes accretion of the lease liability recognized using the effective interest method. ROU assets are tested for impairment in the same manner as long-lived assets.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Share Repurchase Program</w:t>
      </w:r>
    </w:p>
    <w:p>
      <w:pPr>
        <w:spacing w:after="0" w:line="214" w:lineRule="exact"/>
        <w:rPr>
          <w:sz w:val="20"/>
          <w:szCs w:val="20"/>
          <w:color w:val="auto"/>
        </w:rPr>
      </w:pPr>
    </w:p>
    <w:p>
      <w:pPr>
        <w:ind w:right="60" w:firstLine="300"/>
        <w:spacing w:after="0" w:line="248" w:lineRule="auto"/>
        <w:rPr>
          <w:sz w:val="20"/>
          <w:szCs w:val="20"/>
          <w:color w:val="auto"/>
        </w:rPr>
      </w:pPr>
      <w:r>
        <w:rPr>
          <w:rFonts w:ascii="Arial" w:cs="Arial" w:eastAsia="Arial" w:hAnsi="Arial"/>
          <w:sz w:val="20"/>
          <w:szCs w:val="20"/>
          <w:color w:val="auto"/>
        </w:rPr>
        <w:t>We repurchase shares of our common stock from time to time under a program authorized by our Board of Directors, including pursuant to a contract, instruction or written plan meeting requirements of Rule 10b5-1(c)(1) of the Exchange Act. Share repurchases have not been retired and are displayed separately as treasury stock on our consolidated balance sheet.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Assets Held for Sale</w:t>
      </w:r>
    </w:p>
    <w:p>
      <w:pPr>
        <w:spacing w:after="0" w:line="214"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We may market certain non-core oil and natural gas assets or other properties for sale. At the end of each reporting period, we evaluate if these assets should be classified as held for sale. The held for sale criteria includes the following: management commitment to a plan to sell, the asset is available for immediate sale, an active program to locate a buyer exists, the sale of the asset is probable and expected to be completed within one year, the asset is being actively marketed for sale and it is unlikely that significant changes will be made to the plan. If all of these criteria are met, the asset is presented as held for sale on our consolidated balance sheet and measured at the lower of the carrying amount or estimated fair vale less costs to sell. DD&amp;A expense is not recorded on assets once classified as held for sale.</w:t>
      </w:r>
    </w:p>
    <w:p>
      <w:pPr>
        <w:spacing w:after="0" w:line="213" w:lineRule="exact"/>
        <w:rPr>
          <w:sz w:val="20"/>
          <w:szCs w:val="20"/>
          <w:color w:val="auto"/>
        </w:rPr>
      </w:pPr>
    </w:p>
    <w:p>
      <w:pPr>
        <w:ind w:right="100" w:firstLine="300"/>
        <w:spacing w:after="0" w:line="248" w:lineRule="auto"/>
        <w:rPr>
          <w:sz w:val="20"/>
          <w:szCs w:val="20"/>
          <w:color w:val="auto"/>
        </w:rPr>
      </w:pPr>
      <w:r>
        <w:rPr>
          <w:rFonts w:ascii="Arial" w:cs="Arial" w:eastAsia="Arial" w:hAnsi="Arial"/>
          <w:sz w:val="20"/>
          <w:szCs w:val="20"/>
          <w:color w:val="auto"/>
        </w:rPr>
        <w:t xml:space="preserve">The assets classified as held for sale at December 31, 2022 include the remaining assets and the associated asset retirement obligations in the Ventura basin. See </w:t>
      </w:r>
      <w:r>
        <w:rPr>
          <w:rFonts w:ascii="Arial" w:cs="Arial" w:eastAsia="Arial" w:hAnsi="Arial"/>
          <w:sz w:val="20"/>
          <w:szCs w:val="20"/>
          <w:i w:val="1"/>
          <w:iCs w:val="1"/>
          <w:color w:val="auto"/>
        </w:rPr>
        <w:t>Note 3 Divestitures and Acquisitions</w:t>
      </w:r>
      <w:r>
        <w:rPr>
          <w:rFonts w:ascii="Arial" w:cs="Arial" w:eastAsia="Arial" w:hAnsi="Arial"/>
          <w:sz w:val="20"/>
          <w:szCs w:val="20"/>
          <w:color w:val="auto"/>
        </w:rPr>
        <w:t xml:space="preserve"> for more information.</w:t>
      </w:r>
    </w:p>
    <w:p>
      <w:pPr>
        <w:sectPr>
          <w:pgSz w:w="11880" w:h="15480" w:orient="portrait"/>
          <w:cols w:equalWidth="0" w:num="1">
            <w:col w:w="9120"/>
          </w:cols>
          <w:pgMar w:left="1380" w:top="1310" w:right="138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109</w:t>
      </w:r>
    </w:p>
    <w:p>
      <w:pPr>
        <w:sectPr>
          <w:pgSz w:w="11880" w:h="15480" w:orient="portrait"/>
          <w:cols w:equalWidth="0" w:num="1">
            <w:col w:w="9120"/>
          </w:cols>
          <w:pgMar w:left="1380" w:top="1310" w:right="1380" w:bottom="661" w:gutter="0" w:footer="0" w:header="0"/>
          <w:type w:val="continuous"/>
        </w:sectPr>
      </w:pPr>
    </w:p>
    <w:bookmarkStart w:id="113" w:name="page114"/>
    <w:bookmarkEnd w:id="113"/>
    <w:tbl>
      <w:tblPr>
        <w:tblLayout w:type="fixed"/>
        <w:tblInd w:w="0" w:type="dxa"/>
        <w:tblCellMar>
          <w:top w:w="0" w:type="dxa"/>
          <w:left w:w="0" w:type="dxa"/>
          <w:bottom w:w="0" w:type="dxa"/>
          <w:right w:w="0" w:type="dxa"/>
        </w:tblCellMar>
      </w:tblPr>
      <w:tr>
        <w:trPr>
          <w:trHeight w:val="230"/>
        </w:trPr>
        <w:tc>
          <w:tcPr>
            <w:tcW w:w="6200" w:type="dxa"/>
            <w:vAlign w:val="bottom"/>
          </w:tcPr>
          <w:p>
            <w:pPr>
              <w:jc w:val="right"/>
              <w:ind w:right="4080"/>
              <w:spacing w:after="0"/>
              <w:rPr>
                <w:sz w:val="20"/>
                <w:szCs w:val="20"/>
                <w:color w:val="auto"/>
              </w:rPr>
            </w:pPr>
            <w:r>
              <w:rPr>
                <w:rFonts w:ascii="Arial" w:cs="Arial" w:eastAsia="Arial" w:hAnsi="Arial"/>
                <w:sz w:val="20"/>
                <w:szCs w:val="20"/>
                <w:b w:val="1"/>
                <w:bCs w:val="1"/>
                <w:i w:val="1"/>
                <w:iCs w:val="1"/>
                <w:color w:val="auto"/>
                <w:w w:val="98"/>
              </w:rPr>
              <w:t>Other Current Assets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8"/>
        </w:trPr>
        <w:tc>
          <w:tcPr>
            <w:tcW w:w="6200" w:type="dxa"/>
            <w:vAlign w:val="bottom"/>
          </w:tcPr>
          <w:p>
            <w:pPr>
              <w:jc w:val="right"/>
              <w:ind w:right="1240"/>
              <w:spacing w:after="0"/>
              <w:rPr>
                <w:sz w:val="20"/>
                <w:szCs w:val="20"/>
                <w:color w:val="auto"/>
              </w:rPr>
            </w:pPr>
            <w:r>
              <w:rPr>
                <w:rFonts w:ascii="Arial" w:cs="Arial" w:eastAsia="Arial" w:hAnsi="Arial"/>
                <w:sz w:val="20"/>
                <w:szCs w:val="20"/>
                <w:color w:val="auto"/>
              </w:rPr>
              <w:t>Other current assets, net consisted of the following:</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2"/>
        </w:trPr>
        <w:tc>
          <w:tcPr>
            <w:tcW w:w="620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20"/>
                <w:szCs w:val="20"/>
                <w:b w:val="1"/>
                <w:bCs w:val="1"/>
                <w:color w:val="auto"/>
              </w:rPr>
              <w:t>December 31,</w:t>
            </w:r>
          </w:p>
        </w:tc>
        <w:tc>
          <w:tcPr>
            <w:tcW w:w="20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20"/>
                <w:szCs w:val="20"/>
                <w:b w:val="1"/>
                <w:bCs w:val="1"/>
                <w:color w:val="auto"/>
              </w:rPr>
              <w:t>December 31,</w:t>
            </w:r>
          </w:p>
        </w:tc>
      </w:tr>
      <w:tr>
        <w:trPr>
          <w:trHeight w:val="228"/>
        </w:trPr>
        <w:tc>
          <w:tcPr>
            <w:tcW w:w="6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62"/>
              <w:spacing w:after="0" w:line="228" w:lineRule="exact"/>
              <w:rPr>
                <w:sz w:val="20"/>
                <w:szCs w:val="20"/>
                <w:color w:val="auto"/>
              </w:rPr>
            </w:pPr>
            <w:r>
              <w:rPr>
                <w:rFonts w:ascii="Arial" w:cs="Arial" w:eastAsia="Arial" w:hAnsi="Arial"/>
                <w:sz w:val="20"/>
                <w:szCs w:val="20"/>
                <w:b w:val="1"/>
                <w:bCs w:val="1"/>
                <w:color w:val="auto"/>
              </w:rPr>
              <w:t>2022</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360"/>
              <w:spacing w:after="0" w:line="228" w:lineRule="exact"/>
              <w:rPr>
                <w:sz w:val="20"/>
                <w:szCs w:val="20"/>
                <w:color w:val="auto"/>
              </w:rPr>
            </w:pPr>
            <w:r>
              <w:rPr>
                <w:rFonts w:ascii="Arial" w:cs="Arial" w:eastAsia="Arial" w:hAnsi="Arial"/>
                <w:sz w:val="20"/>
                <w:szCs w:val="20"/>
                <w:b w:val="1"/>
                <w:bCs w:val="1"/>
                <w:color w:val="auto"/>
              </w:rPr>
              <w:t>2021</w:t>
            </w:r>
          </w:p>
        </w:tc>
      </w:tr>
      <w:tr>
        <w:trPr>
          <w:trHeight w:val="20"/>
        </w:trPr>
        <w:tc>
          <w:tcPr>
            <w:tcW w:w="6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2"/>
        </w:trPr>
        <w:tc>
          <w:tcPr>
            <w:tcW w:w="6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3"/>
          </w:tcPr>
          <w:p>
            <w:pPr>
              <w:ind w:left="760"/>
              <w:spacing w:after="0"/>
              <w:rPr>
                <w:sz w:val="20"/>
                <w:szCs w:val="20"/>
                <w:color w:val="auto"/>
              </w:rPr>
            </w:pPr>
            <w:r>
              <w:rPr>
                <w:rFonts w:ascii="Arial" w:cs="Arial" w:eastAsia="Arial" w:hAnsi="Arial"/>
                <w:sz w:val="16"/>
                <w:szCs w:val="16"/>
                <w:color w:val="auto"/>
              </w:rPr>
              <w:t>(in millions)</w:t>
            </w:r>
          </w:p>
        </w:tc>
        <w:tc>
          <w:tcPr>
            <w:tcW w:w="980" w:type="dxa"/>
            <w:vAlign w:val="bottom"/>
          </w:tcPr>
          <w:p>
            <w:pPr>
              <w:spacing w:after="0"/>
              <w:rPr>
                <w:sz w:val="16"/>
                <w:szCs w:val="16"/>
                <w:color w:val="auto"/>
              </w:rPr>
            </w:pPr>
          </w:p>
        </w:tc>
      </w:tr>
      <w:tr>
        <w:trPr>
          <w:trHeight w:val="264"/>
        </w:trPr>
        <w:tc>
          <w:tcPr>
            <w:tcW w:w="6200" w:type="dxa"/>
            <w:vAlign w:val="bottom"/>
          </w:tcPr>
          <w:p>
            <w:pPr>
              <w:jc w:val="right"/>
              <w:ind w:right="100"/>
              <w:spacing w:after="0" w:line="265" w:lineRule="exact"/>
              <w:rPr>
                <w:sz w:val="20"/>
                <w:szCs w:val="20"/>
                <w:color w:val="auto"/>
              </w:rPr>
            </w:pPr>
            <w:r>
              <w:rPr>
                <w:rFonts w:ascii="Arial" w:cs="Arial" w:eastAsia="Arial" w:hAnsi="Arial"/>
                <w:sz w:val="20"/>
                <w:szCs w:val="20"/>
                <w:color w:val="auto"/>
                <w:w w:val="96"/>
              </w:rPr>
              <w:t>Net amounts due from joint interest partners</w:t>
            </w:r>
            <w:r>
              <w:rPr>
                <w:rFonts w:ascii="Arial" w:cs="Arial" w:eastAsia="Arial" w:hAnsi="Arial"/>
                <w:sz w:val="26"/>
                <w:szCs w:val="26"/>
                <w:color w:val="auto"/>
                <w:w w:val="96"/>
                <w:vertAlign w:val="superscript"/>
              </w:rPr>
              <w:t>(a)</w:t>
            </w:r>
            <w:r>
              <w:rPr>
                <w:rFonts w:ascii="Arial" w:cs="Arial" w:eastAsia="Arial" w:hAnsi="Arial"/>
                <w:sz w:val="20"/>
                <w:szCs w:val="20"/>
                <w:color w:val="auto"/>
                <w:w w:val="96"/>
              </w:rPr>
              <w:t xml:space="preserve">  . . . . . . . . . . . . . . . . . .</w:t>
            </w:r>
          </w:p>
        </w:tc>
        <w:tc>
          <w:tcPr>
            <w:tcW w:w="300" w:type="dxa"/>
            <w:vAlign w:val="bottom"/>
          </w:tcPr>
          <w:p>
            <w:pPr>
              <w:ind w:left="4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39</w:t>
            </w:r>
          </w:p>
        </w:tc>
        <w:tc>
          <w:tcPr>
            <w:tcW w:w="580" w:type="dxa"/>
            <w:vAlign w:val="bottom"/>
            <w:gridSpan w:val="2"/>
          </w:tcPr>
          <w:p>
            <w:pPr>
              <w:ind w:left="2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24"/>
        </w:trPr>
        <w:tc>
          <w:tcPr>
            <w:tcW w:w="6200" w:type="dxa"/>
            <w:vAlign w:val="bottom"/>
          </w:tcPr>
          <w:p>
            <w:pPr>
              <w:jc w:val="right"/>
              <w:ind w:right="100"/>
              <w:spacing w:after="0" w:line="224" w:lineRule="exact"/>
              <w:rPr>
                <w:sz w:val="20"/>
                <w:szCs w:val="20"/>
                <w:color w:val="auto"/>
              </w:rPr>
            </w:pPr>
            <w:r>
              <w:rPr>
                <w:rFonts w:ascii="Arial" w:cs="Arial" w:eastAsia="Arial" w:hAnsi="Arial"/>
                <w:sz w:val="20"/>
                <w:szCs w:val="20"/>
                <w:color w:val="auto"/>
                <w:w w:val="97"/>
              </w:rPr>
              <w:t>Fair value of derivative contracts . . . . . . . . . . . . . . . . . . . . . . . . . . . . .</w:t>
            </w:r>
          </w:p>
        </w:tc>
        <w:tc>
          <w:tcPr>
            <w:tcW w:w="300" w:type="dxa"/>
            <w:vAlign w:val="bottom"/>
          </w:tcPr>
          <w:p>
            <w:pPr>
              <w:spacing w:after="0"/>
              <w:rPr>
                <w:sz w:val="19"/>
                <w:szCs w:val="19"/>
                <w:color w:val="auto"/>
              </w:rPr>
            </w:pPr>
          </w:p>
        </w:tc>
        <w:tc>
          <w:tcPr>
            <w:tcW w:w="1060" w:type="dxa"/>
            <w:vAlign w:val="bottom"/>
          </w:tcPr>
          <w:p>
            <w:pPr>
              <w:jc w:val="right"/>
              <w:spacing w:after="0" w:line="224" w:lineRule="exact"/>
              <w:rPr>
                <w:sz w:val="20"/>
                <w:szCs w:val="20"/>
                <w:color w:val="auto"/>
              </w:rPr>
            </w:pPr>
            <w:r>
              <w:rPr>
                <w:rFonts w:ascii="Arial" w:cs="Arial" w:eastAsia="Arial" w:hAnsi="Arial"/>
                <w:sz w:val="20"/>
                <w:szCs w:val="20"/>
                <w:color w:val="auto"/>
              </w:rPr>
              <w:t>39</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line="224" w:lineRule="exact"/>
              <w:rPr>
                <w:sz w:val="20"/>
                <w:szCs w:val="20"/>
                <w:color w:val="auto"/>
              </w:rPr>
            </w:pPr>
            <w:r>
              <w:rPr>
                <w:rFonts w:ascii="Arial" w:cs="Arial" w:eastAsia="Arial" w:hAnsi="Arial"/>
                <w:sz w:val="20"/>
                <w:szCs w:val="20"/>
                <w:color w:val="auto"/>
              </w:rPr>
              <w:t>6</w:t>
            </w:r>
          </w:p>
        </w:tc>
      </w:tr>
      <w:tr>
        <w:trPr>
          <w:trHeight w:val="240"/>
        </w:trPr>
        <w:tc>
          <w:tcPr>
            <w:tcW w:w="6200" w:type="dxa"/>
            <w:vAlign w:val="bottom"/>
          </w:tcPr>
          <w:p>
            <w:pPr>
              <w:jc w:val="right"/>
              <w:ind w:right="100"/>
              <w:spacing w:after="0"/>
              <w:rPr>
                <w:sz w:val="20"/>
                <w:szCs w:val="20"/>
                <w:color w:val="auto"/>
              </w:rPr>
            </w:pPr>
            <w:r>
              <w:rPr>
                <w:rFonts w:ascii="Arial" w:cs="Arial" w:eastAsia="Arial" w:hAnsi="Arial"/>
                <w:sz w:val="20"/>
                <w:szCs w:val="20"/>
                <w:color w:val="auto"/>
                <w:w w:val="97"/>
              </w:rPr>
              <w:t>Prepaid expenses . . . . . . . . . . . . . . . . . . . . . . . . . . . . . . . . . . . . . . . . .</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17</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56"/>
        </w:trPr>
        <w:tc>
          <w:tcPr>
            <w:tcW w:w="6200" w:type="dxa"/>
            <w:vAlign w:val="bottom"/>
          </w:tcPr>
          <w:p>
            <w:pPr>
              <w:jc w:val="right"/>
              <w:ind w:right="100"/>
              <w:spacing w:after="0" w:line="256" w:lineRule="exact"/>
              <w:rPr>
                <w:sz w:val="20"/>
                <w:szCs w:val="20"/>
                <w:color w:val="auto"/>
              </w:rPr>
            </w:pPr>
            <w:r>
              <w:rPr>
                <w:rFonts w:ascii="Arial" w:cs="Arial" w:eastAsia="Arial" w:hAnsi="Arial"/>
                <w:sz w:val="20"/>
                <w:szCs w:val="20"/>
                <w:color w:val="auto"/>
                <w:w w:val="95"/>
              </w:rPr>
              <w:t>Greenhouse gas allowances</w:t>
            </w:r>
            <w:r>
              <w:rPr>
                <w:rFonts w:ascii="Arial" w:cs="Arial" w:eastAsia="Arial" w:hAnsi="Arial"/>
                <w:sz w:val="26"/>
                <w:szCs w:val="26"/>
                <w:color w:val="auto"/>
                <w:w w:val="95"/>
                <w:vertAlign w:val="superscript"/>
              </w:rPr>
              <w:t>(b)</w:t>
            </w:r>
            <w:r>
              <w:rPr>
                <w:rFonts w:ascii="Arial" w:cs="Arial" w:eastAsia="Arial" w:hAnsi="Arial"/>
                <w:sz w:val="20"/>
                <w:szCs w:val="20"/>
                <w:color w:val="auto"/>
                <w:w w:val="95"/>
              </w:rPr>
              <w:t xml:space="preserve">  . . . . . . . . . . . . . . . . . . . . . . . . . . . . . . .</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24"/>
        </w:trPr>
        <w:tc>
          <w:tcPr>
            <w:tcW w:w="6200" w:type="dxa"/>
            <w:vAlign w:val="bottom"/>
          </w:tcPr>
          <w:p>
            <w:pPr>
              <w:jc w:val="right"/>
              <w:ind w:right="100"/>
              <w:spacing w:after="0" w:line="224" w:lineRule="exact"/>
              <w:rPr>
                <w:sz w:val="20"/>
                <w:szCs w:val="20"/>
                <w:color w:val="auto"/>
              </w:rPr>
            </w:pPr>
            <w:r>
              <w:rPr>
                <w:rFonts w:ascii="Arial" w:cs="Arial" w:eastAsia="Arial" w:hAnsi="Arial"/>
                <w:sz w:val="20"/>
                <w:szCs w:val="20"/>
                <w:color w:val="auto"/>
                <w:w w:val="97"/>
              </w:rPr>
              <w:t>Natural gas margin deposits . . . . . . . . . . . . . . . . . . . . . . . . . . . . . . . . .</w:t>
            </w:r>
          </w:p>
        </w:tc>
        <w:tc>
          <w:tcPr>
            <w:tcW w:w="300" w:type="dxa"/>
            <w:vAlign w:val="bottom"/>
          </w:tcPr>
          <w:p>
            <w:pPr>
              <w:spacing w:after="0"/>
              <w:rPr>
                <w:sz w:val="19"/>
                <w:szCs w:val="19"/>
                <w:color w:val="auto"/>
              </w:rPr>
            </w:pPr>
          </w:p>
        </w:tc>
        <w:tc>
          <w:tcPr>
            <w:tcW w:w="1060" w:type="dxa"/>
            <w:vAlign w:val="bottom"/>
          </w:tcPr>
          <w:p>
            <w:pPr>
              <w:jc w:val="right"/>
              <w:spacing w:after="0" w:line="224" w:lineRule="exact"/>
              <w:rPr>
                <w:sz w:val="20"/>
                <w:szCs w:val="20"/>
                <w:color w:val="auto"/>
              </w:rPr>
            </w:pPr>
            <w:r>
              <w:rPr>
                <w:rFonts w:ascii="Arial" w:cs="Arial" w:eastAsia="Arial" w:hAnsi="Arial"/>
                <w:sz w:val="20"/>
                <w:szCs w:val="20"/>
                <w:color w:val="auto"/>
              </w:rPr>
              <w:t>16</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line="224" w:lineRule="exact"/>
              <w:rPr>
                <w:sz w:val="20"/>
                <w:szCs w:val="20"/>
                <w:color w:val="auto"/>
              </w:rPr>
            </w:pPr>
            <w:r>
              <w:rPr>
                <w:rFonts w:ascii="Arial" w:cs="Arial" w:eastAsia="Arial" w:hAnsi="Arial"/>
                <w:sz w:val="20"/>
                <w:szCs w:val="20"/>
                <w:color w:val="auto"/>
              </w:rPr>
              <w:t>12</w:t>
            </w:r>
          </w:p>
        </w:tc>
      </w:tr>
      <w:tr>
        <w:trPr>
          <w:trHeight w:val="240"/>
        </w:trPr>
        <w:tc>
          <w:tcPr>
            <w:tcW w:w="6200" w:type="dxa"/>
            <w:vAlign w:val="bottom"/>
          </w:tcPr>
          <w:p>
            <w:pPr>
              <w:jc w:val="right"/>
              <w:ind w:right="100"/>
              <w:spacing w:after="0"/>
              <w:rPr>
                <w:sz w:val="20"/>
                <w:szCs w:val="20"/>
                <w:color w:val="auto"/>
              </w:rPr>
            </w:pPr>
            <w:r>
              <w:rPr>
                <w:rFonts w:ascii="Arial" w:cs="Arial" w:eastAsia="Arial" w:hAnsi="Arial"/>
                <w:sz w:val="20"/>
                <w:szCs w:val="20"/>
                <w:color w:val="auto"/>
                <w:w w:val="96"/>
              </w:rPr>
              <w:t>Income tax receivable . . . . . . . . . . . . . . . . . . . . . . . . . . . . . . . . . . . . . .</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10</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40"/>
        </w:trPr>
        <w:tc>
          <w:tcPr>
            <w:tcW w:w="6200" w:type="dxa"/>
            <w:vAlign w:val="bottom"/>
          </w:tcPr>
          <w:p>
            <w:pPr>
              <w:jc w:val="right"/>
              <w:ind w:right="100"/>
              <w:spacing w:after="0"/>
              <w:rPr>
                <w:sz w:val="20"/>
                <w:szCs w:val="20"/>
                <w:color w:val="auto"/>
              </w:rPr>
            </w:pPr>
            <w:r>
              <w:rPr>
                <w:rFonts w:ascii="Arial" w:cs="Arial" w:eastAsia="Arial" w:hAnsi="Arial"/>
                <w:sz w:val="20"/>
                <w:szCs w:val="20"/>
                <w:color w:val="auto"/>
                <w:w w:val="96"/>
              </w:rPr>
              <w:t>Other  . . . . . . . . . . . . . . . . . . . . . . . . . . . . . . . . . . . . . . . . . . . . . . . . . . .</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12</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30"/>
        </w:trPr>
        <w:tc>
          <w:tcPr>
            <w:tcW w:w="6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0"/>
        </w:trPr>
        <w:tc>
          <w:tcPr>
            <w:tcW w:w="6200" w:type="dxa"/>
            <w:vAlign w:val="bottom"/>
          </w:tcPr>
          <w:p>
            <w:pPr>
              <w:jc w:val="right"/>
              <w:ind w:right="100"/>
              <w:spacing w:after="0"/>
              <w:rPr>
                <w:sz w:val="20"/>
                <w:szCs w:val="20"/>
                <w:color w:val="auto"/>
              </w:rPr>
            </w:pPr>
            <w:r>
              <w:rPr>
                <w:rFonts w:ascii="Arial" w:cs="Arial" w:eastAsia="Arial" w:hAnsi="Arial"/>
                <w:sz w:val="20"/>
                <w:szCs w:val="20"/>
                <w:color w:val="auto"/>
              </w:rPr>
              <w:t>Other current assets, net . . . . . . . . . . . . . . . . . . . . . . . . . . . . . . . .</w:t>
            </w:r>
          </w:p>
        </w:tc>
        <w:tc>
          <w:tcPr>
            <w:tcW w:w="300" w:type="dxa"/>
            <w:vAlign w:val="bottom"/>
          </w:tcPr>
          <w:p>
            <w:pPr>
              <w:ind w:left="4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133</w:t>
            </w:r>
          </w:p>
        </w:tc>
        <w:tc>
          <w:tcPr>
            <w:tcW w:w="580" w:type="dxa"/>
            <w:vAlign w:val="bottom"/>
            <w:gridSpan w:val="2"/>
          </w:tcPr>
          <w:p>
            <w:pPr>
              <w:ind w:left="2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121</w:t>
            </w:r>
          </w:p>
        </w:tc>
      </w:tr>
      <w:tr>
        <w:trPr>
          <w:trHeight w:val="30"/>
        </w:trPr>
        <w:tc>
          <w:tcPr>
            <w:tcW w:w="6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left="320" w:hanging="320"/>
        <w:spacing w:after="0"/>
        <w:tabs>
          <w:tab w:leader="none" w:pos="3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Included in the 2022 net amounts due from joint interest partners are allowances of $1 million.</w:t>
      </w:r>
    </w:p>
    <w:p>
      <w:pPr>
        <w:spacing w:after="0" w:line="21" w:lineRule="exact"/>
        <w:rPr>
          <w:rFonts w:ascii="Arial" w:cs="Arial" w:eastAsia="Arial" w:hAnsi="Arial"/>
          <w:sz w:val="16"/>
          <w:szCs w:val="16"/>
          <w:color w:val="auto"/>
        </w:rPr>
      </w:pPr>
    </w:p>
    <w:p>
      <w:pPr>
        <w:ind w:left="320" w:right="520" w:hanging="320"/>
        <w:spacing w:after="0" w:line="254" w:lineRule="auto"/>
        <w:tabs>
          <w:tab w:leader="none" w:pos="3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Greenhouse gas allowances were higher at December 31, 2021 compared to 2022 due to the timing of the allowance purchases.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20"/>
                <w:szCs w:val="20"/>
                <w:b w:val="1"/>
                <w:bCs w:val="1"/>
                <w:i w:val="1"/>
                <w:iCs w:val="1"/>
                <w:color w:val="auto"/>
              </w:rPr>
              <w:t>Other Noncurrent Assets</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0"/>
        </w:trPr>
        <w:tc>
          <w:tcPr>
            <w:tcW w:w="6200" w:type="dxa"/>
            <w:vAlign w:val="bottom"/>
          </w:tcPr>
          <w:p>
            <w:pPr>
              <w:ind w:left="300"/>
              <w:spacing w:after="0"/>
              <w:rPr>
                <w:sz w:val="20"/>
                <w:szCs w:val="20"/>
                <w:color w:val="auto"/>
              </w:rPr>
            </w:pPr>
            <w:r>
              <w:rPr>
                <w:rFonts w:ascii="Arial" w:cs="Arial" w:eastAsia="Arial" w:hAnsi="Arial"/>
                <w:sz w:val="20"/>
                <w:szCs w:val="20"/>
                <w:color w:val="auto"/>
              </w:rPr>
              <w:t>Other noncurrent assets consisted of the following:</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6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20"/>
                <w:szCs w:val="20"/>
                <w:b w:val="1"/>
                <w:bCs w:val="1"/>
                <w:color w:val="auto"/>
              </w:rPr>
              <w:t>December 31,</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gridSpan w:val="4"/>
          </w:tcPr>
          <w:p>
            <w:pPr>
              <w:spacing w:after="0"/>
              <w:rPr>
                <w:sz w:val="20"/>
                <w:szCs w:val="20"/>
                <w:color w:val="auto"/>
              </w:rPr>
            </w:pPr>
            <w:r>
              <w:rPr>
                <w:rFonts w:ascii="Arial" w:cs="Arial" w:eastAsia="Arial" w:hAnsi="Arial"/>
                <w:sz w:val="20"/>
                <w:szCs w:val="20"/>
                <w:b w:val="1"/>
                <w:bCs w:val="1"/>
                <w:color w:val="auto"/>
                <w:w w:val="98"/>
              </w:rPr>
              <w:t>December 31,</w:t>
            </w:r>
          </w:p>
        </w:tc>
        <w:tc>
          <w:tcPr>
            <w:tcW w:w="0" w:type="dxa"/>
            <w:vAlign w:val="bottom"/>
          </w:tcPr>
          <w:p>
            <w:pPr>
              <w:spacing w:after="0"/>
              <w:rPr>
                <w:sz w:val="1"/>
                <w:szCs w:val="1"/>
                <w:color w:val="auto"/>
              </w:rPr>
            </w:pPr>
          </w:p>
        </w:tc>
      </w:tr>
      <w:tr>
        <w:trPr>
          <w:trHeight w:val="248"/>
        </w:trPr>
        <w:tc>
          <w:tcPr>
            <w:tcW w:w="6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2"/>
              <w:spacing w:after="0"/>
              <w:rPr>
                <w:sz w:val="20"/>
                <w:szCs w:val="20"/>
                <w:color w:val="auto"/>
              </w:rPr>
            </w:pPr>
            <w:r>
              <w:rPr>
                <w:rFonts w:ascii="Arial" w:cs="Arial" w:eastAsia="Arial" w:hAnsi="Arial"/>
                <w:sz w:val="20"/>
                <w:szCs w:val="20"/>
                <w:b w:val="1"/>
                <w:bCs w:val="1"/>
                <w:color w:val="auto"/>
              </w:rPr>
              <w:t>2022</w:t>
            </w:r>
          </w:p>
        </w:tc>
        <w:tc>
          <w:tcPr>
            <w:tcW w:w="6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0"/>
              <w:spacing w:after="0"/>
              <w:rPr>
                <w:sz w:val="20"/>
                <w:szCs w:val="20"/>
                <w:color w:val="auto"/>
              </w:rPr>
            </w:pPr>
            <w:r>
              <w:rPr>
                <w:rFonts w:ascii="Arial" w:cs="Arial" w:eastAsia="Arial" w:hAnsi="Arial"/>
                <w:sz w:val="20"/>
                <w:szCs w:val="20"/>
                <w:b w:val="1"/>
                <w:bCs w:val="1"/>
                <w:color w:val="auto"/>
              </w:rPr>
              <w:t>2021</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6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6"/>
          </w:tcPr>
          <w:p>
            <w:pPr>
              <w:jc w:val="right"/>
              <w:ind w:right="60"/>
              <w:spacing w:after="0"/>
              <w:rPr>
                <w:sz w:val="20"/>
                <w:szCs w:val="20"/>
                <w:color w:val="auto"/>
              </w:rPr>
            </w:pPr>
            <w:r>
              <w:rPr>
                <w:rFonts w:ascii="Arial" w:cs="Arial" w:eastAsia="Arial" w:hAnsi="Arial"/>
                <w:sz w:val="16"/>
                <w:szCs w:val="16"/>
                <w:color w:val="auto"/>
              </w:rPr>
              <w:t>(in millions)</w:t>
            </w: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200" w:type="dxa"/>
            <w:vAlign w:val="bottom"/>
          </w:tcPr>
          <w:p>
            <w:pPr>
              <w:spacing w:after="0"/>
              <w:rPr>
                <w:sz w:val="20"/>
                <w:szCs w:val="20"/>
                <w:color w:val="auto"/>
              </w:rPr>
            </w:pPr>
            <w:r>
              <w:rPr>
                <w:rFonts w:ascii="Arial" w:cs="Arial" w:eastAsia="Arial" w:hAnsi="Arial"/>
                <w:sz w:val="20"/>
                <w:szCs w:val="20"/>
                <w:color w:val="auto"/>
              </w:rPr>
              <w:t>Operating lease right-of-use assets  . . . . . . . . . . . . . . . . . . . . . . . . . . .</w:t>
            </w:r>
          </w:p>
        </w:tc>
        <w:tc>
          <w:tcPr>
            <w:tcW w:w="34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73</w:t>
            </w:r>
          </w:p>
        </w:tc>
        <w:tc>
          <w:tcPr>
            <w:tcW w:w="60" w:type="dxa"/>
            <w:vAlign w:val="bottom"/>
          </w:tcPr>
          <w:p>
            <w:pPr>
              <w:spacing w:after="0"/>
              <w:rPr>
                <w:sz w:val="21"/>
                <w:szCs w:val="21"/>
                <w:color w:val="auto"/>
              </w:rPr>
            </w:pPr>
          </w:p>
        </w:tc>
        <w:tc>
          <w:tcPr>
            <w:tcW w:w="540" w:type="dxa"/>
            <w:vAlign w:val="bottom"/>
            <w:gridSpan w:val="4"/>
          </w:tcPr>
          <w:p>
            <w:pPr>
              <w:jc w:val="right"/>
              <w:ind w:right="16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6200" w:type="dxa"/>
            <w:vAlign w:val="bottom"/>
          </w:tcPr>
          <w:p>
            <w:pPr>
              <w:spacing w:after="0"/>
              <w:rPr>
                <w:sz w:val="20"/>
                <w:szCs w:val="20"/>
                <w:color w:val="auto"/>
              </w:rPr>
            </w:pPr>
            <w:r>
              <w:rPr>
                <w:rFonts w:ascii="Arial" w:cs="Arial" w:eastAsia="Arial" w:hAnsi="Arial"/>
                <w:sz w:val="20"/>
                <w:szCs w:val="20"/>
                <w:color w:val="auto"/>
              </w:rPr>
              <w:t>Deferred financing costs - Revolving Credit Facility  . . . . . . . . . . . . . .</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200" w:type="dxa"/>
            <w:vAlign w:val="bottom"/>
          </w:tcPr>
          <w:p>
            <w:pPr>
              <w:spacing w:after="0"/>
              <w:rPr>
                <w:sz w:val="20"/>
                <w:szCs w:val="20"/>
                <w:color w:val="auto"/>
              </w:rPr>
            </w:pPr>
            <w:r>
              <w:rPr>
                <w:rFonts w:ascii="Arial" w:cs="Arial" w:eastAsia="Arial" w:hAnsi="Arial"/>
                <w:sz w:val="20"/>
                <w:szCs w:val="20"/>
                <w:color w:val="auto"/>
                <w:w w:val="99"/>
              </w:rPr>
              <w:t>Emission reduction credits . . . . . . . . . . . . . . . . . . . . . . . . . . . . . . . . . . .</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200" w:type="dxa"/>
            <w:vAlign w:val="bottom"/>
          </w:tcPr>
          <w:p>
            <w:pPr>
              <w:spacing w:after="0"/>
              <w:rPr>
                <w:sz w:val="20"/>
                <w:szCs w:val="20"/>
                <w:color w:val="auto"/>
              </w:rPr>
            </w:pPr>
            <w:r>
              <w:rPr>
                <w:rFonts w:ascii="Arial" w:cs="Arial" w:eastAsia="Arial" w:hAnsi="Arial"/>
                <w:sz w:val="20"/>
                <w:szCs w:val="20"/>
                <w:color w:val="auto"/>
                <w:w w:val="99"/>
              </w:rPr>
              <w:t>Prepaid power plant maintenance . . . . . . . . . . . . . . . . . . . . . . . . . . . . .</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200" w:type="dxa"/>
            <w:vAlign w:val="bottom"/>
          </w:tcPr>
          <w:p>
            <w:pPr>
              <w:spacing w:after="0"/>
              <w:rPr>
                <w:sz w:val="20"/>
                <w:szCs w:val="20"/>
                <w:color w:val="auto"/>
              </w:rPr>
            </w:pPr>
            <w:r>
              <w:rPr>
                <w:rFonts w:ascii="Arial" w:cs="Arial" w:eastAsia="Arial" w:hAnsi="Arial"/>
                <w:sz w:val="20"/>
                <w:szCs w:val="20"/>
                <w:color w:val="auto"/>
                <w:w w:val="99"/>
              </w:rPr>
              <w:t>Fair value of derivative contracts . . . . . . . . . . . . . . . . . . . . . . . . . . . . . .</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200" w:type="dxa"/>
            <w:vAlign w:val="bottom"/>
          </w:tcPr>
          <w:p>
            <w:pPr>
              <w:spacing w:after="0"/>
              <w:rPr>
                <w:sz w:val="20"/>
                <w:szCs w:val="20"/>
                <w:color w:val="auto"/>
              </w:rPr>
            </w:pPr>
            <w:r>
              <w:rPr>
                <w:rFonts w:ascii="Arial" w:cs="Arial" w:eastAsia="Arial" w:hAnsi="Arial"/>
                <w:sz w:val="20"/>
                <w:szCs w:val="20"/>
                <w:color w:val="auto"/>
                <w:w w:val="99"/>
              </w:rPr>
              <w:t>Deposits and other . . . . . . . . . . . . . . . . . . . . . . . . . . . . . . . . . . . . . . . . .</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200" w:type="dxa"/>
            <w:vAlign w:val="bottom"/>
          </w:tcPr>
          <w:p>
            <w:pPr>
              <w:ind w:left="400"/>
              <w:spacing w:after="0"/>
              <w:rPr>
                <w:sz w:val="20"/>
                <w:szCs w:val="20"/>
                <w:color w:val="auto"/>
              </w:rPr>
            </w:pPr>
            <w:r>
              <w:rPr>
                <w:rFonts w:ascii="Arial" w:cs="Arial" w:eastAsia="Arial" w:hAnsi="Arial"/>
                <w:sz w:val="20"/>
                <w:szCs w:val="20"/>
                <w:color w:val="auto"/>
                <w:w w:val="99"/>
              </w:rPr>
              <w:t>Other noncurrent assets . . . . . . . . . . . . . . . . . . . . . . . . . . . . . . . . .</w:t>
            </w:r>
          </w:p>
        </w:tc>
        <w:tc>
          <w:tcPr>
            <w:tcW w:w="34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140</w:t>
            </w:r>
          </w:p>
        </w:tc>
        <w:tc>
          <w:tcPr>
            <w:tcW w:w="60" w:type="dxa"/>
            <w:vAlign w:val="bottom"/>
          </w:tcPr>
          <w:p>
            <w:pPr>
              <w:spacing w:after="0"/>
              <w:rPr>
                <w:sz w:val="23"/>
                <w:szCs w:val="23"/>
                <w:color w:val="auto"/>
              </w:rPr>
            </w:pPr>
          </w:p>
        </w:tc>
        <w:tc>
          <w:tcPr>
            <w:tcW w:w="540" w:type="dxa"/>
            <w:vAlign w:val="bottom"/>
            <w:gridSpan w:val="4"/>
          </w:tcPr>
          <w:p>
            <w:pPr>
              <w:jc w:val="right"/>
              <w:ind w:right="16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98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6200" w:type="dxa"/>
            <w:vAlign w:val="bottom"/>
            <w:vMerge w:val="restart"/>
          </w:tcPr>
          <w:p>
            <w:pPr>
              <w:spacing w:after="0"/>
              <w:rPr>
                <w:sz w:val="20"/>
                <w:szCs w:val="20"/>
                <w:color w:val="auto"/>
              </w:rPr>
            </w:pPr>
            <w:r>
              <w:rPr>
                <w:rFonts w:ascii="Arial" w:cs="Arial" w:eastAsia="Arial" w:hAnsi="Arial"/>
                <w:sz w:val="20"/>
                <w:szCs w:val="20"/>
                <w:b w:val="1"/>
                <w:bCs w:val="1"/>
                <w:i w:val="1"/>
                <w:iCs w:val="1"/>
                <w:color w:val="auto"/>
              </w:rPr>
              <w:t>Accrued Liabilities</w:t>
            </w:r>
          </w:p>
        </w:tc>
        <w:tc>
          <w:tcPr>
            <w:tcW w:w="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62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6200" w:type="dxa"/>
            <w:vAlign w:val="bottom"/>
          </w:tcPr>
          <w:p>
            <w:pPr>
              <w:ind w:left="300"/>
              <w:spacing w:after="0"/>
              <w:rPr>
                <w:sz w:val="20"/>
                <w:szCs w:val="20"/>
                <w:color w:val="auto"/>
              </w:rPr>
            </w:pPr>
            <w:r>
              <w:rPr>
                <w:rFonts w:ascii="Arial" w:cs="Arial" w:eastAsia="Arial" w:hAnsi="Arial"/>
                <w:sz w:val="20"/>
                <w:szCs w:val="20"/>
                <w:color w:val="auto"/>
              </w:rPr>
              <w:t>Accrued liabilities consisted of the following:</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200" w:type="dxa"/>
            <w:vAlign w:val="bottom"/>
          </w:tcPr>
          <w:p>
            <w:pPr>
              <w:spacing w:after="0"/>
              <w:rPr>
                <w:sz w:val="24"/>
                <w:szCs w:val="24"/>
                <w:color w:val="auto"/>
              </w:rPr>
            </w:pPr>
          </w:p>
        </w:tc>
        <w:tc>
          <w:tcPr>
            <w:tcW w:w="1420" w:type="dxa"/>
            <w:vAlign w:val="bottom"/>
            <w:gridSpan w:val="4"/>
          </w:tcPr>
          <w:p>
            <w:pPr>
              <w:ind w:left="20"/>
              <w:spacing w:after="0"/>
              <w:rPr>
                <w:sz w:val="20"/>
                <w:szCs w:val="20"/>
                <w:color w:val="auto"/>
              </w:rPr>
            </w:pPr>
            <w:r>
              <w:rPr>
                <w:rFonts w:ascii="Arial" w:cs="Arial" w:eastAsia="Arial" w:hAnsi="Arial"/>
                <w:sz w:val="20"/>
                <w:szCs w:val="20"/>
                <w:b w:val="1"/>
                <w:bCs w:val="1"/>
                <w:color w:val="auto"/>
              </w:rPr>
              <w:t>December 31,</w:t>
            </w:r>
          </w:p>
        </w:tc>
        <w:tc>
          <w:tcPr>
            <w:tcW w:w="140" w:type="dxa"/>
            <w:vAlign w:val="bottom"/>
          </w:tcPr>
          <w:p>
            <w:pPr>
              <w:spacing w:after="0"/>
              <w:rPr>
                <w:sz w:val="24"/>
                <w:szCs w:val="24"/>
                <w:color w:val="auto"/>
              </w:rPr>
            </w:pPr>
          </w:p>
        </w:tc>
        <w:tc>
          <w:tcPr>
            <w:tcW w:w="1360" w:type="dxa"/>
            <w:vAlign w:val="bottom"/>
            <w:gridSpan w:val="5"/>
          </w:tcPr>
          <w:p>
            <w:pPr>
              <w:ind w:left="20"/>
              <w:spacing w:after="0"/>
              <w:rPr>
                <w:sz w:val="20"/>
                <w:szCs w:val="20"/>
                <w:color w:val="auto"/>
              </w:rPr>
            </w:pPr>
            <w:r>
              <w:rPr>
                <w:rFonts w:ascii="Arial" w:cs="Arial" w:eastAsia="Arial" w:hAnsi="Arial"/>
                <w:sz w:val="20"/>
                <w:szCs w:val="20"/>
                <w:b w:val="1"/>
                <w:bCs w:val="1"/>
                <w:color w:val="auto"/>
              </w:rPr>
              <w:t>December 31,</w:t>
            </w:r>
          </w:p>
        </w:tc>
        <w:tc>
          <w:tcPr>
            <w:tcW w:w="0" w:type="dxa"/>
            <w:vAlign w:val="bottom"/>
          </w:tcPr>
          <w:p>
            <w:pPr>
              <w:spacing w:after="0"/>
              <w:rPr>
                <w:sz w:val="1"/>
                <w:szCs w:val="1"/>
                <w:color w:val="auto"/>
              </w:rPr>
            </w:pPr>
          </w:p>
        </w:tc>
      </w:tr>
      <w:tr>
        <w:trPr>
          <w:trHeight w:val="246"/>
        </w:trPr>
        <w:tc>
          <w:tcPr>
            <w:tcW w:w="620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62"/>
              <w:spacing w:after="0" w:line="228" w:lineRule="exact"/>
              <w:rPr>
                <w:sz w:val="20"/>
                <w:szCs w:val="20"/>
                <w:color w:val="auto"/>
              </w:rPr>
            </w:pPr>
            <w:r>
              <w:rPr>
                <w:rFonts w:ascii="Arial" w:cs="Arial" w:eastAsia="Arial" w:hAnsi="Arial"/>
                <w:sz w:val="20"/>
                <w:szCs w:val="20"/>
                <w:b w:val="1"/>
                <w:bCs w:val="1"/>
                <w:color w:val="auto"/>
              </w:rPr>
              <w:t>2022</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40"/>
              <w:spacing w:after="0" w:line="228" w:lineRule="exact"/>
              <w:rPr>
                <w:sz w:val="20"/>
                <w:szCs w:val="20"/>
                <w:color w:val="auto"/>
              </w:rPr>
            </w:pPr>
            <w:r>
              <w:rPr>
                <w:rFonts w:ascii="Arial" w:cs="Arial" w:eastAsia="Arial" w:hAnsi="Arial"/>
                <w:sz w:val="20"/>
                <w:szCs w:val="20"/>
                <w:b w:val="1"/>
                <w:bCs w:val="1"/>
                <w:color w:val="auto"/>
              </w:rPr>
              <w:t>2021</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6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6"/>
          </w:tcPr>
          <w:p>
            <w:pPr>
              <w:jc w:val="right"/>
              <w:ind w:right="100"/>
              <w:spacing w:after="0"/>
              <w:rPr>
                <w:sz w:val="20"/>
                <w:szCs w:val="20"/>
                <w:color w:val="auto"/>
              </w:rPr>
            </w:pPr>
            <w:r>
              <w:rPr>
                <w:rFonts w:ascii="Arial" w:cs="Arial" w:eastAsia="Arial" w:hAnsi="Arial"/>
                <w:sz w:val="16"/>
                <w:szCs w:val="16"/>
                <w:color w:val="auto"/>
              </w:rPr>
              <w:t>(in millions)</w:t>
            </w: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200" w:type="dxa"/>
            <w:vAlign w:val="bottom"/>
          </w:tcPr>
          <w:p>
            <w:pPr>
              <w:spacing w:after="0"/>
              <w:rPr>
                <w:sz w:val="20"/>
                <w:szCs w:val="20"/>
                <w:color w:val="auto"/>
              </w:rPr>
            </w:pPr>
            <w:r>
              <w:rPr>
                <w:rFonts w:ascii="Arial" w:cs="Arial" w:eastAsia="Arial" w:hAnsi="Arial"/>
                <w:sz w:val="20"/>
                <w:szCs w:val="20"/>
                <w:color w:val="auto"/>
              </w:rPr>
              <w:t>Accrued employee-related costs  . . . . . . . . . . . . . . . . . . . . . . . . . . . . .</w:t>
            </w:r>
          </w:p>
        </w:tc>
        <w:tc>
          <w:tcPr>
            <w:tcW w:w="340" w:type="dxa"/>
            <w:vAlign w:val="bottom"/>
            <w:gridSpan w:val="2"/>
          </w:tcPr>
          <w:p>
            <w:pPr>
              <w:ind w:left="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49</w:t>
            </w:r>
          </w:p>
        </w:tc>
        <w:tc>
          <w:tcPr>
            <w:tcW w:w="60" w:type="dxa"/>
            <w:vAlign w:val="bottom"/>
          </w:tcPr>
          <w:p>
            <w:pPr>
              <w:spacing w:after="0"/>
              <w:rPr>
                <w:sz w:val="21"/>
                <w:szCs w:val="21"/>
                <w:color w:val="auto"/>
              </w:rPr>
            </w:pPr>
          </w:p>
        </w:tc>
        <w:tc>
          <w:tcPr>
            <w:tcW w:w="540" w:type="dxa"/>
            <w:vAlign w:val="bottom"/>
            <w:gridSpan w:val="4"/>
          </w:tcPr>
          <w:p>
            <w:pPr>
              <w:ind w:left="18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6200" w:type="dxa"/>
            <w:vAlign w:val="bottom"/>
          </w:tcPr>
          <w:p>
            <w:pPr>
              <w:spacing w:after="0"/>
              <w:rPr>
                <w:sz w:val="20"/>
                <w:szCs w:val="20"/>
                <w:color w:val="auto"/>
              </w:rPr>
            </w:pPr>
            <w:r>
              <w:rPr>
                <w:rFonts w:ascii="Arial" w:cs="Arial" w:eastAsia="Arial" w:hAnsi="Arial"/>
                <w:sz w:val="20"/>
                <w:szCs w:val="20"/>
                <w:color w:val="auto"/>
              </w:rPr>
              <w:t>Accrued taxes other than on income . . . . . . . . . . . . . . . . . . . . . . . . . .</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200" w:type="dxa"/>
            <w:vAlign w:val="bottom"/>
          </w:tcPr>
          <w:p>
            <w:pPr>
              <w:spacing w:after="0"/>
              <w:rPr>
                <w:sz w:val="20"/>
                <w:szCs w:val="20"/>
                <w:color w:val="auto"/>
              </w:rPr>
            </w:pPr>
            <w:r>
              <w:rPr>
                <w:rFonts w:ascii="Arial" w:cs="Arial" w:eastAsia="Arial" w:hAnsi="Arial"/>
                <w:sz w:val="20"/>
                <w:szCs w:val="20"/>
                <w:color w:val="auto"/>
              </w:rPr>
              <w:t>Asset retirement obligations . . . . . . . . . . . . . . . . . . . . . . . . . . . . . . . . .</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200" w:type="dxa"/>
            <w:vAlign w:val="bottom"/>
          </w:tcPr>
          <w:p>
            <w:pPr>
              <w:spacing w:after="0"/>
              <w:rPr>
                <w:sz w:val="20"/>
                <w:szCs w:val="20"/>
                <w:color w:val="auto"/>
              </w:rPr>
            </w:pPr>
            <w:r>
              <w:rPr>
                <w:rFonts w:ascii="Arial" w:cs="Arial" w:eastAsia="Arial" w:hAnsi="Arial"/>
                <w:sz w:val="20"/>
                <w:szCs w:val="20"/>
                <w:color w:val="auto"/>
              </w:rPr>
              <w:t>Accrued interest  . . . . . . . . . . . . . . . . . . . . . . . . . . . . . . . . . . . . . . . . . .</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200" w:type="dxa"/>
            <w:vAlign w:val="bottom"/>
          </w:tcPr>
          <w:p>
            <w:pPr>
              <w:spacing w:after="0"/>
              <w:rPr>
                <w:sz w:val="20"/>
                <w:szCs w:val="20"/>
                <w:color w:val="auto"/>
              </w:rPr>
            </w:pPr>
            <w:r>
              <w:rPr>
                <w:rFonts w:ascii="Arial" w:cs="Arial" w:eastAsia="Arial" w:hAnsi="Arial"/>
                <w:sz w:val="20"/>
                <w:szCs w:val="20"/>
                <w:color w:val="auto"/>
                <w:w w:val="99"/>
              </w:rPr>
              <w:t>Operating lease liability . . . . . . . . . . . . . . . . . . . . . . . . . . . . . . . . . . . . .</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200" w:type="dxa"/>
            <w:vAlign w:val="bottom"/>
          </w:tcPr>
          <w:p>
            <w:pPr>
              <w:spacing w:after="0"/>
              <w:rPr>
                <w:sz w:val="20"/>
                <w:szCs w:val="20"/>
                <w:color w:val="auto"/>
              </w:rPr>
            </w:pPr>
            <w:r>
              <w:rPr>
                <w:rFonts w:ascii="Arial" w:cs="Arial" w:eastAsia="Arial" w:hAnsi="Arial"/>
                <w:sz w:val="20"/>
                <w:szCs w:val="20"/>
                <w:color w:val="auto"/>
              </w:rPr>
              <w:t>Premiums due on derivative contracts . . . . . . . . . . . . . . . . . . . . . . . . .</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200" w:type="dxa"/>
            <w:vAlign w:val="bottom"/>
          </w:tcPr>
          <w:p>
            <w:pPr>
              <w:spacing w:after="0"/>
              <w:rPr>
                <w:sz w:val="20"/>
                <w:szCs w:val="20"/>
                <w:color w:val="auto"/>
              </w:rPr>
            </w:pPr>
            <w:r>
              <w:rPr>
                <w:rFonts w:ascii="Arial" w:cs="Arial" w:eastAsia="Arial" w:hAnsi="Arial"/>
                <w:sz w:val="20"/>
                <w:szCs w:val="20"/>
                <w:color w:val="auto"/>
              </w:rPr>
              <w:t>Liability for settlement payments due on derivative contracts . . . . . .</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200" w:type="dxa"/>
            <w:vAlign w:val="bottom"/>
          </w:tcPr>
          <w:p>
            <w:pPr>
              <w:spacing w:after="0"/>
              <w:rPr>
                <w:sz w:val="20"/>
                <w:szCs w:val="20"/>
                <w:color w:val="auto"/>
              </w:rPr>
            </w:pPr>
            <w:r>
              <w:rPr>
                <w:rFonts w:ascii="Arial" w:cs="Arial" w:eastAsia="Arial" w:hAnsi="Arial"/>
                <w:sz w:val="20"/>
                <w:szCs w:val="20"/>
                <w:color w:val="auto"/>
                <w:w w:val="99"/>
              </w:rPr>
              <w:t>Other  . . . . . . . . . . . . . . . . . . . . . . . . . . . . . . . . . . . . . . . . . . . . . . . . . . .</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200" w:type="dxa"/>
            <w:vAlign w:val="bottom"/>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6200" w:type="dxa"/>
            <w:vAlign w:val="bottom"/>
          </w:tcPr>
          <w:p>
            <w:pPr>
              <w:ind w:left="400"/>
              <w:spacing w:after="0"/>
              <w:rPr>
                <w:sz w:val="20"/>
                <w:szCs w:val="20"/>
                <w:color w:val="auto"/>
              </w:rPr>
            </w:pPr>
            <w:r>
              <w:rPr>
                <w:rFonts w:ascii="Arial" w:cs="Arial" w:eastAsia="Arial" w:hAnsi="Arial"/>
                <w:sz w:val="20"/>
                <w:szCs w:val="20"/>
                <w:color w:val="auto"/>
              </w:rPr>
              <w:t>Accrued liabilities . . . . . . . . . . . . . . . . . . . . . . . . . . . . . . . . . . . . . .</w:t>
            </w:r>
          </w:p>
        </w:tc>
        <w:tc>
          <w:tcPr>
            <w:tcW w:w="340" w:type="dxa"/>
            <w:vAlign w:val="bottom"/>
            <w:gridSpan w:val="2"/>
          </w:tcPr>
          <w:p>
            <w:pPr>
              <w:ind w:left="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298</w:t>
            </w:r>
          </w:p>
        </w:tc>
        <w:tc>
          <w:tcPr>
            <w:tcW w:w="60" w:type="dxa"/>
            <w:vAlign w:val="bottom"/>
          </w:tcPr>
          <w:p>
            <w:pPr>
              <w:spacing w:after="0"/>
              <w:rPr>
                <w:sz w:val="23"/>
                <w:szCs w:val="23"/>
                <w:color w:val="auto"/>
              </w:rPr>
            </w:pPr>
          </w:p>
        </w:tc>
        <w:tc>
          <w:tcPr>
            <w:tcW w:w="540" w:type="dxa"/>
            <w:vAlign w:val="bottom"/>
            <w:gridSpan w:val="4"/>
          </w:tcPr>
          <w:p>
            <w:pPr>
              <w:ind w:left="18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297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
        </w:trPr>
        <w:tc>
          <w:tcPr>
            <w:tcW w:w="62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311" w:right="138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110</w:t>
      </w:r>
    </w:p>
    <w:p>
      <w:pPr>
        <w:sectPr>
          <w:pgSz w:w="11880" w:h="15480" w:orient="portrait"/>
          <w:cols w:equalWidth="0" w:num="1">
            <w:col w:w="9120"/>
          </w:cols>
          <w:pgMar w:left="1380" w:top="1311" w:right="1380" w:bottom="661" w:gutter="0" w:footer="0" w:header="0"/>
          <w:type w:val="continuous"/>
        </w:sectPr>
      </w:pPr>
    </w:p>
    <w:bookmarkStart w:id="114" w:name="page115"/>
    <w:bookmarkEnd w:id="114"/>
    <w:tbl>
      <w:tblPr>
        <w:tblLayout w:type="fixed"/>
        <w:tblInd w:w="0"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20"/>
                <w:szCs w:val="20"/>
                <w:b w:val="1"/>
                <w:bCs w:val="1"/>
                <w:i w:val="1"/>
                <w:iCs w:val="1"/>
                <w:color w:val="auto"/>
              </w:rPr>
              <w:t>Other Long-Term Liabilities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8"/>
        </w:trPr>
        <w:tc>
          <w:tcPr>
            <w:tcW w:w="6200" w:type="dxa"/>
            <w:vAlign w:val="bottom"/>
          </w:tcPr>
          <w:p>
            <w:pPr>
              <w:ind w:left="300"/>
              <w:spacing w:after="0"/>
              <w:rPr>
                <w:sz w:val="20"/>
                <w:szCs w:val="20"/>
                <w:color w:val="auto"/>
              </w:rPr>
            </w:pPr>
            <w:r>
              <w:rPr>
                <w:rFonts w:ascii="Arial" w:cs="Arial" w:eastAsia="Arial" w:hAnsi="Arial"/>
                <w:sz w:val="20"/>
                <w:szCs w:val="20"/>
                <w:color w:val="auto"/>
              </w:rPr>
              <w:t>Other long-term liabilities consisted of the following:</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2"/>
        </w:trPr>
        <w:tc>
          <w:tcPr>
            <w:tcW w:w="620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20"/>
                <w:szCs w:val="20"/>
                <w:b w:val="1"/>
                <w:bCs w:val="1"/>
                <w:color w:val="auto"/>
              </w:rPr>
              <w:t>December 31,</w:t>
            </w:r>
          </w:p>
        </w:tc>
        <w:tc>
          <w:tcPr>
            <w:tcW w:w="20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20"/>
                <w:szCs w:val="20"/>
                <w:b w:val="1"/>
                <w:bCs w:val="1"/>
                <w:color w:val="auto"/>
              </w:rPr>
              <w:t>December 31,</w:t>
            </w:r>
          </w:p>
        </w:tc>
      </w:tr>
      <w:tr>
        <w:trPr>
          <w:trHeight w:val="228"/>
        </w:trPr>
        <w:tc>
          <w:tcPr>
            <w:tcW w:w="6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62"/>
              <w:spacing w:after="0" w:line="228" w:lineRule="exact"/>
              <w:rPr>
                <w:sz w:val="20"/>
                <w:szCs w:val="20"/>
                <w:color w:val="auto"/>
              </w:rPr>
            </w:pPr>
            <w:r>
              <w:rPr>
                <w:rFonts w:ascii="Arial" w:cs="Arial" w:eastAsia="Arial" w:hAnsi="Arial"/>
                <w:sz w:val="20"/>
                <w:szCs w:val="20"/>
                <w:b w:val="1"/>
                <w:bCs w:val="1"/>
                <w:color w:val="auto"/>
              </w:rPr>
              <w:t>2022</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360"/>
              <w:spacing w:after="0" w:line="228" w:lineRule="exact"/>
              <w:rPr>
                <w:sz w:val="20"/>
                <w:szCs w:val="20"/>
                <w:color w:val="auto"/>
              </w:rPr>
            </w:pPr>
            <w:r>
              <w:rPr>
                <w:rFonts w:ascii="Arial" w:cs="Arial" w:eastAsia="Arial" w:hAnsi="Arial"/>
                <w:sz w:val="20"/>
                <w:szCs w:val="20"/>
                <w:b w:val="1"/>
                <w:bCs w:val="1"/>
                <w:color w:val="auto"/>
              </w:rPr>
              <w:t>2021</w:t>
            </w:r>
          </w:p>
        </w:tc>
      </w:tr>
      <w:tr>
        <w:trPr>
          <w:trHeight w:val="20"/>
        </w:trPr>
        <w:tc>
          <w:tcPr>
            <w:tcW w:w="6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2"/>
        </w:trPr>
        <w:tc>
          <w:tcPr>
            <w:tcW w:w="6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3"/>
          </w:tcPr>
          <w:p>
            <w:pPr>
              <w:ind w:left="760"/>
              <w:spacing w:after="0"/>
              <w:rPr>
                <w:sz w:val="20"/>
                <w:szCs w:val="20"/>
                <w:color w:val="auto"/>
              </w:rPr>
            </w:pPr>
            <w:r>
              <w:rPr>
                <w:rFonts w:ascii="Arial" w:cs="Arial" w:eastAsia="Arial" w:hAnsi="Arial"/>
                <w:sz w:val="16"/>
                <w:szCs w:val="16"/>
                <w:color w:val="auto"/>
              </w:rPr>
              <w:t>(in millions)</w:t>
            </w:r>
          </w:p>
        </w:tc>
        <w:tc>
          <w:tcPr>
            <w:tcW w:w="980" w:type="dxa"/>
            <w:vAlign w:val="bottom"/>
          </w:tcPr>
          <w:p>
            <w:pPr>
              <w:spacing w:after="0"/>
              <w:rPr>
                <w:sz w:val="16"/>
                <w:szCs w:val="16"/>
                <w:color w:val="auto"/>
              </w:rPr>
            </w:pPr>
          </w:p>
        </w:tc>
      </w:tr>
      <w:tr>
        <w:trPr>
          <w:trHeight w:val="248"/>
        </w:trPr>
        <w:tc>
          <w:tcPr>
            <w:tcW w:w="6200" w:type="dxa"/>
            <w:vAlign w:val="bottom"/>
          </w:tcPr>
          <w:p>
            <w:pPr>
              <w:spacing w:after="0"/>
              <w:rPr>
                <w:sz w:val="20"/>
                <w:szCs w:val="20"/>
                <w:color w:val="auto"/>
              </w:rPr>
            </w:pPr>
            <w:r>
              <w:rPr>
                <w:rFonts w:ascii="Arial" w:cs="Arial" w:eastAsia="Arial" w:hAnsi="Arial"/>
                <w:sz w:val="20"/>
                <w:szCs w:val="20"/>
                <w:color w:val="auto"/>
              </w:rPr>
              <w:t>Compensation-related liabilities . . . . . . . . . . . . . . . . . . . . . . . . . . . . . .</w:t>
            </w:r>
          </w:p>
        </w:tc>
        <w:tc>
          <w:tcPr>
            <w:tcW w:w="300" w:type="dxa"/>
            <w:vAlign w:val="bottom"/>
          </w:tcPr>
          <w:p>
            <w:pPr>
              <w:ind w:left="4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36</w:t>
            </w:r>
          </w:p>
        </w:tc>
        <w:tc>
          <w:tcPr>
            <w:tcW w:w="580" w:type="dxa"/>
            <w:vAlign w:val="bottom"/>
            <w:gridSpan w:val="2"/>
          </w:tcPr>
          <w:p>
            <w:pPr>
              <w:ind w:left="2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40"/>
        </w:trPr>
        <w:tc>
          <w:tcPr>
            <w:tcW w:w="6200" w:type="dxa"/>
            <w:vAlign w:val="bottom"/>
          </w:tcPr>
          <w:p>
            <w:pPr>
              <w:spacing w:after="0"/>
              <w:rPr>
                <w:sz w:val="20"/>
                <w:szCs w:val="20"/>
                <w:color w:val="auto"/>
              </w:rPr>
            </w:pPr>
            <w:r>
              <w:rPr>
                <w:rFonts w:ascii="Arial" w:cs="Arial" w:eastAsia="Arial" w:hAnsi="Arial"/>
                <w:sz w:val="20"/>
                <w:szCs w:val="20"/>
                <w:color w:val="auto"/>
              </w:rPr>
              <w:t>Postretirement and pension benefit plans . . . . . . . . . . . . . . . . . . . . . .</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33</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40"/>
        </w:trPr>
        <w:tc>
          <w:tcPr>
            <w:tcW w:w="6200" w:type="dxa"/>
            <w:vAlign w:val="bottom"/>
          </w:tcPr>
          <w:p>
            <w:pPr>
              <w:spacing w:after="0"/>
              <w:rPr>
                <w:sz w:val="20"/>
                <w:szCs w:val="20"/>
                <w:color w:val="auto"/>
              </w:rPr>
            </w:pPr>
            <w:r>
              <w:rPr>
                <w:rFonts w:ascii="Arial" w:cs="Arial" w:eastAsia="Arial" w:hAnsi="Arial"/>
                <w:sz w:val="20"/>
                <w:szCs w:val="20"/>
                <w:color w:val="auto"/>
                <w:w w:val="99"/>
              </w:rPr>
              <w:t>Operating lease liability . . . . . . . . . . . . . . . . . . . . . . . . . . . . . . . . . . . . .</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52</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40"/>
        </w:trPr>
        <w:tc>
          <w:tcPr>
            <w:tcW w:w="6200" w:type="dxa"/>
            <w:vAlign w:val="bottom"/>
          </w:tcPr>
          <w:p>
            <w:pPr>
              <w:spacing w:after="0"/>
              <w:rPr>
                <w:sz w:val="20"/>
                <w:szCs w:val="20"/>
                <w:color w:val="auto"/>
              </w:rPr>
            </w:pPr>
            <w:r>
              <w:rPr>
                <w:rFonts w:ascii="Arial" w:cs="Arial" w:eastAsia="Arial" w:hAnsi="Arial"/>
                <w:sz w:val="20"/>
                <w:szCs w:val="20"/>
                <w:color w:val="auto"/>
              </w:rPr>
              <w:t>Premiums due on derivative contracts . . . . . . . . . . . . . . . . . . . . . . . . .</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8</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40"/>
        </w:trPr>
        <w:tc>
          <w:tcPr>
            <w:tcW w:w="6200" w:type="dxa"/>
            <w:vAlign w:val="bottom"/>
          </w:tcPr>
          <w:p>
            <w:pPr>
              <w:spacing w:after="0"/>
              <w:rPr>
                <w:sz w:val="20"/>
                <w:szCs w:val="20"/>
                <w:color w:val="auto"/>
              </w:rPr>
            </w:pPr>
            <w:r>
              <w:rPr>
                <w:rFonts w:ascii="Arial" w:cs="Arial" w:eastAsia="Arial" w:hAnsi="Arial"/>
                <w:sz w:val="20"/>
                <w:szCs w:val="20"/>
                <w:color w:val="auto"/>
              </w:rPr>
              <w:t>Contingent liability related to Carbon TerraVault JV put and call</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0"/>
        </w:trPr>
        <w:tc>
          <w:tcPr>
            <w:tcW w:w="6200" w:type="dxa"/>
            <w:vAlign w:val="bottom"/>
          </w:tcPr>
          <w:p>
            <w:pPr>
              <w:spacing w:after="0"/>
              <w:rPr>
                <w:sz w:val="20"/>
                <w:szCs w:val="20"/>
                <w:color w:val="auto"/>
              </w:rPr>
            </w:pPr>
            <w:r>
              <w:rPr>
                <w:rFonts w:ascii="Arial" w:cs="Arial" w:eastAsia="Arial" w:hAnsi="Arial"/>
                <w:sz w:val="20"/>
                <w:szCs w:val="20"/>
                <w:color w:val="auto"/>
                <w:w w:val="99"/>
              </w:rPr>
              <w:t>rights  . . . . . . . . . . . . . . . . . . . . . . . . . . . . . . . . . . . . . . . . . . . . . . . . . . .</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48</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40"/>
        </w:trPr>
        <w:tc>
          <w:tcPr>
            <w:tcW w:w="6200" w:type="dxa"/>
            <w:vAlign w:val="bottom"/>
          </w:tcPr>
          <w:p>
            <w:pPr>
              <w:spacing w:after="0"/>
              <w:rPr>
                <w:sz w:val="20"/>
                <w:szCs w:val="20"/>
                <w:color w:val="auto"/>
              </w:rPr>
            </w:pPr>
            <w:r>
              <w:rPr>
                <w:rFonts w:ascii="Arial" w:cs="Arial" w:eastAsia="Arial" w:hAnsi="Arial"/>
                <w:sz w:val="20"/>
                <w:szCs w:val="20"/>
                <w:color w:val="auto"/>
                <w:w w:val="99"/>
              </w:rPr>
              <w:t>Other  . . . . . . . . . . . . . . . . . . . . . . . . . . . . . . . . . . . . . . . . . . . . . . . . . . .</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8</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30"/>
        </w:trPr>
        <w:tc>
          <w:tcPr>
            <w:tcW w:w="6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0"/>
        </w:trPr>
        <w:tc>
          <w:tcPr>
            <w:tcW w:w="6200" w:type="dxa"/>
            <w:vAlign w:val="bottom"/>
          </w:tcPr>
          <w:p>
            <w:pPr>
              <w:ind w:left="400"/>
              <w:spacing w:after="0"/>
              <w:rPr>
                <w:sz w:val="20"/>
                <w:szCs w:val="20"/>
                <w:color w:val="auto"/>
              </w:rPr>
            </w:pPr>
            <w:r>
              <w:rPr>
                <w:rFonts w:ascii="Arial" w:cs="Arial" w:eastAsia="Arial" w:hAnsi="Arial"/>
                <w:sz w:val="20"/>
                <w:szCs w:val="20"/>
                <w:color w:val="auto"/>
              </w:rPr>
              <w:t>Other long-term liabilities  . . . . . . . . . . . . . . . . . . . . . . . . . . . . . . .</w:t>
            </w:r>
          </w:p>
        </w:tc>
        <w:tc>
          <w:tcPr>
            <w:tcW w:w="300" w:type="dxa"/>
            <w:vAlign w:val="bottom"/>
          </w:tcPr>
          <w:p>
            <w:pPr>
              <w:ind w:left="4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185</w:t>
            </w:r>
          </w:p>
        </w:tc>
        <w:tc>
          <w:tcPr>
            <w:tcW w:w="580" w:type="dxa"/>
            <w:vAlign w:val="bottom"/>
            <w:gridSpan w:val="2"/>
          </w:tcPr>
          <w:p>
            <w:pPr>
              <w:ind w:left="2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145</w:t>
            </w:r>
          </w:p>
        </w:tc>
      </w:tr>
      <w:tr>
        <w:trPr>
          <w:trHeight w:val="30"/>
        </w:trPr>
        <w:tc>
          <w:tcPr>
            <w:tcW w:w="6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Reorganization Items, net</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Reorganization items, net consisted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7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Successor</w:t>
            </w:r>
          </w:p>
        </w:tc>
        <w:tc>
          <w:tcPr>
            <w:tcW w:w="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21"/>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193"/>
        </w:trPr>
        <w:tc>
          <w:tcPr>
            <w:tcW w:w="2780" w:type="dxa"/>
            <w:vAlign w:val="bottom"/>
          </w:tcPr>
          <w:p>
            <w:pPr>
              <w:spacing w:after="0"/>
              <w:rPr>
                <w:sz w:val="16"/>
                <w:szCs w:val="16"/>
                <w:color w:val="auto"/>
              </w:rPr>
            </w:pPr>
          </w:p>
        </w:tc>
        <w:tc>
          <w:tcPr>
            <w:tcW w:w="1220" w:type="dxa"/>
            <w:vAlign w:val="bottom"/>
            <w:gridSpan w:val="2"/>
          </w:tcPr>
          <w:p>
            <w:pPr>
              <w:ind w:left="120"/>
              <w:spacing w:after="0" w:line="193" w:lineRule="exact"/>
              <w:rPr>
                <w:sz w:val="20"/>
                <w:szCs w:val="20"/>
                <w:color w:val="auto"/>
              </w:rPr>
            </w:pPr>
            <w:r>
              <w:rPr>
                <w:rFonts w:ascii="Arial" w:cs="Arial" w:eastAsia="Arial" w:hAnsi="Arial"/>
                <w:sz w:val="18"/>
                <w:szCs w:val="18"/>
                <w:b w:val="1"/>
                <w:bCs w:val="1"/>
                <w:color w:val="auto"/>
              </w:rPr>
              <w:t>Year ended</w:t>
            </w:r>
          </w:p>
        </w:tc>
        <w:tc>
          <w:tcPr>
            <w:tcW w:w="200" w:type="dxa"/>
            <w:vAlign w:val="bottom"/>
          </w:tcPr>
          <w:p>
            <w:pPr>
              <w:spacing w:after="0"/>
              <w:rPr>
                <w:sz w:val="16"/>
                <w:szCs w:val="16"/>
                <w:color w:val="auto"/>
              </w:rPr>
            </w:pPr>
          </w:p>
        </w:tc>
        <w:tc>
          <w:tcPr>
            <w:tcW w:w="1420" w:type="dxa"/>
            <w:vAlign w:val="bottom"/>
            <w:gridSpan w:val="3"/>
          </w:tcPr>
          <w:p>
            <w:pPr>
              <w:jc w:val="center"/>
              <w:ind w:right="200"/>
              <w:spacing w:after="0" w:line="193" w:lineRule="exact"/>
              <w:rPr>
                <w:sz w:val="20"/>
                <w:szCs w:val="20"/>
                <w:color w:val="auto"/>
              </w:rPr>
            </w:pPr>
            <w:r>
              <w:rPr>
                <w:rFonts w:ascii="Arial" w:cs="Arial" w:eastAsia="Arial" w:hAnsi="Arial"/>
                <w:sz w:val="18"/>
                <w:szCs w:val="18"/>
                <w:b w:val="1"/>
                <w:bCs w:val="1"/>
                <w:color w:val="auto"/>
              </w:rPr>
              <w:t>Year ended</w:t>
            </w:r>
          </w:p>
        </w:tc>
        <w:tc>
          <w:tcPr>
            <w:tcW w:w="1780" w:type="dxa"/>
            <w:vAlign w:val="bottom"/>
            <w:tcBorders>
              <w:right w:val="single" w:sz="8" w:color="auto"/>
            </w:tcBorders>
            <w:gridSpan w:val="4"/>
            <w:vMerge w:val="restart"/>
          </w:tcPr>
          <w:p>
            <w:pPr>
              <w:spacing w:after="0"/>
              <w:rPr>
                <w:sz w:val="20"/>
                <w:szCs w:val="20"/>
                <w:color w:val="auto"/>
              </w:rPr>
            </w:pPr>
            <w:r>
              <w:rPr>
                <w:rFonts w:ascii="Arial" w:cs="Arial" w:eastAsia="Arial" w:hAnsi="Arial"/>
                <w:sz w:val="18"/>
                <w:szCs w:val="18"/>
                <w:b w:val="1"/>
                <w:bCs w:val="1"/>
                <w:color w:val="auto"/>
              </w:rPr>
              <w:t>November 1, 2020 -</w:t>
            </w:r>
          </w:p>
        </w:tc>
        <w:tc>
          <w:tcPr>
            <w:tcW w:w="200" w:type="dxa"/>
            <w:vAlign w:val="bottom"/>
          </w:tcPr>
          <w:p>
            <w:pPr>
              <w:spacing w:after="0"/>
              <w:rPr>
                <w:sz w:val="16"/>
                <w:szCs w:val="16"/>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January 1, 2020 -</w:t>
            </w:r>
          </w:p>
        </w:tc>
        <w:tc>
          <w:tcPr>
            <w:tcW w:w="0" w:type="dxa"/>
            <w:vAlign w:val="bottom"/>
          </w:tcPr>
          <w:p>
            <w:pPr>
              <w:spacing w:after="0"/>
              <w:rPr>
                <w:sz w:val="1"/>
                <w:szCs w:val="1"/>
                <w:color w:val="auto"/>
              </w:rPr>
            </w:pPr>
          </w:p>
        </w:tc>
      </w:tr>
      <w:tr>
        <w:trPr>
          <w:trHeight w:val="167"/>
        </w:trPr>
        <w:tc>
          <w:tcPr>
            <w:tcW w:w="2780" w:type="dxa"/>
            <w:vAlign w:val="bottom"/>
          </w:tcPr>
          <w:p>
            <w:pPr>
              <w:spacing w:after="0"/>
              <w:rPr>
                <w:sz w:val="14"/>
                <w:szCs w:val="14"/>
                <w:color w:val="auto"/>
              </w:rPr>
            </w:pPr>
          </w:p>
        </w:tc>
        <w:tc>
          <w:tcPr>
            <w:tcW w:w="1220" w:type="dxa"/>
            <w:vAlign w:val="bottom"/>
            <w:gridSpan w:val="2"/>
          </w:tcPr>
          <w:p>
            <w:pPr>
              <w:ind w:left="20"/>
              <w:spacing w:after="0" w:line="168" w:lineRule="exact"/>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4"/>
                <w:szCs w:val="14"/>
                <w:color w:val="auto"/>
              </w:rPr>
            </w:pPr>
          </w:p>
        </w:tc>
        <w:tc>
          <w:tcPr>
            <w:tcW w:w="1420" w:type="dxa"/>
            <w:vAlign w:val="bottom"/>
            <w:gridSpan w:val="3"/>
          </w:tcPr>
          <w:p>
            <w:pPr>
              <w:jc w:val="center"/>
              <w:ind w:right="200"/>
              <w:spacing w:after="0" w:line="168" w:lineRule="exact"/>
              <w:rPr>
                <w:sz w:val="20"/>
                <w:szCs w:val="20"/>
                <w:color w:val="auto"/>
              </w:rPr>
            </w:pPr>
            <w:r>
              <w:rPr>
                <w:rFonts w:ascii="Arial" w:cs="Arial" w:eastAsia="Arial" w:hAnsi="Arial"/>
                <w:sz w:val="18"/>
                <w:szCs w:val="18"/>
                <w:b w:val="1"/>
                <w:bCs w:val="1"/>
                <w:color w:val="auto"/>
              </w:rPr>
              <w:t>December 31,</w:t>
            </w:r>
          </w:p>
        </w:tc>
        <w:tc>
          <w:tcPr>
            <w:tcW w:w="1780" w:type="dxa"/>
            <w:vAlign w:val="bottom"/>
            <w:tcBorders>
              <w:right w:val="single" w:sz="8" w:color="auto"/>
            </w:tcBorders>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27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780" w:type="dxa"/>
            <w:vAlign w:val="bottom"/>
            <w:tcBorders>
              <w:right w:val="single" w:sz="8" w:color="auto"/>
            </w:tcBorders>
            <w:gridSpan w:val="4"/>
            <w:vMerge w:val="restart"/>
          </w:tcPr>
          <w:p>
            <w:pPr>
              <w:spacing w:after="0" w:line="203" w:lineRule="exact"/>
              <w:rPr>
                <w:sz w:val="20"/>
                <w:szCs w:val="20"/>
                <w:color w:val="auto"/>
              </w:rPr>
            </w:pPr>
            <w:r>
              <w:rPr>
                <w:rFonts w:ascii="Arial" w:cs="Arial" w:eastAsia="Arial" w:hAnsi="Arial"/>
                <w:sz w:val="18"/>
                <w:szCs w:val="18"/>
                <w:b w:val="1"/>
                <w:bCs w:val="1"/>
                <w:color w:val="auto"/>
              </w:rPr>
              <w:t>December 31, 2020</w:t>
            </w:r>
          </w:p>
        </w:tc>
        <w:tc>
          <w:tcPr>
            <w:tcW w:w="200" w:type="dxa"/>
            <w:vAlign w:val="bottom"/>
          </w:tcPr>
          <w:p>
            <w:pPr>
              <w:spacing w:after="0"/>
              <w:rPr>
                <w:sz w:val="5"/>
                <w:szCs w:val="5"/>
                <w:color w:val="auto"/>
              </w:rPr>
            </w:pPr>
          </w:p>
        </w:tc>
        <w:tc>
          <w:tcPr>
            <w:tcW w:w="1520" w:type="dxa"/>
            <w:vAlign w:val="bottom"/>
            <w:gridSpan w:val="2"/>
            <w:vMerge w:val="restart"/>
          </w:tcPr>
          <w:p>
            <w:pPr>
              <w:ind w:left="40"/>
              <w:spacing w:after="0" w:line="203" w:lineRule="exact"/>
              <w:rPr>
                <w:sz w:val="20"/>
                <w:szCs w:val="20"/>
                <w:color w:val="auto"/>
              </w:rPr>
            </w:pPr>
            <w:r>
              <w:rPr>
                <w:rFonts w:ascii="Arial" w:cs="Arial" w:eastAsia="Arial" w:hAnsi="Arial"/>
                <w:sz w:val="18"/>
                <w:szCs w:val="18"/>
                <w:b w:val="1"/>
                <w:bCs w:val="1"/>
                <w:color w:val="auto"/>
              </w:rPr>
              <w:t>October 31, 2020</w:t>
            </w:r>
          </w:p>
        </w:tc>
        <w:tc>
          <w:tcPr>
            <w:tcW w:w="0" w:type="dxa"/>
            <w:vAlign w:val="bottom"/>
          </w:tcPr>
          <w:p>
            <w:pPr>
              <w:spacing w:after="0"/>
              <w:rPr>
                <w:sz w:val="1"/>
                <w:szCs w:val="1"/>
                <w:color w:val="auto"/>
              </w:rPr>
            </w:pPr>
          </w:p>
        </w:tc>
      </w:tr>
      <w:tr>
        <w:trPr>
          <w:trHeight w:val="123"/>
        </w:trPr>
        <w:tc>
          <w:tcPr>
            <w:tcW w:w="2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vMerge w:val="restart"/>
          </w:tcPr>
          <w:p>
            <w:pPr>
              <w:jc w:val="center"/>
              <w:ind w:right="182"/>
              <w:spacing w:after="0"/>
              <w:rPr>
                <w:sz w:val="20"/>
                <w:szCs w:val="20"/>
                <w:color w:val="auto"/>
              </w:rPr>
            </w:pPr>
            <w:r>
              <w:rPr>
                <w:rFonts w:ascii="Arial" w:cs="Arial" w:eastAsia="Arial" w:hAnsi="Arial"/>
                <w:sz w:val="18"/>
                <w:szCs w:val="18"/>
                <w:b w:val="1"/>
                <w:bCs w:val="1"/>
                <w:color w:val="auto"/>
                <w:w w:val="99"/>
              </w:rPr>
              <w:t>2021</w:t>
            </w:r>
          </w:p>
        </w:tc>
        <w:tc>
          <w:tcPr>
            <w:tcW w:w="200" w:type="dxa"/>
            <w:vAlign w:val="bottom"/>
          </w:tcPr>
          <w:p>
            <w:pPr>
              <w:spacing w:after="0"/>
              <w:rPr>
                <w:sz w:val="10"/>
                <w:szCs w:val="10"/>
                <w:color w:val="auto"/>
              </w:rPr>
            </w:pPr>
          </w:p>
        </w:tc>
        <w:tc>
          <w:tcPr>
            <w:tcW w:w="1780" w:type="dxa"/>
            <w:vAlign w:val="bottom"/>
            <w:tcBorders>
              <w:right w:val="single" w:sz="8" w:color="auto"/>
            </w:tcBorders>
            <w:gridSpan w:val="4"/>
            <w:vMerge w:val="continue"/>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2780" w:type="dxa"/>
            <w:vAlign w:val="bottom"/>
            <w:vMerge w:val="restart"/>
          </w:tcPr>
          <w:p>
            <w:pPr>
              <w:spacing w:after="0"/>
              <w:rPr>
                <w:sz w:val="20"/>
                <w:szCs w:val="20"/>
                <w:color w:val="auto"/>
              </w:rPr>
            </w:pPr>
            <w:r>
              <w:rPr>
                <w:rFonts w:ascii="Arial" w:cs="Arial" w:eastAsia="Arial" w:hAnsi="Arial"/>
                <w:sz w:val="16"/>
                <w:szCs w:val="16"/>
                <w:color w:val="auto"/>
              </w:rPr>
              <w:t>(in millions)</w:t>
            </w: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7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780" w:type="dxa"/>
            <w:vAlign w:val="bottom"/>
          </w:tcPr>
          <w:p>
            <w:pPr>
              <w:spacing w:after="0"/>
              <w:rPr>
                <w:sz w:val="20"/>
                <w:szCs w:val="20"/>
                <w:color w:val="auto"/>
              </w:rPr>
            </w:pPr>
            <w:r>
              <w:rPr>
                <w:rFonts w:ascii="Arial" w:cs="Arial" w:eastAsia="Arial" w:hAnsi="Arial"/>
                <w:sz w:val="20"/>
                <w:szCs w:val="20"/>
                <w:color w:val="auto"/>
              </w:rPr>
              <w:t>Gain on settlement of</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780" w:type="dxa"/>
            <w:vAlign w:val="bottom"/>
          </w:tcPr>
          <w:p>
            <w:pPr>
              <w:spacing w:after="0"/>
              <w:rPr>
                <w:sz w:val="20"/>
                <w:szCs w:val="20"/>
                <w:color w:val="auto"/>
              </w:rPr>
            </w:pPr>
            <w:r>
              <w:rPr>
                <w:rFonts w:ascii="Arial" w:cs="Arial" w:eastAsia="Arial" w:hAnsi="Arial"/>
                <w:sz w:val="20"/>
                <w:szCs w:val="20"/>
                <w:color w:val="auto"/>
              </w:rPr>
              <w:t>liabilities subject to</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780" w:type="dxa"/>
            <w:vAlign w:val="bottom"/>
          </w:tcPr>
          <w:p>
            <w:pPr>
              <w:spacing w:after="0"/>
              <w:rPr>
                <w:sz w:val="20"/>
                <w:szCs w:val="20"/>
                <w:color w:val="auto"/>
              </w:rPr>
            </w:pPr>
            <w:r>
              <w:rPr>
                <w:rFonts w:ascii="Arial" w:cs="Arial" w:eastAsia="Arial" w:hAnsi="Arial"/>
                <w:sz w:val="20"/>
                <w:szCs w:val="20"/>
                <w:color w:val="auto"/>
              </w:rPr>
              <w:t>compromise . . . . . . . . . . . . . .</w:t>
            </w:r>
          </w:p>
        </w:tc>
        <w:tc>
          <w:tcPr>
            <w:tcW w:w="280" w:type="dxa"/>
            <w:vAlign w:val="bottom"/>
          </w:tcPr>
          <w:p>
            <w:pPr>
              <w:ind w:left="40"/>
              <w:spacing w:after="0"/>
              <w:rPr>
                <w:sz w:val="20"/>
                <w:szCs w:val="20"/>
                <w:color w:val="auto"/>
              </w:rPr>
            </w:pPr>
            <w:r>
              <w:rPr>
                <w:rFonts w:ascii="Arial" w:cs="Arial" w:eastAsia="Arial" w:hAnsi="Arial"/>
                <w:sz w:val="20"/>
                <w:szCs w:val="20"/>
                <w:color w:val="auto"/>
              </w:rPr>
              <w:t>$</w:t>
            </w:r>
          </w:p>
        </w:tc>
        <w:tc>
          <w:tcPr>
            <w:tcW w:w="940" w:type="dxa"/>
            <w:vAlign w:val="bottom"/>
          </w:tcPr>
          <w:p>
            <w:pPr>
              <w:ind w:left="680"/>
              <w:spacing w:after="0"/>
              <w:rPr>
                <w:sz w:val="20"/>
                <w:szCs w:val="20"/>
                <w:color w:val="auto"/>
              </w:rPr>
            </w:pPr>
            <w:r>
              <w:rPr>
                <w:rFonts w:ascii="Arial" w:cs="Arial" w:eastAsia="Arial" w:hAnsi="Arial"/>
                <w:sz w:val="20"/>
                <w:szCs w:val="20"/>
                <w:color w:val="auto"/>
              </w:rPr>
              <w:t>—</w:t>
            </w:r>
          </w:p>
        </w:tc>
        <w:tc>
          <w:tcPr>
            <w:tcW w:w="460" w:type="dxa"/>
            <w:vAlign w:val="bottom"/>
            <w:gridSpan w:val="2"/>
          </w:tcPr>
          <w:p>
            <w:pPr>
              <w:jc w:val="right"/>
              <w:ind w:right="10"/>
              <w:spacing w:after="0"/>
              <w:rPr>
                <w:sz w:val="20"/>
                <w:szCs w:val="20"/>
                <w:color w:val="auto"/>
              </w:rPr>
            </w:pPr>
            <w:r>
              <w:rPr>
                <w:rFonts w:ascii="Arial" w:cs="Arial" w:eastAsia="Arial" w:hAnsi="Arial"/>
                <w:sz w:val="20"/>
                <w:szCs w:val="20"/>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760" w:type="dxa"/>
            <w:vAlign w:val="bottom"/>
          </w:tcPr>
          <w:p>
            <w:pPr>
              <w:jc w:val="right"/>
              <w:ind w:right="484"/>
              <w:spacing w:after="0"/>
              <w:rPr>
                <w:sz w:val="20"/>
                <w:szCs w:val="20"/>
                <w:color w:val="auto"/>
              </w:rPr>
            </w:pPr>
            <w:r>
              <w:rPr>
                <w:rFonts w:ascii="Arial" w:cs="Arial" w:eastAsia="Arial" w:hAnsi="Arial"/>
                <w:sz w:val="20"/>
                <w:szCs w:val="20"/>
                <w:color w:val="auto"/>
              </w:rPr>
              <w:t>$</w:t>
            </w:r>
          </w:p>
        </w:tc>
        <w:tc>
          <w:tcPr>
            <w:tcW w:w="1020" w:type="dxa"/>
            <w:vAlign w:val="bottom"/>
            <w:tcBorders>
              <w:right w:val="single" w:sz="8" w:color="auto"/>
            </w:tcBorders>
            <w:gridSpan w:val="3"/>
          </w:tcPr>
          <w:p>
            <w:pPr>
              <w:jc w:val="right"/>
              <w:ind w:right="240"/>
              <w:spacing w:after="0"/>
              <w:rPr>
                <w:sz w:val="20"/>
                <w:szCs w:val="20"/>
                <w:color w:val="auto"/>
              </w:rPr>
            </w:pPr>
            <w:r>
              <w:rPr>
                <w:rFonts w:ascii="Arial" w:cs="Arial" w:eastAsia="Arial" w:hAnsi="Arial"/>
                <w:sz w:val="20"/>
                <w:szCs w:val="20"/>
                <w:color w:val="auto"/>
              </w:rPr>
              <w:t>—</w:t>
            </w:r>
          </w:p>
        </w:tc>
        <w:tc>
          <w:tcPr>
            <w:tcW w:w="380" w:type="dxa"/>
            <w:vAlign w:val="bottom"/>
            <w:gridSpan w:val="2"/>
          </w:tcPr>
          <w:p>
            <w:pPr>
              <w:ind w:left="240"/>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4,022</w:t>
            </w:r>
          </w:p>
        </w:tc>
        <w:tc>
          <w:tcPr>
            <w:tcW w:w="0" w:type="dxa"/>
            <w:vAlign w:val="bottom"/>
          </w:tcPr>
          <w:p>
            <w:pPr>
              <w:spacing w:after="0"/>
              <w:rPr>
                <w:sz w:val="1"/>
                <w:szCs w:val="1"/>
                <w:color w:val="auto"/>
              </w:rPr>
            </w:pPr>
          </w:p>
        </w:tc>
      </w:tr>
      <w:tr>
        <w:trPr>
          <w:trHeight w:val="240"/>
        </w:trPr>
        <w:tc>
          <w:tcPr>
            <w:tcW w:w="2780" w:type="dxa"/>
            <w:vAlign w:val="bottom"/>
          </w:tcPr>
          <w:p>
            <w:pPr>
              <w:spacing w:after="0"/>
              <w:rPr>
                <w:sz w:val="20"/>
                <w:szCs w:val="20"/>
                <w:color w:val="auto"/>
              </w:rPr>
            </w:pPr>
            <w:r>
              <w:rPr>
                <w:rFonts w:ascii="Arial" w:cs="Arial" w:eastAsia="Arial" w:hAnsi="Arial"/>
                <w:sz w:val="20"/>
                <w:szCs w:val="20"/>
                <w:color w:val="auto"/>
              </w:rPr>
              <w:t>Unamortized deferred gain</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780" w:type="dxa"/>
            <w:vAlign w:val="bottom"/>
          </w:tcPr>
          <w:p>
            <w:pPr>
              <w:spacing w:after="0"/>
              <w:rPr>
                <w:sz w:val="20"/>
                <w:szCs w:val="20"/>
                <w:color w:val="auto"/>
              </w:rPr>
            </w:pPr>
            <w:r>
              <w:rPr>
                <w:rFonts w:ascii="Arial" w:cs="Arial" w:eastAsia="Arial" w:hAnsi="Arial"/>
                <w:sz w:val="20"/>
                <w:szCs w:val="20"/>
                <w:color w:val="auto"/>
              </w:rPr>
              <w:t>and issuance costs, net  . . . .</w:t>
            </w:r>
          </w:p>
        </w:tc>
        <w:tc>
          <w:tcPr>
            <w:tcW w:w="280" w:type="dxa"/>
            <w:vAlign w:val="bottom"/>
          </w:tcPr>
          <w:p>
            <w:pPr>
              <w:spacing w:after="0"/>
              <w:rPr>
                <w:sz w:val="20"/>
                <w:szCs w:val="20"/>
                <w:color w:val="auto"/>
              </w:rPr>
            </w:pPr>
          </w:p>
        </w:tc>
        <w:tc>
          <w:tcPr>
            <w:tcW w:w="940" w:type="dxa"/>
            <w:vAlign w:val="bottom"/>
          </w:tcPr>
          <w:p>
            <w:pPr>
              <w:ind w:left="68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760" w:type="dxa"/>
            <w:vAlign w:val="bottom"/>
          </w:tcPr>
          <w:p>
            <w:pPr>
              <w:spacing w:after="0"/>
              <w:rPr>
                <w:sz w:val="20"/>
                <w:szCs w:val="20"/>
                <w:color w:val="auto"/>
              </w:rPr>
            </w:pPr>
          </w:p>
        </w:tc>
        <w:tc>
          <w:tcPr>
            <w:tcW w:w="1020" w:type="dxa"/>
            <w:vAlign w:val="bottom"/>
            <w:tcBorders>
              <w:right w:val="single" w:sz="8" w:color="auto"/>
            </w:tcBorders>
            <w:gridSpan w:val="3"/>
          </w:tcPr>
          <w:p>
            <w:pPr>
              <w:jc w:val="right"/>
              <w:ind w:right="24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125</w:t>
            </w:r>
          </w:p>
        </w:tc>
        <w:tc>
          <w:tcPr>
            <w:tcW w:w="0" w:type="dxa"/>
            <w:vAlign w:val="bottom"/>
          </w:tcPr>
          <w:p>
            <w:pPr>
              <w:spacing w:after="0"/>
              <w:rPr>
                <w:sz w:val="1"/>
                <w:szCs w:val="1"/>
                <w:color w:val="auto"/>
              </w:rPr>
            </w:pPr>
          </w:p>
        </w:tc>
      </w:tr>
      <w:tr>
        <w:trPr>
          <w:trHeight w:val="240"/>
        </w:trPr>
        <w:tc>
          <w:tcPr>
            <w:tcW w:w="2780" w:type="dxa"/>
            <w:vAlign w:val="bottom"/>
          </w:tcPr>
          <w:p>
            <w:pPr>
              <w:spacing w:after="0"/>
              <w:rPr>
                <w:sz w:val="20"/>
                <w:szCs w:val="20"/>
                <w:color w:val="auto"/>
              </w:rPr>
            </w:pPr>
            <w:r>
              <w:rPr>
                <w:rFonts w:ascii="Arial" w:cs="Arial" w:eastAsia="Arial" w:hAnsi="Arial"/>
                <w:sz w:val="20"/>
                <w:szCs w:val="20"/>
                <w:color w:val="auto"/>
              </w:rPr>
              <w:t>Junior debtor-in-possession</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780" w:type="dxa"/>
            <w:vAlign w:val="bottom"/>
          </w:tcPr>
          <w:p>
            <w:pPr>
              <w:spacing w:after="0"/>
              <w:rPr>
                <w:sz w:val="20"/>
                <w:szCs w:val="20"/>
                <w:color w:val="auto"/>
              </w:rPr>
            </w:pPr>
            <w:r>
              <w:rPr>
                <w:rFonts w:ascii="Arial" w:cs="Arial" w:eastAsia="Arial" w:hAnsi="Arial"/>
                <w:sz w:val="20"/>
                <w:szCs w:val="20"/>
                <w:color w:val="auto"/>
              </w:rPr>
              <w:t>exit fee . . . . . . . . . . . . . . . . . .</w:t>
            </w:r>
          </w:p>
        </w:tc>
        <w:tc>
          <w:tcPr>
            <w:tcW w:w="280" w:type="dxa"/>
            <w:vAlign w:val="bottom"/>
          </w:tcPr>
          <w:p>
            <w:pPr>
              <w:spacing w:after="0"/>
              <w:rPr>
                <w:sz w:val="20"/>
                <w:szCs w:val="20"/>
                <w:color w:val="auto"/>
              </w:rPr>
            </w:pPr>
          </w:p>
        </w:tc>
        <w:tc>
          <w:tcPr>
            <w:tcW w:w="940" w:type="dxa"/>
            <w:vAlign w:val="bottom"/>
          </w:tcPr>
          <w:p>
            <w:pPr>
              <w:ind w:left="68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760" w:type="dxa"/>
            <w:vAlign w:val="bottom"/>
          </w:tcPr>
          <w:p>
            <w:pPr>
              <w:spacing w:after="0"/>
              <w:rPr>
                <w:sz w:val="20"/>
                <w:szCs w:val="20"/>
                <w:color w:val="auto"/>
              </w:rPr>
            </w:pPr>
          </w:p>
        </w:tc>
        <w:tc>
          <w:tcPr>
            <w:tcW w:w="1020" w:type="dxa"/>
            <w:vAlign w:val="bottom"/>
            <w:tcBorders>
              <w:right w:val="single" w:sz="8" w:color="auto"/>
            </w:tcBorders>
            <w:gridSpan w:val="3"/>
          </w:tcPr>
          <w:p>
            <w:pPr>
              <w:jc w:val="right"/>
              <w:ind w:right="24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240"/>
        </w:trPr>
        <w:tc>
          <w:tcPr>
            <w:tcW w:w="2780" w:type="dxa"/>
            <w:vAlign w:val="bottom"/>
          </w:tcPr>
          <w:p>
            <w:pPr>
              <w:spacing w:after="0"/>
              <w:rPr>
                <w:sz w:val="20"/>
                <w:szCs w:val="20"/>
                <w:color w:val="auto"/>
              </w:rPr>
            </w:pPr>
            <w:r>
              <w:rPr>
                <w:rFonts w:ascii="Arial" w:cs="Arial" w:eastAsia="Arial" w:hAnsi="Arial"/>
                <w:sz w:val="20"/>
                <w:szCs w:val="20"/>
                <w:color w:val="auto"/>
              </w:rPr>
              <w:t>Acceleration of unrecognized</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780" w:type="dxa"/>
            <w:vAlign w:val="bottom"/>
          </w:tcPr>
          <w:p>
            <w:pPr>
              <w:spacing w:after="0"/>
              <w:rPr>
                <w:sz w:val="20"/>
                <w:szCs w:val="20"/>
                <w:color w:val="auto"/>
              </w:rPr>
            </w:pPr>
            <w:r>
              <w:rPr>
                <w:rFonts w:ascii="Arial" w:cs="Arial" w:eastAsia="Arial" w:hAnsi="Arial"/>
                <w:sz w:val="20"/>
                <w:szCs w:val="20"/>
                <w:color w:val="auto"/>
              </w:rPr>
              <w:t>compensation expense on</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780" w:type="dxa"/>
            <w:vAlign w:val="bottom"/>
          </w:tcPr>
          <w:p>
            <w:pPr>
              <w:spacing w:after="0"/>
              <w:rPr>
                <w:sz w:val="20"/>
                <w:szCs w:val="20"/>
                <w:color w:val="auto"/>
              </w:rPr>
            </w:pPr>
            <w:r>
              <w:rPr>
                <w:rFonts w:ascii="Arial" w:cs="Arial" w:eastAsia="Arial" w:hAnsi="Arial"/>
                <w:sz w:val="20"/>
                <w:szCs w:val="20"/>
                <w:color w:val="auto"/>
              </w:rPr>
              <w:t>cancelled stock-based</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780" w:type="dxa"/>
            <w:vAlign w:val="bottom"/>
          </w:tcPr>
          <w:p>
            <w:pPr>
              <w:spacing w:after="0"/>
              <w:rPr>
                <w:sz w:val="20"/>
                <w:szCs w:val="20"/>
                <w:color w:val="auto"/>
              </w:rPr>
            </w:pPr>
            <w:r>
              <w:rPr>
                <w:rFonts w:ascii="Arial" w:cs="Arial" w:eastAsia="Arial" w:hAnsi="Arial"/>
                <w:sz w:val="20"/>
                <w:szCs w:val="20"/>
                <w:color w:val="auto"/>
              </w:rPr>
              <w:t>compensation awards  . . . . .</w:t>
            </w:r>
          </w:p>
        </w:tc>
        <w:tc>
          <w:tcPr>
            <w:tcW w:w="280" w:type="dxa"/>
            <w:vAlign w:val="bottom"/>
          </w:tcPr>
          <w:p>
            <w:pPr>
              <w:spacing w:after="0"/>
              <w:rPr>
                <w:sz w:val="20"/>
                <w:szCs w:val="20"/>
                <w:color w:val="auto"/>
              </w:rPr>
            </w:pPr>
          </w:p>
        </w:tc>
        <w:tc>
          <w:tcPr>
            <w:tcW w:w="940" w:type="dxa"/>
            <w:vAlign w:val="bottom"/>
          </w:tcPr>
          <w:p>
            <w:pPr>
              <w:ind w:left="68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760" w:type="dxa"/>
            <w:vAlign w:val="bottom"/>
          </w:tcPr>
          <w:p>
            <w:pPr>
              <w:spacing w:after="0"/>
              <w:rPr>
                <w:sz w:val="20"/>
                <w:szCs w:val="20"/>
                <w:color w:val="auto"/>
              </w:rPr>
            </w:pPr>
          </w:p>
        </w:tc>
        <w:tc>
          <w:tcPr>
            <w:tcW w:w="1020" w:type="dxa"/>
            <w:vAlign w:val="bottom"/>
            <w:tcBorders>
              <w:right w:val="single" w:sz="8" w:color="auto"/>
            </w:tcBorders>
            <w:gridSpan w:val="3"/>
          </w:tcPr>
          <w:p>
            <w:pPr>
              <w:jc w:val="right"/>
              <w:ind w:right="24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40"/>
        </w:trPr>
        <w:tc>
          <w:tcPr>
            <w:tcW w:w="2780" w:type="dxa"/>
            <w:vAlign w:val="bottom"/>
          </w:tcPr>
          <w:p>
            <w:pPr>
              <w:spacing w:after="0"/>
              <w:rPr>
                <w:sz w:val="20"/>
                <w:szCs w:val="20"/>
                <w:color w:val="auto"/>
              </w:rPr>
            </w:pPr>
            <w:r>
              <w:rPr>
                <w:rFonts w:ascii="Arial" w:cs="Arial" w:eastAsia="Arial" w:hAnsi="Arial"/>
                <w:sz w:val="20"/>
                <w:szCs w:val="20"/>
                <w:color w:val="auto"/>
              </w:rPr>
              <w:t>Write-off of prepaid directors</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780" w:type="dxa"/>
            <w:vAlign w:val="bottom"/>
          </w:tcPr>
          <w:p>
            <w:pPr>
              <w:spacing w:after="0"/>
              <w:rPr>
                <w:sz w:val="20"/>
                <w:szCs w:val="20"/>
                <w:color w:val="auto"/>
              </w:rPr>
            </w:pPr>
            <w:r>
              <w:rPr>
                <w:rFonts w:ascii="Arial" w:cs="Arial" w:eastAsia="Arial" w:hAnsi="Arial"/>
                <w:sz w:val="20"/>
                <w:szCs w:val="20"/>
                <w:color w:val="auto"/>
              </w:rPr>
              <w:t>and officers’ insurance</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780" w:type="dxa"/>
            <w:vAlign w:val="bottom"/>
          </w:tcPr>
          <w:p>
            <w:pPr>
              <w:spacing w:after="0"/>
              <w:rPr>
                <w:sz w:val="20"/>
                <w:szCs w:val="20"/>
                <w:color w:val="auto"/>
              </w:rPr>
            </w:pPr>
            <w:r>
              <w:rPr>
                <w:rFonts w:ascii="Arial" w:cs="Arial" w:eastAsia="Arial" w:hAnsi="Arial"/>
                <w:sz w:val="20"/>
                <w:szCs w:val="20"/>
                <w:color w:val="auto"/>
              </w:rPr>
              <w:t>premiums . . . . . . . . . . . . . . . .</w:t>
            </w:r>
          </w:p>
        </w:tc>
        <w:tc>
          <w:tcPr>
            <w:tcW w:w="280" w:type="dxa"/>
            <w:vAlign w:val="bottom"/>
          </w:tcPr>
          <w:p>
            <w:pPr>
              <w:spacing w:after="0"/>
              <w:rPr>
                <w:sz w:val="20"/>
                <w:szCs w:val="20"/>
                <w:color w:val="auto"/>
              </w:rPr>
            </w:pPr>
          </w:p>
        </w:tc>
        <w:tc>
          <w:tcPr>
            <w:tcW w:w="940" w:type="dxa"/>
            <w:vAlign w:val="bottom"/>
          </w:tcPr>
          <w:p>
            <w:pPr>
              <w:ind w:left="68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760" w:type="dxa"/>
            <w:vAlign w:val="bottom"/>
          </w:tcPr>
          <w:p>
            <w:pPr>
              <w:spacing w:after="0"/>
              <w:rPr>
                <w:sz w:val="20"/>
                <w:szCs w:val="20"/>
                <w:color w:val="auto"/>
              </w:rPr>
            </w:pPr>
          </w:p>
        </w:tc>
        <w:tc>
          <w:tcPr>
            <w:tcW w:w="1020" w:type="dxa"/>
            <w:vAlign w:val="bottom"/>
            <w:tcBorders>
              <w:right w:val="single" w:sz="8" w:color="auto"/>
            </w:tcBorders>
            <w:gridSpan w:val="3"/>
          </w:tcPr>
          <w:p>
            <w:pPr>
              <w:jc w:val="right"/>
              <w:ind w:right="24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8"/>
        </w:trPr>
        <w:tc>
          <w:tcPr>
            <w:tcW w:w="2780" w:type="dxa"/>
            <w:vAlign w:val="bottom"/>
            <w:vMerge w:val="restart"/>
          </w:tcPr>
          <w:p>
            <w:pPr>
              <w:ind w:left="400"/>
              <w:spacing w:after="0"/>
              <w:rPr>
                <w:sz w:val="20"/>
                <w:szCs w:val="20"/>
                <w:color w:val="auto"/>
              </w:rPr>
            </w:pPr>
            <w:r>
              <w:rPr>
                <w:rFonts w:ascii="Arial" w:cs="Arial" w:eastAsia="Arial" w:hAnsi="Arial"/>
                <w:sz w:val="20"/>
                <w:szCs w:val="20"/>
                <w:color w:val="auto"/>
              </w:rPr>
              <w:t>Total non-cash</w:t>
            </w: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780" w:type="dxa"/>
            <w:vAlign w:val="bottom"/>
            <w:vMerge w:val="continue"/>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780" w:type="dxa"/>
            <w:vAlign w:val="bottom"/>
          </w:tcPr>
          <w:p>
            <w:pPr>
              <w:ind w:left="400"/>
              <w:spacing w:after="0"/>
              <w:rPr>
                <w:sz w:val="20"/>
                <w:szCs w:val="20"/>
                <w:color w:val="auto"/>
              </w:rPr>
            </w:pPr>
            <w:r>
              <w:rPr>
                <w:rFonts w:ascii="Arial" w:cs="Arial" w:eastAsia="Arial" w:hAnsi="Arial"/>
                <w:sz w:val="20"/>
                <w:szCs w:val="20"/>
                <w:color w:val="auto"/>
              </w:rPr>
              <w:t>reorganization items . . .</w:t>
            </w:r>
          </w:p>
        </w:tc>
        <w:tc>
          <w:tcPr>
            <w:tcW w:w="280" w:type="dxa"/>
            <w:vAlign w:val="bottom"/>
          </w:tcPr>
          <w:p>
            <w:pPr>
              <w:ind w:left="40"/>
              <w:spacing w:after="0"/>
              <w:rPr>
                <w:sz w:val="20"/>
                <w:szCs w:val="20"/>
                <w:color w:val="auto"/>
              </w:rPr>
            </w:pPr>
            <w:r>
              <w:rPr>
                <w:rFonts w:ascii="Arial" w:cs="Arial" w:eastAsia="Arial" w:hAnsi="Arial"/>
                <w:sz w:val="20"/>
                <w:szCs w:val="20"/>
                <w:color w:val="auto"/>
              </w:rPr>
              <w:t>$</w:t>
            </w:r>
          </w:p>
        </w:tc>
        <w:tc>
          <w:tcPr>
            <w:tcW w:w="940" w:type="dxa"/>
            <w:vAlign w:val="bottom"/>
          </w:tcPr>
          <w:p>
            <w:pPr>
              <w:ind w:left="680"/>
              <w:spacing w:after="0"/>
              <w:rPr>
                <w:sz w:val="20"/>
                <w:szCs w:val="20"/>
                <w:color w:val="auto"/>
              </w:rPr>
            </w:pPr>
            <w:r>
              <w:rPr>
                <w:rFonts w:ascii="Arial" w:cs="Arial" w:eastAsia="Arial" w:hAnsi="Arial"/>
                <w:sz w:val="20"/>
                <w:szCs w:val="20"/>
                <w:color w:val="auto"/>
              </w:rPr>
              <w:t>—</w:t>
            </w:r>
          </w:p>
        </w:tc>
        <w:tc>
          <w:tcPr>
            <w:tcW w:w="460" w:type="dxa"/>
            <w:vAlign w:val="bottom"/>
            <w:gridSpan w:val="2"/>
          </w:tcPr>
          <w:p>
            <w:pPr>
              <w:jc w:val="right"/>
              <w:ind w:right="10"/>
              <w:spacing w:after="0"/>
              <w:rPr>
                <w:sz w:val="20"/>
                <w:szCs w:val="20"/>
                <w:color w:val="auto"/>
              </w:rPr>
            </w:pPr>
            <w:r>
              <w:rPr>
                <w:rFonts w:ascii="Arial" w:cs="Arial" w:eastAsia="Arial" w:hAnsi="Arial"/>
                <w:sz w:val="20"/>
                <w:szCs w:val="20"/>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760" w:type="dxa"/>
            <w:vAlign w:val="bottom"/>
          </w:tcPr>
          <w:p>
            <w:pPr>
              <w:jc w:val="right"/>
              <w:ind w:right="484"/>
              <w:spacing w:after="0"/>
              <w:rPr>
                <w:sz w:val="20"/>
                <w:szCs w:val="20"/>
                <w:color w:val="auto"/>
              </w:rPr>
            </w:pPr>
            <w:r>
              <w:rPr>
                <w:rFonts w:ascii="Arial" w:cs="Arial" w:eastAsia="Arial" w:hAnsi="Arial"/>
                <w:sz w:val="20"/>
                <w:szCs w:val="20"/>
                <w:color w:val="auto"/>
              </w:rPr>
              <w:t>$</w:t>
            </w:r>
          </w:p>
        </w:tc>
        <w:tc>
          <w:tcPr>
            <w:tcW w:w="1020" w:type="dxa"/>
            <w:vAlign w:val="bottom"/>
            <w:tcBorders>
              <w:right w:val="single" w:sz="8" w:color="auto"/>
            </w:tcBorders>
            <w:gridSpan w:val="3"/>
          </w:tcPr>
          <w:p>
            <w:pPr>
              <w:jc w:val="right"/>
              <w:ind w:right="240"/>
              <w:spacing w:after="0"/>
              <w:rPr>
                <w:sz w:val="20"/>
                <w:szCs w:val="20"/>
                <w:color w:val="auto"/>
              </w:rPr>
            </w:pPr>
            <w:r>
              <w:rPr>
                <w:rFonts w:ascii="Arial" w:cs="Arial" w:eastAsia="Arial" w:hAnsi="Arial"/>
                <w:sz w:val="20"/>
                <w:szCs w:val="20"/>
                <w:color w:val="auto"/>
              </w:rPr>
              <w:t>—</w:t>
            </w:r>
          </w:p>
        </w:tc>
        <w:tc>
          <w:tcPr>
            <w:tcW w:w="380" w:type="dxa"/>
            <w:vAlign w:val="bottom"/>
            <w:gridSpan w:val="2"/>
          </w:tcPr>
          <w:p>
            <w:pPr>
              <w:ind w:left="240"/>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4,128</w:t>
            </w:r>
          </w:p>
        </w:tc>
        <w:tc>
          <w:tcPr>
            <w:tcW w:w="0" w:type="dxa"/>
            <w:vAlign w:val="bottom"/>
          </w:tcPr>
          <w:p>
            <w:pPr>
              <w:spacing w:after="0"/>
              <w:rPr>
                <w:sz w:val="1"/>
                <w:szCs w:val="1"/>
                <w:color w:val="auto"/>
              </w:rPr>
            </w:pPr>
          </w:p>
        </w:tc>
      </w:tr>
      <w:tr>
        <w:trPr>
          <w:trHeight w:val="28"/>
        </w:trPr>
        <w:tc>
          <w:tcPr>
            <w:tcW w:w="2780" w:type="dxa"/>
            <w:vAlign w:val="bottom"/>
            <w:vMerge w:val="restart"/>
          </w:tcPr>
          <w:p>
            <w:pPr>
              <w:spacing w:after="0"/>
              <w:rPr>
                <w:sz w:val="20"/>
                <w:szCs w:val="20"/>
                <w:color w:val="auto"/>
              </w:rPr>
            </w:pPr>
            <w:r>
              <w:rPr>
                <w:rFonts w:ascii="Arial" w:cs="Arial" w:eastAsia="Arial" w:hAnsi="Arial"/>
                <w:sz w:val="20"/>
                <w:szCs w:val="20"/>
                <w:color w:val="auto"/>
              </w:rPr>
              <w:t>Legal, professional and</w:t>
            </w: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780" w:type="dxa"/>
            <w:vAlign w:val="bottom"/>
            <w:vMerge w:val="continue"/>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780" w:type="dxa"/>
            <w:vAlign w:val="bottom"/>
          </w:tcPr>
          <w:p>
            <w:pPr>
              <w:spacing w:after="0"/>
              <w:rPr>
                <w:sz w:val="20"/>
                <w:szCs w:val="20"/>
                <w:color w:val="auto"/>
              </w:rPr>
            </w:pPr>
            <w:r>
              <w:rPr>
                <w:rFonts w:ascii="Arial" w:cs="Arial" w:eastAsia="Arial" w:hAnsi="Arial"/>
                <w:sz w:val="20"/>
                <w:szCs w:val="20"/>
                <w:color w:val="auto"/>
              </w:rPr>
              <w:t>other, net . . . . . . . . . . . . . . . .</w:t>
            </w:r>
          </w:p>
        </w:tc>
        <w:tc>
          <w:tcPr>
            <w:tcW w:w="280" w:type="dxa"/>
            <w:vAlign w:val="bottom"/>
          </w:tcPr>
          <w:p>
            <w:pPr>
              <w:spacing w:after="0"/>
              <w:rPr>
                <w:sz w:val="20"/>
                <w:szCs w:val="20"/>
                <w:color w:val="auto"/>
              </w:rPr>
            </w:pPr>
          </w:p>
        </w:tc>
        <w:tc>
          <w:tcPr>
            <w:tcW w:w="940" w:type="dxa"/>
            <w:vAlign w:val="bottom"/>
          </w:tcPr>
          <w:p>
            <w:pPr>
              <w:ind w:left="68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(6)</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w:t>
            </w:r>
          </w:p>
        </w:tc>
        <w:tc>
          <w:tcPr>
            <w:tcW w:w="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240"/>
        </w:trPr>
        <w:tc>
          <w:tcPr>
            <w:tcW w:w="2780" w:type="dxa"/>
            <w:vAlign w:val="bottom"/>
          </w:tcPr>
          <w:p>
            <w:pPr>
              <w:spacing w:after="0"/>
              <w:rPr>
                <w:sz w:val="20"/>
                <w:szCs w:val="20"/>
                <w:color w:val="auto"/>
              </w:rPr>
            </w:pPr>
            <w:r>
              <w:rPr>
                <w:rFonts w:ascii="Arial" w:cs="Arial" w:eastAsia="Arial" w:hAnsi="Arial"/>
                <w:sz w:val="20"/>
                <w:szCs w:val="20"/>
                <w:color w:val="auto"/>
              </w:rPr>
              <w:t>Debtor-in-possession</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780" w:type="dxa"/>
            <w:vAlign w:val="bottom"/>
          </w:tcPr>
          <w:p>
            <w:pPr>
              <w:spacing w:after="0"/>
              <w:rPr>
                <w:sz w:val="20"/>
                <w:szCs w:val="20"/>
                <w:color w:val="auto"/>
              </w:rPr>
            </w:pPr>
            <w:r>
              <w:rPr>
                <w:rFonts w:ascii="Arial" w:cs="Arial" w:eastAsia="Arial" w:hAnsi="Arial"/>
                <w:sz w:val="20"/>
                <w:szCs w:val="20"/>
                <w:color w:val="auto"/>
              </w:rPr>
              <w:t>financing costs  . . . . . . . . . . .</w:t>
            </w:r>
          </w:p>
        </w:tc>
        <w:tc>
          <w:tcPr>
            <w:tcW w:w="280" w:type="dxa"/>
            <w:vAlign w:val="bottom"/>
          </w:tcPr>
          <w:p>
            <w:pPr>
              <w:spacing w:after="0"/>
              <w:rPr>
                <w:sz w:val="20"/>
                <w:szCs w:val="20"/>
                <w:color w:val="auto"/>
              </w:rPr>
            </w:pPr>
          </w:p>
        </w:tc>
        <w:tc>
          <w:tcPr>
            <w:tcW w:w="940" w:type="dxa"/>
            <w:vAlign w:val="bottom"/>
          </w:tcPr>
          <w:p>
            <w:pPr>
              <w:ind w:left="68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760" w:type="dxa"/>
            <w:vAlign w:val="bottom"/>
          </w:tcPr>
          <w:p>
            <w:pPr>
              <w:spacing w:after="0"/>
              <w:rPr>
                <w:sz w:val="20"/>
                <w:szCs w:val="20"/>
                <w:color w:val="auto"/>
              </w:rPr>
            </w:pPr>
          </w:p>
        </w:tc>
        <w:tc>
          <w:tcPr>
            <w:tcW w:w="1020" w:type="dxa"/>
            <w:vAlign w:val="bottom"/>
            <w:tcBorders>
              <w:right w:val="single" w:sz="8" w:color="auto"/>
            </w:tcBorders>
            <w:gridSpan w:val="3"/>
          </w:tcPr>
          <w:p>
            <w:pPr>
              <w:jc w:val="right"/>
              <w:ind w:right="24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r>
        <w:trPr>
          <w:trHeight w:val="28"/>
        </w:trPr>
        <w:tc>
          <w:tcPr>
            <w:tcW w:w="2780" w:type="dxa"/>
            <w:vAlign w:val="bottom"/>
            <w:vMerge w:val="restart"/>
          </w:tcPr>
          <w:p>
            <w:pPr>
              <w:ind w:left="400"/>
              <w:spacing w:after="0"/>
              <w:rPr>
                <w:sz w:val="20"/>
                <w:szCs w:val="20"/>
                <w:color w:val="auto"/>
              </w:rPr>
            </w:pPr>
            <w:r>
              <w:rPr>
                <w:rFonts w:ascii="Arial" w:cs="Arial" w:eastAsia="Arial" w:hAnsi="Arial"/>
                <w:sz w:val="20"/>
                <w:szCs w:val="20"/>
                <w:color w:val="auto"/>
              </w:rPr>
              <w:t>Total reorganization</w:t>
            </w: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780" w:type="dxa"/>
            <w:vAlign w:val="bottom"/>
            <w:vMerge w:val="continue"/>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780" w:type="dxa"/>
            <w:vAlign w:val="bottom"/>
          </w:tcPr>
          <w:p>
            <w:pPr>
              <w:ind w:left="400"/>
              <w:spacing w:after="0"/>
              <w:rPr>
                <w:sz w:val="20"/>
                <w:szCs w:val="20"/>
                <w:color w:val="auto"/>
              </w:rPr>
            </w:pPr>
            <w:r>
              <w:rPr>
                <w:rFonts w:ascii="Arial" w:cs="Arial" w:eastAsia="Arial" w:hAnsi="Arial"/>
                <w:sz w:val="20"/>
                <w:szCs w:val="20"/>
                <w:color w:val="auto"/>
              </w:rPr>
              <w:t>items, net . . . . . . . . . . . .</w:t>
            </w:r>
          </w:p>
        </w:tc>
        <w:tc>
          <w:tcPr>
            <w:tcW w:w="280" w:type="dxa"/>
            <w:vAlign w:val="bottom"/>
          </w:tcPr>
          <w:p>
            <w:pPr>
              <w:ind w:left="40"/>
              <w:spacing w:after="0"/>
              <w:rPr>
                <w:sz w:val="20"/>
                <w:szCs w:val="20"/>
                <w:color w:val="auto"/>
              </w:rPr>
            </w:pPr>
            <w:r>
              <w:rPr>
                <w:rFonts w:ascii="Arial" w:cs="Arial" w:eastAsia="Arial" w:hAnsi="Arial"/>
                <w:sz w:val="20"/>
                <w:szCs w:val="20"/>
                <w:color w:val="auto"/>
              </w:rPr>
              <w:t>$</w:t>
            </w:r>
          </w:p>
        </w:tc>
        <w:tc>
          <w:tcPr>
            <w:tcW w:w="940" w:type="dxa"/>
            <w:vAlign w:val="bottom"/>
          </w:tcPr>
          <w:p>
            <w:pPr>
              <w:ind w:left="680"/>
              <w:spacing w:after="0"/>
              <w:rPr>
                <w:sz w:val="20"/>
                <w:szCs w:val="20"/>
                <w:color w:val="auto"/>
              </w:rPr>
            </w:pPr>
            <w:r>
              <w:rPr>
                <w:rFonts w:ascii="Arial" w:cs="Arial" w:eastAsia="Arial" w:hAnsi="Arial"/>
                <w:sz w:val="20"/>
                <w:szCs w:val="20"/>
                <w:color w:val="auto"/>
              </w:rPr>
              <w:t>—</w:t>
            </w:r>
          </w:p>
        </w:tc>
        <w:tc>
          <w:tcPr>
            <w:tcW w:w="460" w:type="dxa"/>
            <w:vAlign w:val="bottom"/>
            <w:gridSpan w:val="2"/>
          </w:tcPr>
          <w:p>
            <w:pPr>
              <w:jc w:val="right"/>
              <w:ind w:right="1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(6)</w:t>
            </w:r>
          </w:p>
        </w:tc>
        <w:tc>
          <w:tcPr>
            <w:tcW w:w="200" w:type="dxa"/>
            <w:vAlign w:val="bottom"/>
          </w:tcPr>
          <w:p>
            <w:pPr>
              <w:spacing w:after="0"/>
              <w:rPr>
                <w:sz w:val="20"/>
                <w:szCs w:val="20"/>
                <w:color w:val="auto"/>
              </w:rPr>
            </w:pPr>
          </w:p>
        </w:tc>
        <w:tc>
          <w:tcPr>
            <w:tcW w:w="760" w:type="dxa"/>
            <w:vAlign w:val="bottom"/>
          </w:tcPr>
          <w:p>
            <w:pPr>
              <w:jc w:val="right"/>
              <w:ind w:right="484"/>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(3)</w:t>
            </w:r>
          </w:p>
        </w:tc>
        <w:tc>
          <w:tcPr>
            <w:tcW w:w="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80" w:type="dxa"/>
            <w:vAlign w:val="bottom"/>
            <w:gridSpan w:val="2"/>
          </w:tcPr>
          <w:p>
            <w:pPr>
              <w:ind w:left="240"/>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4,060</w:t>
            </w:r>
          </w:p>
        </w:tc>
        <w:tc>
          <w:tcPr>
            <w:tcW w:w="0" w:type="dxa"/>
            <w:vAlign w:val="bottom"/>
          </w:tcPr>
          <w:p>
            <w:pPr>
              <w:spacing w:after="0"/>
              <w:rPr>
                <w:sz w:val="1"/>
                <w:szCs w:val="1"/>
                <w:color w:val="auto"/>
              </w:rPr>
            </w:pPr>
          </w:p>
        </w:tc>
      </w:tr>
      <w:tr>
        <w:trPr>
          <w:trHeight w:val="28"/>
        </w:trPr>
        <w:tc>
          <w:tcPr>
            <w:tcW w:w="2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311" w:right="138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111</w:t>
      </w:r>
    </w:p>
    <w:p>
      <w:pPr>
        <w:sectPr>
          <w:pgSz w:w="11880" w:h="15480" w:orient="portrait"/>
          <w:cols w:equalWidth="0" w:num="1">
            <w:col w:w="9120"/>
          </w:cols>
          <w:pgMar w:left="1380" w:top="1311" w:right="1380" w:bottom="661" w:gutter="0" w:footer="0" w:header="0"/>
          <w:type w:val="continuous"/>
        </w:sectPr>
      </w:pPr>
    </w:p>
    <w:bookmarkStart w:id="115" w:name="page116"/>
    <w:bookmarkEnd w:id="115"/>
    <w:p>
      <w:pPr>
        <w:spacing w:after="0"/>
        <w:rPr>
          <w:sz w:val="20"/>
          <w:szCs w:val="20"/>
          <w:color w:val="auto"/>
        </w:rPr>
      </w:pPr>
      <w:r>
        <w:rPr>
          <w:rFonts w:ascii="Arial" w:cs="Arial" w:eastAsia="Arial" w:hAnsi="Arial"/>
          <w:sz w:val="20"/>
          <w:szCs w:val="20"/>
          <w:b w:val="1"/>
          <w:bCs w:val="1"/>
          <w:color w:val="auto"/>
        </w:rPr>
        <w:t>FORWARD-LOOKING STATEMENTS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Supplemental Cash Flow Information</w:t>
      </w:r>
    </w:p>
    <w:p>
      <w:pPr>
        <w:spacing w:after="0" w:line="215" w:lineRule="exact"/>
        <w:rPr>
          <w:sz w:val="20"/>
          <w:szCs w:val="20"/>
          <w:color w:val="auto"/>
        </w:rPr>
      </w:pPr>
    </w:p>
    <w:p>
      <w:pPr>
        <w:ind w:right="20" w:firstLine="300"/>
        <w:spacing w:after="0" w:line="243" w:lineRule="auto"/>
        <w:rPr>
          <w:sz w:val="20"/>
          <w:szCs w:val="20"/>
          <w:color w:val="auto"/>
        </w:rPr>
      </w:pPr>
      <w:r>
        <w:rPr>
          <w:rFonts w:ascii="Arial" w:cs="Arial" w:eastAsia="Arial" w:hAnsi="Arial"/>
          <w:sz w:val="20"/>
          <w:szCs w:val="20"/>
          <w:color w:val="auto"/>
        </w:rPr>
        <w:t>Supplemental disclosures to our consolidated statements of cash flows, excluding leases and ARO, are presented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8"/>
              </w:rPr>
              <w:t>Successor</w:t>
            </w:r>
          </w:p>
        </w:tc>
        <w:tc>
          <w:tcPr>
            <w:tcW w:w="7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60" w:type="dxa"/>
            <w:vAlign w:val="bottom"/>
          </w:tcPr>
          <w:p>
            <w:pPr>
              <w:spacing w:after="0"/>
              <w:rPr>
                <w:sz w:val="20"/>
                <w:szCs w:val="20"/>
                <w:color w:val="auto"/>
              </w:rPr>
            </w:pPr>
          </w:p>
        </w:tc>
        <w:tc>
          <w:tcPr>
            <w:tcW w:w="14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180"/>
        </w:trPr>
        <w:tc>
          <w:tcPr>
            <w:tcW w:w="3280" w:type="dxa"/>
            <w:vAlign w:val="bottom"/>
          </w:tcPr>
          <w:p>
            <w:pPr>
              <w:spacing w:after="0"/>
              <w:rPr>
                <w:sz w:val="15"/>
                <w:szCs w:val="15"/>
                <w:color w:val="auto"/>
              </w:rPr>
            </w:pPr>
          </w:p>
        </w:tc>
        <w:tc>
          <w:tcPr>
            <w:tcW w:w="1220" w:type="dxa"/>
            <w:vAlign w:val="bottom"/>
            <w:gridSpan w:val="2"/>
          </w:tcPr>
          <w:p>
            <w:pPr>
              <w:jc w:val="center"/>
              <w:spacing w:after="0" w:line="180" w:lineRule="exact"/>
              <w:rPr>
                <w:sz w:val="20"/>
                <w:szCs w:val="20"/>
                <w:color w:val="auto"/>
              </w:rPr>
            </w:pPr>
            <w:r>
              <w:rPr>
                <w:rFonts w:ascii="Arial" w:cs="Arial" w:eastAsia="Arial" w:hAnsi="Arial"/>
                <w:sz w:val="18"/>
                <w:szCs w:val="18"/>
                <w:b w:val="1"/>
                <w:bCs w:val="1"/>
                <w:color w:val="auto"/>
                <w:w w:val="98"/>
              </w:rPr>
              <w:t>Year ended</w:t>
            </w:r>
          </w:p>
        </w:tc>
        <w:tc>
          <w:tcPr>
            <w:tcW w:w="60" w:type="dxa"/>
            <w:vAlign w:val="bottom"/>
          </w:tcPr>
          <w:p>
            <w:pPr>
              <w:spacing w:after="0"/>
              <w:rPr>
                <w:sz w:val="15"/>
                <w:szCs w:val="15"/>
                <w:color w:val="auto"/>
              </w:rPr>
            </w:pPr>
          </w:p>
        </w:tc>
        <w:tc>
          <w:tcPr>
            <w:tcW w:w="1280" w:type="dxa"/>
            <w:vAlign w:val="bottom"/>
            <w:gridSpan w:val="3"/>
          </w:tcPr>
          <w:p>
            <w:pPr>
              <w:ind w:left="120"/>
              <w:spacing w:after="0" w:line="180" w:lineRule="exact"/>
              <w:rPr>
                <w:sz w:val="20"/>
                <w:szCs w:val="20"/>
                <w:color w:val="auto"/>
              </w:rPr>
            </w:pPr>
            <w:r>
              <w:rPr>
                <w:rFonts w:ascii="Arial" w:cs="Arial" w:eastAsia="Arial" w:hAnsi="Arial"/>
                <w:sz w:val="18"/>
                <w:szCs w:val="18"/>
                <w:b w:val="1"/>
                <w:bCs w:val="1"/>
                <w:color w:val="auto"/>
              </w:rPr>
              <w:t>Year ended</w:t>
            </w: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80" w:type="dxa"/>
            <w:vAlign w:val="bottom"/>
          </w:tcPr>
          <w:p>
            <w:pPr>
              <w:spacing w:after="0"/>
              <w:rPr>
                <w:sz w:val="15"/>
                <w:szCs w:val="15"/>
                <w:color w:val="auto"/>
              </w:rPr>
            </w:pPr>
          </w:p>
        </w:tc>
        <w:tc>
          <w:tcPr>
            <w:tcW w:w="1220" w:type="dxa"/>
            <w:vAlign w:val="bottom"/>
            <w:gridSpan w:val="2"/>
          </w:tcPr>
          <w:p>
            <w:pPr>
              <w:jc w:val="center"/>
              <w:spacing w:after="0" w:line="180" w:lineRule="exact"/>
              <w:rPr>
                <w:sz w:val="20"/>
                <w:szCs w:val="20"/>
                <w:color w:val="auto"/>
              </w:rPr>
            </w:pPr>
            <w:r>
              <w:rPr>
                <w:rFonts w:ascii="Arial" w:cs="Arial" w:eastAsia="Arial" w:hAnsi="Arial"/>
                <w:sz w:val="18"/>
                <w:szCs w:val="18"/>
                <w:b w:val="1"/>
                <w:bCs w:val="1"/>
                <w:color w:val="auto"/>
                <w:w w:val="99"/>
              </w:rPr>
              <w:t>December 31,</w:t>
            </w:r>
          </w:p>
        </w:tc>
        <w:tc>
          <w:tcPr>
            <w:tcW w:w="60" w:type="dxa"/>
            <w:vAlign w:val="bottom"/>
          </w:tcPr>
          <w:p>
            <w:pPr>
              <w:spacing w:after="0"/>
              <w:rPr>
                <w:sz w:val="15"/>
                <w:szCs w:val="15"/>
                <w:color w:val="auto"/>
              </w:rPr>
            </w:pPr>
          </w:p>
        </w:tc>
        <w:tc>
          <w:tcPr>
            <w:tcW w:w="3040" w:type="dxa"/>
            <w:vAlign w:val="bottom"/>
            <w:gridSpan w:val="6"/>
          </w:tcPr>
          <w:p>
            <w:pPr>
              <w:ind w:left="20"/>
              <w:spacing w:after="0" w:line="180" w:lineRule="exact"/>
              <w:rPr>
                <w:sz w:val="20"/>
                <w:szCs w:val="20"/>
                <w:color w:val="auto"/>
              </w:rPr>
            </w:pPr>
            <w:r>
              <w:rPr>
                <w:rFonts w:ascii="Arial" w:cs="Arial" w:eastAsia="Arial" w:hAnsi="Arial"/>
                <w:sz w:val="20"/>
                <w:szCs w:val="20"/>
                <w:b w:val="1"/>
                <w:bCs w:val="1"/>
                <w:color w:val="auto"/>
                <w:vertAlign w:val="subscript"/>
              </w:rPr>
              <w:t>December 31,</w:t>
            </w:r>
            <w:r>
              <w:rPr>
                <w:rFonts w:ascii="Arial" w:cs="Arial" w:eastAsia="Arial" w:hAnsi="Arial"/>
                <w:sz w:val="13"/>
                <w:szCs w:val="13"/>
                <w:b w:val="1"/>
                <w:bCs w:val="1"/>
                <w:color w:val="auto"/>
              </w:rPr>
              <w:t xml:space="preserve"> November 1, 2020 -</w:t>
            </w:r>
          </w:p>
        </w:tc>
        <w:tc>
          <w:tcPr>
            <w:tcW w:w="20" w:type="dxa"/>
            <w:vAlign w:val="bottom"/>
            <w:shd w:val="clear" w:color="auto" w:fill="000000"/>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gridSpan w:val="2"/>
          </w:tcPr>
          <w:p>
            <w:pPr>
              <w:spacing w:after="0" w:line="180" w:lineRule="exact"/>
              <w:rPr>
                <w:sz w:val="20"/>
                <w:szCs w:val="20"/>
                <w:color w:val="auto"/>
              </w:rPr>
            </w:pPr>
            <w:r>
              <w:rPr>
                <w:rFonts w:ascii="Arial" w:cs="Arial" w:eastAsia="Arial" w:hAnsi="Arial"/>
                <w:sz w:val="18"/>
                <w:szCs w:val="18"/>
                <w:b w:val="1"/>
                <w:bCs w:val="1"/>
                <w:color w:val="auto"/>
                <w:w w:val="97"/>
              </w:rPr>
              <w:t>January 1, 2020 -</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760" w:type="dxa"/>
            <w:vAlign w:val="bottom"/>
            <w:gridSpan w:val="3"/>
            <w:vMerge w:val="restart"/>
          </w:tcPr>
          <w:p>
            <w:pPr>
              <w:spacing w:after="0" w:line="203" w:lineRule="exact"/>
              <w:rPr>
                <w:sz w:val="20"/>
                <w:szCs w:val="20"/>
                <w:color w:val="auto"/>
              </w:rPr>
            </w:pPr>
            <w:r>
              <w:rPr>
                <w:rFonts w:ascii="Arial" w:cs="Arial" w:eastAsia="Arial" w:hAnsi="Arial"/>
                <w:sz w:val="18"/>
                <w:szCs w:val="18"/>
                <w:b w:val="1"/>
                <w:bCs w:val="1"/>
                <w:color w:val="auto"/>
              </w:rPr>
              <w:t>December 31, 2020</w:t>
            </w:r>
          </w:p>
        </w:tc>
        <w:tc>
          <w:tcPr>
            <w:tcW w:w="20" w:type="dxa"/>
            <w:vAlign w:val="bottom"/>
            <w:tcBorders>
              <w:bottom w:val="single" w:sz="8" w:color="auto"/>
            </w:tcBorders>
            <w:shd w:val="clear" w:color="auto" w:fill="000000"/>
          </w:tcPr>
          <w:p>
            <w:pPr>
              <w:spacing w:after="0"/>
              <w:rPr>
                <w:sz w:val="5"/>
                <w:szCs w:val="5"/>
                <w:color w:val="auto"/>
              </w:rPr>
            </w:pPr>
          </w:p>
        </w:tc>
        <w:tc>
          <w:tcPr>
            <w:tcW w:w="60" w:type="dxa"/>
            <w:vAlign w:val="bottom"/>
          </w:tcPr>
          <w:p>
            <w:pPr>
              <w:spacing w:after="0"/>
              <w:rPr>
                <w:sz w:val="5"/>
                <w:szCs w:val="5"/>
                <w:color w:val="auto"/>
              </w:rPr>
            </w:pPr>
          </w:p>
        </w:tc>
        <w:tc>
          <w:tcPr>
            <w:tcW w:w="1440" w:type="dxa"/>
            <w:vAlign w:val="bottom"/>
            <w:gridSpan w:val="2"/>
            <w:vMerge w:val="restart"/>
          </w:tcPr>
          <w:p>
            <w:pPr>
              <w:spacing w:after="0" w:line="203" w:lineRule="exact"/>
              <w:rPr>
                <w:sz w:val="20"/>
                <w:szCs w:val="20"/>
                <w:color w:val="auto"/>
              </w:rPr>
            </w:pPr>
            <w:r>
              <w:rPr>
                <w:rFonts w:ascii="Arial" w:cs="Arial" w:eastAsia="Arial" w:hAnsi="Arial"/>
                <w:sz w:val="18"/>
                <w:szCs w:val="18"/>
                <w:b w:val="1"/>
                <w:bCs w:val="1"/>
                <w:color w:val="auto"/>
                <w:w w:val="98"/>
              </w:rPr>
              <w:t>October 31, 2020</w:t>
            </w:r>
          </w:p>
        </w:tc>
        <w:tc>
          <w:tcPr>
            <w:tcW w:w="0" w:type="dxa"/>
            <w:vAlign w:val="bottom"/>
          </w:tcPr>
          <w:p>
            <w:pPr>
              <w:spacing w:after="0"/>
              <w:rPr>
                <w:sz w:val="1"/>
                <w:szCs w:val="1"/>
                <w:color w:val="auto"/>
              </w:rPr>
            </w:pPr>
          </w:p>
        </w:tc>
      </w:tr>
      <w:tr>
        <w:trPr>
          <w:trHeight w:val="123"/>
        </w:trPr>
        <w:tc>
          <w:tcPr>
            <w:tcW w:w="3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vMerge w:val="restart"/>
          </w:tcPr>
          <w:p>
            <w:pPr>
              <w:jc w:val="center"/>
              <w:ind w:right="210"/>
              <w:spacing w:after="0"/>
              <w:rPr>
                <w:sz w:val="20"/>
                <w:szCs w:val="20"/>
                <w:color w:val="auto"/>
              </w:rPr>
            </w:pPr>
            <w:r>
              <w:rPr>
                <w:rFonts w:ascii="Arial" w:cs="Arial" w:eastAsia="Arial" w:hAnsi="Arial"/>
                <w:sz w:val="18"/>
                <w:szCs w:val="18"/>
                <w:b w:val="1"/>
                <w:bCs w:val="1"/>
                <w:color w:val="auto"/>
                <w:w w:val="99"/>
              </w:rPr>
              <w:t>2022</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0"/>
                <w:szCs w:val="10"/>
                <w:color w:val="auto"/>
              </w:rPr>
            </w:pPr>
          </w:p>
        </w:tc>
        <w:tc>
          <w:tcPr>
            <w:tcW w:w="1760" w:type="dxa"/>
            <w:vAlign w:val="bottom"/>
            <w:gridSpan w:val="3"/>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3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3280" w:type="dxa"/>
            <w:vAlign w:val="bottom"/>
            <w:vMerge w:val="restart"/>
          </w:tcPr>
          <w:p>
            <w:pPr>
              <w:spacing w:after="0"/>
              <w:rPr>
                <w:sz w:val="20"/>
                <w:szCs w:val="20"/>
                <w:color w:val="auto"/>
              </w:rPr>
            </w:pPr>
            <w:r>
              <w:rPr>
                <w:rFonts w:ascii="Arial" w:cs="Arial" w:eastAsia="Arial" w:hAnsi="Arial"/>
                <w:sz w:val="16"/>
                <w:szCs w:val="16"/>
                <w:color w:val="auto"/>
              </w:rPr>
              <w:t>(in millions)</w:t>
            </w: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32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280" w:type="dxa"/>
            <w:vAlign w:val="bottom"/>
          </w:tcPr>
          <w:p>
            <w:pPr>
              <w:spacing w:after="0"/>
              <w:rPr>
                <w:sz w:val="20"/>
                <w:szCs w:val="20"/>
                <w:color w:val="auto"/>
              </w:rPr>
            </w:pPr>
            <w:r>
              <w:rPr>
                <w:rFonts w:ascii="Arial" w:cs="Arial" w:eastAsia="Arial" w:hAnsi="Arial"/>
                <w:sz w:val="18"/>
                <w:szCs w:val="18"/>
                <w:b w:val="1"/>
                <w:bCs w:val="1"/>
                <w:color w:val="auto"/>
              </w:rPr>
              <w:t>Supplemental Cash Flow</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80" w:type="dxa"/>
            <w:vAlign w:val="bottom"/>
          </w:tcPr>
          <w:p>
            <w:pPr>
              <w:ind w:left="180"/>
              <w:spacing w:after="0"/>
              <w:rPr>
                <w:sz w:val="20"/>
                <w:szCs w:val="20"/>
                <w:color w:val="auto"/>
              </w:rPr>
            </w:pPr>
            <w:r>
              <w:rPr>
                <w:rFonts w:ascii="Arial" w:cs="Arial" w:eastAsia="Arial" w:hAnsi="Arial"/>
                <w:sz w:val="18"/>
                <w:szCs w:val="18"/>
                <w:b w:val="1"/>
                <w:bCs w:val="1"/>
                <w:color w:val="auto"/>
              </w:rPr>
              <w:t>Information</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80" w:type="dxa"/>
            <w:vAlign w:val="bottom"/>
          </w:tcPr>
          <w:p>
            <w:pPr>
              <w:ind w:left="180"/>
              <w:spacing w:after="0"/>
              <w:rPr>
                <w:sz w:val="20"/>
                <w:szCs w:val="20"/>
                <w:color w:val="auto"/>
              </w:rPr>
            </w:pPr>
            <w:r>
              <w:rPr>
                <w:rFonts w:ascii="Arial" w:cs="Arial" w:eastAsia="Arial" w:hAnsi="Arial"/>
                <w:sz w:val="18"/>
                <w:szCs w:val="18"/>
                <w:color w:val="auto"/>
              </w:rPr>
              <w:t>Interest paid, net of amount</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80" w:type="dxa"/>
            <w:vAlign w:val="bottom"/>
          </w:tcPr>
          <w:p>
            <w:pPr>
              <w:ind w:left="180"/>
              <w:spacing w:after="0"/>
              <w:rPr>
                <w:sz w:val="20"/>
                <w:szCs w:val="20"/>
                <w:color w:val="auto"/>
              </w:rPr>
            </w:pPr>
            <w:r>
              <w:rPr>
                <w:rFonts w:ascii="Arial" w:cs="Arial" w:eastAsia="Arial" w:hAnsi="Arial"/>
                <w:sz w:val="18"/>
                <w:szCs w:val="18"/>
                <w:color w:val="auto"/>
              </w:rPr>
              <w:t>capitalized . . . . . . . . . . . . . . . . . . . . .</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c>
          <w:tcPr>
            <w:tcW w:w="32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0"/>
        </w:trPr>
        <w:tc>
          <w:tcPr>
            <w:tcW w:w="3280" w:type="dxa"/>
            <w:vAlign w:val="bottom"/>
          </w:tcPr>
          <w:p>
            <w:pPr>
              <w:ind w:left="180"/>
              <w:spacing w:after="0"/>
              <w:rPr>
                <w:sz w:val="20"/>
                <w:szCs w:val="20"/>
                <w:color w:val="auto"/>
              </w:rPr>
            </w:pPr>
            <w:r>
              <w:rPr>
                <w:rFonts w:ascii="Arial" w:cs="Arial" w:eastAsia="Arial" w:hAnsi="Arial"/>
                <w:sz w:val="18"/>
                <w:szCs w:val="18"/>
                <w:color w:val="auto"/>
              </w:rPr>
              <w:t>Income tax paid . . . . . . . . . . . . . . . . .</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32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40" w:type="dxa"/>
            <w:vAlign w:val="bottom"/>
          </w:tcPr>
          <w:p>
            <w:pPr>
              <w:jc w:val="center"/>
              <w:ind w:left="17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40"/>
        </w:trPr>
        <w:tc>
          <w:tcPr>
            <w:tcW w:w="3280" w:type="dxa"/>
            <w:vAlign w:val="bottom"/>
          </w:tcPr>
          <w:p>
            <w:pPr>
              <w:spacing w:after="0"/>
              <w:rPr>
                <w:sz w:val="20"/>
                <w:szCs w:val="20"/>
                <w:color w:val="auto"/>
              </w:rPr>
            </w:pPr>
            <w:r>
              <w:rPr>
                <w:rFonts w:ascii="Arial" w:cs="Arial" w:eastAsia="Arial" w:hAnsi="Arial"/>
                <w:sz w:val="18"/>
                <w:szCs w:val="18"/>
                <w:b w:val="1"/>
                <w:bCs w:val="1"/>
                <w:color w:val="auto"/>
              </w:rPr>
              <w:t>Supplemental Disclosure of</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280" w:type="dxa"/>
            <w:vAlign w:val="bottom"/>
          </w:tcPr>
          <w:p>
            <w:pPr>
              <w:spacing w:after="0"/>
              <w:rPr>
                <w:sz w:val="20"/>
                <w:szCs w:val="20"/>
                <w:color w:val="auto"/>
              </w:rPr>
            </w:pPr>
            <w:r>
              <w:rPr>
                <w:rFonts w:ascii="Arial" w:cs="Arial" w:eastAsia="Arial" w:hAnsi="Arial"/>
                <w:sz w:val="18"/>
                <w:szCs w:val="18"/>
                <w:b w:val="1"/>
                <w:bCs w:val="1"/>
                <w:color w:val="auto"/>
              </w:rPr>
              <w:t>Noncash Investing and Financing</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80" w:type="dxa"/>
            <w:vAlign w:val="bottom"/>
          </w:tcPr>
          <w:p>
            <w:pPr>
              <w:spacing w:after="0"/>
              <w:rPr>
                <w:sz w:val="20"/>
                <w:szCs w:val="20"/>
                <w:color w:val="auto"/>
              </w:rPr>
            </w:pPr>
            <w:r>
              <w:rPr>
                <w:rFonts w:ascii="Arial" w:cs="Arial" w:eastAsia="Arial" w:hAnsi="Arial"/>
                <w:sz w:val="18"/>
                <w:szCs w:val="18"/>
                <w:b w:val="1"/>
                <w:bCs w:val="1"/>
                <w:color w:val="auto"/>
              </w:rPr>
              <w:t>Activities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80" w:type="dxa"/>
            <w:vAlign w:val="bottom"/>
          </w:tcPr>
          <w:p>
            <w:pPr>
              <w:ind w:left="180"/>
              <w:spacing w:after="0"/>
              <w:rPr>
                <w:sz w:val="20"/>
                <w:szCs w:val="20"/>
                <w:color w:val="auto"/>
              </w:rPr>
            </w:pPr>
            <w:r>
              <w:rPr>
                <w:rFonts w:ascii="Arial" w:cs="Arial" w:eastAsia="Arial" w:hAnsi="Arial"/>
                <w:sz w:val="18"/>
                <w:szCs w:val="18"/>
                <w:color w:val="auto"/>
              </w:rPr>
              <w:t>Successor common stock,</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80" w:type="dxa"/>
            <w:vAlign w:val="bottom"/>
          </w:tcPr>
          <w:p>
            <w:pPr>
              <w:ind w:left="180"/>
              <w:spacing w:after="0"/>
              <w:rPr>
                <w:sz w:val="20"/>
                <w:szCs w:val="20"/>
                <w:color w:val="auto"/>
              </w:rPr>
            </w:pPr>
            <w:r>
              <w:rPr>
                <w:rFonts w:ascii="Arial" w:cs="Arial" w:eastAsia="Arial" w:hAnsi="Arial"/>
                <w:sz w:val="18"/>
                <w:szCs w:val="18"/>
                <w:color w:val="auto"/>
              </w:rPr>
              <w:t>Subscription Rights and Warrants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80" w:type="dxa"/>
            <w:vAlign w:val="bottom"/>
          </w:tcPr>
          <w:p>
            <w:pPr>
              <w:ind w:left="180"/>
              <w:spacing w:after="0"/>
              <w:rPr>
                <w:sz w:val="20"/>
                <w:szCs w:val="20"/>
                <w:color w:val="auto"/>
              </w:rPr>
            </w:pPr>
            <w:r>
              <w:rPr>
                <w:rFonts w:ascii="Arial" w:cs="Arial" w:eastAsia="Arial" w:hAnsi="Arial"/>
                <w:sz w:val="18"/>
                <w:szCs w:val="18"/>
                <w:color w:val="auto"/>
              </w:rPr>
              <w:t>issued pursuant to the Plan . . . . . . .</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40" w:type="dxa"/>
            <w:vAlign w:val="bottom"/>
          </w:tcPr>
          <w:p>
            <w:pPr>
              <w:jc w:val="center"/>
              <w:ind w:left="170"/>
              <w:spacing w:after="0"/>
              <w:rPr>
                <w:sz w:val="20"/>
                <w:szCs w:val="20"/>
                <w:color w:val="auto"/>
              </w:rPr>
            </w:pPr>
            <w:r>
              <w:rPr>
                <w:rFonts w:ascii="Arial" w:cs="Arial" w:eastAsia="Arial" w:hAnsi="Arial"/>
                <w:sz w:val="18"/>
                <w:szCs w:val="18"/>
                <w:color w:val="auto"/>
                <w:w w:val="99"/>
              </w:rPr>
              <w:t>(494)</w:t>
            </w:r>
          </w:p>
        </w:tc>
        <w:tc>
          <w:tcPr>
            <w:tcW w:w="0" w:type="dxa"/>
            <w:vAlign w:val="bottom"/>
          </w:tcPr>
          <w:p>
            <w:pPr>
              <w:spacing w:after="0"/>
              <w:rPr>
                <w:sz w:val="1"/>
                <w:szCs w:val="1"/>
                <w:color w:val="auto"/>
              </w:rPr>
            </w:pPr>
          </w:p>
        </w:tc>
      </w:tr>
      <w:tr>
        <w:trPr>
          <w:trHeight w:val="220"/>
        </w:trPr>
        <w:tc>
          <w:tcPr>
            <w:tcW w:w="3280" w:type="dxa"/>
            <w:vAlign w:val="bottom"/>
          </w:tcPr>
          <w:p>
            <w:pPr>
              <w:ind w:left="180"/>
              <w:spacing w:after="0"/>
              <w:rPr>
                <w:sz w:val="20"/>
                <w:szCs w:val="20"/>
                <w:color w:val="auto"/>
              </w:rPr>
            </w:pPr>
            <w:r>
              <w:rPr>
                <w:rFonts w:ascii="Arial" w:cs="Arial" w:eastAsia="Arial" w:hAnsi="Arial"/>
                <w:sz w:val="18"/>
                <w:szCs w:val="18"/>
                <w:color w:val="auto"/>
              </w:rPr>
              <w:t>Successor common stock issued for</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80" w:type="dxa"/>
            <w:vAlign w:val="bottom"/>
          </w:tcPr>
          <w:p>
            <w:pPr>
              <w:ind w:left="180"/>
              <w:spacing w:after="0"/>
              <w:rPr>
                <w:sz w:val="20"/>
                <w:szCs w:val="20"/>
                <w:color w:val="auto"/>
              </w:rPr>
            </w:pPr>
            <w:r>
              <w:rPr>
                <w:rFonts w:ascii="Arial" w:cs="Arial" w:eastAsia="Arial" w:hAnsi="Arial"/>
                <w:sz w:val="18"/>
                <w:szCs w:val="18"/>
                <w:color w:val="auto"/>
              </w:rPr>
              <w:t>the junior debtor-in-possession exit</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80" w:type="dxa"/>
            <w:vAlign w:val="bottom"/>
          </w:tcPr>
          <w:p>
            <w:pPr>
              <w:ind w:left="180"/>
              <w:spacing w:after="0"/>
              <w:rPr>
                <w:sz w:val="20"/>
                <w:szCs w:val="20"/>
                <w:color w:val="auto"/>
              </w:rPr>
            </w:pPr>
            <w:r>
              <w:rPr>
                <w:rFonts w:ascii="Arial" w:cs="Arial" w:eastAsia="Arial" w:hAnsi="Arial"/>
                <w:sz w:val="18"/>
                <w:szCs w:val="18"/>
                <w:color w:val="auto"/>
              </w:rPr>
              <w:t>fee pursuant to the Plan . . . . . . . . . .</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0"/>
        </w:trPr>
        <w:tc>
          <w:tcPr>
            <w:tcW w:w="3280" w:type="dxa"/>
            <w:vAlign w:val="bottom"/>
          </w:tcPr>
          <w:p>
            <w:pPr>
              <w:ind w:left="180"/>
              <w:spacing w:after="0"/>
              <w:rPr>
                <w:sz w:val="20"/>
                <w:szCs w:val="20"/>
                <w:color w:val="auto"/>
              </w:rPr>
            </w:pPr>
            <w:r>
              <w:rPr>
                <w:rFonts w:ascii="Arial" w:cs="Arial" w:eastAsia="Arial" w:hAnsi="Arial"/>
                <w:sz w:val="18"/>
                <w:szCs w:val="18"/>
                <w:color w:val="auto"/>
              </w:rPr>
              <w:t>Successor common stock and EHP</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80" w:type="dxa"/>
            <w:vAlign w:val="bottom"/>
          </w:tcPr>
          <w:p>
            <w:pPr>
              <w:ind w:left="180"/>
              <w:spacing w:after="0"/>
              <w:rPr>
                <w:sz w:val="20"/>
                <w:szCs w:val="20"/>
                <w:color w:val="auto"/>
              </w:rPr>
            </w:pPr>
            <w:r>
              <w:rPr>
                <w:rFonts w:ascii="Arial" w:cs="Arial" w:eastAsia="Arial" w:hAnsi="Arial"/>
                <w:sz w:val="18"/>
                <w:szCs w:val="18"/>
                <w:color w:val="auto"/>
              </w:rPr>
              <w:t>Notes issued for acquisition of</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80" w:type="dxa"/>
            <w:vAlign w:val="bottom"/>
          </w:tcPr>
          <w:p>
            <w:pPr>
              <w:ind w:left="180"/>
              <w:spacing w:after="0"/>
              <w:rPr>
                <w:sz w:val="20"/>
                <w:szCs w:val="20"/>
                <w:color w:val="auto"/>
              </w:rPr>
            </w:pPr>
            <w:r>
              <w:rPr>
                <w:rFonts w:ascii="Arial" w:cs="Arial" w:eastAsia="Arial" w:hAnsi="Arial"/>
                <w:sz w:val="18"/>
                <w:szCs w:val="18"/>
                <w:color w:val="auto"/>
              </w:rPr>
              <w:t>noncontrolling interest pursuant to</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80" w:type="dxa"/>
            <w:vAlign w:val="bottom"/>
          </w:tcPr>
          <w:p>
            <w:pPr>
              <w:ind w:left="180"/>
              <w:spacing w:after="0"/>
              <w:rPr>
                <w:sz w:val="20"/>
                <w:szCs w:val="20"/>
                <w:color w:val="auto"/>
              </w:rPr>
            </w:pPr>
            <w:r>
              <w:rPr>
                <w:rFonts w:ascii="Arial" w:cs="Arial" w:eastAsia="Arial" w:hAnsi="Arial"/>
                <w:sz w:val="18"/>
                <w:szCs w:val="18"/>
                <w:color w:val="auto"/>
              </w:rPr>
              <w:t>the Plan . . . . . . . . . . . . . . . . . . . . . . .</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40" w:type="dxa"/>
            <w:vAlign w:val="bottom"/>
          </w:tcPr>
          <w:p>
            <w:pPr>
              <w:jc w:val="center"/>
              <w:ind w:left="170"/>
              <w:spacing w:after="0"/>
              <w:rPr>
                <w:sz w:val="20"/>
                <w:szCs w:val="20"/>
                <w:color w:val="auto"/>
              </w:rPr>
            </w:pPr>
            <w:r>
              <w:rPr>
                <w:rFonts w:ascii="Arial" w:cs="Arial" w:eastAsia="Arial" w:hAnsi="Arial"/>
                <w:sz w:val="18"/>
                <w:szCs w:val="18"/>
                <w:color w:val="auto"/>
                <w:w w:val="99"/>
              </w:rPr>
              <w:t>(561)</w:t>
            </w:r>
          </w:p>
        </w:tc>
        <w:tc>
          <w:tcPr>
            <w:tcW w:w="0" w:type="dxa"/>
            <w:vAlign w:val="bottom"/>
          </w:tcPr>
          <w:p>
            <w:pPr>
              <w:spacing w:after="0"/>
              <w:rPr>
                <w:sz w:val="1"/>
                <w:szCs w:val="1"/>
                <w:color w:val="auto"/>
              </w:rPr>
            </w:pPr>
          </w:p>
        </w:tc>
      </w:tr>
      <w:tr>
        <w:trPr>
          <w:trHeight w:val="220"/>
        </w:trPr>
        <w:tc>
          <w:tcPr>
            <w:tcW w:w="3280" w:type="dxa"/>
            <w:vAlign w:val="bottom"/>
          </w:tcPr>
          <w:p>
            <w:pPr>
              <w:ind w:left="180"/>
              <w:spacing w:after="0"/>
              <w:rPr>
                <w:sz w:val="20"/>
                <w:szCs w:val="20"/>
                <w:color w:val="auto"/>
              </w:rPr>
            </w:pPr>
            <w:r>
              <w:rPr>
                <w:rFonts w:ascii="Arial" w:cs="Arial" w:eastAsia="Arial" w:hAnsi="Arial"/>
                <w:sz w:val="18"/>
                <w:szCs w:val="18"/>
                <w:color w:val="auto"/>
              </w:rPr>
              <w:t>Successor common stock issued for</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80" w:type="dxa"/>
            <w:vAlign w:val="bottom"/>
          </w:tcPr>
          <w:p>
            <w:pPr>
              <w:ind w:left="180"/>
              <w:spacing w:after="0"/>
              <w:rPr>
                <w:sz w:val="20"/>
                <w:szCs w:val="20"/>
                <w:color w:val="auto"/>
              </w:rPr>
            </w:pPr>
            <w:r>
              <w:rPr>
                <w:rFonts w:ascii="Arial" w:cs="Arial" w:eastAsia="Arial" w:hAnsi="Arial"/>
                <w:sz w:val="18"/>
                <w:szCs w:val="18"/>
                <w:color w:val="auto"/>
              </w:rPr>
              <w:t>a backstop commitment premium</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80" w:type="dxa"/>
            <w:vAlign w:val="bottom"/>
          </w:tcPr>
          <w:p>
            <w:pPr>
              <w:ind w:left="180"/>
              <w:spacing w:after="0"/>
              <w:rPr>
                <w:sz w:val="20"/>
                <w:szCs w:val="20"/>
                <w:color w:val="auto"/>
              </w:rPr>
            </w:pPr>
            <w:r>
              <w:rPr>
                <w:rFonts w:ascii="Arial" w:cs="Arial" w:eastAsia="Arial" w:hAnsi="Arial"/>
                <w:sz w:val="18"/>
                <w:szCs w:val="18"/>
                <w:color w:val="auto"/>
              </w:rPr>
              <w:t>pursuant to the Plan . . . . . . . . . . . . .</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0"/>
        </w:trPr>
        <w:tc>
          <w:tcPr>
            <w:tcW w:w="3280" w:type="dxa"/>
            <w:vAlign w:val="bottom"/>
          </w:tcPr>
          <w:p>
            <w:pPr>
              <w:ind w:left="180"/>
              <w:spacing w:after="0"/>
              <w:rPr>
                <w:sz w:val="20"/>
                <w:szCs w:val="20"/>
                <w:color w:val="auto"/>
              </w:rPr>
            </w:pPr>
            <w:r>
              <w:rPr>
                <w:rFonts w:ascii="Arial" w:cs="Arial" w:eastAsia="Arial" w:hAnsi="Arial"/>
                <w:sz w:val="18"/>
                <w:szCs w:val="18"/>
                <w:color w:val="auto"/>
              </w:rPr>
              <w:t>Derivative related to additional</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80" w:type="dxa"/>
            <w:vAlign w:val="bottom"/>
          </w:tcPr>
          <w:p>
            <w:pPr>
              <w:ind w:left="180"/>
              <w:spacing w:after="0"/>
              <w:rPr>
                <w:sz w:val="20"/>
                <w:szCs w:val="20"/>
                <w:color w:val="auto"/>
              </w:rPr>
            </w:pPr>
            <w:r>
              <w:rPr>
                <w:rFonts w:ascii="Arial" w:cs="Arial" w:eastAsia="Arial" w:hAnsi="Arial"/>
                <w:sz w:val="18"/>
                <w:szCs w:val="18"/>
                <w:color w:val="auto"/>
              </w:rPr>
              <w:t>earn-out consideration for the</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80" w:type="dxa"/>
            <w:vAlign w:val="bottom"/>
          </w:tcPr>
          <w:p>
            <w:pPr>
              <w:ind w:left="180"/>
              <w:spacing w:after="0"/>
              <w:rPr>
                <w:sz w:val="20"/>
                <w:szCs w:val="20"/>
                <w:color w:val="auto"/>
              </w:rPr>
            </w:pPr>
            <w:r>
              <w:rPr>
                <w:rFonts w:ascii="Arial" w:cs="Arial" w:eastAsia="Arial" w:hAnsi="Arial"/>
                <w:sz w:val="18"/>
                <w:szCs w:val="18"/>
                <w:color w:val="auto"/>
              </w:rPr>
              <w:t>Ventura divestiture  . . . . . . . . . . . . . .</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40" w:type="dxa"/>
            <w:vAlign w:val="bottom"/>
          </w:tcPr>
          <w:p>
            <w:pPr>
              <w:jc w:val="center"/>
              <w:ind w:left="17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0"/>
        </w:trPr>
        <w:tc>
          <w:tcPr>
            <w:tcW w:w="3280" w:type="dxa"/>
            <w:vAlign w:val="bottom"/>
          </w:tcPr>
          <w:p>
            <w:pPr>
              <w:ind w:left="180"/>
              <w:spacing w:after="0"/>
              <w:rPr>
                <w:sz w:val="20"/>
                <w:szCs w:val="20"/>
                <w:color w:val="auto"/>
              </w:rPr>
            </w:pPr>
            <w:r>
              <w:rPr>
                <w:rFonts w:ascii="Arial" w:cs="Arial" w:eastAsia="Arial" w:hAnsi="Arial"/>
                <w:sz w:val="18"/>
                <w:szCs w:val="18"/>
                <w:color w:val="auto"/>
              </w:rPr>
              <w:t>Receivable from affiliate . . . . . . . . . .</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32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40" w:type="dxa"/>
            <w:vAlign w:val="bottom"/>
          </w:tcPr>
          <w:p>
            <w:pPr>
              <w:jc w:val="center"/>
              <w:ind w:left="17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0"/>
        </w:trPr>
        <w:tc>
          <w:tcPr>
            <w:tcW w:w="3280" w:type="dxa"/>
            <w:vAlign w:val="bottom"/>
          </w:tcPr>
          <w:p>
            <w:pPr>
              <w:ind w:left="180"/>
              <w:spacing w:after="0"/>
              <w:rPr>
                <w:sz w:val="20"/>
                <w:szCs w:val="20"/>
                <w:color w:val="auto"/>
              </w:rPr>
            </w:pPr>
            <w:r>
              <w:rPr>
                <w:rFonts w:ascii="Arial" w:cs="Arial" w:eastAsia="Arial" w:hAnsi="Arial"/>
                <w:sz w:val="18"/>
                <w:szCs w:val="18"/>
                <w:color w:val="auto"/>
              </w:rPr>
              <w:t>Dividends accrued for stock-based</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80" w:type="dxa"/>
            <w:vAlign w:val="bottom"/>
          </w:tcPr>
          <w:p>
            <w:pPr>
              <w:ind w:left="180"/>
              <w:spacing w:after="0"/>
              <w:rPr>
                <w:sz w:val="20"/>
                <w:szCs w:val="20"/>
                <w:color w:val="auto"/>
              </w:rPr>
            </w:pPr>
            <w:r>
              <w:rPr>
                <w:rFonts w:ascii="Arial" w:cs="Arial" w:eastAsia="Arial" w:hAnsi="Arial"/>
                <w:sz w:val="18"/>
                <w:szCs w:val="18"/>
                <w:color w:val="auto"/>
              </w:rPr>
              <w:t>compensation awards . . . . . . . . . . . .</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40" w:type="dxa"/>
            <w:vAlign w:val="bottom"/>
          </w:tcPr>
          <w:p>
            <w:pPr>
              <w:jc w:val="center"/>
              <w:ind w:left="17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0"/>
        </w:trPr>
        <w:tc>
          <w:tcPr>
            <w:tcW w:w="3280" w:type="dxa"/>
            <w:vAlign w:val="bottom"/>
          </w:tcPr>
          <w:p>
            <w:pPr>
              <w:ind w:left="180"/>
              <w:spacing w:after="0"/>
              <w:rPr>
                <w:sz w:val="20"/>
                <w:szCs w:val="20"/>
                <w:color w:val="auto"/>
              </w:rPr>
            </w:pPr>
            <w:r>
              <w:rPr>
                <w:rFonts w:ascii="Arial" w:cs="Arial" w:eastAsia="Arial" w:hAnsi="Arial"/>
                <w:sz w:val="18"/>
                <w:szCs w:val="18"/>
                <w:color w:val="auto"/>
              </w:rPr>
              <w:t>Contribution to the Carbon</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3280" w:type="dxa"/>
            <w:vAlign w:val="bottom"/>
            <w:vMerge w:val="restart"/>
          </w:tcPr>
          <w:p>
            <w:pPr>
              <w:ind w:left="180"/>
              <w:spacing w:after="0"/>
              <w:rPr>
                <w:sz w:val="20"/>
                <w:szCs w:val="20"/>
                <w:color w:val="auto"/>
              </w:rPr>
            </w:pPr>
            <w:r>
              <w:rPr>
                <w:rFonts w:ascii="Arial" w:cs="Arial" w:eastAsia="Arial" w:hAnsi="Arial"/>
                <w:sz w:val="18"/>
                <w:szCs w:val="18"/>
                <w:color w:val="auto"/>
              </w:rPr>
              <w:t>TerraVault JV  . . . . . . . . . . . . . . . . . .</w:t>
            </w:r>
          </w:p>
        </w:tc>
        <w:tc>
          <w:tcPr>
            <w:tcW w:w="28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320" w:type="dxa"/>
            <w:vAlign w:val="bottom"/>
            <w:gridSpan w:val="2"/>
            <w:vMerge w:val="restart"/>
          </w:tcPr>
          <w:p>
            <w:pPr>
              <w:jc w:val="right"/>
              <w:ind w:right="23"/>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66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center"/>
              <w:ind w:left="17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1"/>
        </w:trPr>
        <w:tc>
          <w:tcPr>
            <w:tcW w:w="3280" w:type="dxa"/>
            <w:vAlign w:val="bottom"/>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320" w:type="dxa"/>
            <w:vAlign w:val="bottom"/>
            <w:gridSpan w:val="2"/>
            <w:vMerge w:val="continue"/>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auto"/>
        </w:rPr>
        <w:t>NOTE 2</w:t>
        <w:tab/>
        <w:t>PROPERTY, PLANT AND EQUIPMENT</w:t>
      </w:r>
    </w:p>
    <w:p>
      <w:pPr>
        <w:spacing w:after="0" w:line="214" w:lineRule="exact"/>
        <w:rPr>
          <w:sz w:val="20"/>
          <w:szCs w:val="20"/>
          <w:color w:val="auto"/>
        </w:rPr>
      </w:pPr>
    </w:p>
    <w:p>
      <w:pPr>
        <w:ind w:right="20" w:firstLine="300"/>
        <w:spacing w:after="0" w:line="248" w:lineRule="auto"/>
        <w:rPr>
          <w:sz w:val="20"/>
          <w:szCs w:val="20"/>
          <w:color w:val="auto"/>
        </w:rPr>
      </w:pPr>
      <w:r>
        <w:rPr>
          <w:rFonts w:ascii="Arial" w:cs="Arial" w:eastAsia="Arial" w:hAnsi="Arial"/>
          <w:sz w:val="20"/>
          <w:szCs w:val="20"/>
          <w:color w:val="auto"/>
        </w:rPr>
        <w:t>We capitalize the costs incurred to acquire or develop our oil and natural gas assets, including ARO and interest. For asset acquisitions, purchase price, including liabilities assumed, is allocated to acquired assets based on relative fair values at the acquisition date. We evaluate long-lived assets on a quarterly basis for possible impairment.</w:t>
      </w:r>
    </w:p>
    <w:p>
      <w:pPr>
        <w:sectPr>
          <w:pgSz w:w="11880" w:h="15480" w:orient="portrait"/>
          <w:cols w:equalWidth="0" w:num="1">
            <w:col w:w="9120"/>
          </w:cols>
          <w:pgMar w:left="1380" w:top="1310" w:right="138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112</w:t>
      </w:r>
    </w:p>
    <w:p>
      <w:pPr>
        <w:sectPr>
          <w:pgSz w:w="11880" w:h="15480" w:orient="portrait"/>
          <w:cols w:equalWidth="0" w:num="1">
            <w:col w:w="9120"/>
          </w:cols>
          <w:pgMar w:left="1380" w:top="1310" w:right="1380" w:bottom="661" w:gutter="0" w:footer="0" w:header="0"/>
          <w:type w:val="continuous"/>
        </w:sectPr>
      </w:pPr>
    </w:p>
    <w:bookmarkStart w:id="116" w:name="page117"/>
    <w:bookmarkEnd w:id="116"/>
    <w:tbl>
      <w:tblPr>
        <w:tblLayout w:type="fixed"/>
        <w:tblInd w:w="0" w:type="dxa"/>
        <w:tblCellMar>
          <w:top w:w="0" w:type="dxa"/>
          <w:left w:w="0" w:type="dxa"/>
          <w:bottom w:w="0" w:type="dxa"/>
          <w:right w:w="0" w:type="dxa"/>
        </w:tblCellMar>
      </w:tblPr>
      <w:tr>
        <w:trPr>
          <w:trHeight w:val="230"/>
        </w:trPr>
        <w:tc>
          <w:tcPr>
            <w:tcW w:w="5860" w:type="dxa"/>
            <w:vAlign w:val="bottom"/>
          </w:tcPr>
          <w:p>
            <w:pPr>
              <w:jc w:val="right"/>
              <w:ind w:right="40"/>
              <w:spacing w:after="0"/>
              <w:rPr>
                <w:sz w:val="20"/>
                <w:szCs w:val="20"/>
                <w:color w:val="auto"/>
              </w:rPr>
            </w:pPr>
            <w:r>
              <w:rPr>
                <w:rFonts w:ascii="Arial" w:cs="Arial" w:eastAsia="Arial" w:hAnsi="Arial"/>
                <w:sz w:val="20"/>
                <w:szCs w:val="20"/>
                <w:color w:val="auto"/>
              </w:rPr>
              <w:t>Property, plant and equipment, net consisted of the following:</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72"/>
        </w:trPr>
        <w:tc>
          <w:tcPr>
            <w:tcW w:w="5860" w:type="dxa"/>
            <w:vAlign w:val="bottom"/>
          </w:tcPr>
          <w:p>
            <w:pPr>
              <w:spacing w:after="0"/>
              <w:rPr>
                <w:sz w:val="24"/>
                <w:szCs w:val="24"/>
                <w:color w:val="auto"/>
              </w:rPr>
            </w:pPr>
          </w:p>
        </w:tc>
        <w:tc>
          <w:tcPr>
            <w:tcW w:w="1540" w:type="dxa"/>
            <w:vAlign w:val="bottom"/>
            <w:gridSpan w:val="2"/>
          </w:tcPr>
          <w:p>
            <w:pPr>
              <w:jc w:val="right"/>
              <w:ind w:right="23"/>
              <w:spacing w:after="0"/>
              <w:rPr>
                <w:sz w:val="20"/>
                <w:szCs w:val="20"/>
                <w:color w:val="auto"/>
              </w:rPr>
            </w:pPr>
            <w:r>
              <w:rPr>
                <w:rFonts w:ascii="Arial" w:cs="Arial" w:eastAsia="Arial" w:hAnsi="Arial"/>
                <w:sz w:val="20"/>
                <w:szCs w:val="20"/>
                <w:b w:val="1"/>
                <w:bCs w:val="1"/>
                <w:color w:val="auto"/>
              </w:rPr>
              <w:t>December 31,</w:t>
            </w:r>
          </w:p>
        </w:tc>
        <w:tc>
          <w:tcPr>
            <w:tcW w:w="200" w:type="dxa"/>
            <w:vAlign w:val="bottom"/>
          </w:tcPr>
          <w:p>
            <w:pPr>
              <w:spacing w:after="0"/>
              <w:rPr>
                <w:sz w:val="24"/>
                <w:szCs w:val="24"/>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December 31,</w:t>
            </w:r>
          </w:p>
        </w:tc>
      </w:tr>
      <w:tr>
        <w:trPr>
          <w:trHeight w:val="228"/>
        </w:trPr>
        <w:tc>
          <w:tcPr>
            <w:tcW w:w="5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443"/>
              <w:spacing w:after="0" w:line="228" w:lineRule="exact"/>
              <w:rPr>
                <w:sz w:val="20"/>
                <w:szCs w:val="20"/>
                <w:color w:val="auto"/>
              </w:rPr>
            </w:pPr>
            <w:r>
              <w:rPr>
                <w:rFonts w:ascii="Arial" w:cs="Arial" w:eastAsia="Arial" w:hAnsi="Arial"/>
                <w:sz w:val="20"/>
                <w:szCs w:val="20"/>
                <w:b w:val="1"/>
                <w:bCs w:val="1"/>
                <w:color w:val="auto"/>
              </w:rPr>
              <w:t>2022</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ind w:right="440"/>
              <w:spacing w:after="0" w:line="228" w:lineRule="exact"/>
              <w:rPr>
                <w:sz w:val="20"/>
                <w:szCs w:val="20"/>
                <w:color w:val="auto"/>
              </w:rPr>
            </w:pPr>
            <w:r>
              <w:rPr>
                <w:rFonts w:ascii="Arial" w:cs="Arial" w:eastAsia="Arial" w:hAnsi="Arial"/>
                <w:sz w:val="20"/>
                <w:szCs w:val="20"/>
                <w:b w:val="1"/>
                <w:bCs w:val="1"/>
                <w:color w:val="auto"/>
              </w:rPr>
              <w:t>2021</w:t>
            </w:r>
          </w:p>
        </w:tc>
      </w:tr>
      <w:tr>
        <w:trPr>
          <w:trHeight w:val="20"/>
        </w:trPr>
        <w:tc>
          <w:tcPr>
            <w:tcW w:w="5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2"/>
        </w:trPr>
        <w:tc>
          <w:tcPr>
            <w:tcW w:w="5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20"/>
              <w:spacing w:after="0"/>
              <w:rPr>
                <w:sz w:val="20"/>
                <w:szCs w:val="20"/>
                <w:color w:val="auto"/>
              </w:rPr>
            </w:pPr>
            <w:r>
              <w:rPr>
                <w:rFonts w:ascii="Arial" w:cs="Arial" w:eastAsia="Arial" w:hAnsi="Arial"/>
                <w:sz w:val="16"/>
                <w:szCs w:val="16"/>
                <w:color w:val="auto"/>
              </w:rPr>
              <w:t>(in millions)</w:t>
            </w:r>
          </w:p>
        </w:tc>
        <w:tc>
          <w:tcPr>
            <w:tcW w:w="1100" w:type="dxa"/>
            <w:vAlign w:val="bottom"/>
          </w:tcPr>
          <w:p>
            <w:pPr>
              <w:spacing w:after="0"/>
              <w:rPr>
                <w:sz w:val="16"/>
                <w:szCs w:val="16"/>
                <w:color w:val="auto"/>
              </w:rPr>
            </w:pPr>
          </w:p>
        </w:tc>
      </w:tr>
      <w:tr>
        <w:trPr>
          <w:trHeight w:val="248"/>
        </w:trPr>
        <w:tc>
          <w:tcPr>
            <w:tcW w:w="5860" w:type="dxa"/>
            <w:vAlign w:val="bottom"/>
          </w:tcPr>
          <w:p>
            <w:pPr>
              <w:jc w:val="right"/>
              <w:ind w:right="100"/>
              <w:spacing w:after="0"/>
              <w:rPr>
                <w:sz w:val="20"/>
                <w:szCs w:val="20"/>
                <w:color w:val="auto"/>
              </w:rPr>
            </w:pPr>
            <w:r>
              <w:rPr>
                <w:rFonts w:ascii="Arial" w:cs="Arial" w:eastAsia="Arial" w:hAnsi="Arial"/>
                <w:sz w:val="20"/>
                <w:szCs w:val="20"/>
                <w:color w:val="auto"/>
                <w:w w:val="97"/>
              </w:rPr>
              <w:t>Proved oil and natural gas properties  . . . . . . . . . . . . . . . . . . . . . .</w:t>
            </w:r>
          </w:p>
        </w:tc>
        <w:tc>
          <w:tcPr>
            <w:tcW w:w="360" w:type="dxa"/>
            <w:vAlign w:val="bottom"/>
          </w:tcPr>
          <w:p>
            <w:pPr>
              <w:jc w:val="right"/>
              <w:ind w:right="10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2,972</w:t>
            </w:r>
          </w:p>
        </w:tc>
        <w:tc>
          <w:tcPr>
            <w:tcW w:w="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2,604</w:t>
            </w:r>
          </w:p>
        </w:tc>
      </w:tr>
      <w:tr>
        <w:trPr>
          <w:trHeight w:val="240"/>
        </w:trPr>
        <w:tc>
          <w:tcPr>
            <w:tcW w:w="5860" w:type="dxa"/>
            <w:vAlign w:val="bottom"/>
          </w:tcPr>
          <w:p>
            <w:pPr>
              <w:jc w:val="right"/>
              <w:ind w:right="100"/>
              <w:spacing w:after="0"/>
              <w:rPr>
                <w:sz w:val="20"/>
                <w:szCs w:val="20"/>
                <w:color w:val="auto"/>
              </w:rPr>
            </w:pPr>
            <w:r>
              <w:rPr>
                <w:rFonts w:ascii="Arial" w:cs="Arial" w:eastAsia="Arial" w:hAnsi="Arial"/>
                <w:sz w:val="20"/>
                <w:szCs w:val="20"/>
                <w:color w:val="auto"/>
                <w:w w:val="98"/>
              </w:rPr>
              <w:t>Unproved oil and natural gas properties . . . . . . . . . . . . . . . . . . . .</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40"/>
        </w:trPr>
        <w:tc>
          <w:tcPr>
            <w:tcW w:w="5860" w:type="dxa"/>
            <w:vAlign w:val="bottom"/>
          </w:tcPr>
          <w:p>
            <w:pPr>
              <w:jc w:val="right"/>
              <w:ind w:right="100"/>
              <w:spacing w:after="0"/>
              <w:rPr>
                <w:sz w:val="20"/>
                <w:szCs w:val="20"/>
                <w:color w:val="auto"/>
              </w:rPr>
            </w:pPr>
            <w:r>
              <w:rPr>
                <w:rFonts w:ascii="Arial" w:cs="Arial" w:eastAsia="Arial" w:hAnsi="Arial"/>
                <w:sz w:val="20"/>
                <w:szCs w:val="20"/>
                <w:color w:val="auto"/>
                <w:w w:val="96"/>
              </w:rPr>
              <w:t>Facilities and other  . . . . . . . . . . . . . . . . . . . . . . . . . . . . . . . . . . . . .</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254</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240</w:t>
            </w:r>
          </w:p>
        </w:tc>
      </w:tr>
      <w:tr>
        <w:trPr>
          <w:trHeight w:val="30"/>
        </w:trPr>
        <w:tc>
          <w:tcPr>
            <w:tcW w:w="5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0"/>
        </w:trPr>
        <w:tc>
          <w:tcPr>
            <w:tcW w:w="5860" w:type="dxa"/>
            <w:vAlign w:val="bottom"/>
          </w:tcPr>
          <w:p>
            <w:pPr>
              <w:jc w:val="right"/>
              <w:ind w:right="100"/>
              <w:spacing w:after="0"/>
              <w:rPr>
                <w:sz w:val="20"/>
                <w:szCs w:val="20"/>
                <w:color w:val="auto"/>
              </w:rPr>
            </w:pPr>
            <w:r>
              <w:rPr>
                <w:rFonts w:ascii="Arial" w:cs="Arial" w:eastAsia="Arial" w:hAnsi="Arial"/>
                <w:sz w:val="20"/>
                <w:szCs w:val="20"/>
                <w:color w:val="auto"/>
              </w:rPr>
              <w:t>Total property, plant and equipment  . . . . . . . . . . . . . . . . . . .</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3,228</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2,845</w:t>
            </w:r>
          </w:p>
        </w:tc>
      </w:tr>
      <w:tr>
        <w:trPr>
          <w:trHeight w:val="240"/>
        </w:trPr>
        <w:tc>
          <w:tcPr>
            <w:tcW w:w="5860" w:type="dxa"/>
            <w:vAlign w:val="bottom"/>
          </w:tcPr>
          <w:p>
            <w:pPr>
              <w:jc w:val="right"/>
              <w:ind w:right="100"/>
              <w:spacing w:after="0"/>
              <w:rPr>
                <w:sz w:val="20"/>
                <w:szCs w:val="20"/>
                <w:color w:val="auto"/>
              </w:rPr>
            </w:pPr>
            <w:r>
              <w:rPr>
                <w:rFonts w:ascii="Arial" w:cs="Arial" w:eastAsia="Arial" w:hAnsi="Arial"/>
                <w:sz w:val="20"/>
                <w:szCs w:val="20"/>
                <w:color w:val="auto"/>
                <w:w w:val="99"/>
              </w:rPr>
              <w:t>Accumulated depreciation, depletion and amortization . . . . . . . .</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(442)</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(246)</w:t>
            </w:r>
          </w:p>
        </w:tc>
      </w:tr>
      <w:tr>
        <w:trPr>
          <w:trHeight w:val="30"/>
        </w:trPr>
        <w:tc>
          <w:tcPr>
            <w:tcW w:w="5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0"/>
        </w:trPr>
        <w:tc>
          <w:tcPr>
            <w:tcW w:w="5860" w:type="dxa"/>
            <w:vAlign w:val="bottom"/>
          </w:tcPr>
          <w:p>
            <w:pPr>
              <w:jc w:val="right"/>
              <w:ind w:right="100"/>
              <w:spacing w:after="0"/>
              <w:rPr>
                <w:sz w:val="20"/>
                <w:szCs w:val="20"/>
                <w:color w:val="auto"/>
              </w:rPr>
            </w:pPr>
            <w:r>
              <w:rPr>
                <w:rFonts w:ascii="Arial" w:cs="Arial" w:eastAsia="Arial" w:hAnsi="Arial"/>
                <w:sz w:val="20"/>
                <w:szCs w:val="20"/>
                <w:color w:val="auto"/>
              </w:rPr>
              <w:t>Total property, plant and equipment, net . . . . . . . . . . . . . . . .</w:t>
            </w:r>
          </w:p>
        </w:tc>
        <w:tc>
          <w:tcPr>
            <w:tcW w:w="360" w:type="dxa"/>
            <w:vAlign w:val="bottom"/>
          </w:tcPr>
          <w:p>
            <w:pPr>
              <w:jc w:val="right"/>
              <w:ind w:right="10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2,786</w:t>
            </w:r>
          </w:p>
        </w:tc>
        <w:tc>
          <w:tcPr>
            <w:tcW w:w="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2,599</w:t>
            </w:r>
          </w:p>
        </w:tc>
      </w:tr>
      <w:tr>
        <w:trPr>
          <w:trHeight w:val="30"/>
        </w:trPr>
        <w:tc>
          <w:tcPr>
            <w:tcW w:w="5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The following table summarizes the activity of capitalized exploratory well costs: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2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Successor</w:t>
            </w:r>
          </w:p>
        </w:tc>
        <w:tc>
          <w:tcPr>
            <w:tcW w:w="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99"/>
              </w:rPr>
              <w:t>Predecessor</w:t>
            </w:r>
          </w:p>
        </w:tc>
        <w:tc>
          <w:tcPr>
            <w:tcW w:w="0" w:type="dxa"/>
            <w:vAlign w:val="bottom"/>
          </w:tcPr>
          <w:p>
            <w:pPr>
              <w:spacing w:after="0"/>
              <w:rPr>
                <w:sz w:val="1"/>
                <w:szCs w:val="1"/>
                <w:color w:val="auto"/>
              </w:rPr>
            </w:pPr>
          </w:p>
        </w:tc>
      </w:tr>
      <w:tr>
        <w:trPr>
          <w:trHeight w:val="180"/>
        </w:trPr>
        <w:tc>
          <w:tcPr>
            <w:tcW w:w="3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3"/>
          </w:tcPr>
          <w:p>
            <w:pPr>
              <w:jc w:val="center"/>
              <w:ind w:right="60"/>
              <w:spacing w:after="0" w:line="180" w:lineRule="exact"/>
              <w:rPr>
                <w:sz w:val="20"/>
                <w:szCs w:val="20"/>
                <w:color w:val="auto"/>
              </w:rPr>
            </w:pPr>
            <w:r>
              <w:rPr>
                <w:rFonts w:ascii="Arial" w:cs="Arial" w:eastAsia="Arial" w:hAnsi="Arial"/>
                <w:sz w:val="18"/>
                <w:szCs w:val="18"/>
                <w:b w:val="1"/>
                <w:bCs w:val="1"/>
                <w:color w:val="auto"/>
                <w:w w:val="98"/>
              </w:rPr>
              <w:t>Year ended</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gridSpan w:val="4"/>
          </w:tcPr>
          <w:p>
            <w:pPr>
              <w:ind w:left="80"/>
              <w:spacing w:after="0" w:line="180" w:lineRule="exact"/>
              <w:rPr>
                <w:sz w:val="20"/>
                <w:szCs w:val="20"/>
                <w:color w:val="auto"/>
              </w:rPr>
            </w:pPr>
            <w:r>
              <w:rPr>
                <w:rFonts w:ascii="Arial" w:cs="Arial" w:eastAsia="Arial" w:hAnsi="Arial"/>
                <w:sz w:val="18"/>
                <w:szCs w:val="18"/>
                <w:b w:val="1"/>
                <w:bCs w:val="1"/>
                <w:color w:val="auto"/>
              </w:rPr>
              <w:t>Year ended</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40" w:type="dxa"/>
            <w:vAlign w:val="bottom"/>
          </w:tcPr>
          <w:p>
            <w:pPr>
              <w:spacing w:after="0"/>
              <w:rPr>
                <w:sz w:val="15"/>
                <w:szCs w:val="15"/>
                <w:color w:val="auto"/>
              </w:rPr>
            </w:pPr>
          </w:p>
        </w:tc>
        <w:tc>
          <w:tcPr>
            <w:tcW w:w="1220" w:type="dxa"/>
            <w:vAlign w:val="bottom"/>
            <w:gridSpan w:val="4"/>
          </w:tcPr>
          <w:p>
            <w:pPr>
              <w:jc w:val="center"/>
              <w:ind w:right="20"/>
              <w:spacing w:after="0" w:line="180" w:lineRule="exact"/>
              <w:rPr>
                <w:sz w:val="20"/>
                <w:szCs w:val="20"/>
                <w:color w:val="auto"/>
              </w:rPr>
            </w:pPr>
            <w:r>
              <w:rPr>
                <w:rFonts w:ascii="Arial" w:cs="Arial" w:eastAsia="Arial" w:hAnsi="Arial"/>
                <w:sz w:val="18"/>
                <w:szCs w:val="18"/>
                <w:b w:val="1"/>
                <w:bCs w:val="1"/>
                <w:color w:val="auto"/>
                <w:w w:val="99"/>
              </w:rPr>
              <w:t>December 31,</w:t>
            </w:r>
          </w:p>
        </w:tc>
        <w:tc>
          <w:tcPr>
            <w:tcW w:w="80" w:type="dxa"/>
            <w:vAlign w:val="bottom"/>
          </w:tcPr>
          <w:p>
            <w:pPr>
              <w:spacing w:after="0"/>
              <w:rPr>
                <w:sz w:val="15"/>
                <w:szCs w:val="15"/>
                <w:color w:val="auto"/>
              </w:rPr>
            </w:pPr>
          </w:p>
        </w:tc>
        <w:tc>
          <w:tcPr>
            <w:tcW w:w="3040" w:type="dxa"/>
            <w:vAlign w:val="bottom"/>
            <w:tcBorders>
              <w:right w:val="single" w:sz="8" w:color="auto"/>
            </w:tcBorders>
            <w:gridSpan w:val="10"/>
          </w:tcPr>
          <w:p>
            <w:pPr>
              <w:jc w:val="center"/>
              <w:ind w:right="80"/>
              <w:spacing w:after="0" w:line="180" w:lineRule="exact"/>
              <w:rPr>
                <w:sz w:val="20"/>
                <w:szCs w:val="20"/>
                <w:color w:val="auto"/>
              </w:rPr>
            </w:pPr>
            <w:r>
              <w:rPr>
                <w:rFonts w:ascii="Arial" w:cs="Arial" w:eastAsia="Arial" w:hAnsi="Arial"/>
                <w:sz w:val="20"/>
                <w:szCs w:val="20"/>
                <w:b w:val="1"/>
                <w:bCs w:val="1"/>
                <w:color w:val="auto"/>
                <w:vertAlign w:val="subscript"/>
              </w:rPr>
              <w:t>December 31,</w:t>
            </w:r>
            <w:r>
              <w:rPr>
                <w:rFonts w:ascii="Arial" w:cs="Arial" w:eastAsia="Arial" w:hAnsi="Arial"/>
                <w:sz w:val="13"/>
                <w:szCs w:val="13"/>
                <w:b w:val="1"/>
                <w:bCs w:val="1"/>
                <w:color w:val="auto"/>
              </w:rPr>
              <w:t xml:space="preserve"> November 1, 2020 -</w:t>
            </w:r>
          </w:p>
        </w:tc>
        <w:tc>
          <w:tcPr>
            <w:tcW w:w="100" w:type="dxa"/>
            <w:vAlign w:val="bottom"/>
          </w:tcPr>
          <w:p>
            <w:pPr>
              <w:spacing w:after="0"/>
              <w:rPr>
                <w:sz w:val="15"/>
                <w:szCs w:val="15"/>
                <w:color w:val="auto"/>
              </w:rPr>
            </w:pPr>
          </w:p>
        </w:tc>
        <w:tc>
          <w:tcPr>
            <w:tcW w:w="1440" w:type="dxa"/>
            <w:vAlign w:val="bottom"/>
            <w:gridSpan w:val="4"/>
          </w:tcPr>
          <w:p>
            <w:pPr>
              <w:jc w:val="center"/>
              <w:spacing w:after="0" w:line="180" w:lineRule="exact"/>
              <w:rPr>
                <w:sz w:val="20"/>
                <w:szCs w:val="20"/>
                <w:color w:val="auto"/>
              </w:rPr>
            </w:pPr>
            <w:r>
              <w:rPr>
                <w:rFonts w:ascii="Arial" w:cs="Arial" w:eastAsia="Arial" w:hAnsi="Arial"/>
                <w:sz w:val="18"/>
                <w:szCs w:val="18"/>
                <w:b w:val="1"/>
                <w:bCs w:val="1"/>
                <w:color w:val="auto"/>
                <w:w w:val="99"/>
              </w:rPr>
              <w:t>January 1, 2020 -</w:t>
            </w:r>
          </w:p>
        </w:tc>
        <w:tc>
          <w:tcPr>
            <w:tcW w:w="0" w:type="dxa"/>
            <w:vAlign w:val="bottom"/>
          </w:tcPr>
          <w:p>
            <w:pPr>
              <w:spacing w:after="0"/>
              <w:rPr>
                <w:sz w:val="1"/>
                <w:szCs w:val="1"/>
                <w:color w:val="auto"/>
              </w:rPr>
            </w:pPr>
          </w:p>
        </w:tc>
      </w:tr>
      <w:tr>
        <w:trPr>
          <w:trHeight w:val="60"/>
        </w:trPr>
        <w:tc>
          <w:tcPr>
            <w:tcW w:w="3240" w:type="dxa"/>
            <w:vAlign w:val="bottom"/>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tcBorders>
              <w:right w:val="single" w:sz="8" w:color="auto"/>
            </w:tcBorders>
            <w:gridSpan w:val="5"/>
            <w:vMerge w:val="restart"/>
          </w:tcPr>
          <w:p>
            <w:pPr>
              <w:spacing w:after="0" w:line="203" w:lineRule="exact"/>
              <w:rPr>
                <w:sz w:val="20"/>
                <w:szCs w:val="20"/>
                <w:color w:val="auto"/>
              </w:rPr>
            </w:pPr>
            <w:r>
              <w:rPr>
                <w:rFonts w:ascii="Arial" w:cs="Arial" w:eastAsia="Arial" w:hAnsi="Arial"/>
                <w:sz w:val="18"/>
                <w:szCs w:val="18"/>
                <w:b w:val="1"/>
                <w:bCs w:val="1"/>
                <w:color w:val="auto"/>
              </w:rPr>
              <w:t>December 31, 2020</w:t>
            </w:r>
          </w:p>
        </w:tc>
        <w:tc>
          <w:tcPr>
            <w:tcW w:w="100" w:type="dxa"/>
            <w:vAlign w:val="bottom"/>
          </w:tcPr>
          <w:p>
            <w:pPr>
              <w:spacing w:after="0"/>
              <w:rPr>
                <w:sz w:val="5"/>
                <w:szCs w:val="5"/>
                <w:color w:val="auto"/>
              </w:rPr>
            </w:pPr>
          </w:p>
        </w:tc>
        <w:tc>
          <w:tcPr>
            <w:tcW w:w="1440" w:type="dxa"/>
            <w:vAlign w:val="bottom"/>
            <w:gridSpan w:val="4"/>
            <w:vMerge w:val="restart"/>
          </w:tcPr>
          <w:p>
            <w:pPr>
              <w:jc w:val="center"/>
              <w:spacing w:after="0" w:line="203" w:lineRule="exact"/>
              <w:rPr>
                <w:sz w:val="20"/>
                <w:szCs w:val="20"/>
                <w:color w:val="auto"/>
              </w:rPr>
            </w:pPr>
            <w:r>
              <w:rPr>
                <w:rFonts w:ascii="Arial" w:cs="Arial" w:eastAsia="Arial" w:hAnsi="Arial"/>
                <w:sz w:val="18"/>
                <w:szCs w:val="18"/>
                <w:b w:val="1"/>
                <w:bCs w:val="1"/>
                <w:color w:val="auto"/>
                <w:w w:val="99"/>
              </w:rPr>
              <w:t>October 31, 2020</w:t>
            </w:r>
          </w:p>
        </w:tc>
        <w:tc>
          <w:tcPr>
            <w:tcW w:w="0" w:type="dxa"/>
            <w:vAlign w:val="bottom"/>
          </w:tcPr>
          <w:p>
            <w:pPr>
              <w:spacing w:after="0"/>
              <w:rPr>
                <w:sz w:val="1"/>
                <w:szCs w:val="1"/>
                <w:color w:val="auto"/>
              </w:rPr>
            </w:pPr>
          </w:p>
        </w:tc>
      </w:tr>
      <w:tr>
        <w:trPr>
          <w:trHeight w:val="123"/>
        </w:trPr>
        <w:tc>
          <w:tcPr>
            <w:tcW w:w="3240" w:type="dxa"/>
            <w:vAlign w:val="bottom"/>
            <w:vMerge w:val="restart"/>
          </w:tcPr>
          <w:p>
            <w:pPr>
              <w:spacing w:after="0"/>
              <w:rPr>
                <w:sz w:val="20"/>
                <w:szCs w:val="20"/>
                <w:color w:val="auto"/>
              </w:rPr>
            </w:pPr>
            <w:r>
              <w:rPr>
                <w:rFonts w:ascii="Arial" w:cs="Arial" w:eastAsia="Arial" w:hAnsi="Arial"/>
                <w:sz w:val="16"/>
                <w:szCs w:val="16"/>
                <w:color w:val="auto"/>
              </w:rPr>
              <w:t>(in millions)</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restart"/>
          </w:tcPr>
          <w:p>
            <w:pPr>
              <w:jc w:val="center"/>
              <w:ind w:right="181"/>
              <w:spacing w:after="0"/>
              <w:rPr>
                <w:sz w:val="20"/>
                <w:szCs w:val="20"/>
                <w:color w:val="auto"/>
              </w:rPr>
            </w:pPr>
            <w:r>
              <w:rPr>
                <w:rFonts w:ascii="Arial" w:cs="Arial" w:eastAsia="Arial" w:hAnsi="Arial"/>
                <w:sz w:val="18"/>
                <w:szCs w:val="18"/>
                <w:b w:val="1"/>
                <w:bCs w:val="1"/>
                <w:color w:val="auto"/>
                <w:w w:val="99"/>
              </w:rPr>
              <w:t>2022</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vMerge w:val="restart"/>
          </w:tcPr>
          <w:p>
            <w:pPr>
              <w:jc w:val="right"/>
              <w:ind w:right="283"/>
              <w:spacing w:after="0"/>
              <w:rPr>
                <w:sz w:val="20"/>
                <w:szCs w:val="20"/>
                <w:color w:val="auto"/>
              </w:rPr>
            </w:pPr>
            <w:r>
              <w:rPr>
                <w:rFonts w:ascii="Arial" w:cs="Arial" w:eastAsia="Arial" w:hAnsi="Arial"/>
                <w:sz w:val="18"/>
                <w:szCs w:val="18"/>
                <w:b w:val="1"/>
                <w:bCs w:val="1"/>
                <w:color w:val="auto"/>
              </w:rPr>
              <w:t>2021</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40" w:type="dxa"/>
            <w:vAlign w:val="bottom"/>
            <w:tcBorders>
              <w:right w:val="single" w:sz="8" w:color="auto"/>
            </w:tcBorders>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3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32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240" w:type="dxa"/>
            <w:vAlign w:val="bottom"/>
          </w:tcPr>
          <w:p>
            <w:pPr>
              <w:spacing w:after="0"/>
              <w:rPr>
                <w:sz w:val="20"/>
                <w:szCs w:val="20"/>
                <w:color w:val="auto"/>
              </w:rPr>
            </w:pPr>
            <w:r>
              <w:rPr>
                <w:rFonts w:ascii="Arial" w:cs="Arial" w:eastAsia="Arial" w:hAnsi="Arial"/>
                <w:sz w:val="20"/>
                <w:szCs w:val="20"/>
                <w:color w:val="auto"/>
              </w:rPr>
              <w:t>Beginning balance . . . . . . . . . . . . .</w:t>
            </w:r>
          </w:p>
        </w:tc>
        <w:tc>
          <w:tcPr>
            <w:tcW w:w="300" w:type="dxa"/>
            <w:vAlign w:val="bottom"/>
            <w:gridSpan w:val="2"/>
          </w:tcPr>
          <w:p>
            <w:pPr>
              <w:jc w:val="right"/>
              <w:ind w:right="1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w:t>
            </w:r>
          </w:p>
        </w:tc>
        <w:tc>
          <w:tcPr>
            <w:tcW w:w="4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center"/>
              <w:ind w:right="460"/>
              <w:spacing w:after="0"/>
              <w:rPr>
                <w:sz w:val="20"/>
                <w:szCs w:val="20"/>
                <w:color w:val="auto"/>
              </w:rPr>
            </w:pPr>
            <w:r>
              <w:rPr>
                <w:rFonts w:ascii="Arial" w:cs="Arial" w:eastAsia="Arial" w:hAnsi="Arial"/>
                <w:sz w:val="20"/>
                <w:szCs w:val="20"/>
                <w:color w:val="auto"/>
                <w:w w:val="89"/>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3</w:t>
            </w:r>
          </w:p>
        </w:tc>
        <w:tc>
          <w:tcPr>
            <w:tcW w:w="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760" w:type="dxa"/>
            <w:vAlign w:val="bottom"/>
            <w:gridSpan w:val="3"/>
          </w:tcPr>
          <w:p>
            <w:pPr>
              <w:jc w:val="right"/>
              <w:ind w:right="31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240" w:type="dxa"/>
            <w:vAlign w:val="bottom"/>
          </w:tcPr>
          <w:p>
            <w:pPr>
              <w:spacing w:after="0"/>
              <w:rPr>
                <w:sz w:val="20"/>
                <w:szCs w:val="20"/>
                <w:color w:val="auto"/>
              </w:rPr>
            </w:pPr>
            <w:r>
              <w:rPr>
                <w:rFonts w:ascii="Arial" w:cs="Arial" w:eastAsia="Arial" w:hAnsi="Arial"/>
                <w:sz w:val="20"/>
                <w:szCs w:val="20"/>
                <w:color w:val="auto"/>
              </w:rPr>
              <w:t>Additions to capitalized</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240" w:type="dxa"/>
            <w:vAlign w:val="bottom"/>
          </w:tcPr>
          <w:p>
            <w:pPr>
              <w:spacing w:after="0"/>
              <w:rPr>
                <w:sz w:val="20"/>
                <w:szCs w:val="20"/>
                <w:color w:val="auto"/>
              </w:rPr>
            </w:pPr>
            <w:r>
              <w:rPr>
                <w:rFonts w:ascii="Arial" w:cs="Arial" w:eastAsia="Arial" w:hAnsi="Arial"/>
                <w:sz w:val="20"/>
                <w:szCs w:val="20"/>
                <w:color w:val="auto"/>
              </w:rPr>
              <w:t>exploratory well costs . . . . . . . . . .</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3240" w:type="dxa"/>
            <w:vAlign w:val="bottom"/>
          </w:tcPr>
          <w:p>
            <w:pPr>
              <w:spacing w:after="0"/>
              <w:rPr>
                <w:sz w:val="20"/>
                <w:szCs w:val="20"/>
                <w:color w:val="auto"/>
              </w:rPr>
            </w:pPr>
            <w:r>
              <w:rPr>
                <w:rFonts w:ascii="Arial" w:cs="Arial" w:eastAsia="Arial" w:hAnsi="Arial"/>
                <w:sz w:val="20"/>
                <w:szCs w:val="20"/>
                <w:color w:val="auto"/>
              </w:rPr>
              <w:t>Reclassification to property, plant</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240" w:type="dxa"/>
            <w:vAlign w:val="bottom"/>
          </w:tcPr>
          <w:p>
            <w:pPr>
              <w:spacing w:after="0"/>
              <w:rPr>
                <w:sz w:val="20"/>
                <w:szCs w:val="20"/>
                <w:color w:val="auto"/>
              </w:rPr>
            </w:pPr>
            <w:r>
              <w:rPr>
                <w:rFonts w:ascii="Arial" w:cs="Arial" w:eastAsia="Arial" w:hAnsi="Arial"/>
                <w:sz w:val="20"/>
                <w:szCs w:val="20"/>
                <w:color w:val="auto"/>
              </w:rPr>
              <w:t>and equipment . . . . . . . . . . . . . . . .</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3240" w:type="dxa"/>
            <w:vAlign w:val="bottom"/>
          </w:tcPr>
          <w:p>
            <w:pPr>
              <w:spacing w:after="0"/>
              <w:rPr>
                <w:sz w:val="20"/>
                <w:szCs w:val="20"/>
                <w:color w:val="auto"/>
              </w:rPr>
            </w:pPr>
            <w:r>
              <w:rPr>
                <w:rFonts w:ascii="Arial" w:cs="Arial" w:eastAsia="Arial" w:hAnsi="Arial"/>
                <w:sz w:val="20"/>
                <w:szCs w:val="20"/>
                <w:color w:val="auto"/>
              </w:rPr>
              <w:t>Charged to expense  . . . . . . . . . . .</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240" w:type="dxa"/>
            <w:vAlign w:val="bottom"/>
          </w:tcPr>
          <w:p>
            <w:pPr>
              <w:spacing w:after="0"/>
              <w:rPr>
                <w:sz w:val="20"/>
                <w:szCs w:val="20"/>
                <w:color w:val="auto"/>
              </w:rPr>
            </w:pPr>
            <w:r>
              <w:rPr>
                <w:rFonts w:ascii="Arial" w:cs="Arial" w:eastAsia="Arial" w:hAnsi="Arial"/>
                <w:sz w:val="20"/>
                <w:szCs w:val="20"/>
                <w:color w:val="auto"/>
              </w:rPr>
              <w:t>Impact of fresh start</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240" w:type="dxa"/>
            <w:vAlign w:val="bottom"/>
          </w:tcPr>
          <w:p>
            <w:pPr>
              <w:ind w:left="200"/>
              <w:spacing w:after="0"/>
              <w:rPr>
                <w:sz w:val="20"/>
                <w:szCs w:val="20"/>
                <w:color w:val="auto"/>
              </w:rPr>
            </w:pPr>
            <w:r>
              <w:rPr>
                <w:rFonts w:ascii="Arial" w:cs="Arial" w:eastAsia="Arial" w:hAnsi="Arial"/>
                <w:sz w:val="20"/>
                <w:szCs w:val="20"/>
                <w:color w:val="auto"/>
              </w:rPr>
              <w:t>accounting . . . . . . . . . . . . . . . . .</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3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00" w:type="dxa"/>
            <w:vAlign w:val="bottom"/>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240" w:type="dxa"/>
            <w:vAlign w:val="bottom"/>
          </w:tcPr>
          <w:p>
            <w:pPr>
              <w:spacing w:after="0"/>
              <w:rPr>
                <w:sz w:val="20"/>
                <w:szCs w:val="20"/>
                <w:color w:val="auto"/>
              </w:rPr>
            </w:pPr>
            <w:r>
              <w:rPr>
                <w:rFonts w:ascii="Arial" w:cs="Arial" w:eastAsia="Arial" w:hAnsi="Arial"/>
                <w:sz w:val="20"/>
                <w:szCs w:val="20"/>
                <w:color w:val="auto"/>
              </w:rPr>
              <w:t>Ending balance  . . . . . . . . . . . . . . .</w:t>
            </w:r>
          </w:p>
        </w:tc>
        <w:tc>
          <w:tcPr>
            <w:tcW w:w="300" w:type="dxa"/>
            <w:vAlign w:val="bottom"/>
            <w:gridSpan w:val="2"/>
          </w:tcPr>
          <w:p>
            <w:pPr>
              <w:jc w:val="right"/>
              <w:ind w:right="1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w:t>
            </w:r>
          </w:p>
        </w:tc>
        <w:tc>
          <w:tcPr>
            <w:tcW w:w="40" w:type="dxa"/>
            <w:vAlign w:val="bottom"/>
          </w:tcPr>
          <w:p>
            <w:pPr>
              <w:spacing w:after="0"/>
              <w:rPr>
                <w:sz w:val="23"/>
                <w:szCs w:val="23"/>
                <w:color w:val="auto"/>
              </w:rPr>
            </w:pPr>
          </w:p>
        </w:tc>
        <w:tc>
          <w:tcPr>
            <w:tcW w:w="36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gridSpan w:val="2"/>
          </w:tcPr>
          <w:p>
            <w:pPr>
              <w:jc w:val="center"/>
              <w:ind w:right="460"/>
              <w:spacing w:after="0"/>
              <w:rPr>
                <w:sz w:val="20"/>
                <w:szCs w:val="20"/>
                <w:color w:val="auto"/>
              </w:rPr>
            </w:pPr>
            <w:r>
              <w:rPr>
                <w:rFonts w:ascii="Arial" w:cs="Arial" w:eastAsia="Arial" w:hAnsi="Arial"/>
                <w:sz w:val="20"/>
                <w:szCs w:val="20"/>
                <w:color w:val="auto"/>
                <w:w w:val="89"/>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3</w:t>
            </w:r>
          </w:p>
        </w:tc>
        <w:tc>
          <w:tcPr>
            <w:tcW w:w="6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760" w:type="dxa"/>
            <w:vAlign w:val="bottom"/>
            <w:gridSpan w:val="3"/>
          </w:tcPr>
          <w:p>
            <w:pPr>
              <w:jc w:val="right"/>
              <w:ind w:right="31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3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60" w:firstLine="300"/>
        <w:spacing w:after="0" w:line="248" w:lineRule="auto"/>
        <w:rPr>
          <w:sz w:val="20"/>
          <w:szCs w:val="20"/>
          <w:color w:val="auto"/>
        </w:rPr>
      </w:pPr>
      <w:r>
        <w:rPr>
          <w:rFonts w:ascii="Arial" w:cs="Arial" w:eastAsia="Arial" w:hAnsi="Arial"/>
          <w:sz w:val="20"/>
          <w:szCs w:val="20"/>
          <w:color w:val="auto"/>
        </w:rPr>
        <w:t>There are not significant exploratory well costs in the periods presented that have been capitalized for a period greater than one year after the completion of drilling. Our capitalized exploratory well costs at December 31, 2022 are for permitted wells that we intend to drill.</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Asset Impairments</w:t>
      </w:r>
    </w:p>
    <w:p>
      <w:pPr>
        <w:spacing w:after="0" w:line="215"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 xml:space="preserve">We recognized an asset impairment of $2 million for the year ended December 31, 2022 related to a write-down of a commercial office building located in Bakersfield, California to fair value. Asset impairments were $28 million for the year ended December 31, 2021, including $25 million related to the write-down of the same commercial office building to fair value and a $3 million write-off of capitalized costs related to projects which were abandoned. We valued our commercial office building based on a market approach (using Level 3 inputs in the fair value hierarchy). The decline in commercial demand for office space of this size and type in that market at each assessment resulted in an impairment. In 2022, we sold our commercial office building for $13 million. See </w:t>
      </w:r>
      <w:r>
        <w:rPr>
          <w:rFonts w:ascii="Arial" w:cs="Arial" w:eastAsia="Arial" w:hAnsi="Arial"/>
          <w:sz w:val="20"/>
          <w:szCs w:val="20"/>
          <w:i w:val="1"/>
          <w:iCs w:val="1"/>
          <w:color w:val="auto"/>
        </w:rPr>
        <w:t>Note 3 Divestitures</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and Acquisitions </w:t>
      </w:r>
      <w:r>
        <w:rPr>
          <w:rFonts w:ascii="Arial" w:cs="Arial" w:eastAsia="Arial" w:hAnsi="Arial"/>
          <w:sz w:val="20"/>
          <w:szCs w:val="20"/>
          <w:color w:val="auto"/>
        </w:rPr>
        <w:t>for further information regarding the sale of CRC Plaza.</w:t>
      </w:r>
    </w:p>
    <w:p>
      <w:pPr>
        <w:spacing w:after="0" w:line="213" w:lineRule="exact"/>
        <w:rPr>
          <w:sz w:val="20"/>
          <w:szCs w:val="20"/>
          <w:color w:val="auto"/>
        </w:rPr>
      </w:pPr>
    </w:p>
    <w:p>
      <w:pPr>
        <w:ind w:right="80" w:firstLine="300"/>
        <w:spacing w:after="0" w:line="245" w:lineRule="auto"/>
        <w:rPr>
          <w:sz w:val="20"/>
          <w:szCs w:val="20"/>
          <w:color w:val="auto"/>
        </w:rPr>
      </w:pPr>
      <w:r>
        <w:rPr>
          <w:rFonts w:ascii="Arial" w:cs="Arial" w:eastAsia="Arial" w:hAnsi="Arial"/>
          <w:sz w:val="20"/>
          <w:szCs w:val="20"/>
          <w:color w:val="auto"/>
        </w:rPr>
        <w:t>The following table presents a summary of our asset impairments during the Predecessor period of 2020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jc w:val="right"/>
              <w:ind w:right="100"/>
              <w:spacing w:after="0"/>
              <w:rPr>
                <w:sz w:val="20"/>
                <w:szCs w:val="20"/>
                <w:color w:val="auto"/>
              </w:rPr>
            </w:pPr>
            <w:r>
              <w:rPr>
                <w:rFonts w:ascii="Arial" w:cs="Arial" w:eastAsia="Arial" w:hAnsi="Arial"/>
                <w:sz w:val="20"/>
                <w:szCs w:val="20"/>
                <w:color w:val="auto"/>
                <w:w w:val="97"/>
              </w:rPr>
              <w:t>Proved oil and natural gas properties  . . . . . . . . . . . . . . . . . . . . . . . . . . . . . . . . . . . . . .</w:t>
            </w:r>
          </w:p>
        </w:tc>
        <w:tc>
          <w:tcPr>
            <w:tcW w:w="560" w:type="dxa"/>
            <w:vAlign w:val="bottom"/>
          </w:tcPr>
          <w:p>
            <w:pPr>
              <w:jc w:val="right"/>
              <w:ind w:right="30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1,487</w:t>
            </w:r>
          </w:p>
        </w:tc>
      </w:tr>
      <w:tr>
        <w:trPr>
          <w:trHeight w:val="238"/>
        </w:trPr>
        <w:tc>
          <w:tcPr>
            <w:tcW w:w="7600" w:type="dxa"/>
            <w:vAlign w:val="bottom"/>
          </w:tcPr>
          <w:p>
            <w:pPr>
              <w:jc w:val="right"/>
              <w:ind w:right="100"/>
              <w:spacing w:after="0"/>
              <w:rPr>
                <w:sz w:val="20"/>
                <w:szCs w:val="20"/>
                <w:color w:val="auto"/>
              </w:rPr>
            </w:pPr>
            <w:r>
              <w:rPr>
                <w:rFonts w:ascii="Arial" w:cs="Arial" w:eastAsia="Arial" w:hAnsi="Arial"/>
                <w:sz w:val="20"/>
                <w:szCs w:val="20"/>
                <w:color w:val="auto"/>
                <w:w w:val="96"/>
              </w:rPr>
              <w:t>Unproved properties  . . . . . . . . . . . . . . . . . . . . . . . . . . . . . . . . . . . . . . . . . . . . . . . . . . . .</w:t>
            </w: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228</w:t>
            </w:r>
          </w:p>
        </w:tc>
      </w:tr>
      <w:tr>
        <w:trPr>
          <w:trHeight w:val="240"/>
        </w:trPr>
        <w:tc>
          <w:tcPr>
            <w:tcW w:w="7600" w:type="dxa"/>
            <w:vAlign w:val="bottom"/>
          </w:tcPr>
          <w:p>
            <w:pPr>
              <w:jc w:val="right"/>
              <w:ind w:right="100"/>
              <w:spacing w:after="0"/>
              <w:rPr>
                <w:sz w:val="20"/>
                <w:szCs w:val="20"/>
                <w:color w:val="auto"/>
              </w:rPr>
            </w:pPr>
            <w:r>
              <w:rPr>
                <w:rFonts w:ascii="Arial" w:cs="Arial" w:eastAsia="Arial" w:hAnsi="Arial"/>
                <w:sz w:val="20"/>
                <w:szCs w:val="20"/>
                <w:color w:val="auto"/>
                <w:w w:val="95"/>
              </w:rPr>
              <w:t>Other . . . . . . . . . . . . . . . . . . . . . . . . . . . . . . . . . . . . . . . . . . . . . . . . . . . . . . . . . . . . . . . . .</w:t>
            </w: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30"/>
        </w:trPr>
        <w:tc>
          <w:tcPr>
            <w:tcW w:w="76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0"/>
        </w:trPr>
        <w:tc>
          <w:tcPr>
            <w:tcW w:w="7600" w:type="dxa"/>
            <w:vAlign w:val="bottom"/>
          </w:tcPr>
          <w:p>
            <w:pPr>
              <w:jc w:val="right"/>
              <w:ind w:right="100"/>
              <w:spacing w:after="0"/>
              <w:rPr>
                <w:sz w:val="20"/>
                <w:szCs w:val="20"/>
                <w:color w:val="auto"/>
              </w:rPr>
            </w:pPr>
            <w:r>
              <w:rPr>
                <w:rFonts w:ascii="Arial" w:cs="Arial" w:eastAsia="Arial" w:hAnsi="Arial"/>
                <w:sz w:val="20"/>
                <w:szCs w:val="20"/>
                <w:color w:val="auto"/>
              </w:rPr>
              <w:t>Total  . . . . . . . . . . . . . . . . . . . . . . . . . . . . . . . . . . . . . . . . . . . . . . . . . . . . . . . . . . . . .</w:t>
            </w:r>
          </w:p>
        </w:tc>
        <w:tc>
          <w:tcPr>
            <w:tcW w:w="560" w:type="dxa"/>
            <w:vAlign w:val="bottom"/>
          </w:tcPr>
          <w:p>
            <w:pPr>
              <w:jc w:val="right"/>
              <w:ind w:right="30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1,736</w:t>
            </w:r>
          </w:p>
        </w:tc>
      </w:tr>
      <w:tr>
        <w:trPr>
          <w:trHeight w:val="30"/>
        </w:trPr>
        <w:tc>
          <w:tcPr>
            <w:tcW w:w="76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76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310" w:right="1380" w:bottom="661"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113</w:t>
      </w:r>
    </w:p>
    <w:p>
      <w:pPr>
        <w:sectPr>
          <w:pgSz w:w="11880" w:h="15480" w:orient="portrait"/>
          <w:cols w:equalWidth="0" w:num="1">
            <w:col w:w="9120"/>
          </w:cols>
          <w:pgMar w:left="1380" w:top="1310" w:right="1380" w:bottom="661" w:gutter="0" w:footer="0" w:header="0"/>
          <w:type w:val="continuous"/>
        </w:sectPr>
      </w:pPr>
    </w:p>
    <w:bookmarkStart w:id="117" w:name="page118"/>
    <w:bookmarkEnd w:id="117"/>
    <w:p>
      <w:pPr>
        <w:ind w:right="100" w:firstLine="300"/>
        <w:spacing w:after="0" w:line="243" w:lineRule="auto"/>
        <w:rPr>
          <w:sz w:val="20"/>
          <w:szCs w:val="20"/>
          <w:color w:val="auto"/>
        </w:rPr>
      </w:pPr>
      <w:r>
        <w:rPr>
          <w:rFonts w:ascii="Arial" w:cs="Arial" w:eastAsia="Arial" w:hAnsi="Arial"/>
          <w:sz w:val="20"/>
          <w:szCs w:val="20"/>
          <w:color w:val="auto"/>
        </w:rPr>
        <w:t>The impairment charge of $1,736 million during the period ended October 31, 2020 was due to the sharp drop in commodity prices as of our March 31, 2020 assessment date.</w:t>
      </w:r>
    </w:p>
    <w:p>
      <w:pPr>
        <w:spacing w:after="0" w:line="214"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The fair values of our proved oil and natural gas properties were determined using discounted cash flow models incorporating a number of fair value inputs which are categorized as Level 3 on the fair value hierarchy. These inputs were based on management’s expectations for the future considering the then-current environment and included index prices based on forward curves, pricing adjustments for differentials, estimates of future oil and natural gas production, estimated future operating costs and capital development plans based on the embedded price assumptions. We used a market-based weighted average cost of capital to discount the future net cash flows. The impairment charge on our proved oil and natural gas properties primarily related to a steamflood property located in the San Joaquin basin.</w:t>
      </w:r>
    </w:p>
    <w:p>
      <w:pPr>
        <w:spacing w:after="0" w:line="213" w:lineRule="exact"/>
        <w:rPr>
          <w:sz w:val="20"/>
          <w:szCs w:val="20"/>
          <w:color w:val="auto"/>
        </w:rPr>
      </w:pPr>
    </w:p>
    <w:p>
      <w:pPr>
        <w:ind w:right="440" w:firstLine="300"/>
        <w:spacing w:after="0" w:line="247" w:lineRule="auto"/>
        <w:rPr>
          <w:sz w:val="20"/>
          <w:szCs w:val="20"/>
          <w:color w:val="auto"/>
        </w:rPr>
      </w:pPr>
      <w:r>
        <w:rPr>
          <w:rFonts w:ascii="Arial" w:cs="Arial" w:eastAsia="Arial" w:hAnsi="Arial"/>
          <w:sz w:val="20"/>
          <w:szCs w:val="20"/>
          <w:color w:val="auto"/>
        </w:rPr>
        <w:t>As of our March 31, 2020 assessment date, we determined our ability to develop our unproved properties, which primarily consisted of leases held by production in the San Joaquin basin, was constrained for the foreseeable future and we did not intend to develop them.</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20"/>
          <w:szCs w:val="20"/>
          <w:color w:val="auto"/>
        </w:rPr>
        <w:t>We did not record an impairment charge during the Successor period of 2020.</w:t>
      </w:r>
    </w:p>
    <w:p>
      <w:pPr>
        <w:spacing w:after="0" w:line="210"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auto"/>
        </w:rPr>
        <w:t>NOTE 3</w:t>
      </w:r>
      <w:r>
        <w:rPr>
          <w:sz w:val="20"/>
          <w:szCs w:val="20"/>
          <w:color w:val="auto"/>
        </w:rPr>
        <w:tab/>
      </w:r>
      <w:r>
        <w:rPr>
          <w:rFonts w:ascii="Arial" w:cs="Arial" w:eastAsia="Arial" w:hAnsi="Arial"/>
          <w:sz w:val="19"/>
          <w:szCs w:val="19"/>
          <w:b w:val="1"/>
          <w:bCs w:val="1"/>
          <w:color w:val="auto"/>
        </w:rPr>
        <w:t>DIVESTITURES AND ACQUISITIONS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Divestitures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Ventura Basin</w:t>
      </w:r>
    </w:p>
    <w:p>
      <w:pPr>
        <w:spacing w:after="0" w:line="214" w:lineRule="exact"/>
        <w:rPr>
          <w:sz w:val="20"/>
          <w:szCs w:val="20"/>
          <w:color w:val="auto"/>
        </w:rPr>
      </w:pPr>
    </w:p>
    <w:p>
      <w:pPr>
        <w:ind w:right="120" w:firstLine="300"/>
        <w:spacing w:after="0" w:line="249" w:lineRule="auto"/>
        <w:rPr>
          <w:sz w:val="20"/>
          <w:szCs w:val="20"/>
          <w:color w:val="auto"/>
        </w:rPr>
      </w:pPr>
      <w:r>
        <w:rPr>
          <w:rFonts w:ascii="Arial" w:cs="Arial" w:eastAsia="Arial" w:hAnsi="Arial"/>
          <w:sz w:val="20"/>
          <w:szCs w:val="20"/>
          <w:color w:val="auto"/>
        </w:rPr>
        <w:t>During the second quarter of 2021, we entered into transactions to sell our Ventura basin assets. The transactions contemplate multiple closings that are subject to customary closing conditions. The closings that occurred in the second half of 2021 resulted in the divestiture of the vast majority of our Ventura basin assets. We recognized a gain of $120 million on the Ventura divestiture during the year ended December 31, 2021.</w:t>
      </w:r>
    </w:p>
    <w:p>
      <w:pPr>
        <w:spacing w:after="0" w:line="207"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auto"/>
        </w:rPr>
        <w:t>During the year ended December 31, 2022, we recognized a gain of $11 million related to the sale of certain Ventura basin assets. The closing of the sale of our remaining assets in the Ventura basin is subject to final approval from the State Lands Commission, which we expect to receive in the first half of 2023. These remaining assets, consisting of property, plant and equipment and associated asset retirement obligations, are classified as held for sale on our consolidated balance sheet as of December 31, 2022.</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Lost Hills</w:t>
      </w:r>
    </w:p>
    <w:p>
      <w:pPr>
        <w:spacing w:after="0" w:line="214" w:lineRule="exact"/>
        <w:rPr>
          <w:sz w:val="20"/>
          <w:szCs w:val="20"/>
          <w:color w:val="auto"/>
        </w:rPr>
      </w:pPr>
    </w:p>
    <w:p>
      <w:pPr>
        <w:ind w:right="80" w:firstLine="300"/>
        <w:spacing w:after="0" w:line="233" w:lineRule="auto"/>
        <w:rPr>
          <w:sz w:val="20"/>
          <w:szCs w:val="20"/>
          <w:color w:val="auto"/>
        </w:rPr>
      </w:pPr>
      <w:r>
        <w:rPr>
          <w:rFonts w:ascii="Arial" w:cs="Arial" w:eastAsia="Arial" w:hAnsi="Arial"/>
          <w:sz w:val="20"/>
          <w:szCs w:val="20"/>
          <w:color w:val="auto"/>
        </w:rPr>
        <w:t>On February 1, 2022, we sold our 50% non-operated working interest in certain horizons within our Lost Hills field, located in the San Joaquin basin, recognizing a gain of $49 million. We retained an option to capture, transport and store 100% of the CO</w:t>
      </w:r>
      <w:r>
        <w:rPr>
          <w:rFonts w:ascii="Arial" w:cs="Arial" w:eastAsia="Arial" w:hAnsi="Arial"/>
          <w:sz w:val="26"/>
          <w:szCs w:val="26"/>
          <w:color w:val="auto"/>
          <w:vertAlign w:val="subscript"/>
        </w:rPr>
        <w:t>2</w:t>
      </w:r>
      <w:r>
        <w:rPr>
          <w:rFonts w:ascii="Arial" w:cs="Arial" w:eastAsia="Arial" w:hAnsi="Arial"/>
          <w:sz w:val="20"/>
          <w:szCs w:val="20"/>
          <w:color w:val="auto"/>
        </w:rPr>
        <w:t xml:space="preserve"> from steam generators across the Lost Hills field for future carbon management projects. We also retained 100% of the deep rights and related seismic data.</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CRC Plaza</w:t>
      </w:r>
    </w:p>
    <w:p>
      <w:pPr>
        <w:spacing w:after="0" w:line="214" w:lineRule="exact"/>
        <w:rPr>
          <w:sz w:val="20"/>
          <w:szCs w:val="20"/>
          <w:color w:val="auto"/>
        </w:rPr>
      </w:pPr>
    </w:p>
    <w:p>
      <w:pPr>
        <w:ind w:right="80" w:firstLine="300"/>
        <w:spacing w:after="0" w:line="248" w:lineRule="auto"/>
        <w:rPr>
          <w:sz w:val="20"/>
          <w:szCs w:val="20"/>
          <w:color w:val="auto"/>
        </w:rPr>
      </w:pPr>
      <w:r>
        <w:rPr>
          <w:rFonts w:ascii="Arial" w:cs="Arial" w:eastAsia="Arial" w:hAnsi="Arial"/>
          <w:sz w:val="20"/>
          <w:szCs w:val="20"/>
          <w:color w:val="auto"/>
        </w:rPr>
        <w:t xml:space="preserve">In June 2022, we sold our commercial office building located in Bakersfield, California for net proceeds of $13 million, recognizing no gain or loss on sale. We also leased back a portion of the building with a term of 18 months. See </w:t>
      </w:r>
      <w:r>
        <w:rPr>
          <w:rFonts w:ascii="Arial" w:cs="Arial" w:eastAsia="Arial" w:hAnsi="Arial"/>
          <w:sz w:val="20"/>
          <w:szCs w:val="20"/>
          <w:i w:val="1"/>
          <w:iCs w:val="1"/>
          <w:color w:val="auto"/>
        </w:rPr>
        <w:t>Note 2 Property, Plant and Equipment</w:t>
      </w:r>
      <w:r>
        <w:rPr>
          <w:rFonts w:ascii="Arial" w:cs="Arial" w:eastAsia="Arial" w:hAnsi="Arial"/>
          <w:sz w:val="20"/>
          <w:szCs w:val="20"/>
          <w:color w:val="auto"/>
        </w:rPr>
        <w:t xml:space="preserve"> for details of impairment charges we recognized prior to the sale of this property.</w:t>
      </w:r>
    </w:p>
    <w:p>
      <w:pPr>
        <w:sectPr>
          <w:pgSz w:w="11880" w:h="15480" w:orient="portrait"/>
          <w:cols w:equalWidth="0" w:num="1">
            <w:col w:w="9100"/>
          </w:cols>
          <w:pgMar w:left="1380" w:top="1316" w:right="140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114</w:t>
      </w:r>
    </w:p>
    <w:p>
      <w:pPr>
        <w:sectPr>
          <w:pgSz w:w="11880" w:h="15480" w:orient="portrait"/>
          <w:cols w:equalWidth="0" w:num="1">
            <w:col w:w="9100"/>
          </w:cols>
          <w:pgMar w:left="1380" w:top="1316" w:right="1400" w:bottom="661" w:gutter="0" w:footer="0" w:header="0"/>
          <w:type w:val="continuous"/>
        </w:sectPr>
      </w:pPr>
    </w:p>
    <w:bookmarkStart w:id="118" w:name="page119"/>
    <w:bookmarkEnd w:id="118"/>
    <w:p>
      <w:pPr>
        <w:spacing w:after="0"/>
        <w:rPr>
          <w:sz w:val="20"/>
          <w:szCs w:val="20"/>
          <w:color w:val="auto"/>
        </w:rPr>
      </w:pPr>
      <w:r>
        <w:rPr>
          <w:rFonts w:ascii="Arial" w:cs="Arial" w:eastAsia="Arial" w:hAnsi="Arial"/>
          <w:sz w:val="20"/>
          <w:szCs w:val="20"/>
          <w:i w:val="1"/>
          <w:iCs w:val="1"/>
          <w:u w:val="single" w:color="auto"/>
          <w:color w:val="auto"/>
        </w:rPr>
        <w:t>Other Divestitures</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In 2022, we sold non-core assets recognizing a $1 million loss.</w:t>
      </w:r>
    </w:p>
    <w:p>
      <w:pPr>
        <w:spacing w:after="0" w:line="216" w:lineRule="exact"/>
        <w:rPr>
          <w:sz w:val="20"/>
          <w:szCs w:val="20"/>
          <w:color w:val="auto"/>
        </w:rPr>
      </w:pPr>
    </w:p>
    <w:p>
      <w:pPr>
        <w:ind w:right="640" w:firstLine="300"/>
        <w:spacing w:after="0" w:line="243" w:lineRule="auto"/>
        <w:rPr>
          <w:sz w:val="20"/>
          <w:szCs w:val="20"/>
          <w:color w:val="auto"/>
        </w:rPr>
      </w:pPr>
      <w:r>
        <w:rPr>
          <w:rFonts w:ascii="Arial" w:cs="Arial" w:eastAsia="Arial" w:hAnsi="Arial"/>
          <w:sz w:val="20"/>
          <w:szCs w:val="20"/>
          <w:color w:val="auto"/>
        </w:rPr>
        <w:t>In 2021, we also sold unimproved land and other non-core assets for $13 million in proceeds recognizing a $4 million gain.</w:t>
      </w:r>
    </w:p>
    <w:p>
      <w:pPr>
        <w:spacing w:after="0" w:line="214" w:lineRule="exact"/>
        <w:rPr>
          <w:sz w:val="20"/>
          <w:szCs w:val="20"/>
          <w:color w:val="auto"/>
        </w:rPr>
      </w:pPr>
    </w:p>
    <w:p>
      <w:pPr>
        <w:ind w:right="220" w:firstLine="300"/>
        <w:spacing w:after="0" w:line="243" w:lineRule="auto"/>
        <w:rPr>
          <w:sz w:val="20"/>
          <w:szCs w:val="20"/>
          <w:color w:val="auto"/>
        </w:rPr>
      </w:pPr>
      <w:r>
        <w:rPr>
          <w:rFonts w:ascii="Arial" w:cs="Arial" w:eastAsia="Arial" w:hAnsi="Arial"/>
          <w:sz w:val="20"/>
          <w:szCs w:val="20"/>
          <w:color w:val="auto"/>
        </w:rPr>
        <w:t>In January 2020, we sold royalty interests and divested non-core assets resulting in $41 million of proceeds which was treated as a normal retirement and no gain or loss was recognized.</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Acquisitions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MIRA JV</w:t>
      </w:r>
    </w:p>
    <w:p>
      <w:pPr>
        <w:spacing w:after="0" w:line="216"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auto"/>
        </w:rPr>
        <w:t>Our development joint venture with Macquarie Infrastructure and Real Assets Inc. (MIRA JV) contemplated that MIRA would fund the development of certain of our oil and natural gas properties in exchange for a 90% working interest. In August 2021, we purchased MIRA’s entire working interest share for $52 million. We accounted for this transaction as an asset acquisition. Prior to the acquisition, our consolidated results reflect only our 10% working interest share in the productive wells.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Other Acquisitions</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In 2022, we acquired properties for carbon management activities for approximately $17 million.</w:t>
      </w:r>
    </w:p>
    <w:p>
      <w:pPr>
        <w:spacing w:after="0" w:line="210"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auto"/>
        </w:rPr>
        <w:t>NOTE 4</w:t>
      </w:r>
      <w:r>
        <w:rPr>
          <w:sz w:val="20"/>
          <w:szCs w:val="20"/>
          <w:color w:val="auto"/>
        </w:rPr>
        <w:tab/>
      </w:r>
      <w:r>
        <w:rPr>
          <w:rFonts w:ascii="Arial" w:cs="Arial" w:eastAsia="Arial" w:hAnsi="Arial"/>
          <w:sz w:val="19"/>
          <w:szCs w:val="19"/>
          <w:b w:val="1"/>
          <w:bCs w:val="1"/>
          <w:color w:val="auto"/>
        </w:rPr>
        <w:t>DEBT</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As of December 31, 2022 and 2021, our long-term debt consisted of the following:</w:t>
      </w:r>
    </w:p>
    <w:p>
      <w:pPr>
        <w:spacing w:after="0" w:line="207"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Successor</w:t>
            </w: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9"/>
              </w:rPr>
              <w:t>Interest Rate</w:t>
            </w:r>
          </w:p>
        </w:tc>
        <w:tc>
          <w:tcPr>
            <w:tcW w:w="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0" w:type="dxa"/>
            <w:vAlign w:val="bottom"/>
          </w:tcPr>
          <w:p>
            <w:pPr>
              <w:spacing w:after="0"/>
              <w:rPr>
                <w:sz w:val="1"/>
                <w:szCs w:val="1"/>
                <w:color w:val="auto"/>
              </w:rPr>
            </w:pPr>
          </w:p>
        </w:tc>
      </w:tr>
      <w:tr>
        <w:trPr>
          <w:trHeight w:val="24"/>
        </w:trPr>
        <w:tc>
          <w:tcPr>
            <w:tcW w:w="3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ind w:right="33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ind w:right="330"/>
              <w:spacing w:after="0"/>
              <w:rPr>
                <w:sz w:val="20"/>
                <w:szCs w:val="20"/>
                <w:color w:val="auto"/>
              </w:rPr>
            </w:pPr>
            <w:r>
              <w:rPr>
                <w:rFonts w:ascii="Arial" w:cs="Arial" w:eastAsia="Arial" w:hAnsi="Arial"/>
                <w:sz w:val="18"/>
                <w:szCs w:val="18"/>
                <w:b w:val="1"/>
                <w:bCs w:val="1"/>
                <w:color w:val="auto"/>
                <w:w w:val="94"/>
              </w:rPr>
              <w:t>2021</w:t>
            </w:r>
          </w:p>
        </w:tc>
        <w:tc>
          <w:tcPr>
            <w:tcW w:w="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3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3"/>
          </w:tcPr>
          <w:p>
            <w:pPr>
              <w:jc w:val="right"/>
              <w:ind w:right="60"/>
              <w:spacing w:after="0"/>
              <w:rPr>
                <w:sz w:val="20"/>
                <w:szCs w:val="20"/>
                <w:color w:val="auto"/>
              </w:rPr>
            </w:pPr>
            <w:r>
              <w:rPr>
                <w:rFonts w:ascii="Arial" w:cs="Arial" w:eastAsia="Arial" w:hAnsi="Arial"/>
                <w:sz w:val="16"/>
                <w:szCs w:val="16"/>
                <w:color w:val="auto"/>
              </w:rPr>
              <w:t>(in millions)</w:t>
            </w: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200" w:type="dxa"/>
            <w:vAlign w:val="bottom"/>
          </w:tcPr>
          <w:p>
            <w:pPr>
              <w:jc w:val="right"/>
              <w:ind w:right="70"/>
              <w:spacing w:after="0"/>
              <w:rPr>
                <w:sz w:val="20"/>
                <w:szCs w:val="20"/>
                <w:color w:val="auto"/>
              </w:rPr>
            </w:pPr>
            <w:r>
              <w:rPr>
                <w:rFonts w:ascii="Arial" w:cs="Arial" w:eastAsia="Arial" w:hAnsi="Arial"/>
                <w:sz w:val="18"/>
                <w:szCs w:val="18"/>
                <w:color w:val="auto"/>
                <w:w w:val="99"/>
              </w:rPr>
              <w:t>Revolving Credit Facility . . . . . . . . . . .</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rPr>
              <w:t>SOFR plus 3%-4%</w:t>
            </w:r>
          </w:p>
        </w:tc>
        <w:tc>
          <w:tcPr>
            <w:tcW w:w="4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April 29, 2024</w:t>
            </w:r>
          </w:p>
        </w:tc>
        <w:tc>
          <w:tcPr>
            <w:tcW w:w="0" w:type="dxa"/>
            <w:vAlign w:val="bottom"/>
          </w:tcPr>
          <w:p>
            <w:pPr>
              <w:spacing w:after="0"/>
              <w:rPr>
                <w:sz w:val="1"/>
                <w:szCs w:val="1"/>
                <w:color w:val="auto"/>
              </w:rPr>
            </w:pPr>
          </w:p>
        </w:tc>
      </w:tr>
      <w:tr>
        <w:trPr>
          <w:trHeight w:val="220"/>
        </w:trPr>
        <w:tc>
          <w:tcPr>
            <w:tcW w:w="3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ABR plus 2%-3%</w:t>
            </w:r>
          </w:p>
        </w:tc>
        <w:tc>
          <w:tcPr>
            <w:tcW w:w="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00" w:type="dxa"/>
            <w:vAlign w:val="bottom"/>
          </w:tcPr>
          <w:p>
            <w:pPr>
              <w:jc w:val="right"/>
              <w:ind w:right="70"/>
              <w:spacing w:after="0"/>
              <w:rPr>
                <w:sz w:val="20"/>
                <w:szCs w:val="20"/>
                <w:color w:val="auto"/>
              </w:rPr>
            </w:pPr>
            <w:r>
              <w:rPr>
                <w:rFonts w:ascii="Arial" w:cs="Arial" w:eastAsia="Arial" w:hAnsi="Arial"/>
                <w:sz w:val="18"/>
                <w:szCs w:val="18"/>
                <w:color w:val="auto"/>
                <w:w w:val="97"/>
              </w:rPr>
              <w:t>Senior Notes  . . . . . . . . . . . . . . . . . . . .</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600</w:t>
            </w:r>
          </w:p>
        </w:tc>
        <w:tc>
          <w:tcPr>
            <w:tcW w:w="1800" w:type="dxa"/>
            <w:vAlign w:val="bottom"/>
            <w:gridSpan w:val="2"/>
          </w:tcPr>
          <w:p>
            <w:pPr>
              <w:jc w:val="center"/>
              <w:spacing w:after="0"/>
              <w:rPr>
                <w:sz w:val="20"/>
                <w:szCs w:val="20"/>
                <w:color w:val="auto"/>
              </w:rPr>
            </w:pPr>
            <w:r>
              <w:rPr>
                <w:rFonts w:ascii="Arial" w:cs="Arial" w:eastAsia="Arial" w:hAnsi="Arial"/>
                <w:sz w:val="18"/>
                <w:szCs w:val="18"/>
                <w:color w:val="auto"/>
                <w:w w:val="98"/>
              </w:rPr>
              <w:t>7.125%</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9"/>
              </w:rPr>
              <w:t>February 1, 2026</w:t>
            </w:r>
          </w:p>
        </w:tc>
        <w:tc>
          <w:tcPr>
            <w:tcW w:w="0" w:type="dxa"/>
            <w:vAlign w:val="bottom"/>
          </w:tcPr>
          <w:p>
            <w:pPr>
              <w:spacing w:after="0"/>
              <w:rPr>
                <w:sz w:val="1"/>
                <w:szCs w:val="1"/>
                <w:color w:val="auto"/>
              </w:rPr>
            </w:pPr>
          </w:p>
        </w:tc>
      </w:tr>
      <w:tr>
        <w:trPr>
          <w:trHeight w:val="34"/>
        </w:trPr>
        <w:tc>
          <w:tcPr>
            <w:tcW w:w="32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 xml:space="preserve">Principal amount of debt  </w:t>
            </w:r>
            <w:r>
              <w:rPr>
                <w:rFonts w:ascii="Arial" w:cs="Arial" w:eastAsia="Arial" w:hAnsi="Arial"/>
                <w:sz w:val="18"/>
                <w:szCs w:val="18"/>
                <w:color w:val="auto"/>
              </w:rPr>
              <w:t>. . . . . . .</w:t>
            </w: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3200" w:type="dxa"/>
            <w:vAlign w:val="bottom"/>
            <w:vMerge w:val="continue"/>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600</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600</w:t>
            </w:r>
          </w:p>
        </w:tc>
        <w:tc>
          <w:tcPr>
            <w:tcW w:w="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200" w:type="dxa"/>
            <w:vAlign w:val="bottom"/>
          </w:tcPr>
          <w:p>
            <w:pPr>
              <w:jc w:val="right"/>
              <w:ind w:right="70"/>
              <w:spacing w:after="0"/>
              <w:rPr>
                <w:sz w:val="20"/>
                <w:szCs w:val="20"/>
                <w:color w:val="auto"/>
              </w:rPr>
            </w:pPr>
            <w:r>
              <w:rPr>
                <w:rFonts w:ascii="Arial" w:cs="Arial" w:eastAsia="Arial" w:hAnsi="Arial"/>
                <w:sz w:val="18"/>
                <w:szCs w:val="18"/>
                <w:color w:val="auto"/>
                <w:w w:val="98"/>
              </w:rPr>
              <w:t>Unamortized debt issuance costs . . . .</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2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 xml:space="preserve">Long-term debt, net </w:t>
            </w:r>
            <w:r>
              <w:rPr>
                <w:rFonts w:ascii="Arial" w:cs="Arial" w:eastAsia="Arial" w:hAnsi="Arial"/>
                <w:sz w:val="18"/>
                <w:szCs w:val="18"/>
                <w:color w:val="auto"/>
              </w:rPr>
              <w:t>. . . . . . . . . . . .</w:t>
            </w: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3200" w:type="dxa"/>
            <w:vAlign w:val="bottom"/>
            <w:vMerge w:val="continue"/>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592</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589</w:t>
            </w:r>
          </w:p>
        </w:tc>
        <w:tc>
          <w:tcPr>
            <w:tcW w:w="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3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Fair Value</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The estimated fair value of our debt at December 31, 2022 and 2021 was approximately</w:t>
      </w:r>
    </w:p>
    <w:p>
      <w:pPr>
        <w:spacing w:after="0" w:line="14" w:lineRule="exact"/>
        <w:rPr>
          <w:sz w:val="20"/>
          <w:szCs w:val="20"/>
          <w:color w:val="auto"/>
        </w:rPr>
      </w:pPr>
    </w:p>
    <w:p>
      <w:pPr>
        <w:jc w:val="both"/>
        <w:ind w:right="180"/>
        <w:spacing w:after="0" w:line="248" w:lineRule="auto"/>
        <w:rPr>
          <w:sz w:val="20"/>
          <w:szCs w:val="20"/>
          <w:color w:val="auto"/>
        </w:rPr>
      </w:pPr>
      <w:r>
        <w:rPr>
          <w:rFonts w:ascii="Arial" w:cs="Arial" w:eastAsia="Arial" w:hAnsi="Arial"/>
          <w:sz w:val="20"/>
          <w:szCs w:val="20"/>
          <w:color w:val="auto"/>
        </w:rPr>
        <w:t>$574 million and $623 million, respectively. We estimate the fair value of our fixed-rate debt based on prices from known market transactions as of December 31, 2022 and 2021 (Level 1 inputs on the fair value hierarchy).</w:t>
      </w:r>
    </w:p>
    <w:p>
      <w:pPr>
        <w:sectPr>
          <w:pgSz w:w="11880" w:h="15480" w:orient="portrait"/>
          <w:cols w:equalWidth="0" w:num="1">
            <w:col w:w="9120"/>
          </w:cols>
          <w:pgMar w:left="1380" w:top="1310" w:right="138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115</w:t>
      </w:r>
    </w:p>
    <w:p>
      <w:pPr>
        <w:sectPr>
          <w:pgSz w:w="11880" w:h="15480" w:orient="portrait"/>
          <w:cols w:equalWidth="0" w:num="1">
            <w:col w:w="9120"/>
          </w:cols>
          <w:pgMar w:left="1380" w:top="1310" w:right="1380" w:bottom="661" w:gutter="0" w:footer="0" w:header="0"/>
          <w:type w:val="continuous"/>
        </w:sectPr>
      </w:pPr>
    </w:p>
    <w:bookmarkStart w:id="119" w:name="page120"/>
    <w:bookmarkEnd w:id="119"/>
    <w:p>
      <w:pPr>
        <w:spacing w:after="0"/>
        <w:rPr>
          <w:sz w:val="20"/>
          <w:szCs w:val="20"/>
          <w:color w:val="auto"/>
        </w:rPr>
      </w:pPr>
      <w:r>
        <w:rPr>
          <w:rFonts w:ascii="Arial" w:cs="Arial" w:eastAsia="Arial" w:hAnsi="Arial"/>
          <w:sz w:val="20"/>
          <w:szCs w:val="20"/>
          <w:i w:val="1"/>
          <w:iCs w:val="1"/>
          <w:u w:val="single" w:color="auto"/>
          <w:color w:val="auto"/>
        </w:rPr>
        <w:t>Revolving Credit Facility</w:t>
      </w:r>
    </w:p>
    <w:p>
      <w:pPr>
        <w:spacing w:after="0" w:line="216"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auto"/>
        </w:rPr>
        <w:t>On October 27, 2020, we entered into a Credit Agreement with Citibank, N.A., as administrative agent, and certain other lenders. This credit agreement consists of a senior revolving loan facility (Revolving Credit Facility) with an aggregate commitment of $602 million, which we are permitted to increase if we obtain additional commitments from new or existing lenders. The aggregate commitment increased from $492 million as of December 31, 2021 due to $110 million of additional commitments from new lenders that joined this facility in 2022. Our Revolving Credit Facility also includes a sub-limit of $200 million for the issuance of letters of credit. As of December 31, 2022, we had approximately $458 million available for borrowing under the Revolving Credit Facility after taking into account $144 million of outstanding letters of credit.</w:t>
      </w:r>
    </w:p>
    <w:p>
      <w:pPr>
        <w:spacing w:after="0" w:line="213" w:lineRule="exact"/>
        <w:rPr>
          <w:sz w:val="20"/>
          <w:szCs w:val="20"/>
          <w:color w:val="auto"/>
        </w:rPr>
      </w:pPr>
    </w:p>
    <w:p>
      <w:pPr>
        <w:ind w:right="80" w:firstLine="300"/>
        <w:spacing w:after="0" w:line="243" w:lineRule="auto"/>
        <w:rPr>
          <w:sz w:val="20"/>
          <w:szCs w:val="20"/>
          <w:color w:val="auto"/>
        </w:rPr>
      </w:pPr>
      <w:r>
        <w:rPr>
          <w:rFonts w:ascii="Arial" w:cs="Arial" w:eastAsia="Arial" w:hAnsi="Arial"/>
          <w:sz w:val="20"/>
          <w:szCs w:val="20"/>
          <w:color w:val="auto"/>
        </w:rPr>
        <w:t>The proceeds of all or a portion of the Revolving Credit Facility may be used for our working capital needs and for other purposes subject to meeting certain criteria.</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20"/>
          <w:szCs w:val="20"/>
          <w:i w:val="1"/>
          <w:iCs w:val="1"/>
          <w:color w:val="auto"/>
        </w:rPr>
        <w:t xml:space="preserve">Security </w:t>
      </w:r>
      <w:r>
        <w:rPr>
          <w:rFonts w:ascii="Arial" w:cs="Arial" w:eastAsia="Arial" w:hAnsi="Arial"/>
          <w:sz w:val="20"/>
          <w:szCs w:val="20"/>
          <w:color w:val="auto"/>
        </w:rPr>
        <w:t>– The lenders have a first-priority lien on a substantial majority of our assets.</w:t>
      </w:r>
    </w:p>
    <w:p>
      <w:pPr>
        <w:spacing w:after="0" w:line="214" w:lineRule="exact"/>
        <w:rPr>
          <w:sz w:val="20"/>
          <w:szCs w:val="20"/>
          <w:color w:val="auto"/>
        </w:rPr>
      </w:pPr>
    </w:p>
    <w:p>
      <w:pPr>
        <w:ind w:right="360" w:firstLine="300"/>
        <w:spacing w:after="0" w:line="249" w:lineRule="auto"/>
        <w:rPr>
          <w:sz w:val="20"/>
          <w:szCs w:val="20"/>
          <w:color w:val="auto"/>
        </w:rPr>
      </w:pPr>
      <w:r>
        <w:rPr>
          <w:rFonts w:ascii="Arial" w:cs="Arial" w:eastAsia="Arial" w:hAnsi="Arial"/>
          <w:sz w:val="20"/>
          <w:szCs w:val="20"/>
          <w:i w:val="1"/>
          <w:iCs w:val="1"/>
          <w:color w:val="auto"/>
        </w:rPr>
        <w:t xml:space="preserve">Interest Rate </w:t>
      </w:r>
      <w:r>
        <w:rPr>
          <w:rFonts w:ascii="Arial" w:cs="Arial" w:eastAsia="Arial" w:hAnsi="Arial"/>
          <w:sz w:val="20"/>
          <w:szCs w:val="20"/>
          <w:color w:val="auto"/>
        </w:rPr>
        <w:t>– In February 2022, we amended our Revolving Credit Facility to change the</w:t>
      </w:r>
      <w:r>
        <w:rPr>
          <w:rFonts w:ascii="Arial" w:cs="Arial" w:eastAsia="Arial" w:hAnsi="Arial"/>
          <w:sz w:val="20"/>
          <w:szCs w:val="20"/>
          <w:i w:val="1"/>
          <w:iCs w:val="1"/>
          <w:color w:val="auto"/>
        </w:rPr>
        <w:t xml:space="preserve"> </w:t>
      </w:r>
      <w:r>
        <w:rPr>
          <w:rFonts w:ascii="Arial" w:cs="Arial" w:eastAsia="Arial" w:hAnsi="Arial"/>
          <w:sz w:val="20"/>
          <w:szCs w:val="20"/>
          <w:color w:val="auto"/>
        </w:rPr>
        <w:t>benchmark rate from the London Interbank Offered Rate to the secured overnight financing rate (SOFR). We can elect to borrow at either an adjusted SOFR rate or an alternate base rate (ABR), subject to a 1% floor and 2% floor, respectively, plus an applicable margin. The ABR is equal to the highest of (i) the federal funds effective rate plus 0.50%, (ii) the administrative agent prime rate and</w:t>
      </w:r>
    </w:p>
    <w:p>
      <w:pPr>
        <w:spacing w:after="0" w:line="9" w:lineRule="exact"/>
        <w:rPr>
          <w:sz w:val="20"/>
          <w:szCs w:val="20"/>
          <w:color w:val="auto"/>
        </w:rPr>
      </w:pPr>
    </w:p>
    <w:p>
      <w:pPr>
        <w:spacing w:after="0" w:line="249" w:lineRule="auto"/>
        <w:tabs>
          <w:tab w:leader="none" w:pos="322"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one-month SOFR rate plus 1%. The applicable margin is adjusted based on the borrowing base utilization percentage and will vary from (i) in the case of SOFR loans, 3% to 4% and (ii) in the case of ABR loans, 2% to 3%. The unused portion of the facility is subject to a commitment fee of 0.50% per annum. We also pay customary fees and expenses. Interest on ABR loans is payable quarterly in arrears. Interest on SOFR loans is payable at the end of each SOFR period, but not less than quarterly.</w:t>
      </w:r>
    </w:p>
    <w:p>
      <w:pPr>
        <w:spacing w:after="0" w:line="206" w:lineRule="exact"/>
        <w:rPr>
          <w:sz w:val="20"/>
          <w:szCs w:val="20"/>
          <w:color w:val="auto"/>
        </w:rPr>
      </w:pPr>
    </w:p>
    <w:p>
      <w:pPr>
        <w:ind w:right="440" w:firstLine="300"/>
        <w:spacing w:after="0" w:line="247" w:lineRule="auto"/>
        <w:rPr>
          <w:sz w:val="20"/>
          <w:szCs w:val="20"/>
          <w:color w:val="auto"/>
        </w:rPr>
      </w:pPr>
      <w:r>
        <w:rPr>
          <w:rFonts w:ascii="Arial" w:cs="Arial" w:eastAsia="Arial" w:hAnsi="Arial"/>
          <w:sz w:val="20"/>
          <w:szCs w:val="20"/>
          <w:i w:val="1"/>
          <w:iCs w:val="1"/>
          <w:color w:val="auto"/>
        </w:rPr>
        <w:t xml:space="preserve">Amortization Payments </w:t>
      </w:r>
      <w:r>
        <w:rPr>
          <w:rFonts w:ascii="Arial" w:cs="Arial" w:eastAsia="Arial" w:hAnsi="Arial"/>
          <w:sz w:val="20"/>
          <w:szCs w:val="20"/>
          <w:color w:val="auto"/>
        </w:rPr>
        <w:t>– The Revolving Credit Facility does not include any obligation to make</w:t>
      </w:r>
      <w:r>
        <w:rPr>
          <w:rFonts w:ascii="Arial" w:cs="Arial" w:eastAsia="Arial" w:hAnsi="Arial"/>
          <w:sz w:val="20"/>
          <w:szCs w:val="20"/>
          <w:i w:val="1"/>
          <w:iCs w:val="1"/>
          <w:color w:val="auto"/>
        </w:rPr>
        <w:t xml:space="preserve"> </w:t>
      </w:r>
      <w:r>
        <w:rPr>
          <w:rFonts w:ascii="Arial" w:cs="Arial" w:eastAsia="Arial" w:hAnsi="Arial"/>
          <w:sz w:val="20"/>
          <w:szCs w:val="20"/>
          <w:color w:val="auto"/>
        </w:rPr>
        <w:t>amortizing payments.</w:t>
      </w:r>
    </w:p>
    <w:p>
      <w:pPr>
        <w:spacing w:after="0" w:line="207" w:lineRule="exact"/>
        <w:rPr>
          <w:sz w:val="20"/>
          <w:szCs w:val="20"/>
          <w:color w:val="auto"/>
        </w:rPr>
      </w:pPr>
    </w:p>
    <w:p>
      <w:pPr>
        <w:ind w:right="340" w:firstLine="300"/>
        <w:spacing w:after="0" w:line="247" w:lineRule="auto"/>
        <w:rPr>
          <w:sz w:val="20"/>
          <w:szCs w:val="20"/>
          <w:color w:val="auto"/>
        </w:rPr>
      </w:pPr>
      <w:r>
        <w:rPr>
          <w:rFonts w:ascii="Arial" w:cs="Arial" w:eastAsia="Arial" w:hAnsi="Arial"/>
          <w:sz w:val="20"/>
          <w:szCs w:val="20"/>
          <w:i w:val="1"/>
          <w:iCs w:val="1"/>
          <w:color w:val="auto"/>
        </w:rPr>
        <w:t xml:space="preserve">Borrowing Base </w:t>
      </w:r>
      <w:r>
        <w:rPr>
          <w:rFonts w:ascii="Arial" w:cs="Arial" w:eastAsia="Arial" w:hAnsi="Arial"/>
          <w:sz w:val="20"/>
          <w:szCs w:val="20"/>
          <w:color w:val="auto"/>
        </w:rPr>
        <w:t>– The borrowing base, currently $1.2 billion, will be redetermined semi-annually</w:t>
      </w:r>
      <w:r>
        <w:rPr>
          <w:rFonts w:ascii="Arial" w:cs="Arial" w:eastAsia="Arial" w:hAnsi="Arial"/>
          <w:sz w:val="20"/>
          <w:szCs w:val="20"/>
          <w:i w:val="1"/>
          <w:iCs w:val="1"/>
          <w:color w:val="auto"/>
        </w:rPr>
        <w:t xml:space="preserve"> </w:t>
      </w:r>
      <w:r>
        <w:rPr>
          <w:rFonts w:ascii="Arial" w:cs="Arial" w:eastAsia="Arial" w:hAnsi="Arial"/>
          <w:sz w:val="20"/>
          <w:szCs w:val="20"/>
          <w:color w:val="auto"/>
        </w:rPr>
        <w:t>each April and October.</w:t>
      </w:r>
    </w:p>
    <w:p>
      <w:pPr>
        <w:spacing w:after="0" w:line="204" w:lineRule="exact"/>
        <w:rPr>
          <w:sz w:val="20"/>
          <w:szCs w:val="20"/>
          <w:color w:val="auto"/>
        </w:rPr>
      </w:pPr>
    </w:p>
    <w:p>
      <w:pPr>
        <w:ind w:left="300"/>
        <w:spacing w:after="0"/>
        <w:rPr>
          <w:sz w:val="20"/>
          <w:szCs w:val="20"/>
          <w:color w:val="auto"/>
        </w:rPr>
      </w:pPr>
      <w:r>
        <w:rPr>
          <w:rFonts w:ascii="Arial" w:cs="Arial" w:eastAsia="Arial" w:hAnsi="Arial"/>
          <w:sz w:val="20"/>
          <w:szCs w:val="20"/>
          <w:i w:val="1"/>
          <w:iCs w:val="1"/>
          <w:color w:val="auto"/>
        </w:rPr>
        <w:t xml:space="preserve">Financial Covenants </w:t>
      </w:r>
      <w:r>
        <w:rPr>
          <w:rFonts w:ascii="Arial" w:cs="Arial" w:eastAsia="Arial" w:hAnsi="Arial"/>
          <w:sz w:val="20"/>
          <w:szCs w:val="20"/>
          <w:color w:val="auto"/>
        </w:rPr>
        <w:t>– Our Revolving Credit Facility includes the following financial covenants:</w:t>
      </w:r>
    </w:p>
    <w:p>
      <w:pPr>
        <w:spacing w:after="0" w:line="168" w:lineRule="exact"/>
        <w:rPr>
          <w:sz w:val="20"/>
          <w:szCs w:val="20"/>
          <w:color w:val="auto"/>
        </w:rPr>
      </w:pPr>
    </w:p>
    <w:p>
      <w:pPr>
        <w:ind w:left="1140"/>
        <w:spacing w:after="0"/>
        <w:tabs>
          <w:tab w:leader="none" w:pos="3520" w:val="left"/>
          <w:tab w:leader="none" w:pos="5820" w:val="left"/>
          <w:tab w:leader="none" w:pos="8080" w:val="left"/>
        </w:tabs>
        <w:rPr>
          <w:sz w:val="20"/>
          <w:szCs w:val="20"/>
          <w:color w:val="auto"/>
        </w:rPr>
      </w:pPr>
      <w:r>
        <w:rPr>
          <w:rFonts w:ascii="Arial" w:cs="Arial" w:eastAsia="Arial" w:hAnsi="Arial"/>
          <w:sz w:val="20"/>
          <w:szCs w:val="20"/>
          <w:b w:val="1"/>
          <w:bCs w:val="1"/>
          <w:color w:val="auto"/>
        </w:rPr>
        <w:t>Ratio</w:t>
      </w:r>
      <w:r>
        <w:rPr>
          <w:sz w:val="20"/>
          <w:szCs w:val="20"/>
          <w:color w:val="auto"/>
        </w:rPr>
        <w:tab/>
      </w:r>
      <w:r>
        <w:rPr>
          <w:rFonts w:ascii="Arial" w:cs="Arial" w:eastAsia="Arial" w:hAnsi="Arial"/>
          <w:sz w:val="20"/>
          <w:szCs w:val="20"/>
          <w:b w:val="1"/>
          <w:bCs w:val="1"/>
          <w:color w:val="auto"/>
        </w:rPr>
        <w:t>Components</w:t>
      </w:r>
      <w:r>
        <w:rPr>
          <w:sz w:val="20"/>
          <w:szCs w:val="20"/>
          <w:color w:val="auto"/>
        </w:rPr>
        <w:tab/>
      </w:r>
      <w:r>
        <w:rPr>
          <w:rFonts w:ascii="Arial" w:cs="Arial" w:eastAsia="Arial" w:hAnsi="Arial"/>
          <w:sz w:val="20"/>
          <w:szCs w:val="20"/>
          <w:b w:val="1"/>
          <w:bCs w:val="1"/>
          <w:color w:val="auto"/>
        </w:rPr>
        <w:t>Required Levels</w:t>
      </w:r>
      <w:r>
        <w:rPr>
          <w:sz w:val="20"/>
          <w:szCs w:val="20"/>
          <w:color w:val="auto"/>
        </w:rPr>
        <w:tab/>
      </w:r>
      <w:r>
        <w:rPr>
          <w:rFonts w:ascii="Arial" w:cs="Arial" w:eastAsia="Arial" w:hAnsi="Arial"/>
          <w:sz w:val="19"/>
          <w:szCs w:val="19"/>
          <w:b w:val="1"/>
          <w:bCs w:val="1"/>
          <w:color w:val="auto"/>
        </w:rPr>
        <w:t>Tested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19050</wp:posOffset>
                </wp:positionV>
                <wp:extent cx="175260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52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pt" to="138pt,1.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1778000</wp:posOffset>
                </wp:positionH>
                <wp:positionV relativeFrom="paragraph">
                  <wp:posOffset>19050</wp:posOffset>
                </wp:positionV>
                <wp:extent cx="172720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272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0pt,1.5pt" to="276pt,1.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3530600</wp:posOffset>
                </wp:positionH>
                <wp:positionV relativeFrom="paragraph">
                  <wp:posOffset>19050</wp:posOffset>
                </wp:positionV>
                <wp:extent cx="134620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462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8pt,1.5pt" to="384pt,1.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4902200</wp:posOffset>
                </wp:positionH>
                <wp:positionV relativeFrom="paragraph">
                  <wp:posOffset>19050</wp:posOffset>
                </wp:positionV>
                <wp:extent cx="88900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9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pt,1.5pt" to="456pt,1.5pt" o:allowincell="f" strokecolor="#000000" strokeweight="1pt"/>
            </w:pict>
          </mc:Fallback>
        </mc:AlternateContent>
      </w:r>
    </w:p>
    <w:p>
      <w:pPr>
        <w:sectPr>
          <w:pgSz w:w="11880" w:h="15480" w:orient="portrait"/>
          <w:cols w:equalWidth="0" w:num="1">
            <w:col w:w="9120"/>
          </w:cols>
          <w:pgMar w:left="1380" w:top="1310" w:right="1380" w:bottom="661" w:gutter="0" w:footer="0" w:header="0"/>
        </w:sectPr>
      </w:pPr>
    </w:p>
    <w:p>
      <w:pPr>
        <w:spacing w:after="0" w:line="92" w:lineRule="exact"/>
        <w:rPr>
          <w:sz w:val="20"/>
          <w:szCs w:val="20"/>
          <w:color w:val="auto"/>
        </w:rPr>
      </w:pPr>
    </w:p>
    <w:p>
      <w:pPr>
        <w:spacing w:after="0"/>
        <w:tabs>
          <w:tab w:leader="none" w:pos="2780" w:val="left"/>
        </w:tabs>
        <w:rPr>
          <w:sz w:val="20"/>
          <w:szCs w:val="20"/>
          <w:color w:val="auto"/>
        </w:rPr>
      </w:pPr>
      <w:r>
        <w:rPr>
          <w:rFonts w:ascii="Arial" w:cs="Arial" w:eastAsia="Arial" w:hAnsi="Arial"/>
          <w:sz w:val="20"/>
          <w:szCs w:val="20"/>
          <w:color w:val="auto"/>
        </w:rPr>
        <w:t>Consolidated Total Net</w:t>
      </w:r>
      <w:r>
        <w:rPr>
          <w:sz w:val="20"/>
          <w:szCs w:val="20"/>
          <w:color w:val="auto"/>
        </w:rPr>
        <w:tab/>
      </w:r>
      <w:r>
        <w:rPr>
          <w:rFonts w:ascii="Arial" w:cs="Arial" w:eastAsia="Arial" w:hAnsi="Arial"/>
          <w:sz w:val="20"/>
          <w:szCs w:val="20"/>
          <w:color w:val="auto"/>
        </w:rPr>
        <w:t>Ratio of Consolidated Total</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Leverage Ratio . . . . . . . . . . . . . Debt to Consolidated</w:t>
      </w:r>
    </w:p>
    <w:p>
      <w:pPr>
        <w:ind w:left="2800"/>
        <w:spacing w:after="0" w:line="236" w:lineRule="auto"/>
        <w:rPr>
          <w:sz w:val="20"/>
          <w:szCs w:val="20"/>
          <w:color w:val="auto"/>
        </w:rPr>
      </w:pPr>
      <w:r>
        <w:rPr>
          <w:rFonts w:ascii="Arial" w:cs="Arial" w:eastAsia="Arial" w:hAnsi="Arial"/>
          <w:sz w:val="20"/>
          <w:szCs w:val="20"/>
          <w:color w:val="auto"/>
        </w:rPr>
        <w:t>EBITDAX</w:t>
      </w:r>
      <w:r>
        <w:rPr>
          <w:rFonts w:ascii="Arial" w:cs="Arial" w:eastAsia="Arial" w:hAnsi="Arial"/>
          <w:sz w:val="26"/>
          <w:szCs w:val="26"/>
          <w:color w:val="auto"/>
          <w:vertAlign w:val="superscript"/>
        </w:rPr>
        <w:t>(a)</w:t>
      </w:r>
    </w:p>
    <w:p>
      <w:pPr>
        <w:spacing w:after="0" w:line="204" w:lineRule="auto"/>
        <w:tabs>
          <w:tab w:leader="none" w:pos="1300" w:val="left"/>
        </w:tabs>
        <w:rPr>
          <w:sz w:val="20"/>
          <w:szCs w:val="20"/>
          <w:color w:val="auto"/>
        </w:rPr>
      </w:pPr>
      <w:r>
        <w:rPr>
          <w:rFonts w:ascii="Arial" w:cs="Arial" w:eastAsia="Arial" w:hAnsi="Arial"/>
          <w:sz w:val="20"/>
          <w:szCs w:val="20"/>
          <w:color w:val="auto"/>
        </w:rPr>
        <w:t>Current Ratio</w:t>
      </w:r>
      <w:r>
        <w:rPr>
          <w:sz w:val="20"/>
          <w:szCs w:val="20"/>
          <w:color w:val="auto"/>
        </w:rPr>
        <w:tab/>
      </w:r>
      <w:r>
        <w:rPr>
          <w:rFonts w:ascii="Arial" w:cs="Arial" w:eastAsia="Arial" w:hAnsi="Arial"/>
          <w:sz w:val="19"/>
          <w:szCs w:val="19"/>
          <w:color w:val="auto"/>
        </w:rPr>
        <w:t>. . . . . . . . . . . . . . Ratio of consolidated current</w:t>
      </w:r>
    </w:p>
    <w:p>
      <w:pPr>
        <w:spacing w:after="0" w:line="10" w:lineRule="exact"/>
        <w:rPr>
          <w:sz w:val="20"/>
          <w:szCs w:val="20"/>
          <w:color w:val="auto"/>
        </w:rPr>
      </w:pPr>
    </w:p>
    <w:p>
      <w:pPr>
        <w:ind w:left="2800"/>
        <w:spacing w:after="0"/>
        <w:rPr>
          <w:sz w:val="20"/>
          <w:szCs w:val="20"/>
          <w:color w:val="auto"/>
        </w:rPr>
      </w:pPr>
      <w:r>
        <w:rPr>
          <w:rFonts w:ascii="Arial" w:cs="Arial" w:eastAsia="Arial" w:hAnsi="Arial"/>
          <w:sz w:val="20"/>
          <w:szCs w:val="20"/>
          <w:color w:val="auto"/>
        </w:rPr>
        <w:t>assets to consolidated current</w:t>
      </w:r>
    </w:p>
    <w:p>
      <w:pPr>
        <w:spacing w:after="0" w:line="14" w:lineRule="exact"/>
        <w:rPr>
          <w:sz w:val="20"/>
          <w:szCs w:val="20"/>
          <w:color w:val="auto"/>
        </w:rPr>
      </w:pPr>
    </w:p>
    <w:p>
      <w:pPr>
        <w:ind w:left="2800"/>
        <w:spacing w:after="0"/>
        <w:rPr>
          <w:sz w:val="20"/>
          <w:szCs w:val="20"/>
          <w:color w:val="auto"/>
        </w:rPr>
      </w:pPr>
      <w:r>
        <w:rPr>
          <w:rFonts w:ascii="Arial" w:cs="Arial" w:eastAsia="Arial" w:hAnsi="Arial"/>
          <w:sz w:val="20"/>
          <w:szCs w:val="20"/>
          <w:color w:val="auto"/>
        </w:rPr>
        <w:t>liabilities</w:t>
      </w:r>
      <w:r>
        <w:rPr>
          <w:rFonts w:ascii="Arial" w:cs="Arial" w:eastAsia="Arial" w:hAnsi="Arial"/>
          <w:sz w:val="26"/>
          <w:szCs w:val="26"/>
          <w:color w:val="auto"/>
          <w:vertAlign w:val="superscript"/>
        </w:rPr>
        <w:t>(b)</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right="580"/>
        <w:spacing w:after="0" w:line="245" w:lineRule="auto"/>
        <w:rPr>
          <w:sz w:val="20"/>
          <w:szCs w:val="20"/>
          <w:color w:val="auto"/>
        </w:rPr>
      </w:pPr>
      <w:r>
        <w:rPr>
          <w:rFonts w:ascii="Arial" w:cs="Arial" w:eastAsia="Arial" w:hAnsi="Arial"/>
          <w:sz w:val="20"/>
          <w:szCs w:val="20"/>
          <w:color w:val="auto"/>
        </w:rPr>
        <w:t>Not greater than 3.00 to Quarterly 1.00</w:t>
      </w:r>
    </w:p>
    <w:p>
      <w:pPr>
        <w:spacing w:after="0" w:line="250" w:lineRule="exact"/>
        <w:rPr>
          <w:sz w:val="20"/>
          <w:szCs w:val="20"/>
          <w:color w:val="auto"/>
        </w:rPr>
      </w:pPr>
    </w:p>
    <w:p>
      <w:pPr>
        <w:ind w:right="580"/>
        <w:spacing w:after="0" w:line="245" w:lineRule="auto"/>
        <w:rPr>
          <w:sz w:val="20"/>
          <w:szCs w:val="20"/>
          <w:color w:val="auto"/>
        </w:rPr>
      </w:pPr>
      <w:r>
        <w:rPr>
          <w:rFonts w:ascii="Arial" w:cs="Arial" w:eastAsia="Arial" w:hAnsi="Arial"/>
          <w:sz w:val="20"/>
          <w:szCs w:val="20"/>
          <w:color w:val="auto"/>
        </w:rPr>
        <w:t>Not less than 1.00 to Quarterly 1.00</w:t>
      </w:r>
    </w:p>
    <w:p>
      <w:pPr>
        <w:spacing w:after="0" w:line="310" w:lineRule="exact"/>
        <w:rPr>
          <w:sz w:val="20"/>
          <w:szCs w:val="20"/>
          <w:color w:val="auto"/>
        </w:rPr>
      </w:pPr>
    </w:p>
    <w:p>
      <w:pPr>
        <w:sectPr>
          <w:pgSz w:w="11880" w:h="15480" w:orient="portrait"/>
          <w:cols w:equalWidth="0" w:num="2">
            <w:col w:w="5460" w:space="100"/>
            <w:col w:w="3560"/>
          </w:cols>
          <w:pgMar w:left="1380" w:top="1310" w:right="1380" w:bottom="661" w:gutter="0" w:footer="0" w:header="0"/>
          <w:type w:val="continuous"/>
        </w:sectPr>
      </w:pPr>
    </w:p>
    <w:p>
      <w:pPr>
        <w:ind w:left="520" w:hanging="248"/>
        <w:spacing w:after="0" w:line="204" w:lineRule="auto"/>
        <w:tabs>
          <w:tab w:leader="none" w:pos="5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EBITDAX is calculated as defined in the credit agreement.</w:t>
      </w:r>
    </w:p>
    <w:p>
      <w:pPr>
        <w:spacing w:after="0" w:line="21" w:lineRule="exact"/>
        <w:rPr>
          <w:rFonts w:ascii="Arial" w:cs="Arial" w:eastAsia="Arial" w:hAnsi="Arial"/>
          <w:sz w:val="16"/>
          <w:szCs w:val="16"/>
          <w:color w:val="auto"/>
        </w:rPr>
      </w:pPr>
    </w:p>
    <w:p>
      <w:pPr>
        <w:ind w:left="520" w:right="800" w:hanging="248"/>
        <w:spacing w:after="0" w:line="254" w:lineRule="auto"/>
        <w:tabs>
          <w:tab w:leader="none" w:pos="5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available credit under our Revolving Credit Facility is included in consolidated current assets as part of the calculation of the current ratio.</w:t>
      </w:r>
    </w:p>
    <w:p>
      <w:pPr>
        <w:spacing w:after="0" w:line="212"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i w:val="1"/>
          <w:iCs w:val="1"/>
          <w:color w:val="auto"/>
        </w:rPr>
        <w:t xml:space="preserve">Other Covenants </w:t>
      </w:r>
      <w:r>
        <w:rPr>
          <w:rFonts w:ascii="Arial" w:cs="Arial" w:eastAsia="Arial" w:hAnsi="Arial"/>
          <w:sz w:val="20"/>
          <w:szCs w:val="20"/>
          <w:color w:val="auto"/>
        </w:rPr>
        <w:t>– Our Revolving Credit Facility includes covenants that, among other things,</w:t>
      </w:r>
      <w:r>
        <w:rPr>
          <w:rFonts w:ascii="Arial" w:cs="Arial" w:eastAsia="Arial" w:hAnsi="Arial"/>
          <w:sz w:val="20"/>
          <w:szCs w:val="20"/>
          <w:i w:val="1"/>
          <w:iCs w:val="1"/>
          <w:color w:val="auto"/>
        </w:rPr>
        <w:t xml:space="preserve"> </w:t>
      </w:r>
      <w:r>
        <w:rPr>
          <w:rFonts w:ascii="Arial" w:cs="Arial" w:eastAsia="Arial" w:hAnsi="Arial"/>
          <w:sz w:val="20"/>
          <w:szCs w:val="20"/>
          <w:color w:val="auto"/>
        </w:rPr>
        <w:t>restrict our ability to incur additional indebtedness, grant liens, make asset sales and investments, repay existing indebtedness, make subsidiary distributions and enter into transactions that would result in fundamental changes. We are also restricted in the amount of cash dividends we can pay on our common stock unless we meet certain covenants included in the credit agreement.</w:t>
      </w:r>
    </w:p>
    <w:p>
      <w:pPr>
        <w:sectPr>
          <w:pgSz w:w="11880" w:h="15480" w:orient="portrait"/>
          <w:cols w:equalWidth="0" w:num="1">
            <w:col w:w="9120"/>
          </w:cols>
          <w:pgMar w:left="1380" w:top="1310" w:right="1380" w:bottom="661"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116</w:t>
      </w:r>
    </w:p>
    <w:p>
      <w:pPr>
        <w:sectPr>
          <w:pgSz w:w="11880" w:h="15480" w:orient="portrait"/>
          <w:cols w:equalWidth="0" w:num="1">
            <w:col w:w="9120"/>
          </w:cols>
          <w:pgMar w:left="1380" w:top="1310" w:right="1380" w:bottom="661" w:gutter="0" w:footer="0" w:header="0"/>
          <w:type w:val="continuous"/>
        </w:sectPr>
      </w:pPr>
    </w:p>
    <w:bookmarkStart w:id="120" w:name="page121"/>
    <w:bookmarkEnd w:id="120"/>
    <w:p>
      <w:pPr>
        <w:ind w:right="20" w:firstLine="300"/>
        <w:spacing w:after="0" w:line="249" w:lineRule="auto"/>
        <w:rPr>
          <w:sz w:val="20"/>
          <w:szCs w:val="20"/>
          <w:color w:val="auto"/>
        </w:rPr>
      </w:pPr>
      <w:r>
        <w:rPr>
          <w:rFonts w:ascii="Arial" w:cs="Arial" w:eastAsia="Arial" w:hAnsi="Arial"/>
          <w:sz w:val="20"/>
          <w:szCs w:val="20"/>
          <w:color w:val="auto"/>
        </w:rPr>
        <w:t>In April 2022, we amended our Revolving Credit Facility to, among other things, modify the minimum hedge requirement and the restricted payment and investment covenants contained in the Revolving Credit Facility. As a result of this amendment, the rolling hedge requirement has been modified. As amended, our Revolving Credit Facility requires us to maintain hedges on a minimum amount of crude oil production (determined on (i) the date of delivery of annual and quarterly financial statements and (ii) the date of delivery of a reserve report delivered in connection with an interim borrowing base redetermination) of no less than (i) in the event that our Consolidated Total Net Leverage Ratio (as defined in the Credit Agreement) is greater than 2:1 as of the end of the most recent fiscal quarter test period, 50% of our reasonably anticipated oil production from our proved developed producing reserves for each quarter during the period ending the earlier of (1) the maturity date of the Revolving Credit Facility and (2) 12 months after the delivery of the compliance certificate for the relevant test period and (ii) in the event that our Consolidated Total Net Leverage Ratio is less than or equal to 2:1 but greater than 1:1 as of the end of the most recent fiscal quarter test period, 33% of our reasonably anticipated oil production from our proved developed producing reserves for each quarter during the period ending the earlier of (1) the maturity date of the Revolving Credit Facility and</w:t>
      </w:r>
    </w:p>
    <w:p>
      <w:pPr>
        <w:spacing w:after="0" w:line="21" w:lineRule="exact"/>
        <w:rPr>
          <w:sz w:val="20"/>
          <w:szCs w:val="20"/>
          <w:color w:val="auto"/>
        </w:rPr>
      </w:pPr>
    </w:p>
    <w:p>
      <w:pPr>
        <w:ind w:right="40"/>
        <w:spacing w:after="0" w:line="267" w:lineRule="auto"/>
        <w:tabs>
          <w:tab w:leader="none" w:pos="301" w:val="left"/>
        </w:tabs>
        <w:numPr>
          <w:ilvl w:val="0"/>
          <w:numId w:val="52"/>
        </w:numPr>
        <w:rPr>
          <w:rFonts w:ascii="Arial" w:cs="Arial" w:eastAsia="Arial" w:hAnsi="Arial"/>
          <w:sz w:val="19"/>
          <w:szCs w:val="19"/>
          <w:color w:val="auto"/>
        </w:rPr>
      </w:pPr>
      <w:r>
        <w:rPr>
          <w:rFonts w:ascii="Arial" w:cs="Arial" w:eastAsia="Arial" w:hAnsi="Arial"/>
          <w:sz w:val="19"/>
          <w:szCs w:val="19"/>
          <w:color w:val="auto"/>
        </w:rPr>
        <w:t>12 months after the delivery of the compliance certificate for the relevant test period. The foregoing minimum hedge requirements do not apply to the extent that our Consolidated Total Net Leverage Ratio is less than or equal to 1:1 as of the last day of the most recently ended fiscal quarter test period.</w:t>
      </w:r>
    </w:p>
    <w:p>
      <w:pPr>
        <w:spacing w:after="0" w:line="191" w:lineRule="exact"/>
        <w:rPr>
          <w:sz w:val="20"/>
          <w:szCs w:val="20"/>
          <w:color w:val="auto"/>
        </w:rPr>
      </w:pPr>
    </w:p>
    <w:p>
      <w:pPr>
        <w:ind w:right="160" w:firstLine="300"/>
        <w:spacing w:after="0" w:line="249" w:lineRule="auto"/>
        <w:rPr>
          <w:sz w:val="20"/>
          <w:szCs w:val="20"/>
          <w:color w:val="auto"/>
        </w:rPr>
      </w:pPr>
      <w:r>
        <w:rPr>
          <w:rFonts w:ascii="Arial" w:cs="Arial" w:eastAsia="Arial" w:hAnsi="Arial"/>
          <w:sz w:val="20"/>
          <w:szCs w:val="20"/>
          <w:color w:val="auto"/>
        </w:rPr>
        <w:t>Furthermore, the restricted payment and investments covenants were modified to permit unlimited investments and/or restricted payments so long as (i) no Default, Event of Default or Borrowing Base Deficiency shall have occurred and be continuing under the Revolving Credit Facility at the time of such investment or restricted payment, (ii) the undrawn availability under the Revolving Credit Facility at such time is not less than 30.0% of the total commitment and (iii) the Consolidated Total Net Leverage Ratio is less than or equal to 1.5:1.</w:t>
      </w:r>
    </w:p>
    <w:p>
      <w:pPr>
        <w:spacing w:after="0" w:line="206"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i w:val="1"/>
          <w:iCs w:val="1"/>
          <w:color w:val="auto"/>
        </w:rPr>
        <w:t xml:space="preserve">Events of Default and Change of Control </w:t>
      </w:r>
      <w:r>
        <w:rPr>
          <w:rFonts w:ascii="Arial" w:cs="Arial" w:eastAsia="Arial" w:hAnsi="Arial"/>
          <w:sz w:val="20"/>
          <w:szCs w:val="20"/>
          <w:color w:val="auto"/>
        </w:rPr>
        <w:t>– Our Revolving Credit Facility provides for certain events</w:t>
      </w:r>
      <w:r>
        <w:rPr>
          <w:rFonts w:ascii="Arial" w:cs="Arial" w:eastAsia="Arial" w:hAnsi="Arial"/>
          <w:sz w:val="20"/>
          <w:szCs w:val="20"/>
          <w:i w:val="1"/>
          <w:iCs w:val="1"/>
          <w:color w:val="auto"/>
        </w:rPr>
        <w:t xml:space="preserve"> </w:t>
      </w:r>
      <w:r>
        <w:rPr>
          <w:rFonts w:ascii="Arial" w:cs="Arial" w:eastAsia="Arial" w:hAnsi="Arial"/>
          <w:sz w:val="20"/>
          <w:szCs w:val="20"/>
          <w:color w:val="auto"/>
        </w:rPr>
        <w:t>of default, including upon a change of control, as defined in the credit agreement, that entitles our lenders to declare the outstanding loans immediately due and payable, subject to certain limitations and conditions.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Senior Notes</w:t>
      </w:r>
    </w:p>
    <w:p>
      <w:pPr>
        <w:spacing w:after="0" w:line="214" w:lineRule="exact"/>
        <w:rPr>
          <w:sz w:val="20"/>
          <w:szCs w:val="20"/>
          <w:color w:val="auto"/>
        </w:rPr>
      </w:pPr>
    </w:p>
    <w:p>
      <w:pPr>
        <w:ind w:firstLine="300"/>
        <w:spacing w:after="0" w:line="245" w:lineRule="auto"/>
        <w:rPr>
          <w:sz w:val="20"/>
          <w:szCs w:val="20"/>
          <w:color w:val="auto"/>
        </w:rPr>
      </w:pPr>
      <w:r>
        <w:rPr>
          <w:rFonts w:ascii="Arial" w:cs="Arial" w:eastAsia="Arial" w:hAnsi="Arial"/>
          <w:sz w:val="20"/>
          <w:szCs w:val="20"/>
          <w:color w:val="auto"/>
        </w:rPr>
        <w:t>On January 20, 2021, we completed an offering of $600 million in aggregate principal amount of our 7.125% senior unsecured notes due 2026 (Senior Notes). The net proceeds of $587 million, after</w:t>
      </w:r>
    </w:p>
    <w:p>
      <w:pPr>
        <w:spacing w:after="0" w:line="10" w:lineRule="exact"/>
        <w:rPr>
          <w:sz w:val="20"/>
          <w:szCs w:val="20"/>
          <w:color w:val="auto"/>
        </w:rPr>
      </w:pPr>
    </w:p>
    <w:p>
      <w:pPr>
        <w:ind w:right="120"/>
        <w:spacing w:after="0" w:line="248" w:lineRule="auto"/>
        <w:rPr>
          <w:sz w:val="20"/>
          <w:szCs w:val="20"/>
          <w:color w:val="auto"/>
        </w:rPr>
      </w:pPr>
      <w:r>
        <w:rPr>
          <w:rFonts w:ascii="Arial" w:cs="Arial" w:eastAsia="Arial" w:hAnsi="Arial"/>
          <w:sz w:val="20"/>
          <w:szCs w:val="20"/>
          <w:color w:val="auto"/>
        </w:rPr>
        <w:t>$13 million of debt issuance costs, were used to repay in full our Second Lien Term Loan and EHP Notes, with the remainder used to repay substantially all of the then outstanding borrowings under our Revolving Credit Facility. We recognized a $2 million loss on extinguishment of debt, including unamortized debt issuance costs, associated with these repayments.</w:t>
      </w:r>
    </w:p>
    <w:p>
      <w:pPr>
        <w:spacing w:after="0" w:line="207" w:lineRule="exact"/>
        <w:rPr>
          <w:sz w:val="20"/>
          <w:szCs w:val="20"/>
          <w:color w:val="auto"/>
        </w:rPr>
      </w:pPr>
    </w:p>
    <w:p>
      <w:pPr>
        <w:ind w:right="240" w:firstLine="300"/>
        <w:spacing w:after="0" w:line="247" w:lineRule="auto"/>
        <w:rPr>
          <w:sz w:val="20"/>
          <w:szCs w:val="20"/>
          <w:color w:val="auto"/>
        </w:rPr>
      </w:pPr>
      <w:r>
        <w:rPr>
          <w:rFonts w:ascii="Arial" w:cs="Arial" w:eastAsia="Arial" w:hAnsi="Arial"/>
          <w:sz w:val="20"/>
          <w:szCs w:val="20"/>
          <w:i w:val="1"/>
          <w:iCs w:val="1"/>
          <w:color w:val="auto"/>
        </w:rPr>
        <w:t xml:space="preserve">Security </w:t>
      </w:r>
      <w:r>
        <w:rPr>
          <w:rFonts w:ascii="Arial" w:cs="Arial" w:eastAsia="Arial" w:hAnsi="Arial"/>
          <w:sz w:val="20"/>
          <w:szCs w:val="20"/>
          <w:color w:val="auto"/>
        </w:rPr>
        <w:t>– Our Senior Notes are general unsecured obligations which are guaranteed on a senior</w:t>
      </w:r>
      <w:r>
        <w:rPr>
          <w:rFonts w:ascii="Arial" w:cs="Arial" w:eastAsia="Arial" w:hAnsi="Arial"/>
          <w:sz w:val="20"/>
          <w:szCs w:val="20"/>
          <w:i w:val="1"/>
          <w:iCs w:val="1"/>
          <w:color w:val="auto"/>
        </w:rPr>
        <w:t xml:space="preserve"> </w:t>
      </w:r>
      <w:r>
        <w:rPr>
          <w:rFonts w:ascii="Arial" w:cs="Arial" w:eastAsia="Arial" w:hAnsi="Arial"/>
          <w:sz w:val="20"/>
          <w:szCs w:val="20"/>
          <w:color w:val="auto"/>
        </w:rPr>
        <w:t>unsecured basis by certain of our material subsidiaries.</w:t>
      </w:r>
    </w:p>
    <w:p>
      <w:pPr>
        <w:spacing w:after="0" w:line="207"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i w:val="1"/>
          <w:iCs w:val="1"/>
          <w:color w:val="auto"/>
        </w:rPr>
        <w:t xml:space="preserve">Redemption </w:t>
      </w:r>
      <w:r>
        <w:rPr>
          <w:rFonts w:ascii="Arial" w:cs="Arial" w:eastAsia="Arial" w:hAnsi="Arial"/>
          <w:sz w:val="20"/>
          <w:szCs w:val="20"/>
          <w:color w:val="auto"/>
        </w:rPr>
        <w:t>– On or after February 1, 2023, we may redeem the Senior Notes at any time prior to</w:t>
      </w:r>
      <w:r>
        <w:rPr>
          <w:rFonts w:ascii="Arial" w:cs="Arial" w:eastAsia="Arial" w:hAnsi="Arial"/>
          <w:sz w:val="20"/>
          <w:szCs w:val="20"/>
          <w:i w:val="1"/>
          <w:iCs w:val="1"/>
          <w:color w:val="auto"/>
        </w:rPr>
        <w:t xml:space="preserve"> </w:t>
      </w:r>
      <w:r>
        <w:rPr>
          <w:rFonts w:ascii="Arial" w:cs="Arial" w:eastAsia="Arial" w:hAnsi="Arial"/>
          <w:sz w:val="20"/>
          <w:szCs w:val="20"/>
          <w:color w:val="auto"/>
        </w:rPr>
        <w:t>the maturity date at a redemption price equal to (i) 104% of the principal amount if redeemed in the twelve months beginning February 1, 2023, (ii) 102% of the principal amount if redeemed in the twelve months beginning February 1, 2024 and (iii) 100% of the principal amount if redeemed after February 1, 2025, in each case plus accrued and unpaid interest.</w:t>
      </w:r>
    </w:p>
    <w:p>
      <w:pPr>
        <w:spacing w:after="0" w:line="207" w:lineRule="exact"/>
        <w:rPr>
          <w:sz w:val="20"/>
          <w:szCs w:val="20"/>
          <w:color w:val="auto"/>
        </w:rPr>
      </w:pPr>
    </w:p>
    <w:p>
      <w:pPr>
        <w:jc w:val="both"/>
        <w:ind w:right="40" w:firstLine="300"/>
        <w:spacing w:after="0" w:line="248" w:lineRule="auto"/>
        <w:rPr>
          <w:sz w:val="20"/>
          <w:szCs w:val="20"/>
          <w:color w:val="auto"/>
        </w:rPr>
      </w:pPr>
      <w:r>
        <w:rPr>
          <w:rFonts w:ascii="Arial" w:cs="Arial" w:eastAsia="Arial" w:hAnsi="Arial"/>
          <w:sz w:val="20"/>
          <w:szCs w:val="20"/>
          <w:i w:val="1"/>
          <w:iCs w:val="1"/>
          <w:color w:val="auto"/>
        </w:rPr>
        <w:t xml:space="preserve">Other Covenants </w:t>
      </w:r>
      <w:r>
        <w:rPr>
          <w:rFonts w:ascii="Arial" w:cs="Arial" w:eastAsia="Arial" w:hAnsi="Arial"/>
          <w:sz w:val="20"/>
          <w:szCs w:val="20"/>
          <w:color w:val="auto"/>
        </w:rPr>
        <w:t>– Our Senior Notes include covenants that, among other things, restrict our ability</w:t>
      </w:r>
      <w:r>
        <w:rPr>
          <w:rFonts w:ascii="Arial" w:cs="Arial" w:eastAsia="Arial" w:hAnsi="Arial"/>
          <w:sz w:val="20"/>
          <w:szCs w:val="20"/>
          <w:i w:val="1"/>
          <w:iCs w:val="1"/>
          <w:color w:val="auto"/>
        </w:rPr>
        <w:t xml:space="preserve"> </w:t>
      </w:r>
      <w:r>
        <w:rPr>
          <w:rFonts w:ascii="Arial" w:cs="Arial" w:eastAsia="Arial" w:hAnsi="Arial"/>
          <w:sz w:val="20"/>
          <w:szCs w:val="20"/>
          <w:color w:val="auto"/>
        </w:rPr>
        <w:t>to incur additional indebtedness, issue preferred stock, grant liens, make asset sales and investments, repay existing indebtedness, make subsidiary distributions and enter into transactions that would result in fundamental changes.</w:t>
      </w:r>
    </w:p>
    <w:p>
      <w:pPr>
        <w:sectPr>
          <w:pgSz w:w="11880" w:h="15480" w:orient="portrait"/>
          <w:cols w:equalWidth="0" w:num="1">
            <w:col w:w="9120"/>
          </w:cols>
          <w:pgMar w:left="1380" w:top="1316" w:right="1380" w:bottom="661" w:gutter="0" w:footer="0" w:header="0"/>
        </w:sect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117</w:t>
      </w:r>
    </w:p>
    <w:p>
      <w:pPr>
        <w:sectPr>
          <w:pgSz w:w="11880" w:h="15480" w:orient="portrait"/>
          <w:cols w:equalWidth="0" w:num="1">
            <w:col w:w="9120"/>
          </w:cols>
          <w:pgMar w:left="1380" w:top="1316" w:right="1380" w:bottom="661" w:gutter="0" w:footer="0" w:header="0"/>
          <w:type w:val="continuous"/>
        </w:sectPr>
      </w:pPr>
    </w:p>
    <w:bookmarkStart w:id="121" w:name="page122"/>
    <w:bookmarkEnd w:id="121"/>
    <w:p>
      <w:pPr>
        <w:ind w:right="60" w:firstLine="300"/>
        <w:spacing w:after="0" w:line="248" w:lineRule="auto"/>
        <w:rPr>
          <w:sz w:val="20"/>
          <w:szCs w:val="20"/>
          <w:color w:val="auto"/>
        </w:rPr>
      </w:pPr>
      <w:r>
        <w:rPr>
          <w:rFonts w:ascii="Arial" w:cs="Arial" w:eastAsia="Arial" w:hAnsi="Arial"/>
          <w:sz w:val="20"/>
          <w:szCs w:val="20"/>
          <w:i w:val="1"/>
          <w:iCs w:val="1"/>
          <w:color w:val="auto"/>
        </w:rPr>
        <w:t xml:space="preserve">Events of Default and Change of Control </w:t>
      </w:r>
      <w:r>
        <w:rPr>
          <w:rFonts w:ascii="Arial" w:cs="Arial" w:eastAsia="Arial" w:hAnsi="Arial"/>
          <w:sz w:val="20"/>
          <w:szCs w:val="20"/>
          <w:color w:val="auto"/>
        </w:rPr>
        <w:t>– Our Senior Notes provide for certain triggering events,</w:t>
      </w:r>
      <w:r>
        <w:rPr>
          <w:rFonts w:ascii="Arial" w:cs="Arial" w:eastAsia="Arial" w:hAnsi="Arial"/>
          <w:sz w:val="20"/>
          <w:szCs w:val="20"/>
          <w:i w:val="1"/>
          <w:iCs w:val="1"/>
          <w:color w:val="auto"/>
        </w:rPr>
        <w:t xml:space="preserve"> </w:t>
      </w:r>
      <w:r>
        <w:rPr>
          <w:rFonts w:ascii="Arial" w:cs="Arial" w:eastAsia="Arial" w:hAnsi="Arial"/>
          <w:sz w:val="20"/>
          <w:szCs w:val="20"/>
          <w:color w:val="auto"/>
        </w:rPr>
        <w:t>including upon a change of control, as defined in the indenture, that would require us to repurchase all or any part of the Senior Notes at a price equal to 101% of the aggregate principal amount plus accrued and unpaid interest.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Second Lien Term Loan</w:t>
      </w:r>
    </w:p>
    <w:p>
      <w:pPr>
        <w:spacing w:after="0" w:line="216" w:lineRule="exact"/>
        <w:rPr>
          <w:sz w:val="20"/>
          <w:szCs w:val="20"/>
          <w:color w:val="auto"/>
        </w:rPr>
      </w:pPr>
    </w:p>
    <w:p>
      <w:pPr>
        <w:ind w:right="180" w:firstLine="300"/>
        <w:spacing w:after="0" w:line="248" w:lineRule="auto"/>
        <w:rPr>
          <w:sz w:val="20"/>
          <w:szCs w:val="20"/>
          <w:color w:val="auto"/>
        </w:rPr>
      </w:pPr>
      <w:r>
        <w:rPr>
          <w:rFonts w:ascii="Arial" w:cs="Arial" w:eastAsia="Arial" w:hAnsi="Arial"/>
          <w:sz w:val="20"/>
          <w:szCs w:val="20"/>
          <w:color w:val="auto"/>
        </w:rPr>
        <w:t>On October 27, 2020, we entered into a $200 million credit agreement with Alter Domus Products Corp., as administrative agent, and certain other lenders (Second Lien Term Loan). The proceeds were used to refinance our Junior DIP Facility and to pay certain costs, fees and expenses related to the other transactions consummated on the Effective Date.</w:t>
      </w:r>
    </w:p>
    <w:p>
      <w:pPr>
        <w:spacing w:after="0" w:line="207" w:lineRule="exact"/>
        <w:rPr>
          <w:sz w:val="20"/>
          <w:szCs w:val="20"/>
          <w:color w:val="auto"/>
        </w:rPr>
      </w:pPr>
    </w:p>
    <w:p>
      <w:pPr>
        <w:ind w:right="620" w:firstLine="300"/>
        <w:spacing w:after="0" w:line="245" w:lineRule="auto"/>
        <w:rPr>
          <w:sz w:val="20"/>
          <w:szCs w:val="20"/>
          <w:color w:val="auto"/>
        </w:rPr>
      </w:pPr>
      <w:r>
        <w:rPr>
          <w:rFonts w:ascii="Arial" w:cs="Arial" w:eastAsia="Arial" w:hAnsi="Arial"/>
          <w:sz w:val="20"/>
          <w:szCs w:val="20"/>
          <w:i w:val="1"/>
          <w:iCs w:val="1"/>
          <w:color w:val="auto"/>
        </w:rPr>
        <w:t xml:space="preserve">Security </w:t>
      </w:r>
      <w:r>
        <w:rPr>
          <w:rFonts w:ascii="Arial" w:cs="Arial" w:eastAsia="Arial" w:hAnsi="Arial"/>
          <w:sz w:val="20"/>
          <w:szCs w:val="20"/>
          <w:color w:val="auto"/>
        </w:rPr>
        <w:t>– The lenders had a second-priority lien (junior to the Revolving Credit Facility) on a</w:t>
      </w:r>
      <w:r>
        <w:rPr>
          <w:rFonts w:ascii="Arial" w:cs="Arial" w:eastAsia="Arial" w:hAnsi="Arial"/>
          <w:sz w:val="20"/>
          <w:szCs w:val="20"/>
          <w:i w:val="1"/>
          <w:iCs w:val="1"/>
          <w:color w:val="auto"/>
        </w:rPr>
        <w:t xml:space="preserve"> </w:t>
      </w:r>
      <w:r>
        <w:rPr>
          <w:rFonts w:ascii="Arial" w:cs="Arial" w:eastAsia="Arial" w:hAnsi="Arial"/>
          <w:sz w:val="20"/>
          <w:szCs w:val="20"/>
          <w:color w:val="auto"/>
        </w:rPr>
        <w:t>substantial majority of our assets, except assets securing the EHP Notes as discussed below.</w:t>
      </w:r>
    </w:p>
    <w:p>
      <w:pPr>
        <w:spacing w:after="0" w:line="210"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i w:val="1"/>
          <w:iCs w:val="1"/>
          <w:color w:val="auto"/>
        </w:rPr>
        <w:t xml:space="preserve">Interest Rate </w:t>
      </w:r>
      <w:r>
        <w:rPr>
          <w:rFonts w:ascii="Arial" w:cs="Arial" w:eastAsia="Arial" w:hAnsi="Arial"/>
          <w:sz w:val="20"/>
          <w:szCs w:val="20"/>
          <w:color w:val="auto"/>
        </w:rPr>
        <w:t>– We could elect to pay interest at either an adjusted LIBOR rate or ABR rate, subject</w:t>
      </w:r>
      <w:r>
        <w:rPr>
          <w:rFonts w:ascii="Arial" w:cs="Arial" w:eastAsia="Arial" w:hAnsi="Arial"/>
          <w:sz w:val="20"/>
          <w:szCs w:val="20"/>
          <w:i w:val="1"/>
          <w:iCs w:val="1"/>
          <w:color w:val="auto"/>
        </w:rPr>
        <w:t xml:space="preserve"> </w:t>
      </w:r>
      <w:r>
        <w:rPr>
          <w:rFonts w:ascii="Arial" w:cs="Arial" w:eastAsia="Arial" w:hAnsi="Arial"/>
          <w:sz w:val="20"/>
          <w:szCs w:val="20"/>
          <w:color w:val="auto"/>
        </w:rPr>
        <w:t>to a 1% floor and 2% floor, respectively, plus an applicable margin. The ABR rate was equal to the highest of (i) the prime rate, (ii) the federal funds rate effective rate plus 0.50%, and (iii) the one-month adjusted LIBOR rate plus 1%. Prior to the second anniversary of the closing date of the Second Lien Term Loan, the applicable margin in the case of an ABR rate election was 8% per annum if paid in cash and 9.50% per annum if paid-in-kind, and the applicable margin in the case of an adjusted LIBOR rate election was 9% if paid in cash and 10.50% if paid-in-kind. After the second anniversary of the closing date, the applicable margin was 8% with respect to any ABR loan and 9% with respect to an adjusted LIBOR loan. Interest on ABR loans was paid quarterly in arrears and interest based on the adjusted LIBOR rate was due at the end of each LIBOR period, which could be one, two, three or six months but not less than quarterly. We also paid customary fees and expenses.</w:t>
      </w:r>
    </w:p>
    <w:p>
      <w:pPr>
        <w:spacing w:after="0" w:line="205" w:lineRule="exact"/>
        <w:rPr>
          <w:sz w:val="20"/>
          <w:szCs w:val="20"/>
          <w:color w:val="auto"/>
        </w:rPr>
      </w:pPr>
    </w:p>
    <w:p>
      <w:pPr>
        <w:ind w:right="20" w:firstLine="300"/>
        <w:spacing w:after="0" w:line="247" w:lineRule="auto"/>
        <w:rPr>
          <w:sz w:val="20"/>
          <w:szCs w:val="20"/>
          <w:color w:val="auto"/>
        </w:rPr>
      </w:pPr>
      <w:r>
        <w:rPr>
          <w:rFonts w:ascii="Arial" w:cs="Arial" w:eastAsia="Arial" w:hAnsi="Arial"/>
          <w:sz w:val="20"/>
          <w:szCs w:val="20"/>
          <w:i w:val="1"/>
          <w:iCs w:val="1"/>
          <w:color w:val="auto"/>
        </w:rPr>
        <w:t xml:space="preserve">Maturity Date </w:t>
      </w:r>
      <w:r>
        <w:rPr>
          <w:rFonts w:ascii="Arial" w:cs="Arial" w:eastAsia="Arial" w:hAnsi="Arial"/>
          <w:sz w:val="20"/>
          <w:szCs w:val="20"/>
          <w:color w:val="auto"/>
        </w:rPr>
        <w:t>– Our Second Lien Term Loan would mature five years after the closing date, subject</w:t>
      </w:r>
      <w:r>
        <w:rPr>
          <w:rFonts w:ascii="Arial" w:cs="Arial" w:eastAsia="Arial" w:hAnsi="Arial"/>
          <w:sz w:val="20"/>
          <w:szCs w:val="20"/>
          <w:i w:val="1"/>
          <w:iCs w:val="1"/>
          <w:color w:val="auto"/>
        </w:rPr>
        <w:t xml:space="preserve"> </w:t>
      </w:r>
      <w:r>
        <w:rPr>
          <w:rFonts w:ascii="Arial" w:cs="Arial" w:eastAsia="Arial" w:hAnsi="Arial"/>
          <w:sz w:val="20"/>
          <w:szCs w:val="20"/>
          <w:color w:val="auto"/>
        </w:rPr>
        <w:t>to extension.</w:t>
      </w:r>
    </w:p>
    <w:p>
      <w:pPr>
        <w:spacing w:after="0" w:line="207" w:lineRule="exact"/>
        <w:rPr>
          <w:sz w:val="20"/>
          <w:szCs w:val="20"/>
          <w:color w:val="auto"/>
        </w:rPr>
      </w:pPr>
    </w:p>
    <w:p>
      <w:pPr>
        <w:ind w:right="20" w:firstLine="300"/>
        <w:spacing w:after="0" w:line="250" w:lineRule="auto"/>
        <w:rPr>
          <w:sz w:val="20"/>
          <w:szCs w:val="20"/>
          <w:color w:val="auto"/>
        </w:rPr>
      </w:pPr>
      <w:r>
        <w:rPr>
          <w:rFonts w:ascii="Arial" w:cs="Arial" w:eastAsia="Arial" w:hAnsi="Arial"/>
          <w:sz w:val="20"/>
          <w:szCs w:val="20"/>
          <w:i w:val="1"/>
          <w:iCs w:val="1"/>
          <w:color w:val="auto"/>
        </w:rPr>
        <w:t xml:space="preserve">Redemption </w:t>
      </w:r>
      <w:r>
        <w:rPr>
          <w:rFonts w:ascii="Arial" w:cs="Arial" w:eastAsia="Arial" w:hAnsi="Arial"/>
          <w:sz w:val="20"/>
          <w:szCs w:val="20"/>
          <w:color w:val="auto"/>
        </w:rPr>
        <w:t>– We could elect to redeem all or part of our Second Lien Term Loan, at any time prior</w:t>
      </w:r>
      <w:r>
        <w:rPr>
          <w:rFonts w:ascii="Arial" w:cs="Arial" w:eastAsia="Arial" w:hAnsi="Arial"/>
          <w:sz w:val="20"/>
          <w:szCs w:val="20"/>
          <w:i w:val="1"/>
          <w:iCs w:val="1"/>
          <w:color w:val="auto"/>
        </w:rPr>
        <w:t xml:space="preserve"> </w:t>
      </w:r>
      <w:r>
        <w:rPr>
          <w:rFonts w:ascii="Arial" w:cs="Arial" w:eastAsia="Arial" w:hAnsi="Arial"/>
          <w:sz w:val="20"/>
          <w:szCs w:val="20"/>
          <w:color w:val="auto"/>
        </w:rPr>
        <w:t>to the maturity date, at redemption price equal to (i) 100% of the principal amount if redeemed prior to 90 days after closing, (ii) 105% of the principal amount if redeemed after 90 days and before the first anniversary date, (iii) 103% of the principal amount if redeemed on or after the first anniversary date and before the second anniversary date, (iv) 102% of the principal amount if redeemed on or after the second anniversary date and before the third anniversary date, (v) 101% of the principal amount if redeemed on or after the third anniversary date and before the fourth anniversary date, and (vi) at 100% of the principal amount if redeemed in the fifth year.</w:t>
      </w:r>
    </w:p>
    <w:p>
      <w:pPr>
        <w:spacing w:after="0" w:line="204" w:lineRule="exact"/>
        <w:rPr>
          <w:sz w:val="20"/>
          <w:szCs w:val="20"/>
          <w:color w:val="auto"/>
        </w:rPr>
      </w:pPr>
    </w:p>
    <w:p>
      <w:pPr>
        <w:ind w:right="140" w:firstLine="300"/>
        <w:spacing w:after="0" w:line="247" w:lineRule="auto"/>
        <w:rPr>
          <w:sz w:val="20"/>
          <w:szCs w:val="20"/>
          <w:color w:val="auto"/>
        </w:rPr>
      </w:pPr>
      <w:r>
        <w:rPr>
          <w:rFonts w:ascii="Arial" w:cs="Arial" w:eastAsia="Arial" w:hAnsi="Arial"/>
          <w:sz w:val="20"/>
          <w:szCs w:val="20"/>
          <w:i w:val="1"/>
          <w:iCs w:val="1"/>
          <w:color w:val="auto"/>
        </w:rPr>
        <w:t xml:space="preserve">Financial Covenants </w:t>
      </w:r>
      <w:r>
        <w:rPr>
          <w:rFonts w:ascii="Arial" w:cs="Arial" w:eastAsia="Arial" w:hAnsi="Arial"/>
          <w:sz w:val="20"/>
          <w:szCs w:val="20"/>
          <w:color w:val="auto"/>
        </w:rPr>
        <w:t>– Our Second Lien Term Loan included certain financial covenants that were</w:t>
      </w:r>
      <w:r>
        <w:rPr>
          <w:rFonts w:ascii="Arial" w:cs="Arial" w:eastAsia="Arial" w:hAnsi="Arial"/>
          <w:sz w:val="20"/>
          <w:szCs w:val="20"/>
          <w:i w:val="1"/>
          <w:iCs w:val="1"/>
          <w:color w:val="auto"/>
        </w:rPr>
        <w:t xml:space="preserve"> </w:t>
      </w:r>
      <w:r>
        <w:rPr>
          <w:rFonts w:ascii="Arial" w:cs="Arial" w:eastAsia="Arial" w:hAnsi="Arial"/>
          <w:sz w:val="20"/>
          <w:szCs w:val="20"/>
          <w:color w:val="auto"/>
        </w:rPr>
        <w:t>to be tested quarterly, including a consolidated total net leverage ratio and current ratio.</w:t>
      </w:r>
    </w:p>
    <w:p>
      <w:pPr>
        <w:spacing w:after="0" w:line="207"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i w:val="1"/>
          <w:iCs w:val="1"/>
          <w:color w:val="auto"/>
        </w:rPr>
        <w:t xml:space="preserve">Liquidity </w:t>
      </w:r>
      <w:r>
        <w:rPr>
          <w:rFonts w:ascii="Arial" w:cs="Arial" w:eastAsia="Arial" w:hAnsi="Arial"/>
          <w:sz w:val="20"/>
          <w:szCs w:val="20"/>
          <w:color w:val="auto"/>
        </w:rPr>
        <w:t>– We would become subject to a monthly minimum liquidity requirement of $170 million if,</w:t>
      </w:r>
      <w:r>
        <w:rPr>
          <w:rFonts w:ascii="Arial" w:cs="Arial" w:eastAsia="Arial" w:hAnsi="Arial"/>
          <w:sz w:val="20"/>
          <w:szCs w:val="20"/>
          <w:i w:val="1"/>
          <w:iCs w:val="1"/>
          <w:color w:val="auto"/>
        </w:rPr>
        <w:t xml:space="preserve"> </w:t>
      </w:r>
      <w:r>
        <w:rPr>
          <w:rFonts w:ascii="Arial" w:cs="Arial" w:eastAsia="Arial" w:hAnsi="Arial"/>
          <w:sz w:val="20"/>
          <w:szCs w:val="20"/>
          <w:color w:val="auto"/>
        </w:rPr>
        <w:t>as of the Spring 2021 Scheduled Redetermination (as defined in the Revolving Credit Facility), (a) our liquidity was less than $247 million and (b) we were not able to obtain at least $51 million in additional commitments under our Revolving Credit Facility or through capital markets or other junior financing transactions, for so long as the conditions in (a) and (b) remained unmet.</w:t>
      </w:r>
    </w:p>
    <w:p>
      <w:pPr>
        <w:spacing w:after="0" w:line="207"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i w:val="1"/>
          <w:iCs w:val="1"/>
          <w:color w:val="auto"/>
        </w:rPr>
        <w:t xml:space="preserve">Other Covenants </w:t>
      </w:r>
      <w:r>
        <w:rPr>
          <w:rFonts w:ascii="Arial" w:cs="Arial" w:eastAsia="Arial" w:hAnsi="Arial"/>
          <w:sz w:val="20"/>
          <w:szCs w:val="20"/>
          <w:color w:val="auto"/>
        </w:rPr>
        <w:t>– Our Second Lien Term Loan included covenants that, among other things,</w:t>
      </w:r>
      <w:r>
        <w:rPr>
          <w:rFonts w:ascii="Arial" w:cs="Arial" w:eastAsia="Arial" w:hAnsi="Arial"/>
          <w:sz w:val="20"/>
          <w:szCs w:val="20"/>
          <w:i w:val="1"/>
          <w:iCs w:val="1"/>
          <w:color w:val="auto"/>
        </w:rPr>
        <w:t xml:space="preserve"> </w:t>
      </w:r>
      <w:r>
        <w:rPr>
          <w:rFonts w:ascii="Arial" w:cs="Arial" w:eastAsia="Arial" w:hAnsi="Arial"/>
          <w:sz w:val="20"/>
          <w:szCs w:val="20"/>
          <w:color w:val="auto"/>
        </w:rPr>
        <w:t>restricted our ability to incur additional indebtedness, grant liens, make asset sales and investments, repay existing indebtedness, make subsidiary distributions and enter into transactions that would result in fundamental changes. We were also restricted in the amount of cash dividends we could pay on our common stock unless we met certain covenants included in the credit agreement.</w:t>
      </w:r>
    </w:p>
    <w:p>
      <w:pPr>
        <w:sectPr>
          <w:pgSz w:w="11880" w:h="15480" w:orient="portrait"/>
          <w:cols w:equalWidth="0" w:num="1">
            <w:col w:w="9080"/>
          </w:cols>
          <w:pgMar w:left="1380" w:top="1314" w:right="1420" w:bottom="661" w:gutter="0" w:footer="0" w:header="0"/>
        </w:sect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118</w:t>
      </w:r>
    </w:p>
    <w:p>
      <w:pPr>
        <w:sectPr>
          <w:pgSz w:w="11880" w:h="15480" w:orient="portrait"/>
          <w:cols w:equalWidth="0" w:num="1">
            <w:col w:w="9080"/>
          </w:cols>
          <w:pgMar w:left="1380" w:top="1314" w:right="1420" w:bottom="661" w:gutter="0" w:footer="0" w:header="0"/>
          <w:type w:val="continuous"/>
        </w:sectPr>
      </w:pPr>
    </w:p>
    <w:bookmarkStart w:id="122" w:name="page123"/>
    <w:bookmarkEnd w:id="122"/>
    <w:p>
      <w:pPr>
        <w:jc w:val="center"/>
        <w:ind w:right="80"/>
        <w:spacing w:after="0" w:line="269" w:lineRule="auto"/>
        <w:rPr>
          <w:sz w:val="20"/>
          <w:szCs w:val="20"/>
          <w:color w:val="auto"/>
        </w:rPr>
      </w:pPr>
      <w:r>
        <w:rPr>
          <w:rFonts w:ascii="Arial" w:cs="Arial" w:eastAsia="Arial" w:hAnsi="Arial"/>
          <w:sz w:val="19"/>
          <w:szCs w:val="19"/>
          <w:color w:val="auto"/>
        </w:rPr>
        <w:t>Our Second Lien Term Loan also required us to maintain hedges on a minimum amount of crude oil production on terms that were substantially consistent with the requirements of our Revolving Credit facility.</w:t>
      </w:r>
    </w:p>
    <w:p>
      <w:pPr>
        <w:spacing w:after="0" w:line="138"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i w:val="1"/>
          <w:iCs w:val="1"/>
          <w:color w:val="auto"/>
        </w:rPr>
        <w:t xml:space="preserve">Events of Default and Change of Control </w:t>
      </w:r>
      <w:r>
        <w:rPr>
          <w:rFonts w:ascii="Arial" w:cs="Arial" w:eastAsia="Arial" w:hAnsi="Arial"/>
          <w:sz w:val="20"/>
          <w:szCs w:val="20"/>
          <w:color w:val="auto"/>
        </w:rPr>
        <w:t>– Our Second Lien Term Loan provided for certain events</w:t>
      </w:r>
      <w:r>
        <w:rPr>
          <w:rFonts w:ascii="Arial" w:cs="Arial" w:eastAsia="Arial" w:hAnsi="Arial"/>
          <w:sz w:val="20"/>
          <w:szCs w:val="20"/>
          <w:i w:val="1"/>
          <w:iCs w:val="1"/>
          <w:color w:val="auto"/>
        </w:rPr>
        <w:t xml:space="preserve"> </w:t>
      </w:r>
      <w:r>
        <w:rPr>
          <w:rFonts w:ascii="Arial" w:cs="Arial" w:eastAsia="Arial" w:hAnsi="Arial"/>
          <w:sz w:val="20"/>
          <w:szCs w:val="20"/>
          <w:color w:val="auto"/>
        </w:rPr>
        <w:t>of default, including upon a change of control, as defined in the credit agreement, that would entitle our lenders to declare the outstanding loans immediately due and payable, subject to certain limitations and conditions. We were subject to a cross-default provision that causes a default under this facility if certain defaults occurred under the Revolving Credit Facility or the EHP Notes.</w:t>
      </w:r>
    </w:p>
    <w:p>
      <w:pPr>
        <w:spacing w:after="0" w:line="159" w:lineRule="exact"/>
        <w:rPr>
          <w:sz w:val="20"/>
          <w:szCs w:val="20"/>
          <w:color w:val="auto"/>
        </w:rPr>
      </w:pPr>
    </w:p>
    <w:p>
      <w:pPr>
        <w:ind w:right="580" w:firstLine="300"/>
        <w:spacing w:after="0" w:line="243" w:lineRule="auto"/>
        <w:rPr>
          <w:sz w:val="20"/>
          <w:szCs w:val="20"/>
          <w:color w:val="auto"/>
        </w:rPr>
      </w:pPr>
      <w:r>
        <w:rPr>
          <w:rFonts w:ascii="Arial" w:cs="Arial" w:eastAsia="Arial" w:hAnsi="Arial"/>
          <w:sz w:val="20"/>
          <w:szCs w:val="20"/>
          <w:color w:val="auto"/>
        </w:rPr>
        <w:t>The Second Lien Term Loan was terminated and repaid with proceeds from our Senior Notes offering in January 2021 as described above.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EHP Notes</w:t>
      </w:r>
    </w:p>
    <w:p>
      <w:pPr>
        <w:spacing w:after="0" w:line="166" w:lineRule="exact"/>
        <w:rPr>
          <w:sz w:val="20"/>
          <w:szCs w:val="20"/>
          <w:color w:val="auto"/>
        </w:rPr>
      </w:pPr>
    </w:p>
    <w:p>
      <w:pPr>
        <w:ind w:right="100" w:firstLine="300"/>
        <w:spacing w:after="0" w:line="249" w:lineRule="auto"/>
        <w:rPr>
          <w:sz w:val="20"/>
          <w:szCs w:val="20"/>
          <w:color w:val="auto"/>
        </w:rPr>
      </w:pPr>
      <w:r>
        <w:rPr>
          <w:rFonts w:ascii="Arial" w:cs="Arial" w:eastAsia="Arial" w:hAnsi="Arial"/>
          <w:sz w:val="20"/>
          <w:szCs w:val="20"/>
          <w:color w:val="auto"/>
        </w:rPr>
        <w:t>On the Effective Date, our wholly-owned subsidiary, EHP Midco Holding Company, LLC (Elk Hills Issuer) entered into a Note Purchase Agreement (Note Purchase Agreement) with certain subsidiaries of Ares and Wilmington Trust, N.A. as collateral agent. The $300 million Notes were issued as partial consideration for the Class B Preferred Units, Class A Common Units and Class C Common Units in the Ares JV previously held by ECR (EHP Notes).</w:t>
      </w:r>
    </w:p>
    <w:p>
      <w:pPr>
        <w:spacing w:after="0" w:line="157"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The EHP Notes were senior notes due in 2027 and were secured by a first-priority security interest in all of the assets of Elk Hills Power, any third-party offtake contracts for power generated by Elk Hills Power, all of the equity interests of Elk Hills Power held by Elk Hills Issuer and all of the equity interests of Elk Hills Issuer held by its direct parent, EHP Topco Holding Company, LLC, our wholly-owned subsidiary. We and Elk Hills Power guaranteed, on a joint and several basis, all of the obligations of Elk Hills Issuer under the EHP Notes. The EHP Notes bore an interest rate of 6.0% per annum through the fourth anniversary of issuance, increasing to 7.0% per annum after the fourth anniversary of issuance and to 8.0% per annum after the fifth anniversary of issuance. We were permitted to redeem the EHP Notes at any time prior to their maturity date without payment of premium or penalty.</w:t>
      </w:r>
    </w:p>
    <w:p>
      <w:pPr>
        <w:spacing w:after="0" w:line="163" w:lineRule="exact"/>
        <w:rPr>
          <w:sz w:val="20"/>
          <w:szCs w:val="20"/>
          <w:color w:val="auto"/>
        </w:rPr>
      </w:pPr>
    </w:p>
    <w:p>
      <w:pPr>
        <w:ind w:right="700" w:firstLine="300"/>
        <w:spacing w:after="0" w:line="245" w:lineRule="auto"/>
        <w:rPr>
          <w:sz w:val="20"/>
          <w:szCs w:val="20"/>
          <w:color w:val="auto"/>
        </w:rPr>
      </w:pPr>
      <w:r>
        <w:rPr>
          <w:rFonts w:ascii="Arial" w:cs="Arial" w:eastAsia="Arial" w:hAnsi="Arial"/>
          <w:sz w:val="20"/>
          <w:szCs w:val="20"/>
          <w:color w:val="auto"/>
        </w:rPr>
        <w:t>The EHP Notes were terminated and repaid with proceeds from our Senior Notes offering in January 2021 as described above.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w:t>
      </w:r>
    </w:p>
    <w:p>
      <w:pPr>
        <w:spacing w:after="0" w:line="165" w:lineRule="exact"/>
        <w:rPr>
          <w:sz w:val="20"/>
          <w:szCs w:val="20"/>
          <w:color w:val="auto"/>
        </w:rPr>
      </w:pPr>
    </w:p>
    <w:p>
      <w:pPr>
        <w:ind w:right="440" w:firstLine="300"/>
        <w:spacing w:after="0" w:line="245" w:lineRule="auto"/>
        <w:rPr>
          <w:sz w:val="20"/>
          <w:szCs w:val="20"/>
          <w:color w:val="auto"/>
        </w:rPr>
      </w:pPr>
      <w:r>
        <w:rPr>
          <w:rFonts w:ascii="Arial" w:cs="Arial" w:eastAsia="Arial" w:hAnsi="Arial"/>
          <w:sz w:val="20"/>
          <w:szCs w:val="20"/>
          <w:color w:val="auto"/>
        </w:rPr>
        <w:t>At December 31, 2022, all obligations under our Revolving Credit Facility and Senior Notes are guaranteed by certain of our material wholly owned subsidiaries.</w:t>
      </w:r>
    </w:p>
    <w:p>
      <w:pPr>
        <w:spacing w:after="0" w:line="160" w:lineRule="exact"/>
        <w:rPr>
          <w:sz w:val="20"/>
          <w:szCs w:val="20"/>
          <w:color w:val="auto"/>
        </w:rPr>
      </w:pPr>
    </w:p>
    <w:p>
      <w:pPr>
        <w:ind w:right="520" w:firstLine="300"/>
        <w:spacing w:after="0" w:line="245" w:lineRule="auto"/>
        <w:rPr>
          <w:sz w:val="20"/>
          <w:szCs w:val="20"/>
          <w:color w:val="auto"/>
        </w:rPr>
      </w:pPr>
      <w:r>
        <w:rPr>
          <w:rFonts w:ascii="Arial" w:cs="Arial" w:eastAsia="Arial" w:hAnsi="Arial"/>
          <w:sz w:val="20"/>
          <w:szCs w:val="20"/>
          <w:color w:val="auto"/>
        </w:rPr>
        <w:t>The terms and conditions of all of our indebtedness are subject to additional qualifications and limitations that are set forth in the relevant governing documents.</w:t>
      </w:r>
    </w:p>
    <w:p>
      <w:pPr>
        <w:spacing w:after="0" w:line="160" w:lineRule="exact"/>
        <w:rPr>
          <w:sz w:val="20"/>
          <w:szCs w:val="20"/>
          <w:color w:val="auto"/>
        </w:rPr>
      </w:pPr>
    </w:p>
    <w:p>
      <w:pPr>
        <w:ind w:right="1160" w:firstLine="300"/>
        <w:spacing w:after="0" w:line="245" w:lineRule="auto"/>
        <w:rPr>
          <w:sz w:val="20"/>
          <w:szCs w:val="20"/>
          <w:color w:val="auto"/>
        </w:rPr>
      </w:pPr>
      <w:r>
        <w:rPr>
          <w:rFonts w:ascii="Arial" w:cs="Arial" w:eastAsia="Arial" w:hAnsi="Arial"/>
          <w:sz w:val="20"/>
          <w:szCs w:val="20"/>
          <w:color w:val="auto"/>
        </w:rPr>
        <w:t>At December 31, 2022, we were in compliance with all debt covenants under our credit agreements.</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20"/>
          <w:szCs w:val="20"/>
          <w:color w:val="auto"/>
        </w:rPr>
        <w:t>Principal maturities of debt outstanding at December 31, 2022 are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20"/>
                <w:szCs w:val="20"/>
                <w:b w:val="1"/>
                <w:bCs w:val="1"/>
                <w:color w:val="auto"/>
                <w:w w:val="99"/>
              </w:rPr>
              <w:t>As of</w:t>
            </w:r>
          </w:p>
        </w:tc>
        <w:tc>
          <w:tcPr>
            <w:tcW w:w="0" w:type="dxa"/>
            <w:vAlign w:val="bottom"/>
          </w:tcPr>
          <w:p>
            <w:pPr>
              <w:spacing w:after="0"/>
              <w:rPr>
                <w:sz w:val="1"/>
                <w:szCs w:val="1"/>
                <w:color w:val="auto"/>
              </w:rPr>
            </w:pPr>
          </w:p>
        </w:tc>
      </w:tr>
      <w:tr>
        <w:trPr>
          <w:trHeight w:val="246"/>
        </w:trPr>
        <w:tc>
          <w:tcPr>
            <w:tcW w:w="7260" w:type="dxa"/>
            <w:vAlign w:val="bottom"/>
          </w:tcPr>
          <w:p>
            <w:pPr>
              <w:spacing w:after="0"/>
              <w:rPr>
                <w:sz w:val="21"/>
                <w:szCs w:val="21"/>
                <w:color w:val="auto"/>
              </w:rPr>
            </w:pPr>
          </w:p>
        </w:tc>
        <w:tc>
          <w:tcPr>
            <w:tcW w:w="1860" w:type="dxa"/>
            <w:vAlign w:val="bottom"/>
            <w:tcBorders>
              <w:bottom w:val="single" w:sz="8" w:color="auto"/>
            </w:tcBorders>
            <w:gridSpan w:val="4"/>
          </w:tcPr>
          <w:p>
            <w:pPr>
              <w:jc w:val="center"/>
              <w:spacing w:after="0" w:line="228" w:lineRule="exact"/>
              <w:rPr>
                <w:sz w:val="20"/>
                <w:szCs w:val="20"/>
                <w:color w:val="auto"/>
              </w:rPr>
            </w:pPr>
            <w:r>
              <w:rPr>
                <w:rFonts w:ascii="Arial" w:cs="Arial" w:eastAsia="Arial" w:hAnsi="Arial"/>
                <w:sz w:val="20"/>
                <w:szCs w:val="20"/>
                <w:b w:val="1"/>
                <w:bCs w:val="1"/>
                <w:color w:val="auto"/>
                <w:w w:val="99"/>
              </w:rPr>
              <w:t>December 31, 2022</w:t>
            </w:r>
          </w:p>
        </w:tc>
        <w:tc>
          <w:tcPr>
            <w:tcW w:w="0" w:type="dxa"/>
            <w:vAlign w:val="bottom"/>
          </w:tcPr>
          <w:p>
            <w:pPr>
              <w:spacing w:after="0"/>
              <w:rPr>
                <w:sz w:val="1"/>
                <w:szCs w:val="1"/>
                <w:color w:val="auto"/>
              </w:rPr>
            </w:pPr>
          </w:p>
        </w:tc>
      </w:tr>
      <w:tr>
        <w:trPr>
          <w:trHeight w:val="192"/>
        </w:trPr>
        <w:tc>
          <w:tcPr>
            <w:tcW w:w="7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6"/>
                <w:szCs w:val="16"/>
                <w:color w:val="auto"/>
              </w:rPr>
              <w:t>(in millions)</w:t>
            </w:r>
          </w:p>
        </w:tc>
        <w:tc>
          <w:tcPr>
            <w:tcW w:w="0" w:type="dxa"/>
            <w:vAlign w:val="bottom"/>
          </w:tcPr>
          <w:p>
            <w:pPr>
              <w:spacing w:after="0"/>
              <w:rPr>
                <w:sz w:val="1"/>
                <w:szCs w:val="1"/>
                <w:color w:val="auto"/>
              </w:rPr>
            </w:pPr>
          </w:p>
        </w:tc>
      </w:tr>
      <w:tr>
        <w:trPr>
          <w:trHeight w:val="250"/>
        </w:trPr>
        <w:tc>
          <w:tcPr>
            <w:tcW w:w="7260" w:type="dxa"/>
            <w:vAlign w:val="bottom"/>
          </w:tcPr>
          <w:p>
            <w:pPr>
              <w:jc w:val="right"/>
              <w:spacing w:after="0"/>
              <w:rPr>
                <w:sz w:val="20"/>
                <w:szCs w:val="20"/>
                <w:color w:val="auto"/>
              </w:rPr>
            </w:pPr>
            <w:r>
              <w:rPr>
                <w:rFonts w:ascii="Arial" w:cs="Arial" w:eastAsia="Arial" w:hAnsi="Arial"/>
                <w:sz w:val="20"/>
                <w:szCs w:val="20"/>
                <w:color w:val="auto"/>
                <w:w w:val="95"/>
              </w:rPr>
              <w:t>2023  . . . . . . . . . . . . . . . . . . . . . . . . . . . . . . . . . . . . . . . . . . . . . . . . . . . . . . . . . . . . . . .</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7260" w:type="dxa"/>
            <w:vAlign w:val="bottom"/>
          </w:tcPr>
          <w:p>
            <w:pPr>
              <w:jc w:val="right"/>
              <w:spacing w:after="0"/>
              <w:rPr>
                <w:sz w:val="20"/>
                <w:szCs w:val="20"/>
                <w:color w:val="auto"/>
              </w:rPr>
            </w:pPr>
            <w:r>
              <w:rPr>
                <w:rFonts w:ascii="Arial" w:cs="Arial" w:eastAsia="Arial" w:hAnsi="Arial"/>
                <w:sz w:val="20"/>
                <w:szCs w:val="20"/>
                <w:color w:val="auto"/>
                <w:w w:val="95"/>
              </w:rPr>
              <w:t>2024  . . . . . . . . . . . . . . . . . . . . . . . . . . . . . . . . . . . . . . . . . . . . . . . . . . . . . . . . . . . . . . .</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7260" w:type="dxa"/>
            <w:vAlign w:val="bottom"/>
          </w:tcPr>
          <w:p>
            <w:pPr>
              <w:jc w:val="right"/>
              <w:spacing w:after="0"/>
              <w:rPr>
                <w:sz w:val="20"/>
                <w:szCs w:val="20"/>
                <w:color w:val="auto"/>
              </w:rPr>
            </w:pPr>
            <w:r>
              <w:rPr>
                <w:rFonts w:ascii="Arial" w:cs="Arial" w:eastAsia="Arial" w:hAnsi="Arial"/>
                <w:sz w:val="20"/>
                <w:szCs w:val="20"/>
                <w:color w:val="auto"/>
                <w:w w:val="95"/>
              </w:rPr>
              <w:t>2025  . . . . . . . . . . . . . . . . . . . . . . . . . . . . . . . . . . . . . . . . . . . . . . . . . . . . . . . . . . . . . . .</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7260" w:type="dxa"/>
            <w:vAlign w:val="bottom"/>
          </w:tcPr>
          <w:p>
            <w:pPr>
              <w:jc w:val="right"/>
              <w:spacing w:after="0"/>
              <w:rPr>
                <w:sz w:val="20"/>
                <w:szCs w:val="20"/>
                <w:color w:val="auto"/>
              </w:rPr>
            </w:pPr>
            <w:r>
              <w:rPr>
                <w:rFonts w:ascii="Arial" w:cs="Arial" w:eastAsia="Arial" w:hAnsi="Arial"/>
                <w:sz w:val="20"/>
                <w:szCs w:val="20"/>
                <w:color w:val="auto"/>
                <w:w w:val="95"/>
              </w:rPr>
              <w:t>2026  . . . . . . . . . . . . . . . . . . . . . . . . . . . . . . . . . . . . . . . . . . . . . . . . . . . . . . . . . . . . . . .</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600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260" w:type="dxa"/>
            <w:vAlign w:val="bottom"/>
          </w:tcPr>
          <w:p>
            <w:pPr>
              <w:jc w:val="right"/>
              <w:spacing w:after="0"/>
              <w:rPr>
                <w:sz w:val="20"/>
                <w:szCs w:val="20"/>
                <w:color w:val="auto"/>
              </w:rPr>
            </w:pPr>
            <w:r>
              <w:rPr>
                <w:rFonts w:ascii="Arial" w:cs="Arial" w:eastAsia="Arial" w:hAnsi="Arial"/>
                <w:sz w:val="20"/>
                <w:szCs w:val="20"/>
                <w:color w:val="auto"/>
                <w:w w:val="95"/>
              </w:rPr>
              <w:t>2027  . . . . . . . . . . . . . . . . . . . . . . . . . . . . . . . . . . . . . . . . . . . . . . . . . . . . . . . . . . . . . . .</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7260" w:type="dxa"/>
            <w:vAlign w:val="bottom"/>
          </w:tcPr>
          <w:p>
            <w:pPr>
              <w:jc w:val="right"/>
              <w:spacing w:after="0"/>
              <w:rPr>
                <w:sz w:val="20"/>
                <w:szCs w:val="20"/>
                <w:color w:val="auto"/>
              </w:rPr>
            </w:pPr>
            <w:r>
              <w:rPr>
                <w:rFonts w:ascii="Arial" w:cs="Arial" w:eastAsia="Arial" w:hAnsi="Arial"/>
                <w:sz w:val="20"/>
                <w:szCs w:val="20"/>
                <w:color w:val="auto"/>
                <w:w w:val="96"/>
              </w:rPr>
              <w:t>Thereafter . . . . . . . . . . . . . . . . . . . . . . . . . . . . . . . . . . . . . . . . . . . . . . . . . . . . . . . . . . .</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
        </w:trPr>
        <w:tc>
          <w:tcPr>
            <w:tcW w:w="726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 xml:space="preserve">Total  </w:t>
            </w:r>
            <w:r>
              <w:rPr>
                <w:rFonts w:ascii="Arial" w:cs="Arial" w:eastAsia="Arial" w:hAnsi="Arial"/>
                <w:sz w:val="20"/>
                <w:szCs w:val="20"/>
                <w:color w:val="auto"/>
              </w:rPr>
              <w:t>. . . . . . . . . . . . . . . . . . . . . . . . . . . . . . . . . . . . . . . . . . . . . . . . . . . . . . . . . . .</w:t>
            </w:r>
          </w:p>
        </w:tc>
        <w:tc>
          <w:tcPr>
            <w:tcW w:w="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7260" w:type="dxa"/>
            <w:vAlign w:val="bottom"/>
            <w:vMerge w:val="continue"/>
          </w:tcPr>
          <w:p>
            <w:pPr>
              <w:spacing w:after="0"/>
              <w:rPr>
                <w:sz w:val="23"/>
                <w:szCs w:val="23"/>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440" w:type="dxa"/>
            <w:vAlign w:val="bottom"/>
          </w:tcPr>
          <w:p>
            <w:pPr>
              <w:jc w:val="right"/>
              <w:spacing w:after="0"/>
              <w:rPr>
                <w:sz w:val="20"/>
                <w:szCs w:val="20"/>
                <w:color w:val="auto"/>
              </w:rPr>
            </w:pPr>
            <w:r>
              <w:rPr>
                <w:rFonts w:ascii="Arial" w:cs="Arial" w:eastAsia="Arial" w:hAnsi="Arial"/>
                <w:sz w:val="20"/>
                <w:szCs w:val="20"/>
                <w:color w:val="auto"/>
              </w:rPr>
              <w:t>600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
        </w:trPr>
        <w:tc>
          <w:tcPr>
            <w:tcW w:w="7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316" w:right="1380" w:bottom="661" w:gutter="0" w:footer="0" w:header="0"/>
        </w:sectPr>
      </w:pPr>
    </w:p>
    <w:p>
      <w:pPr>
        <w:spacing w:after="0" w:line="9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119</w:t>
      </w:r>
    </w:p>
    <w:p>
      <w:pPr>
        <w:sectPr>
          <w:pgSz w:w="11880" w:h="15480" w:orient="portrait"/>
          <w:cols w:equalWidth="0" w:num="1">
            <w:col w:w="9120"/>
          </w:cols>
          <w:pgMar w:left="1380" w:top="1316" w:right="1380" w:bottom="661" w:gutter="0" w:footer="0" w:header="0"/>
          <w:type w:val="continuous"/>
        </w:sectPr>
      </w:pPr>
    </w:p>
    <w:bookmarkStart w:id="123" w:name="page124"/>
    <w:bookmarkEnd w:id="123"/>
    <w:p>
      <w:pPr>
        <w:spacing w:after="0"/>
        <w:tabs>
          <w:tab w:leader="none" w:pos="900" w:val="left"/>
        </w:tabs>
        <w:rPr>
          <w:sz w:val="20"/>
          <w:szCs w:val="20"/>
          <w:color w:val="auto"/>
        </w:rPr>
      </w:pPr>
      <w:r>
        <w:rPr>
          <w:rFonts w:ascii="Arial" w:cs="Arial" w:eastAsia="Arial" w:hAnsi="Arial"/>
          <w:sz w:val="20"/>
          <w:szCs w:val="20"/>
          <w:b w:val="1"/>
          <w:bCs w:val="1"/>
          <w:color w:val="auto"/>
        </w:rPr>
        <w:t>NOTE 5</w:t>
      </w:r>
      <w:r>
        <w:rPr>
          <w:sz w:val="20"/>
          <w:szCs w:val="20"/>
          <w:color w:val="auto"/>
        </w:rPr>
        <w:tab/>
      </w:r>
      <w:r>
        <w:rPr>
          <w:rFonts w:ascii="Arial" w:cs="Arial" w:eastAsia="Arial" w:hAnsi="Arial"/>
          <w:sz w:val="19"/>
          <w:szCs w:val="19"/>
          <w:b w:val="1"/>
          <w:bCs w:val="1"/>
          <w:color w:val="auto"/>
        </w:rPr>
        <w:t>LEASES</w:t>
      </w:r>
    </w:p>
    <w:p>
      <w:pPr>
        <w:spacing w:after="0" w:line="216" w:lineRule="exact"/>
        <w:rPr>
          <w:sz w:val="20"/>
          <w:szCs w:val="20"/>
          <w:color w:val="auto"/>
        </w:rPr>
      </w:pPr>
    </w:p>
    <w:p>
      <w:pPr>
        <w:ind w:right="80" w:firstLine="300"/>
        <w:spacing w:after="0" w:line="243" w:lineRule="auto"/>
        <w:rPr>
          <w:sz w:val="20"/>
          <w:szCs w:val="20"/>
          <w:color w:val="auto"/>
        </w:rPr>
      </w:pPr>
      <w:r>
        <w:rPr>
          <w:rFonts w:ascii="Arial" w:cs="Arial" w:eastAsia="Arial" w:hAnsi="Arial"/>
          <w:sz w:val="20"/>
          <w:szCs w:val="20"/>
          <w:color w:val="auto"/>
        </w:rPr>
        <w:t>Balance sheet information related to our operating leases as of December 31, 2022 and 2021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19"/>
                <w:szCs w:val="19"/>
                <w:color w:val="auto"/>
              </w:rPr>
            </w:pPr>
          </w:p>
        </w:tc>
        <w:tc>
          <w:tcPr>
            <w:tcW w:w="2420" w:type="dxa"/>
            <w:vAlign w:val="bottom"/>
            <w:gridSpan w:val="2"/>
          </w:tcPr>
          <w:p>
            <w:pPr>
              <w:jc w:val="center"/>
              <w:ind w:right="200"/>
              <w:spacing w:after="0"/>
              <w:rPr>
                <w:sz w:val="20"/>
                <w:szCs w:val="20"/>
                <w:color w:val="auto"/>
              </w:rPr>
            </w:pPr>
            <w:r>
              <w:rPr>
                <w:rFonts w:ascii="Arial" w:cs="Arial" w:eastAsia="Arial" w:hAnsi="Arial"/>
                <w:sz w:val="20"/>
                <w:szCs w:val="20"/>
                <w:b w:val="1"/>
                <w:bCs w:val="1"/>
                <w:color w:val="auto"/>
                <w:w w:val="99"/>
              </w:rPr>
              <w:t>Classification</w:t>
            </w:r>
          </w:p>
        </w:tc>
        <w:tc>
          <w:tcPr>
            <w:tcW w:w="340" w:type="dxa"/>
            <w:vAlign w:val="bottom"/>
          </w:tcPr>
          <w:p>
            <w:pPr>
              <w:spacing w:after="0"/>
              <w:rPr>
                <w:sz w:val="19"/>
                <w:szCs w:val="19"/>
                <w:color w:val="auto"/>
              </w:rPr>
            </w:pPr>
          </w:p>
        </w:tc>
        <w:tc>
          <w:tcPr>
            <w:tcW w:w="1120" w:type="dxa"/>
            <w:vAlign w:val="bottom"/>
          </w:tcPr>
          <w:p>
            <w:pPr>
              <w:ind w:left="160"/>
              <w:spacing w:after="0"/>
              <w:rPr>
                <w:sz w:val="20"/>
                <w:szCs w:val="20"/>
                <w:color w:val="auto"/>
              </w:rPr>
            </w:pPr>
            <w:r>
              <w:rPr>
                <w:rFonts w:ascii="Arial" w:cs="Arial" w:eastAsia="Arial" w:hAnsi="Arial"/>
                <w:sz w:val="20"/>
                <w:szCs w:val="20"/>
                <w:b w:val="1"/>
                <w:bCs w:val="1"/>
                <w:color w:val="auto"/>
              </w:rPr>
              <w:t>2022</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400"/>
              <w:spacing w:after="0"/>
              <w:rPr>
                <w:sz w:val="20"/>
                <w:szCs w:val="20"/>
                <w:color w:val="auto"/>
              </w:rPr>
            </w:pPr>
            <w:r>
              <w:rPr>
                <w:rFonts w:ascii="Arial" w:cs="Arial" w:eastAsia="Arial" w:hAnsi="Arial"/>
                <w:sz w:val="20"/>
                <w:szCs w:val="20"/>
                <w:b w:val="1"/>
                <w:bCs w:val="1"/>
                <w:color w:val="auto"/>
              </w:rPr>
              <w:t>2021</w:t>
            </w:r>
          </w:p>
        </w:tc>
      </w:tr>
      <w:tr>
        <w:trPr>
          <w:trHeight w:val="20"/>
        </w:trPr>
        <w:tc>
          <w:tcPr>
            <w:tcW w:w="360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2"/>
        </w:trPr>
        <w:tc>
          <w:tcPr>
            <w:tcW w:w="36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ind w:left="800"/>
              <w:spacing w:after="0"/>
              <w:rPr>
                <w:sz w:val="20"/>
                <w:szCs w:val="20"/>
                <w:color w:val="auto"/>
              </w:rPr>
            </w:pPr>
            <w:r>
              <w:rPr>
                <w:rFonts w:ascii="Arial" w:cs="Arial" w:eastAsia="Arial" w:hAnsi="Arial"/>
                <w:sz w:val="16"/>
                <w:szCs w:val="16"/>
                <w:color w:val="auto"/>
              </w:rPr>
              <w:t>(in millions)</w:t>
            </w:r>
          </w:p>
        </w:tc>
        <w:tc>
          <w:tcPr>
            <w:tcW w:w="1040" w:type="dxa"/>
            <w:vAlign w:val="bottom"/>
          </w:tcPr>
          <w:p>
            <w:pPr>
              <w:spacing w:after="0"/>
              <w:rPr>
                <w:sz w:val="16"/>
                <w:szCs w:val="16"/>
                <w:color w:val="auto"/>
              </w:rPr>
            </w:pPr>
          </w:p>
        </w:tc>
      </w:tr>
      <w:tr>
        <w:trPr>
          <w:trHeight w:val="248"/>
        </w:trPr>
        <w:tc>
          <w:tcPr>
            <w:tcW w:w="3600" w:type="dxa"/>
            <w:vAlign w:val="bottom"/>
          </w:tcPr>
          <w:p>
            <w:pPr>
              <w:spacing w:after="0"/>
              <w:rPr>
                <w:sz w:val="20"/>
                <w:szCs w:val="20"/>
                <w:color w:val="auto"/>
              </w:rPr>
            </w:pPr>
            <w:r>
              <w:rPr>
                <w:rFonts w:ascii="Arial" w:cs="Arial" w:eastAsia="Arial" w:hAnsi="Arial"/>
                <w:sz w:val="20"/>
                <w:szCs w:val="20"/>
                <w:color w:val="auto"/>
              </w:rPr>
              <w:t>Right-of-use assets  . . . . . . . . . . . . . . .</w:t>
            </w:r>
          </w:p>
        </w:tc>
        <w:tc>
          <w:tcPr>
            <w:tcW w:w="2420" w:type="dxa"/>
            <w:vAlign w:val="bottom"/>
            <w:gridSpan w:val="2"/>
          </w:tcPr>
          <w:p>
            <w:pPr>
              <w:jc w:val="center"/>
              <w:ind w:right="200"/>
              <w:spacing w:after="0"/>
              <w:rPr>
                <w:sz w:val="20"/>
                <w:szCs w:val="20"/>
                <w:color w:val="auto"/>
              </w:rPr>
            </w:pPr>
            <w:r>
              <w:rPr>
                <w:rFonts w:ascii="Arial" w:cs="Arial" w:eastAsia="Arial" w:hAnsi="Arial"/>
                <w:sz w:val="20"/>
                <w:szCs w:val="20"/>
                <w:i w:val="1"/>
                <w:iCs w:val="1"/>
                <w:color w:val="auto"/>
                <w:w w:val="99"/>
              </w:rPr>
              <w:t>Other noncurrent assets</w:t>
            </w:r>
          </w:p>
        </w:tc>
        <w:tc>
          <w:tcPr>
            <w:tcW w:w="34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1120" w:type="dxa"/>
            <w:vAlign w:val="bottom"/>
          </w:tcPr>
          <w:p>
            <w:pPr>
              <w:ind w:left="820"/>
              <w:spacing w:after="0"/>
              <w:rPr>
                <w:sz w:val="20"/>
                <w:szCs w:val="20"/>
                <w:color w:val="auto"/>
              </w:rPr>
            </w:pPr>
            <w:r>
              <w:rPr>
                <w:rFonts w:ascii="Arial" w:cs="Arial" w:eastAsia="Arial" w:hAnsi="Arial"/>
                <w:sz w:val="20"/>
                <w:szCs w:val="20"/>
                <w:color w:val="auto"/>
              </w:rPr>
              <w:t>73</w:t>
            </w:r>
          </w:p>
        </w:tc>
        <w:tc>
          <w:tcPr>
            <w:tcW w:w="60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40"/>
        </w:trPr>
        <w:tc>
          <w:tcPr>
            <w:tcW w:w="3600" w:type="dxa"/>
            <w:vAlign w:val="bottom"/>
          </w:tcPr>
          <w:p>
            <w:pPr>
              <w:spacing w:after="0"/>
              <w:rPr>
                <w:sz w:val="20"/>
                <w:szCs w:val="20"/>
                <w:color w:val="auto"/>
              </w:rPr>
            </w:pPr>
            <w:r>
              <w:rPr>
                <w:rFonts w:ascii="Arial" w:cs="Arial" w:eastAsia="Arial" w:hAnsi="Arial"/>
                <w:sz w:val="20"/>
                <w:szCs w:val="20"/>
                <w:color w:val="auto"/>
              </w:rPr>
              <w:t>Operating lease liabilities . . . . . . . . . . .</w:t>
            </w:r>
          </w:p>
        </w:tc>
        <w:tc>
          <w:tcPr>
            <w:tcW w:w="2420" w:type="dxa"/>
            <w:vAlign w:val="bottom"/>
            <w:gridSpan w:val="2"/>
          </w:tcPr>
          <w:p>
            <w:pPr>
              <w:jc w:val="center"/>
              <w:ind w:right="200"/>
              <w:spacing w:after="0"/>
              <w:rPr>
                <w:sz w:val="20"/>
                <w:szCs w:val="20"/>
                <w:color w:val="auto"/>
              </w:rPr>
            </w:pPr>
            <w:r>
              <w:rPr>
                <w:rFonts w:ascii="Arial" w:cs="Arial" w:eastAsia="Arial" w:hAnsi="Arial"/>
                <w:sz w:val="20"/>
                <w:szCs w:val="20"/>
                <w:i w:val="1"/>
                <w:iCs w:val="1"/>
                <w:color w:val="auto"/>
                <w:w w:val="99"/>
              </w:rPr>
              <w:t>Accrued liabilities</w:t>
            </w:r>
          </w:p>
        </w:tc>
        <w:tc>
          <w:tcPr>
            <w:tcW w:w="34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1120" w:type="dxa"/>
            <w:vAlign w:val="bottom"/>
          </w:tcPr>
          <w:p>
            <w:pPr>
              <w:ind w:left="820"/>
              <w:spacing w:after="0"/>
              <w:rPr>
                <w:sz w:val="20"/>
                <w:szCs w:val="20"/>
                <w:color w:val="auto"/>
              </w:rPr>
            </w:pPr>
            <w:r>
              <w:rPr>
                <w:rFonts w:ascii="Arial" w:cs="Arial" w:eastAsia="Arial" w:hAnsi="Arial"/>
                <w:sz w:val="20"/>
                <w:szCs w:val="20"/>
                <w:color w:val="auto"/>
              </w:rPr>
              <w:t>18</w:t>
            </w:r>
          </w:p>
        </w:tc>
        <w:tc>
          <w:tcPr>
            <w:tcW w:w="60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40"/>
        </w:trPr>
        <w:tc>
          <w:tcPr>
            <w:tcW w:w="3600" w:type="dxa"/>
            <w:vAlign w:val="bottom"/>
          </w:tcPr>
          <w:p>
            <w:pPr>
              <w:spacing w:after="0"/>
              <w:rPr>
                <w:sz w:val="20"/>
                <w:szCs w:val="20"/>
                <w:color w:val="auto"/>
              </w:rPr>
            </w:pPr>
            <w:r>
              <w:rPr>
                <w:rFonts w:ascii="Arial" w:cs="Arial" w:eastAsia="Arial" w:hAnsi="Arial"/>
                <w:sz w:val="20"/>
                <w:szCs w:val="20"/>
                <w:color w:val="auto"/>
              </w:rPr>
              <w:t>Operating lease liabilities . . . . . . . . . . .</w:t>
            </w:r>
          </w:p>
        </w:tc>
        <w:tc>
          <w:tcPr>
            <w:tcW w:w="2420" w:type="dxa"/>
            <w:vAlign w:val="bottom"/>
            <w:gridSpan w:val="2"/>
          </w:tcPr>
          <w:p>
            <w:pPr>
              <w:jc w:val="center"/>
              <w:ind w:right="200"/>
              <w:spacing w:after="0"/>
              <w:rPr>
                <w:sz w:val="20"/>
                <w:szCs w:val="20"/>
                <w:color w:val="auto"/>
              </w:rPr>
            </w:pPr>
            <w:r>
              <w:rPr>
                <w:rFonts w:ascii="Arial" w:cs="Arial" w:eastAsia="Arial" w:hAnsi="Arial"/>
                <w:sz w:val="20"/>
                <w:szCs w:val="20"/>
                <w:i w:val="1"/>
                <w:iCs w:val="1"/>
                <w:color w:val="auto"/>
              </w:rPr>
              <w:t>Other long-term liabilities</w:t>
            </w:r>
          </w:p>
        </w:tc>
        <w:tc>
          <w:tcPr>
            <w:tcW w:w="340" w:type="dxa"/>
            <w:vAlign w:val="bottom"/>
          </w:tcPr>
          <w:p>
            <w:pPr>
              <w:spacing w:after="0"/>
              <w:rPr>
                <w:sz w:val="20"/>
                <w:szCs w:val="20"/>
                <w:color w:val="auto"/>
              </w:rPr>
            </w:pPr>
          </w:p>
        </w:tc>
        <w:tc>
          <w:tcPr>
            <w:tcW w:w="1120" w:type="dxa"/>
            <w:vAlign w:val="bottom"/>
          </w:tcPr>
          <w:p>
            <w:pPr>
              <w:ind w:left="820"/>
              <w:spacing w:after="0"/>
              <w:rPr>
                <w:sz w:val="20"/>
                <w:szCs w:val="20"/>
                <w:color w:val="auto"/>
              </w:rPr>
            </w:pPr>
            <w:r>
              <w:rPr>
                <w:rFonts w:ascii="Arial" w:cs="Arial" w:eastAsia="Arial" w:hAnsi="Arial"/>
                <w:sz w:val="20"/>
                <w:szCs w:val="20"/>
                <w:color w:val="auto"/>
              </w:rPr>
              <w:t>52</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37</w:t>
            </w:r>
          </w:p>
        </w:tc>
      </w:tr>
    </w:tbl>
    <w:p>
      <w:pPr>
        <w:spacing w:after="0" w:line="216" w:lineRule="exact"/>
        <w:rPr>
          <w:sz w:val="20"/>
          <w:szCs w:val="20"/>
          <w:color w:val="auto"/>
        </w:rPr>
      </w:pPr>
    </w:p>
    <w:p>
      <w:pPr>
        <w:ind w:right="80" w:firstLine="300"/>
        <w:spacing w:after="0" w:line="248" w:lineRule="auto"/>
        <w:rPr>
          <w:sz w:val="20"/>
          <w:szCs w:val="20"/>
          <w:color w:val="auto"/>
        </w:rPr>
      </w:pPr>
      <w:r>
        <w:rPr>
          <w:rFonts w:ascii="Arial" w:cs="Arial" w:eastAsia="Arial" w:hAnsi="Arial"/>
          <w:sz w:val="20"/>
          <w:szCs w:val="20"/>
          <w:color w:val="auto"/>
        </w:rPr>
        <w:t>We determine if our arrangements contain a lease at inception. A lease is defined as a contract, or part of a contract, that conveys the right to control the use of identified property, plant or equipment for a period of time in exchange for consideration. We have operating lease liabilities for carbon sequestration easements, drilling rigs, vehicles and commercial office space.</w:t>
      </w:r>
    </w:p>
    <w:p>
      <w:pPr>
        <w:spacing w:after="0" w:line="209"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auto"/>
        </w:rPr>
        <w:t>We combine lease and nonlease components in determining fixed minimum lease payments for our drilling rigs and commercial office space. If applicable, fixed minimum lease payments are reduced by lease incentives for our commercial buildings and increased by mobilization and demobilization fees for our drilling rigs. Certain of our lease agreements include options to extend or terminate the lease, which we exercise at our sole discretion. For our existing leases, we did not include these options in determining our fixed minimum lease payments over the lease term. Our leases do not include options to purchase the leased property. Lease agreements for our fleet vehicles include residual value guarantees, none of which are recognized in our financial statements until the underlying contingency is resolved.</w:t>
      </w:r>
    </w:p>
    <w:p>
      <w:pPr>
        <w:spacing w:after="0" w:line="213" w:lineRule="exact"/>
        <w:rPr>
          <w:sz w:val="20"/>
          <w:szCs w:val="20"/>
          <w:color w:val="auto"/>
        </w:rPr>
      </w:pPr>
    </w:p>
    <w:p>
      <w:pPr>
        <w:ind w:right="100" w:firstLine="300"/>
        <w:spacing w:after="0" w:line="248" w:lineRule="auto"/>
        <w:rPr>
          <w:sz w:val="20"/>
          <w:szCs w:val="20"/>
          <w:color w:val="auto"/>
        </w:rPr>
      </w:pPr>
      <w:r>
        <w:rPr>
          <w:rFonts w:ascii="Arial" w:cs="Arial" w:eastAsia="Arial" w:hAnsi="Arial"/>
          <w:sz w:val="20"/>
          <w:szCs w:val="20"/>
          <w:color w:val="auto"/>
        </w:rPr>
        <w:t>Variable lease costs for our drilling rigs include costs to operate, move and repair the rigs. Variable lease costs for certain of our commercial office buildings included utilities and common area maintenance charges. Variable lease costs for our fleet vehicles include other-than-routine maintenance and other various amounts in excess of our fixed minimum rental fee.</w:t>
      </w:r>
    </w:p>
    <w:p>
      <w:pPr>
        <w:spacing w:after="0" w:line="209" w:lineRule="exact"/>
        <w:rPr>
          <w:sz w:val="20"/>
          <w:szCs w:val="20"/>
          <w:color w:val="auto"/>
        </w:rPr>
      </w:pPr>
    </w:p>
    <w:p>
      <w:pPr>
        <w:ind w:right="140" w:firstLine="300"/>
        <w:spacing w:after="0" w:line="248" w:lineRule="auto"/>
        <w:rPr>
          <w:sz w:val="20"/>
          <w:szCs w:val="20"/>
          <w:color w:val="auto"/>
        </w:rPr>
      </w:pPr>
      <w:r>
        <w:rPr>
          <w:rFonts w:ascii="Arial" w:cs="Arial" w:eastAsia="Arial" w:hAnsi="Arial"/>
          <w:sz w:val="20"/>
          <w:szCs w:val="20"/>
          <w:color w:val="auto"/>
        </w:rPr>
        <w:t>Our lease costs, including amounts capitalized to PP&amp;E, shown in the table below are before joint-interest recoveries. Lease payments are reduced by joint interest recoveries on our consolidated statement of operations through our joint-interest billing process.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center"/>
              <w:ind w:right="82"/>
              <w:spacing w:after="0"/>
              <w:rPr>
                <w:sz w:val="20"/>
                <w:szCs w:val="20"/>
                <w:color w:val="auto"/>
              </w:rPr>
            </w:pPr>
            <w:r>
              <w:rPr>
                <w:rFonts w:ascii="Arial" w:cs="Arial" w:eastAsia="Arial" w:hAnsi="Arial"/>
                <w:sz w:val="20"/>
                <w:szCs w:val="20"/>
                <w:b w:val="1"/>
                <w:bCs w:val="1"/>
                <w:color w:val="auto"/>
              </w:rPr>
              <w:t>Year ended</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center"/>
              <w:ind w:right="60"/>
              <w:spacing w:after="0"/>
              <w:rPr>
                <w:sz w:val="20"/>
                <w:szCs w:val="20"/>
                <w:color w:val="auto"/>
              </w:rPr>
            </w:pPr>
            <w:r>
              <w:rPr>
                <w:rFonts w:ascii="Arial" w:cs="Arial" w:eastAsia="Arial" w:hAnsi="Arial"/>
                <w:sz w:val="20"/>
                <w:szCs w:val="20"/>
                <w:b w:val="1"/>
                <w:bCs w:val="1"/>
                <w:color w:val="auto"/>
              </w:rPr>
              <w:t>Year ended</w:t>
            </w:r>
          </w:p>
        </w:tc>
      </w:tr>
      <w:tr>
        <w:trPr>
          <w:trHeight w:val="248"/>
        </w:trPr>
        <w:tc>
          <w:tcPr>
            <w:tcW w:w="56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center"/>
              <w:ind w:right="62"/>
              <w:spacing w:after="0"/>
              <w:rPr>
                <w:sz w:val="20"/>
                <w:szCs w:val="20"/>
                <w:color w:val="auto"/>
              </w:rPr>
            </w:pPr>
            <w:r>
              <w:rPr>
                <w:rFonts w:ascii="Arial" w:cs="Arial" w:eastAsia="Arial" w:hAnsi="Arial"/>
                <w:sz w:val="20"/>
                <w:szCs w:val="20"/>
                <w:b w:val="1"/>
                <w:bCs w:val="1"/>
                <w:color w:val="auto"/>
                <w:w w:val="99"/>
              </w:rPr>
              <w:t>December 31,</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80"/>
              <w:spacing w:after="0"/>
              <w:rPr>
                <w:sz w:val="20"/>
                <w:szCs w:val="20"/>
                <w:color w:val="auto"/>
              </w:rPr>
            </w:pPr>
            <w:r>
              <w:rPr>
                <w:rFonts w:ascii="Arial" w:cs="Arial" w:eastAsia="Arial" w:hAnsi="Arial"/>
                <w:sz w:val="20"/>
                <w:szCs w:val="20"/>
                <w:b w:val="1"/>
                <w:bCs w:val="1"/>
                <w:color w:val="auto"/>
                <w:w w:val="99"/>
              </w:rPr>
              <w:t>December 31,</w:t>
            </w:r>
          </w:p>
        </w:tc>
      </w:tr>
      <w:tr>
        <w:trPr>
          <w:trHeight w:val="260"/>
        </w:trPr>
        <w:tc>
          <w:tcPr>
            <w:tcW w:w="56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82"/>
              <w:spacing w:after="0"/>
              <w:rPr>
                <w:sz w:val="20"/>
                <w:szCs w:val="20"/>
                <w:color w:val="auto"/>
              </w:rPr>
            </w:pPr>
            <w:r>
              <w:rPr>
                <w:rFonts w:ascii="Arial" w:cs="Arial" w:eastAsia="Arial" w:hAnsi="Arial"/>
                <w:sz w:val="20"/>
                <w:szCs w:val="20"/>
                <w:b w:val="1"/>
                <w:bCs w:val="1"/>
                <w:color w:val="auto"/>
                <w:w w:val="98"/>
              </w:rPr>
              <w:t>2022</w:t>
            </w:r>
          </w:p>
        </w:tc>
        <w:tc>
          <w:tcPr>
            <w:tcW w:w="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60"/>
              <w:spacing w:after="0"/>
              <w:rPr>
                <w:sz w:val="20"/>
                <w:szCs w:val="20"/>
                <w:color w:val="auto"/>
              </w:rPr>
            </w:pPr>
            <w:r>
              <w:rPr>
                <w:rFonts w:ascii="Arial" w:cs="Arial" w:eastAsia="Arial" w:hAnsi="Arial"/>
                <w:sz w:val="20"/>
                <w:szCs w:val="20"/>
                <w:b w:val="1"/>
                <w:bCs w:val="1"/>
                <w:color w:val="auto"/>
                <w:w w:val="98"/>
              </w:rPr>
              <w:t>2021</w:t>
            </w:r>
          </w:p>
        </w:tc>
      </w:tr>
      <w:tr>
        <w:trPr>
          <w:trHeight w:val="192"/>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40" w:type="dxa"/>
            <w:vAlign w:val="bottom"/>
            <w:gridSpan w:val="4"/>
          </w:tcPr>
          <w:p>
            <w:pPr>
              <w:jc w:val="right"/>
              <w:ind w:right="1240"/>
              <w:spacing w:after="0"/>
              <w:rPr>
                <w:sz w:val="20"/>
                <w:szCs w:val="20"/>
                <w:color w:val="auto"/>
              </w:rPr>
            </w:pPr>
            <w:r>
              <w:rPr>
                <w:rFonts w:ascii="Arial" w:cs="Arial" w:eastAsia="Arial" w:hAnsi="Arial"/>
                <w:sz w:val="16"/>
                <w:szCs w:val="16"/>
                <w:color w:val="auto"/>
              </w:rPr>
              <w:t>(in millions)</w:t>
            </w:r>
          </w:p>
        </w:tc>
      </w:tr>
      <w:tr>
        <w:trPr>
          <w:trHeight w:val="250"/>
        </w:trPr>
        <w:tc>
          <w:tcPr>
            <w:tcW w:w="5620" w:type="dxa"/>
            <w:vAlign w:val="bottom"/>
          </w:tcPr>
          <w:p>
            <w:pPr>
              <w:jc w:val="right"/>
              <w:ind w:right="100"/>
              <w:spacing w:after="0"/>
              <w:rPr>
                <w:sz w:val="20"/>
                <w:szCs w:val="20"/>
                <w:color w:val="auto"/>
              </w:rPr>
            </w:pPr>
            <w:r>
              <w:rPr>
                <w:rFonts w:ascii="Arial" w:cs="Arial" w:eastAsia="Arial" w:hAnsi="Arial"/>
                <w:sz w:val="20"/>
                <w:szCs w:val="20"/>
                <w:color w:val="auto"/>
                <w:w w:val="97"/>
              </w:rPr>
              <w:t>Operating lease costs  . . . . . . . . . . . . . . . . . . . . . . . . . . . . . . . .</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17</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54"/>
        </w:trPr>
        <w:tc>
          <w:tcPr>
            <w:tcW w:w="5620" w:type="dxa"/>
            <w:vAlign w:val="bottom"/>
          </w:tcPr>
          <w:p>
            <w:pPr>
              <w:jc w:val="right"/>
              <w:ind w:right="100"/>
              <w:spacing w:after="0" w:line="255" w:lineRule="exact"/>
              <w:rPr>
                <w:sz w:val="20"/>
                <w:szCs w:val="20"/>
                <w:color w:val="auto"/>
              </w:rPr>
            </w:pPr>
            <w:r>
              <w:rPr>
                <w:rFonts w:ascii="Arial" w:cs="Arial" w:eastAsia="Arial" w:hAnsi="Arial"/>
                <w:sz w:val="20"/>
                <w:szCs w:val="20"/>
                <w:color w:val="auto"/>
                <w:w w:val="96"/>
              </w:rPr>
              <w:t>Short-term lease costs</w:t>
            </w:r>
            <w:r>
              <w:rPr>
                <w:rFonts w:ascii="Arial" w:cs="Arial" w:eastAsia="Arial" w:hAnsi="Arial"/>
                <w:sz w:val="26"/>
                <w:szCs w:val="26"/>
                <w:color w:val="auto"/>
                <w:w w:val="96"/>
                <w:vertAlign w:val="superscript"/>
              </w:rPr>
              <w:t>(a)</w:t>
            </w:r>
            <w:r>
              <w:rPr>
                <w:rFonts w:ascii="Arial" w:cs="Arial" w:eastAsia="Arial" w:hAnsi="Arial"/>
                <w:sz w:val="20"/>
                <w:szCs w:val="20"/>
                <w:color w:val="auto"/>
                <w:w w:val="96"/>
              </w:rPr>
              <w:t xml:space="preserve">  . . . . . . . . . . . . . . . . . . . . . . . . . . . . . .</w:t>
            </w:r>
          </w:p>
        </w:tc>
        <w:tc>
          <w:tcPr>
            <w:tcW w:w="1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59</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26"/>
        </w:trPr>
        <w:tc>
          <w:tcPr>
            <w:tcW w:w="5620" w:type="dxa"/>
            <w:vAlign w:val="bottom"/>
          </w:tcPr>
          <w:p>
            <w:pPr>
              <w:jc w:val="right"/>
              <w:ind w:right="100"/>
              <w:spacing w:after="0" w:line="226" w:lineRule="exact"/>
              <w:rPr>
                <w:sz w:val="20"/>
                <w:szCs w:val="20"/>
                <w:color w:val="auto"/>
              </w:rPr>
            </w:pPr>
            <w:r>
              <w:rPr>
                <w:rFonts w:ascii="Arial" w:cs="Arial" w:eastAsia="Arial" w:hAnsi="Arial"/>
                <w:sz w:val="20"/>
                <w:szCs w:val="20"/>
                <w:color w:val="auto"/>
                <w:w w:val="96"/>
              </w:rPr>
              <w:t>Variable lease costs . . . . . . . . . . . . . . . . . . . . . . . . . . . . . . . . . .</w:t>
            </w:r>
          </w:p>
        </w:tc>
        <w:tc>
          <w:tcPr>
            <w:tcW w:w="160" w:type="dxa"/>
            <w:vAlign w:val="bottom"/>
          </w:tcPr>
          <w:p>
            <w:pPr>
              <w:spacing w:after="0"/>
              <w:rPr>
                <w:sz w:val="19"/>
                <w:szCs w:val="19"/>
                <w:color w:val="auto"/>
              </w:rPr>
            </w:pPr>
          </w:p>
        </w:tc>
        <w:tc>
          <w:tcPr>
            <w:tcW w:w="1500" w:type="dxa"/>
            <w:vAlign w:val="bottom"/>
          </w:tcPr>
          <w:p>
            <w:pPr>
              <w:jc w:val="right"/>
              <w:spacing w:after="0" w:line="226" w:lineRule="exact"/>
              <w:rPr>
                <w:sz w:val="20"/>
                <w:szCs w:val="20"/>
                <w:color w:val="auto"/>
              </w:rPr>
            </w:pPr>
            <w:r>
              <w:rPr>
                <w:rFonts w:ascii="Arial" w:cs="Arial" w:eastAsia="Arial" w:hAnsi="Arial"/>
                <w:sz w:val="20"/>
                <w:szCs w:val="20"/>
                <w:color w:val="auto"/>
              </w:rPr>
              <w:t>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line="226" w:lineRule="exact"/>
              <w:rPr>
                <w:sz w:val="20"/>
                <w:szCs w:val="20"/>
                <w:color w:val="auto"/>
              </w:rPr>
            </w:pPr>
            <w:r>
              <w:rPr>
                <w:rFonts w:ascii="Arial" w:cs="Arial" w:eastAsia="Arial" w:hAnsi="Arial"/>
                <w:sz w:val="20"/>
                <w:szCs w:val="20"/>
                <w:color w:val="auto"/>
              </w:rPr>
              <w:t>4</w:t>
            </w:r>
          </w:p>
        </w:tc>
      </w:tr>
      <w:tr>
        <w:trPr>
          <w:trHeight w:val="28"/>
        </w:trPr>
        <w:tc>
          <w:tcPr>
            <w:tcW w:w="5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72"/>
        </w:trPr>
        <w:tc>
          <w:tcPr>
            <w:tcW w:w="5620" w:type="dxa"/>
            <w:vAlign w:val="bottom"/>
          </w:tcPr>
          <w:p>
            <w:pPr>
              <w:jc w:val="right"/>
              <w:ind w:right="100"/>
              <w:spacing w:after="0"/>
              <w:rPr>
                <w:sz w:val="20"/>
                <w:szCs w:val="20"/>
                <w:color w:val="auto"/>
              </w:rPr>
            </w:pPr>
            <w:r>
              <w:rPr>
                <w:rFonts w:ascii="Arial" w:cs="Arial" w:eastAsia="Arial" w:hAnsi="Arial"/>
                <w:sz w:val="20"/>
                <w:szCs w:val="20"/>
                <w:color w:val="auto"/>
              </w:rPr>
              <w:t>Total operating lease costs  . . . . . . . . . . . . . . . . . . . . . . . .</w:t>
            </w:r>
          </w:p>
        </w:tc>
        <w:tc>
          <w:tcPr>
            <w:tcW w:w="1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82</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240"/>
        </w:trPr>
        <w:tc>
          <w:tcPr>
            <w:tcW w:w="5620" w:type="dxa"/>
            <w:vAlign w:val="bottom"/>
          </w:tcPr>
          <w:p>
            <w:pPr>
              <w:jc w:val="right"/>
              <w:ind w:right="100"/>
              <w:spacing w:after="0"/>
              <w:rPr>
                <w:sz w:val="20"/>
                <w:szCs w:val="20"/>
                <w:color w:val="auto"/>
              </w:rPr>
            </w:pPr>
            <w:r>
              <w:rPr>
                <w:rFonts w:ascii="Arial" w:cs="Arial" w:eastAsia="Arial" w:hAnsi="Arial"/>
                <w:sz w:val="20"/>
                <w:szCs w:val="20"/>
                <w:color w:val="auto"/>
                <w:w w:val="96"/>
              </w:rPr>
              <w:t>Sublease income  . . . . . . . . . . . . . . . . . . . . . . . . . . . . . . . . . . . .</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8"/>
        </w:trPr>
        <w:tc>
          <w:tcPr>
            <w:tcW w:w="5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72"/>
        </w:trPr>
        <w:tc>
          <w:tcPr>
            <w:tcW w:w="5620" w:type="dxa"/>
            <w:vAlign w:val="bottom"/>
          </w:tcPr>
          <w:p>
            <w:pPr>
              <w:jc w:val="right"/>
              <w:ind w:right="100"/>
              <w:spacing w:after="0"/>
              <w:rPr>
                <w:sz w:val="20"/>
                <w:szCs w:val="20"/>
                <w:color w:val="auto"/>
              </w:rPr>
            </w:pPr>
            <w:r>
              <w:rPr>
                <w:rFonts w:ascii="Arial" w:cs="Arial" w:eastAsia="Arial" w:hAnsi="Arial"/>
                <w:sz w:val="20"/>
                <w:szCs w:val="20"/>
                <w:color w:val="auto"/>
                <w:w w:val="97"/>
              </w:rPr>
              <w:t>Total lease costs  . . . . . . . . . . . . . . . . . . . . . . . . . . . . . . . . . . . .</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81</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28"/>
        </w:trPr>
        <w:tc>
          <w:tcPr>
            <w:tcW w:w="5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left="320"/>
        <w:spacing w:after="0"/>
        <w:tabs>
          <w:tab w:leader="none" w:pos="6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5"/>
          <w:szCs w:val="15"/>
          <w:color w:val="auto"/>
        </w:rPr>
        <w:t>Contracts with terms of less than one month or less are excluded from our disclosure of short-term lease costs.</w:t>
      </w:r>
    </w:p>
    <w:p>
      <w:pPr>
        <w:spacing w:after="0" w:line="224" w:lineRule="exact"/>
        <w:rPr>
          <w:sz w:val="20"/>
          <w:szCs w:val="20"/>
          <w:color w:val="auto"/>
        </w:rPr>
      </w:pPr>
    </w:p>
    <w:p>
      <w:pPr>
        <w:ind w:right="440" w:firstLine="300"/>
        <w:spacing w:after="0" w:line="243" w:lineRule="auto"/>
        <w:rPr>
          <w:sz w:val="20"/>
          <w:szCs w:val="20"/>
          <w:color w:val="auto"/>
        </w:rPr>
      </w:pPr>
      <w:r>
        <w:rPr>
          <w:rFonts w:ascii="Arial" w:cs="Arial" w:eastAsia="Arial" w:hAnsi="Arial"/>
          <w:sz w:val="20"/>
          <w:szCs w:val="20"/>
          <w:color w:val="auto"/>
        </w:rPr>
        <w:t>We had two contracts treated as finance leases, where the terms ended in 2022. These leases were not material to our consolidated results of operations for the periods presented.</w:t>
      </w:r>
    </w:p>
    <w:p>
      <w:pPr>
        <w:sectPr>
          <w:pgSz w:w="11880" w:h="15480" w:orient="portrait"/>
          <w:cols w:equalWidth="0" w:num="1">
            <w:col w:w="9120"/>
          </w:cols>
          <w:pgMar w:left="1380" w:top="1310" w:right="138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120</w:t>
      </w:r>
    </w:p>
    <w:p>
      <w:pPr>
        <w:sectPr>
          <w:pgSz w:w="11880" w:h="15480" w:orient="portrait"/>
          <w:cols w:equalWidth="0" w:num="1">
            <w:col w:w="9120"/>
          </w:cols>
          <w:pgMar w:left="1380" w:top="1310" w:right="1380" w:bottom="661" w:gutter="0" w:footer="0" w:header="0"/>
          <w:type w:val="continuous"/>
        </w:sectPr>
      </w:pPr>
    </w:p>
    <w:bookmarkStart w:id="124" w:name="page125"/>
    <w:bookmarkEnd w:id="124"/>
    <w:p>
      <w:pPr>
        <w:ind w:right="160" w:firstLine="300"/>
        <w:spacing w:after="0" w:line="249" w:lineRule="auto"/>
        <w:rPr>
          <w:sz w:val="20"/>
          <w:szCs w:val="20"/>
          <w:color w:val="auto"/>
        </w:rPr>
      </w:pPr>
      <w:r>
        <w:rPr>
          <w:rFonts w:ascii="Arial" w:cs="Arial" w:eastAsia="Arial" w:hAnsi="Arial"/>
          <w:sz w:val="20"/>
          <w:szCs w:val="20"/>
          <w:color w:val="auto"/>
        </w:rPr>
        <w:t>We sublease certain commercial office space to third parties where we are the primary obligor under the head lease. The lease terms on those subleases never extend past the term of the head lease and the subleases contain no extension options or residual value guarantees. Sublease income is recognized based on the contract terms and included as a reduction of operating lease cost under our head lease. We sold our commercial office space during 2022. Sublease income was not material to our consolidated financial statements for all periods presented.</w:t>
      </w:r>
    </w:p>
    <w:p>
      <w:pPr>
        <w:spacing w:after="0" w:line="208" w:lineRule="exact"/>
        <w:rPr>
          <w:sz w:val="20"/>
          <w:szCs w:val="20"/>
          <w:color w:val="auto"/>
        </w:rPr>
      </w:pPr>
    </w:p>
    <w:p>
      <w:pPr>
        <w:ind w:right="380" w:firstLine="300"/>
        <w:spacing w:after="0" w:line="243" w:lineRule="auto"/>
        <w:rPr>
          <w:sz w:val="20"/>
          <w:szCs w:val="20"/>
          <w:color w:val="auto"/>
        </w:rPr>
      </w:pPr>
      <w:r>
        <w:rPr>
          <w:rFonts w:ascii="Arial" w:cs="Arial" w:eastAsia="Arial" w:hAnsi="Arial"/>
          <w:sz w:val="20"/>
          <w:szCs w:val="20"/>
          <w:color w:val="auto"/>
        </w:rPr>
        <w:t>Other supplemental information related to our operating and finance leases as of December 31, 2022 and 2021 is provided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gridSpan w:val="3"/>
          </w:tcPr>
          <w:p>
            <w:pPr>
              <w:jc w:val="center"/>
              <w:ind w:right="460"/>
              <w:spacing w:after="0"/>
              <w:rPr>
                <w:sz w:val="20"/>
                <w:szCs w:val="20"/>
                <w:color w:val="auto"/>
              </w:rPr>
            </w:pPr>
            <w:r>
              <w:rPr>
                <w:rFonts w:ascii="Arial" w:cs="Arial" w:eastAsia="Arial" w:hAnsi="Arial"/>
                <w:sz w:val="20"/>
                <w:szCs w:val="20"/>
                <w:b w:val="1"/>
                <w:bCs w:val="1"/>
                <w:color w:val="auto"/>
              </w:rPr>
              <w:t>Year ended</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center"/>
              <w:ind w:right="100"/>
              <w:spacing w:after="0"/>
              <w:rPr>
                <w:sz w:val="20"/>
                <w:szCs w:val="20"/>
                <w:color w:val="auto"/>
              </w:rPr>
            </w:pPr>
            <w:r>
              <w:rPr>
                <w:rFonts w:ascii="Arial" w:cs="Arial" w:eastAsia="Arial" w:hAnsi="Arial"/>
                <w:sz w:val="20"/>
                <w:szCs w:val="20"/>
                <w:b w:val="1"/>
                <w:bCs w:val="1"/>
                <w:color w:val="auto"/>
              </w:rPr>
              <w:t>Year ended</w:t>
            </w:r>
          </w:p>
        </w:tc>
      </w:tr>
      <w:tr>
        <w:trPr>
          <w:trHeight w:val="228"/>
        </w:trPr>
        <w:tc>
          <w:tcPr>
            <w:tcW w:w="5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gridSpan w:val="3"/>
          </w:tcPr>
          <w:p>
            <w:pPr>
              <w:jc w:val="center"/>
              <w:ind w:right="440"/>
              <w:spacing w:after="0" w:line="228" w:lineRule="exact"/>
              <w:rPr>
                <w:sz w:val="20"/>
                <w:szCs w:val="20"/>
                <w:color w:val="auto"/>
              </w:rPr>
            </w:pPr>
            <w:r>
              <w:rPr>
                <w:rFonts w:ascii="Arial" w:cs="Arial" w:eastAsia="Arial" w:hAnsi="Arial"/>
                <w:sz w:val="20"/>
                <w:szCs w:val="20"/>
                <w:b w:val="1"/>
                <w:bCs w:val="1"/>
                <w:color w:val="auto"/>
                <w:w w:val="99"/>
              </w:rPr>
              <w:t>December 31,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center"/>
              <w:ind w:right="120"/>
              <w:spacing w:after="0" w:line="228" w:lineRule="exact"/>
              <w:rPr>
                <w:sz w:val="20"/>
                <w:szCs w:val="20"/>
                <w:color w:val="auto"/>
              </w:rPr>
            </w:pPr>
            <w:r>
              <w:rPr>
                <w:rFonts w:ascii="Arial" w:cs="Arial" w:eastAsia="Arial" w:hAnsi="Arial"/>
                <w:sz w:val="20"/>
                <w:szCs w:val="20"/>
                <w:b w:val="1"/>
                <w:bCs w:val="1"/>
                <w:color w:val="auto"/>
                <w:w w:val="99"/>
              </w:rPr>
              <w:t>December 31,</w:t>
            </w:r>
          </w:p>
        </w:tc>
      </w:tr>
      <w:tr>
        <w:trPr>
          <w:trHeight w:val="20"/>
        </w:trPr>
        <w:tc>
          <w:tcPr>
            <w:tcW w:w="5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40"/>
        </w:trPr>
        <w:tc>
          <w:tcPr>
            <w:tcW w:w="5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tcPr>
          <w:p>
            <w:pPr>
              <w:jc w:val="center"/>
              <w:ind w:right="165"/>
              <w:spacing w:after="0"/>
              <w:rPr>
                <w:sz w:val="20"/>
                <w:szCs w:val="20"/>
                <w:color w:val="auto"/>
              </w:rPr>
            </w:pPr>
            <w:r>
              <w:rPr>
                <w:rFonts w:ascii="Arial" w:cs="Arial" w:eastAsia="Arial" w:hAnsi="Arial"/>
                <w:sz w:val="20"/>
                <w:szCs w:val="20"/>
                <w:b w:val="1"/>
                <w:bCs w:val="1"/>
                <w:color w:val="auto"/>
                <w:w w:val="98"/>
              </w:rPr>
              <w:t>2022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center"/>
              <w:ind w:right="100"/>
              <w:spacing w:after="0"/>
              <w:rPr>
                <w:sz w:val="20"/>
                <w:szCs w:val="20"/>
                <w:color w:val="auto"/>
              </w:rPr>
            </w:pPr>
            <w:r>
              <w:rPr>
                <w:rFonts w:ascii="Arial" w:cs="Arial" w:eastAsia="Arial" w:hAnsi="Arial"/>
                <w:sz w:val="20"/>
                <w:szCs w:val="20"/>
                <w:b w:val="1"/>
                <w:bCs w:val="1"/>
                <w:color w:val="auto"/>
                <w:w w:val="98"/>
              </w:rPr>
              <w:t>2021</w:t>
            </w:r>
          </w:p>
        </w:tc>
      </w:tr>
      <w:tr>
        <w:trPr>
          <w:trHeight w:val="20"/>
        </w:trPr>
        <w:tc>
          <w:tcPr>
            <w:tcW w:w="5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r>
      <w:tr>
        <w:trPr>
          <w:trHeight w:val="192"/>
        </w:trPr>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80" w:type="dxa"/>
            <w:vAlign w:val="bottom"/>
            <w:gridSpan w:val="5"/>
          </w:tcPr>
          <w:p>
            <w:pPr>
              <w:jc w:val="right"/>
              <w:ind w:right="1440"/>
              <w:spacing w:after="0"/>
              <w:rPr>
                <w:sz w:val="20"/>
                <w:szCs w:val="20"/>
                <w:color w:val="auto"/>
              </w:rPr>
            </w:pPr>
            <w:r>
              <w:rPr>
                <w:rFonts w:ascii="Arial" w:cs="Arial" w:eastAsia="Arial" w:hAnsi="Arial"/>
                <w:sz w:val="16"/>
                <w:szCs w:val="16"/>
                <w:color w:val="auto"/>
              </w:rPr>
              <w:t>(in millions)</w:t>
            </w:r>
          </w:p>
        </w:tc>
      </w:tr>
      <w:tr>
        <w:trPr>
          <w:trHeight w:val="248"/>
        </w:trPr>
        <w:tc>
          <w:tcPr>
            <w:tcW w:w="5220" w:type="dxa"/>
            <w:vAlign w:val="bottom"/>
          </w:tcPr>
          <w:p>
            <w:pPr>
              <w:spacing w:after="0"/>
              <w:rPr>
                <w:sz w:val="20"/>
                <w:szCs w:val="20"/>
                <w:color w:val="auto"/>
              </w:rPr>
            </w:pPr>
            <w:r>
              <w:rPr>
                <w:rFonts w:ascii="Arial" w:cs="Arial" w:eastAsia="Arial" w:hAnsi="Arial"/>
                <w:sz w:val="20"/>
                <w:szCs w:val="20"/>
                <w:color w:val="auto"/>
              </w:rPr>
              <w:t>Cash paid for lease liabilities</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40"/>
        </w:trPr>
        <w:tc>
          <w:tcPr>
            <w:tcW w:w="5220" w:type="dxa"/>
            <w:vAlign w:val="bottom"/>
          </w:tcPr>
          <w:p>
            <w:pPr>
              <w:ind w:left="400"/>
              <w:spacing w:after="0"/>
              <w:rPr>
                <w:sz w:val="20"/>
                <w:szCs w:val="20"/>
                <w:color w:val="auto"/>
              </w:rPr>
            </w:pPr>
            <w:r>
              <w:rPr>
                <w:rFonts w:ascii="Arial" w:cs="Arial" w:eastAsia="Arial" w:hAnsi="Arial"/>
                <w:sz w:val="20"/>
                <w:szCs w:val="20"/>
                <w:color w:val="auto"/>
              </w:rPr>
              <w:t>Lease liabilities associated with operating</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42"/>
        </w:trPr>
        <w:tc>
          <w:tcPr>
            <w:tcW w:w="5220" w:type="dxa"/>
            <w:vAlign w:val="bottom"/>
          </w:tcPr>
          <w:p>
            <w:pPr>
              <w:ind w:left="600"/>
              <w:spacing w:after="0"/>
              <w:rPr>
                <w:sz w:val="20"/>
                <w:szCs w:val="20"/>
                <w:color w:val="auto"/>
              </w:rPr>
            </w:pPr>
            <w:r>
              <w:rPr>
                <w:rFonts w:ascii="Arial" w:cs="Arial" w:eastAsia="Arial" w:hAnsi="Arial"/>
                <w:sz w:val="20"/>
                <w:szCs w:val="20"/>
                <w:color w:val="auto"/>
              </w:rPr>
              <w:t>activities . . . . . . . . . . . . . . . . . . . . . . . . . . . . . . . . . .</w:t>
            </w:r>
          </w:p>
        </w:tc>
        <w:tc>
          <w:tcPr>
            <w:tcW w:w="240" w:type="dxa"/>
            <w:vAlign w:val="bottom"/>
          </w:tcPr>
          <w:p>
            <w:pPr>
              <w:ind w:left="60"/>
              <w:spacing w:after="0"/>
              <w:rPr>
                <w:sz w:val="20"/>
                <w:szCs w:val="20"/>
                <w:color w:val="auto"/>
              </w:rPr>
            </w:pPr>
            <w:r>
              <w:rPr>
                <w:rFonts w:ascii="Arial" w:cs="Arial" w:eastAsia="Arial" w:hAnsi="Arial"/>
                <w:sz w:val="20"/>
                <w:szCs w:val="20"/>
                <w:color w:val="auto"/>
              </w:rPr>
              <w:t>$</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14</w:t>
            </w:r>
          </w:p>
        </w:tc>
        <w:tc>
          <w:tcPr>
            <w:tcW w:w="200" w:type="dxa"/>
            <w:vAlign w:val="bottom"/>
          </w:tcPr>
          <w:p>
            <w:pPr>
              <w:spacing w:after="0"/>
              <w:rPr>
                <w:sz w:val="21"/>
                <w:szCs w:val="21"/>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64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40"/>
        </w:trPr>
        <w:tc>
          <w:tcPr>
            <w:tcW w:w="5220" w:type="dxa"/>
            <w:vAlign w:val="bottom"/>
          </w:tcPr>
          <w:p>
            <w:pPr>
              <w:ind w:left="400"/>
              <w:spacing w:after="0"/>
              <w:rPr>
                <w:sz w:val="20"/>
                <w:szCs w:val="20"/>
                <w:color w:val="auto"/>
              </w:rPr>
            </w:pPr>
            <w:r>
              <w:rPr>
                <w:rFonts w:ascii="Arial" w:cs="Arial" w:eastAsia="Arial" w:hAnsi="Arial"/>
                <w:sz w:val="20"/>
                <w:szCs w:val="20"/>
                <w:color w:val="auto"/>
              </w:rPr>
              <w:t>Lease liabilities associated with investing</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40"/>
        </w:trPr>
        <w:tc>
          <w:tcPr>
            <w:tcW w:w="5220" w:type="dxa"/>
            <w:vAlign w:val="bottom"/>
          </w:tcPr>
          <w:p>
            <w:pPr>
              <w:ind w:left="600"/>
              <w:spacing w:after="0"/>
              <w:rPr>
                <w:sz w:val="20"/>
                <w:szCs w:val="20"/>
                <w:color w:val="auto"/>
              </w:rPr>
            </w:pPr>
            <w:r>
              <w:rPr>
                <w:rFonts w:ascii="Arial" w:cs="Arial" w:eastAsia="Arial" w:hAnsi="Arial"/>
                <w:sz w:val="20"/>
                <w:szCs w:val="20"/>
                <w:color w:val="auto"/>
              </w:rPr>
              <w:t>activities . . . . . . . . . . . . . . . . . . . . . . . . . . . . . . . . . .</w:t>
            </w:r>
          </w:p>
        </w:tc>
        <w:tc>
          <w:tcPr>
            <w:tcW w:w="240" w:type="dxa"/>
            <w:vAlign w:val="bottom"/>
          </w:tcPr>
          <w:p>
            <w:pPr>
              <w:ind w:left="60"/>
              <w:spacing w:after="0"/>
              <w:rPr>
                <w:sz w:val="20"/>
                <w:szCs w:val="20"/>
                <w:color w:val="auto"/>
              </w:rPr>
            </w:pPr>
            <w:r>
              <w:rPr>
                <w:rFonts w:ascii="Arial" w:cs="Arial" w:eastAsia="Arial" w:hAnsi="Arial"/>
                <w:sz w:val="20"/>
                <w:szCs w:val="20"/>
                <w:color w:val="auto"/>
              </w:rPr>
              <w:t>$</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6</w:t>
            </w:r>
          </w:p>
        </w:tc>
        <w:tc>
          <w:tcPr>
            <w:tcW w:w="200" w:type="dxa"/>
            <w:vAlign w:val="bottom"/>
          </w:tcPr>
          <w:p>
            <w:pPr>
              <w:spacing w:after="0"/>
              <w:rPr>
                <w:sz w:val="20"/>
                <w:szCs w:val="20"/>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64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40"/>
        </w:trPr>
        <w:tc>
          <w:tcPr>
            <w:tcW w:w="5220" w:type="dxa"/>
            <w:vAlign w:val="bottom"/>
          </w:tcPr>
          <w:p>
            <w:pPr>
              <w:ind w:left="400"/>
              <w:spacing w:after="0"/>
              <w:rPr>
                <w:sz w:val="20"/>
                <w:szCs w:val="20"/>
                <w:color w:val="auto"/>
              </w:rPr>
            </w:pPr>
            <w:r>
              <w:rPr>
                <w:rFonts w:ascii="Arial" w:cs="Arial" w:eastAsia="Arial" w:hAnsi="Arial"/>
                <w:sz w:val="20"/>
                <w:szCs w:val="20"/>
                <w:color w:val="auto"/>
              </w:rPr>
              <w:t>Lease liabilities associated with financing</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40"/>
        </w:trPr>
        <w:tc>
          <w:tcPr>
            <w:tcW w:w="5220" w:type="dxa"/>
            <w:vAlign w:val="bottom"/>
          </w:tcPr>
          <w:p>
            <w:pPr>
              <w:ind w:left="600"/>
              <w:spacing w:after="0"/>
              <w:rPr>
                <w:sz w:val="20"/>
                <w:szCs w:val="20"/>
                <w:color w:val="auto"/>
              </w:rPr>
            </w:pPr>
            <w:r>
              <w:rPr>
                <w:rFonts w:ascii="Arial" w:cs="Arial" w:eastAsia="Arial" w:hAnsi="Arial"/>
                <w:sz w:val="20"/>
                <w:szCs w:val="20"/>
                <w:color w:val="auto"/>
              </w:rPr>
              <w:t>activities . . . . . . . . . . . . . . . . . . . . . . . . . . . . . . . . . .</w:t>
            </w:r>
          </w:p>
        </w:tc>
        <w:tc>
          <w:tcPr>
            <w:tcW w:w="240" w:type="dxa"/>
            <w:vAlign w:val="bottom"/>
          </w:tcPr>
          <w:p>
            <w:pPr>
              <w:ind w:left="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0"/>
                <w:szCs w:val="20"/>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64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480"/>
        </w:trPr>
        <w:tc>
          <w:tcPr>
            <w:tcW w:w="5220" w:type="dxa"/>
            <w:vAlign w:val="bottom"/>
          </w:tcPr>
          <w:p>
            <w:pPr>
              <w:spacing w:after="0"/>
              <w:rPr>
                <w:sz w:val="20"/>
                <w:szCs w:val="20"/>
                <w:color w:val="auto"/>
              </w:rPr>
            </w:pPr>
            <w:r>
              <w:rPr>
                <w:rFonts w:ascii="Arial" w:cs="Arial" w:eastAsia="Arial" w:hAnsi="Arial"/>
                <w:sz w:val="20"/>
                <w:szCs w:val="20"/>
                <w:color w:val="auto"/>
              </w:rPr>
              <w:t>ROU assets obtained in exchange for new operating</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40"/>
        </w:trPr>
        <w:tc>
          <w:tcPr>
            <w:tcW w:w="5220" w:type="dxa"/>
            <w:vAlign w:val="bottom"/>
          </w:tcPr>
          <w:p>
            <w:pPr>
              <w:spacing w:after="0"/>
              <w:rPr>
                <w:sz w:val="20"/>
                <w:szCs w:val="20"/>
                <w:color w:val="auto"/>
              </w:rPr>
            </w:pPr>
            <w:r>
              <w:rPr>
                <w:rFonts w:ascii="Arial" w:cs="Arial" w:eastAsia="Arial" w:hAnsi="Arial"/>
                <w:sz w:val="20"/>
                <w:szCs w:val="20"/>
                <w:color w:val="auto"/>
              </w:rPr>
              <w:t>lease liabilities . . . . . . . . . . . . . . . . . . . . . . . . . . . . . . . . . . .</w:t>
            </w:r>
          </w:p>
        </w:tc>
        <w:tc>
          <w:tcPr>
            <w:tcW w:w="240" w:type="dxa"/>
            <w:vAlign w:val="bottom"/>
          </w:tcPr>
          <w:p>
            <w:pPr>
              <w:ind w:left="60"/>
              <w:spacing w:after="0"/>
              <w:rPr>
                <w:sz w:val="20"/>
                <w:szCs w:val="20"/>
                <w:color w:val="auto"/>
              </w:rPr>
            </w:pPr>
            <w:r>
              <w:rPr>
                <w:rFonts w:ascii="Arial" w:cs="Arial" w:eastAsia="Arial" w:hAnsi="Arial"/>
                <w:sz w:val="20"/>
                <w:szCs w:val="20"/>
                <w:color w:val="auto"/>
              </w:rPr>
              <w:t>$</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35</w:t>
            </w:r>
          </w:p>
        </w:tc>
        <w:tc>
          <w:tcPr>
            <w:tcW w:w="200" w:type="dxa"/>
            <w:vAlign w:val="bottom"/>
          </w:tcPr>
          <w:p>
            <w:pPr>
              <w:spacing w:after="0"/>
              <w:rPr>
                <w:sz w:val="20"/>
                <w:szCs w:val="20"/>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64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418"/>
        </w:trPr>
        <w:tc>
          <w:tcPr>
            <w:tcW w:w="5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right"/>
              <w:ind w:right="305"/>
              <w:spacing w:after="0"/>
              <w:rPr>
                <w:sz w:val="20"/>
                <w:szCs w:val="20"/>
                <w:color w:val="auto"/>
              </w:rPr>
            </w:pPr>
            <w:r>
              <w:rPr>
                <w:rFonts w:ascii="Arial" w:cs="Arial" w:eastAsia="Arial" w:hAnsi="Arial"/>
                <w:sz w:val="20"/>
                <w:szCs w:val="20"/>
                <w:b w:val="1"/>
                <w:bCs w:val="1"/>
                <w:color w:val="auto"/>
              </w:rPr>
              <w:t>2022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jc w:val="right"/>
              <w:ind w:right="500"/>
              <w:spacing w:after="0"/>
              <w:rPr>
                <w:sz w:val="20"/>
                <w:szCs w:val="20"/>
                <w:color w:val="auto"/>
              </w:rPr>
            </w:pPr>
            <w:r>
              <w:rPr>
                <w:rFonts w:ascii="Arial" w:cs="Arial" w:eastAsia="Arial" w:hAnsi="Arial"/>
                <w:sz w:val="20"/>
                <w:szCs w:val="20"/>
                <w:b w:val="1"/>
                <w:bCs w:val="1"/>
                <w:color w:val="auto"/>
              </w:rPr>
              <w:t>2021</w:t>
            </w:r>
          </w:p>
        </w:tc>
      </w:tr>
      <w:tr>
        <w:trPr>
          <w:trHeight w:val="282"/>
        </w:trPr>
        <w:tc>
          <w:tcPr>
            <w:tcW w:w="5220" w:type="dxa"/>
            <w:vAlign w:val="bottom"/>
          </w:tcPr>
          <w:p>
            <w:pPr>
              <w:spacing w:after="0"/>
              <w:rPr>
                <w:sz w:val="20"/>
                <w:szCs w:val="20"/>
                <w:color w:val="auto"/>
              </w:rPr>
            </w:pPr>
            <w:r>
              <w:rPr>
                <w:rFonts w:ascii="Arial" w:cs="Arial" w:eastAsia="Arial" w:hAnsi="Arial"/>
                <w:sz w:val="20"/>
                <w:szCs w:val="20"/>
                <w:b w:val="1"/>
                <w:bCs w:val="1"/>
                <w:color w:val="auto"/>
              </w:rPr>
              <w:t>Operating Leases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r>
      <w:tr>
        <w:trPr>
          <w:trHeight w:val="240"/>
        </w:trPr>
        <w:tc>
          <w:tcPr>
            <w:tcW w:w="5220" w:type="dxa"/>
            <w:vAlign w:val="bottom"/>
          </w:tcPr>
          <w:p>
            <w:pPr>
              <w:spacing w:after="0"/>
              <w:rPr>
                <w:sz w:val="20"/>
                <w:szCs w:val="20"/>
                <w:color w:val="auto"/>
              </w:rPr>
            </w:pPr>
            <w:r>
              <w:rPr>
                <w:rFonts w:ascii="Arial" w:cs="Arial" w:eastAsia="Arial" w:hAnsi="Arial"/>
                <w:sz w:val="20"/>
                <w:szCs w:val="20"/>
                <w:color w:val="auto"/>
                <w:w w:val="99"/>
              </w:rPr>
              <w:t>Weighted-average remaining lease term (in years) . . . . . . .</w:t>
            </w:r>
          </w:p>
        </w:tc>
        <w:tc>
          <w:tcPr>
            <w:tcW w:w="240" w:type="dxa"/>
            <w:vAlign w:val="bottom"/>
          </w:tcPr>
          <w:p>
            <w:pPr>
              <w:ind w:left="60"/>
              <w:spacing w:after="0"/>
              <w:rPr>
                <w:sz w:val="20"/>
                <w:szCs w:val="20"/>
                <w:color w:val="auto"/>
              </w:rPr>
            </w:pPr>
            <w:r>
              <w:rPr>
                <w:rFonts w:ascii="Arial" w:cs="Arial" w:eastAsia="Arial" w:hAnsi="Arial"/>
                <w:sz w:val="20"/>
                <w:szCs w:val="20"/>
                <w:color w:val="auto"/>
                <w:w w:val="95"/>
              </w:rPr>
              <w:t>. .</w:t>
            </w:r>
          </w:p>
        </w:tc>
        <w:tc>
          <w:tcPr>
            <w:tcW w:w="1820" w:type="dxa"/>
            <w:vAlign w:val="bottom"/>
            <w:gridSpan w:val="3"/>
          </w:tcPr>
          <w:p>
            <w:pPr>
              <w:jc w:val="right"/>
              <w:ind w:right="80"/>
              <w:spacing w:after="0"/>
              <w:rPr>
                <w:sz w:val="20"/>
                <w:szCs w:val="20"/>
                <w:color w:val="auto"/>
              </w:rPr>
            </w:pPr>
            <w:r>
              <w:rPr>
                <w:rFonts w:ascii="Arial" w:cs="Arial" w:eastAsia="Arial" w:hAnsi="Arial"/>
                <w:sz w:val="20"/>
                <w:szCs w:val="20"/>
                <w:color w:val="auto"/>
              </w:rPr>
              <w:t>6.43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8.25</w:t>
            </w:r>
          </w:p>
        </w:tc>
      </w:tr>
      <w:tr>
        <w:trPr>
          <w:trHeight w:val="240"/>
        </w:trPr>
        <w:tc>
          <w:tcPr>
            <w:tcW w:w="5220" w:type="dxa"/>
            <w:vAlign w:val="bottom"/>
          </w:tcPr>
          <w:p>
            <w:pPr>
              <w:spacing w:after="0"/>
              <w:rPr>
                <w:sz w:val="20"/>
                <w:szCs w:val="20"/>
                <w:color w:val="auto"/>
              </w:rPr>
            </w:pPr>
            <w:r>
              <w:rPr>
                <w:rFonts w:ascii="Arial" w:cs="Arial" w:eastAsia="Arial" w:hAnsi="Arial"/>
                <w:sz w:val="20"/>
                <w:szCs w:val="20"/>
                <w:color w:val="auto"/>
                <w:w w:val="98"/>
              </w:rPr>
              <w:t>Weighted-average discount rate . . . . . . . . . . . . . . . . . . . . . .</w:t>
            </w:r>
          </w:p>
        </w:tc>
        <w:tc>
          <w:tcPr>
            <w:tcW w:w="240" w:type="dxa"/>
            <w:vAlign w:val="bottom"/>
          </w:tcPr>
          <w:p>
            <w:pPr>
              <w:ind w:left="60"/>
              <w:spacing w:after="0"/>
              <w:rPr>
                <w:sz w:val="20"/>
                <w:szCs w:val="20"/>
                <w:color w:val="auto"/>
              </w:rPr>
            </w:pPr>
            <w:r>
              <w:rPr>
                <w:rFonts w:ascii="Arial" w:cs="Arial" w:eastAsia="Arial" w:hAnsi="Arial"/>
                <w:sz w:val="20"/>
                <w:szCs w:val="20"/>
                <w:color w:val="auto"/>
                <w:w w:val="95"/>
              </w:rPr>
              <w:t>. .</w:t>
            </w:r>
          </w:p>
        </w:tc>
        <w:tc>
          <w:tcPr>
            <w:tcW w:w="1820" w:type="dxa"/>
            <w:vAlign w:val="bottom"/>
            <w:gridSpan w:val="3"/>
          </w:tcPr>
          <w:p>
            <w:pPr>
              <w:jc w:val="right"/>
              <w:ind w:right="80"/>
              <w:spacing w:after="0"/>
              <w:rPr>
                <w:sz w:val="20"/>
                <w:szCs w:val="20"/>
                <w:color w:val="auto"/>
              </w:rPr>
            </w:pPr>
            <w:r>
              <w:rPr>
                <w:rFonts w:ascii="Arial" w:cs="Arial" w:eastAsia="Arial" w:hAnsi="Arial"/>
                <w:sz w:val="20"/>
                <w:szCs w:val="20"/>
                <w:color w:val="auto"/>
              </w:rPr>
              <w:t>6.1 %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5.4 %</w:t>
            </w:r>
          </w:p>
        </w:tc>
      </w:tr>
      <w:tr>
        <w:trPr>
          <w:trHeight w:val="480"/>
        </w:trPr>
        <w:tc>
          <w:tcPr>
            <w:tcW w:w="5220" w:type="dxa"/>
            <w:vAlign w:val="bottom"/>
          </w:tcPr>
          <w:p>
            <w:pPr>
              <w:spacing w:after="0"/>
              <w:rPr>
                <w:sz w:val="20"/>
                <w:szCs w:val="20"/>
                <w:color w:val="auto"/>
              </w:rPr>
            </w:pPr>
            <w:r>
              <w:rPr>
                <w:rFonts w:ascii="Arial" w:cs="Arial" w:eastAsia="Arial" w:hAnsi="Arial"/>
                <w:sz w:val="20"/>
                <w:szCs w:val="20"/>
                <w:b w:val="1"/>
                <w:bCs w:val="1"/>
                <w:color w:val="auto"/>
              </w:rPr>
              <w:t>Finance Leases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40"/>
        </w:trPr>
        <w:tc>
          <w:tcPr>
            <w:tcW w:w="5220" w:type="dxa"/>
            <w:vAlign w:val="bottom"/>
          </w:tcPr>
          <w:p>
            <w:pPr>
              <w:spacing w:after="0"/>
              <w:rPr>
                <w:sz w:val="20"/>
                <w:szCs w:val="20"/>
                <w:color w:val="auto"/>
              </w:rPr>
            </w:pPr>
            <w:r>
              <w:rPr>
                <w:rFonts w:ascii="Arial" w:cs="Arial" w:eastAsia="Arial" w:hAnsi="Arial"/>
                <w:sz w:val="20"/>
                <w:szCs w:val="20"/>
                <w:color w:val="auto"/>
                <w:w w:val="99"/>
              </w:rPr>
              <w:t>Weighted-average remaining lease term (in years) . . . . . . .</w:t>
            </w:r>
          </w:p>
        </w:tc>
        <w:tc>
          <w:tcPr>
            <w:tcW w:w="240" w:type="dxa"/>
            <w:vAlign w:val="bottom"/>
          </w:tcPr>
          <w:p>
            <w:pPr>
              <w:ind w:left="60"/>
              <w:spacing w:after="0"/>
              <w:rPr>
                <w:sz w:val="20"/>
                <w:szCs w:val="20"/>
                <w:color w:val="auto"/>
              </w:rPr>
            </w:pPr>
            <w:r>
              <w:rPr>
                <w:rFonts w:ascii="Arial" w:cs="Arial" w:eastAsia="Arial" w:hAnsi="Arial"/>
                <w:sz w:val="20"/>
                <w:szCs w:val="20"/>
                <w:color w:val="auto"/>
                <w:w w:val="95"/>
              </w:rPr>
              <w:t>. .</w:t>
            </w:r>
          </w:p>
        </w:tc>
        <w:tc>
          <w:tcPr>
            <w:tcW w:w="180" w:type="dxa"/>
            <w:vAlign w:val="bottom"/>
          </w:tcPr>
          <w:p>
            <w:pPr>
              <w:spacing w:after="0"/>
              <w:rPr>
                <w:sz w:val="20"/>
                <w:szCs w:val="20"/>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0.33</w:t>
            </w:r>
          </w:p>
        </w:tc>
      </w:tr>
      <w:tr>
        <w:trPr>
          <w:trHeight w:val="240"/>
        </w:trPr>
        <w:tc>
          <w:tcPr>
            <w:tcW w:w="5220" w:type="dxa"/>
            <w:vAlign w:val="bottom"/>
          </w:tcPr>
          <w:p>
            <w:pPr>
              <w:spacing w:after="0"/>
              <w:rPr>
                <w:sz w:val="20"/>
                <w:szCs w:val="20"/>
                <w:color w:val="auto"/>
              </w:rPr>
            </w:pPr>
            <w:r>
              <w:rPr>
                <w:rFonts w:ascii="Arial" w:cs="Arial" w:eastAsia="Arial" w:hAnsi="Arial"/>
                <w:sz w:val="20"/>
                <w:szCs w:val="20"/>
                <w:color w:val="auto"/>
                <w:w w:val="98"/>
              </w:rPr>
              <w:t>Weighted-average discount rate . . . . . . . . . . . . . . . . . . . . . .</w:t>
            </w:r>
          </w:p>
        </w:tc>
        <w:tc>
          <w:tcPr>
            <w:tcW w:w="240" w:type="dxa"/>
            <w:vAlign w:val="bottom"/>
          </w:tcPr>
          <w:p>
            <w:pPr>
              <w:ind w:left="40"/>
              <w:spacing w:after="0"/>
              <w:rPr>
                <w:sz w:val="20"/>
                <w:szCs w:val="20"/>
                <w:color w:val="auto"/>
              </w:rPr>
            </w:pPr>
            <w:r>
              <w:rPr>
                <w:rFonts w:ascii="Arial" w:cs="Arial" w:eastAsia="Arial" w:hAnsi="Arial"/>
                <w:sz w:val="20"/>
                <w:szCs w:val="20"/>
                <w:color w:val="auto"/>
              </w:rPr>
              <w:t>. .</w:t>
            </w:r>
          </w:p>
        </w:tc>
        <w:tc>
          <w:tcPr>
            <w:tcW w:w="180" w:type="dxa"/>
            <w:vAlign w:val="bottom"/>
          </w:tcPr>
          <w:p>
            <w:pPr>
              <w:spacing w:after="0"/>
              <w:rPr>
                <w:sz w:val="20"/>
                <w:szCs w:val="20"/>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20"/>
                <w:szCs w:val="20"/>
                <w:color w:val="auto"/>
              </w:rPr>
              <w:t>—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4.0 %</w:t>
            </w:r>
          </w:p>
        </w:tc>
      </w:tr>
    </w:tbl>
    <w:p>
      <w:pPr>
        <w:spacing w:after="0" w:line="214" w:lineRule="exact"/>
        <w:rPr>
          <w:sz w:val="20"/>
          <w:szCs w:val="20"/>
          <w:color w:val="auto"/>
        </w:rPr>
      </w:pPr>
    </w:p>
    <w:p>
      <w:pPr>
        <w:ind w:right="100" w:firstLine="300"/>
        <w:spacing w:after="0" w:line="245" w:lineRule="auto"/>
        <w:rPr>
          <w:sz w:val="20"/>
          <w:szCs w:val="20"/>
          <w:color w:val="auto"/>
        </w:rPr>
      </w:pPr>
      <w:r>
        <w:rPr>
          <w:rFonts w:ascii="Arial" w:cs="Arial" w:eastAsia="Arial" w:hAnsi="Arial"/>
          <w:sz w:val="20"/>
          <w:szCs w:val="20"/>
          <w:color w:val="auto"/>
        </w:rPr>
        <w:t>The difference in the weighted-average discount rate between operating leases and finance leases in 2021 primarily relates to lease term.</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20"/>
          <w:szCs w:val="20"/>
          <w:color w:val="auto"/>
        </w:rPr>
        <w:t>Our operating lease payments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tcPr>
          <w:p>
            <w:pPr>
              <w:jc w:val="center"/>
              <w:ind w:right="302"/>
              <w:spacing w:after="0"/>
              <w:rPr>
                <w:sz w:val="20"/>
                <w:szCs w:val="20"/>
                <w:color w:val="auto"/>
              </w:rPr>
            </w:pPr>
            <w:r>
              <w:rPr>
                <w:rFonts w:ascii="Arial" w:cs="Arial" w:eastAsia="Arial" w:hAnsi="Arial"/>
                <w:sz w:val="20"/>
                <w:szCs w:val="20"/>
                <w:b w:val="1"/>
                <w:bCs w:val="1"/>
                <w:color w:val="auto"/>
                <w:w w:val="99"/>
              </w:rPr>
              <w:t>As of</w:t>
            </w:r>
          </w:p>
        </w:tc>
      </w:tr>
      <w:tr>
        <w:trPr>
          <w:trHeight w:val="246"/>
        </w:trPr>
        <w:tc>
          <w:tcPr>
            <w:tcW w:w="7080" w:type="dxa"/>
            <w:vAlign w:val="bottom"/>
          </w:tcPr>
          <w:p>
            <w:pPr>
              <w:spacing w:after="0"/>
              <w:rPr>
                <w:sz w:val="21"/>
                <w:szCs w:val="21"/>
                <w:color w:val="auto"/>
              </w:rPr>
            </w:pPr>
          </w:p>
        </w:tc>
        <w:tc>
          <w:tcPr>
            <w:tcW w:w="2040" w:type="dxa"/>
            <w:vAlign w:val="bottom"/>
            <w:tcBorders>
              <w:bottom w:val="single" w:sz="8" w:color="auto"/>
            </w:tcBorders>
            <w:gridSpan w:val="2"/>
          </w:tcPr>
          <w:p>
            <w:pPr>
              <w:jc w:val="center"/>
              <w:spacing w:after="0" w:line="228" w:lineRule="exact"/>
              <w:rPr>
                <w:sz w:val="20"/>
                <w:szCs w:val="20"/>
                <w:color w:val="auto"/>
              </w:rPr>
            </w:pPr>
            <w:r>
              <w:rPr>
                <w:rFonts w:ascii="Arial" w:cs="Arial" w:eastAsia="Arial" w:hAnsi="Arial"/>
                <w:sz w:val="20"/>
                <w:szCs w:val="20"/>
                <w:b w:val="1"/>
                <w:bCs w:val="1"/>
                <w:color w:val="auto"/>
                <w:w w:val="99"/>
              </w:rPr>
              <w:t>December 31, 2022</w:t>
            </w:r>
          </w:p>
        </w:tc>
      </w:tr>
      <w:tr>
        <w:trPr>
          <w:trHeight w:val="192"/>
        </w:trPr>
        <w:tc>
          <w:tcPr>
            <w:tcW w:w="7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60" w:type="dxa"/>
            <w:vAlign w:val="bottom"/>
          </w:tcPr>
          <w:p>
            <w:pPr>
              <w:jc w:val="center"/>
              <w:ind w:right="282"/>
              <w:spacing w:after="0"/>
              <w:rPr>
                <w:sz w:val="20"/>
                <w:szCs w:val="20"/>
                <w:color w:val="auto"/>
              </w:rPr>
            </w:pPr>
            <w:r>
              <w:rPr>
                <w:rFonts w:ascii="Arial" w:cs="Arial" w:eastAsia="Arial" w:hAnsi="Arial"/>
                <w:sz w:val="16"/>
                <w:szCs w:val="16"/>
                <w:color w:val="auto"/>
                <w:w w:val="98"/>
              </w:rPr>
              <w:t>(in millions)</w:t>
            </w:r>
          </w:p>
        </w:tc>
      </w:tr>
      <w:tr>
        <w:trPr>
          <w:trHeight w:val="250"/>
        </w:trPr>
        <w:tc>
          <w:tcPr>
            <w:tcW w:w="7080" w:type="dxa"/>
            <w:vAlign w:val="bottom"/>
          </w:tcPr>
          <w:p>
            <w:pPr>
              <w:jc w:val="right"/>
              <w:ind w:right="120"/>
              <w:spacing w:after="0"/>
              <w:rPr>
                <w:sz w:val="20"/>
                <w:szCs w:val="20"/>
                <w:color w:val="auto"/>
              </w:rPr>
            </w:pPr>
            <w:r>
              <w:rPr>
                <w:rFonts w:ascii="Arial" w:cs="Arial" w:eastAsia="Arial" w:hAnsi="Arial"/>
                <w:sz w:val="20"/>
                <w:szCs w:val="20"/>
                <w:color w:val="auto"/>
                <w:w w:val="95"/>
              </w:rPr>
              <w:t>2023  . . . . . . . . . . . . . . . . . . . . . . . . . . . . . . . . . . . . . . . . . . . . . . . . . . . . . . . . . . . .</w:t>
            </w:r>
          </w:p>
        </w:tc>
        <w:tc>
          <w:tcPr>
            <w:tcW w:w="38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166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40"/>
        </w:trPr>
        <w:tc>
          <w:tcPr>
            <w:tcW w:w="7080" w:type="dxa"/>
            <w:vAlign w:val="bottom"/>
          </w:tcPr>
          <w:p>
            <w:pPr>
              <w:jc w:val="right"/>
              <w:ind w:right="120"/>
              <w:spacing w:after="0"/>
              <w:rPr>
                <w:sz w:val="20"/>
                <w:szCs w:val="20"/>
                <w:color w:val="auto"/>
              </w:rPr>
            </w:pPr>
            <w:r>
              <w:rPr>
                <w:rFonts w:ascii="Arial" w:cs="Arial" w:eastAsia="Arial" w:hAnsi="Arial"/>
                <w:sz w:val="20"/>
                <w:szCs w:val="20"/>
                <w:color w:val="auto"/>
                <w:w w:val="95"/>
              </w:rPr>
              <w:t>2024  . . . . . . . . . . . . . . . . . . . . . . . . . . . . . . . . . . . . . . . . . . . . . . . . . . . . . . . . . . . .</w:t>
            </w:r>
          </w:p>
        </w:tc>
        <w:tc>
          <w:tcPr>
            <w:tcW w:w="3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40"/>
        </w:trPr>
        <w:tc>
          <w:tcPr>
            <w:tcW w:w="7080" w:type="dxa"/>
            <w:vAlign w:val="bottom"/>
          </w:tcPr>
          <w:p>
            <w:pPr>
              <w:jc w:val="right"/>
              <w:ind w:right="120"/>
              <w:spacing w:after="0"/>
              <w:rPr>
                <w:sz w:val="20"/>
                <w:szCs w:val="20"/>
                <w:color w:val="auto"/>
              </w:rPr>
            </w:pPr>
            <w:r>
              <w:rPr>
                <w:rFonts w:ascii="Arial" w:cs="Arial" w:eastAsia="Arial" w:hAnsi="Arial"/>
                <w:sz w:val="20"/>
                <w:szCs w:val="20"/>
                <w:color w:val="auto"/>
                <w:w w:val="95"/>
              </w:rPr>
              <w:t>2025  . . . . . . . . . . . . . . . . . . . . . . . . . . . . . . . . . . . . . . . . . . . . . . . . . . . . . . . . . . . .</w:t>
            </w:r>
          </w:p>
        </w:tc>
        <w:tc>
          <w:tcPr>
            <w:tcW w:w="3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40"/>
        </w:trPr>
        <w:tc>
          <w:tcPr>
            <w:tcW w:w="7080" w:type="dxa"/>
            <w:vAlign w:val="bottom"/>
          </w:tcPr>
          <w:p>
            <w:pPr>
              <w:jc w:val="right"/>
              <w:ind w:right="120"/>
              <w:spacing w:after="0"/>
              <w:rPr>
                <w:sz w:val="20"/>
                <w:szCs w:val="20"/>
                <w:color w:val="auto"/>
              </w:rPr>
            </w:pPr>
            <w:r>
              <w:rPr>
                <w:rFonts w:ascii="Arial" w:cs="Arial" w:eastAsia="Arial" w:hAnsi="Arial"/>
                <w:sz w:val="20"/>
                <w:szCs w:val="20"/>
                <w:color w:val="auto"/>
                <w:w w:val="95"/>
              </w:rPr>
              <w:t>2026  . . . . . . . . . . . . . . . . . . . . . . . . . . . . . . . . . . . . . . . . . . . . . . . . . . . . . . . . . . . .</w:t>
            </w:r>
          </w:p>
        </w:tc>
        <w:tc>
          <w:tcPr>
            <w:tcW w:w="3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40"/>
        </w:trPr>
        <w:tc>
          <w:tcPr>
            <w:tcW w:w="7080" w:type="dxa"/>
            <w:vAlign w:val="bottom"/>
          </w:tcPr>
          <w:p>
            <w:pPr>
              <w:jc w:val="right"/>
              <w:ind w:right="120"/>
              <w:spacing w:after="0"/>
              <w:rPr>
                <w:sz w:val="20"/>
                <w:szCs w:val="20"/>
                <w:color w:val="auto"/>
              </w:rPr>
            </w:pPr>
            <w:r>
              <w:rPr>
                <w:rFonts w:ascii="Arial" w:cs="Arial" w:eastAsia="Arial" w:hAnsi="Arial"/>
                <w:sz w:val="20"/>
                <w:szCs w:val="20"/>
                <w:color w:val="auto"/>
                <w:w w:val="95"/>
              </w:rPr>
              <w:t>2027  . . . . . . . . . . . . . . . . . . . . . . . . . . . . . . . . . . . . . . . . . . . . . . . . . . . . . . . . . . . .</w:t>
            </w:r>
          </w:p>
        </w:tc>
        <w:tc>
          <w:tcPr>
            <w:tcW w:w="3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40"/>
        </w:trPr>
        <w:tc>
          <w:tcPr>
            <w:tcW w:w="7080" w:type="dxa"/>
            <w:vAlign w:val="bottom"/>
          </w:tcPr>
          <w:p>
            <w:pPr>
              <w:jc w:val="right"/>
              <w:ind w:right="120"/>
              <w:spacing w:after="0"/>
              <w:rPr>
                <w:sz w:val="20"/>
                <w:szCs w:val="20"/>
                <w:color w:val="auto"/>
              </w:rPr>
            </w:pPr>
            <w:r>
              <w:rPr>
                <w:rFonts w:ascii="Arial" w:cs="Arial" w:eastAsia="Arial" w:hAnsi="Arial"/>
                <w:sz w:val="20"/>
                <w:szCs w:val="20"/>
                <w:color w:val="auto"/>
                <w:w w:val="95"/>
              </w:rPr>
              <w:t>Thereafter . . . . . . . . . . . . . . . . . . . . . . . . . . . . . . . . . . . . . . . . . . . . . . . . . . . . . . . .</w:t>
            </w:r>
          </w:p>
        </w:tc>
        <w:tc>
          <w:tcPr>
            <w:tcW w:w="3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8"/>
        </w:trPr>
        <w:tc>
          <w:tcPr>
            <w:tcW w:w="70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70"/>
        </w:trPr>
        <w:tc>
          <w:tcPr>
            <w:tcW w:w="7080" w:type="dxa"/>
            <w:vAlign w:val="bottom"/>
          </w:tcPr>
          <w:p>
            <w:pPr>
              <w:jc w:val="right"/>
              <w:ind w:right="120"/>
              <w:spacing w:after="0"/>
              <w:rPr>
                <w:sz w:val="20"/>
                <w:szCs w:val="20"/>
                <w:color w:val="auto"/>
              </w:rPr>
            </w:pPr>
            <w:r>
              <w:rPr>
                <w:rFonts w:ascii="Arial" w:cs="Arial" w:eastAsia="Arial" w:hAnsi="Arial"/>
                <w:sz w:val="20"/>
                <w:szCs w:val="20"/>
                <w:color w:val="auto"/>
                <w:w w:val="98"/>
              </w:rPr>
              <w:t>Less: Interest  . . . . . . . . . . . . . . . . . . . . . . . . . . . . . . . . . . . . . . . . . . . . . . . . . . .</w:t>
            </w:r>
          </w:p>
        </w:tc>
        <w:tc>
          <w:tcPr>
            <w:tcW w:w="38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30"/>
        </w:trPr>
        <w:tc>
          <w:tcPr>
            <w:tcW w:w="70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70"/>
        </w:trPr>
        <w:tc>
          <w:tcPr>
            <w:tcW w:w="7080" w:type="dxa"/>
            <w:vAlign w:val="bottom"/>
          </w:tcPr>
          <w:p>
            <w:pPr>
              <w:jc w:val="right"/>
              <w:ind w:right="120"/>
              <w:spacing w:after="0"/>
              <w:rPr>
                <w:sz w:val="20"/>
                <w:szCs w:val="20"/>
                <w:color w:val="auto"/>
              </w:rPr>
            </w:pPr>
            <w:r>
              <w:rPr>
                <w:rFonts w:ascii="Arial" w:cs="Arial" w:eastAsia="Arial" w:hAnsi="Arial"/>
                <w:sz w:val="20"/>
                <w:szCs w:val="20"/>
                <w:color w:val="auto"/>
                <w:w w:val="97"/>
              </w:rPr>
              <w:t>Present value of lease liabilities . . . . . . . . . . . . . . . . . . . . . . . . . . . . . . . . . . . . . .</w:t>
            </w:r>
          </w:p>
        </w:tc>
        <w:tc>
          <w:tcPr>
            <w:tcW w:w="38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166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30"/>
        </w:trPr>
        <w:tc>
          <w:tcPr>
            <w:tcW w:w="70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316" w:right="138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121</w:t>
      </w:r>
    </w:p>
    <w:p>
      <w:pPr>
        <w:sectPr>
          <w:pgSz w:w="11880" w:h="15480" w:orient="portrait"/>
          <w:cols w:equalWidth="0" w:num="1">
            <w:col w:w="9120"/>
          </w:cols>
          <w:pgMar w:left="1380" w:top="1316" w:right="1380" w:bottom="661" w:gutter="0" w:footer="0" w:header="0"/>
          <w:type w:val="continuous"/>
        </w:sectPr>
      </w:pPr>
    </w:p>
    <w:bookmarkStart w:id="125" w:name="page126"/>
    <w:bookmarkEnd w:id="125"/>
    <w:p>
      <w:pPr>
        <w:spacing w:after="0"/>
        <w:tabs>
          <w:tab w:leader="none" w:pos="900" w:val="left"/>
        </w:tabs>
        <w:rPr>
          <w:sz w:val="20"/>
          <w:szCs w:val="20"/>
          <w:color w:val="auto"/>
        </w:rPr>
      </w:pPr>
      <w:r>
        <w:rPr>
          <w:rFonts w:ascii="Arial" w:cs="Arial" w:eastAsia="Arial" w:hAnsi="Arial"/>
          <w:sz w:val="20"/>
          <w:szCs w:val="20"/>
          <w:b w:val="1"/>
          <w:bCs w:val="1"/>
          <w:color w:val="auto"/>
        </w:rPr>
        <w:t>NOTE 6</w:t>
        <w:tab/>
        <w:t>LAWSUITS, CLAIMS, COMMITMENTS AND CONTINGENCIES</w:t>
      </w:r>
    </w:p>
    <w:p>
      <w:pPr>
        <w:spacing w:after="0" w:line="216" w:lineRule="exact"/>
        <w:rPr>
          <w:sz w:val="20"/>
          <w:szCs w:val="20"/>
          <w:color w:val="auto"/>
        </w:rPr>
      </w:pPr>
    </w:p>
    <w:p>
      <w:pPr>
        <w:ind w:right="60" w:firstLine="300"/>
        <w:spacing w:after="0" w:line="248" w:lineRule="auto"/>
        <w:rPr>
          <w:sz w:val="20"/>
          <w:szCs w:val="20"/>
          <w:color w:val="auto"/>
        </w:rPr>
      </w:pPr>
      <w:r>
        <w:rPr>
          <w:rFonts w:ascii="Arial" w:cs="Arial" w:eastAsia="Arial" w:hAnsi="Arial"/>
          <w:sz w:val="20"/>
          <w:szCs w:val="20"/>
          <w:color w:val="auto"/>
        </w:rPr>
        <w:t>We, or certain of our subsidiaries,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209" w:lineRule="exact"/>
        <w:rPr>
          <w:sz w:val="20"/>
          <w:szCs w:val="20"/>
          <w:color w:val="auto"/>
        </w:rPr>
      </w:pPr>
    </w:p>
    <w:p>
      <w:pPr>
        <w:ind w:right="200" w:firstLine="300"/>
        <w:spacing w:after="0" w:line="249" w:lineRule="auto"/>
        <w:rPr>
          <w:sz w:val="20"/>
          <w:szCs w:val="20"/>
          <w:color w:val="auto"/>
        </w:rPr>
      </w:pPr>
      <w:r>
        <w:rPr>
          <w:rFonts w:ascii="Arial" w:cs="Arial" w:eastAsia="Arial" w:hAnsi="Arial"/>
          <w:sz w:val="20"/>
          <w:szCs w:val="20"/>
          <w:color w:val="auto"/>
        </w:rPr>
        <w:t>We accrue reserves for currently outstanding lawsuits, claims and proceedings when it is probable that a liability has been incurred and the liability can be reasonably estimated. Reserve balances at December 31, 2022 and 2021 were not material to our consolidated balance sheets as of such dates. We also evaluate the amount of reasonably possible losses that we could incur as a result of these matters. We believe that reasonably possible losses that we could incur in excess of reserves cannot be accurately determined.</w:t>
      </w:r>
    </w:p>
    <w:p>
      <w:pPr>
        <w:spacing w:after="0" w:line="208" w:lineRule="exact"/>
        <w:rPr>
          <w:sz w:val="20"/>
          <w:szCs w:val="20"/>
          <w:color w:val="auto"/>
        </w:rPr>
      </w:pPr>
    </w:p>
    <w:p>
      <w:pPr>
        <w:ind w:right="100" w:firstLine="300"/>
        <w:spacing w:after="0" w:line="249" w:lineRule="auto"/>
        <w:rPr>
          <w:sz w:val="20"/>
          <w:szCs w:val="20"/>
          <w:color w:val="auto"/>
        </w:rPr>
      </w:pPr>
      <w:r>
        <w:rPr>
          <w:rFonts w:ascii="Arial" w:cs="Arial" w:eastAsia="Arial" w:hAnsi="Arial"/>
          <w:sz w:val="20"/>
          <w:szCs w:val="20"/>
          <w:color w:val="auto"/>
        </w:rPr>
        <w:t>In October 2020, Signal Hill Services, Inc. defaulted on its decommissioning obligations associated with two offshore platforms. The Bureau of Safety and Environmental Enforcement (BSEE) determined that former lessees, including our former parent, Occidental Petroleum Corporation (Oxy) with a 37.5% share, are responsible for accrued decommissioning obligations associated with these offshore platforms. Oxy sold its interest in the platforms approximately 30 years ago and it is our understanding that Oxy has not had any connection to the operations since that time and challenged BSEE’s order. Oxy notified us of the claim under the indemnification provisions of the Separation and Distribution Agreement between us and Oxy. In September 2021, we accepted the indemnification claim from Oxy and we are now appealing the order from BSEE.</w:t>
      </w:r>
    </w:p>
    <w:p>
      <w:pPr>
        <w:spacing w:after="0" w:line="213" w:lineRule="exact"/>
        <w:rPr>
          <w:sz w:val="20"/>
          <w:szCs w:val="20"/>
          <w:color w:val="auto"/>
        </w:rPr>
      </w:pPr>
    </w:p>
    <w:p>
      <w:pPr>
        <w:ind w:right="120" w:firstLine="300"/>
        <w:spacing w:after="0" w:line="248" w:lineRule="auto"/>
        <w:rPr>
          <w:sz w:val="20"/>
          <w:szCs w:val="20"/>
          <w:color w:val="auto"/>
        </w:rPr>
      </w:pPr>
      <w:r>
        <w:rPr>
          <w:rFonts w:ascii="Arial" w:cs="Arial" w:eastAsia="Arial" w:hAnsi="Arial"/>
          <w:sz w:val="20"/>
          <w:szCs w:val="20"/>
          <w:color w:val="auto"/>
        </w:rPr>
        <w:t>We have certain commitments under contracts, including purchase commitments for goods and services used in the normal course of business such as pipeline capacity, easements related to oil and natural gas operations, obligations under long-term service agreements and field equipment.</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20"/>
          <w:szCs w:val="20"/>
          <w:color w:val="auto"/>
        </w:rPr>
        <w:t>At December 31, 2022, total purchase obligations on a discounted basis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auto"/>
                <w:w w:val="99"/>
              </w:rPr>
              <w:t>December 31,</w:t>
            </w:r>
          </w:p>
        </w:tc>
      </w:tr>
      <w:tr>
        <w:trPr>
          <w:trHeight w:val="248"/>
        </w:trPr>
        <w:tc>
          <w:tcPr>
            <w:tcW w:w="73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center"/>
              <w:ind w:right="102"/>
              <w:spacing w:after="0"/>
              <w:rPr>
                <w:sz w:val="20"/>
                <w:szCs w:val="20"/>
                <w:color w:val="auto"/>
              </w:rPr>
            </w:pPr>
            <w:r>
              <w:rPr>
                <w:rFonts w:ascii="Arial" w:cs="Arial" w:eastAsia="Arial" w:hAnsi="Arial"/>
                <w:sz w:val="20"/>
                <w:szCs w:val="20"/>
                <w:b w:val="1"/>
                <w:bCs w:val="1"/>
                <w:color w:val="auto"/>
              </w:rPr>
              <w:t>2022</w:t>
            </w:r>
          </w:p>
        </w:tc>
        <w:tc>
          <w:tcPr>
            <w:tcW w:w="60" w:type="dxa"/>
            <w:vAlign w:val="bottom"/>
          </w:tcPr>
          <w:p>
            <w:pPr>
              <w:spacing w:after="0"/>
              <w:rPr>
                <w:sz w:val="21"/>
                <w:szCs w:val="21"/>
                <w:color w:val="auto"/>
              </w:rPr>
            </w:pPr>
          </w:p>
        </w:tc>
      </w:tr>
      <w:tr>
        <w:trPr>
          <w:trHeight w:val="192"/>
        </w:trPr>
        <w:tc>
          <w:tcPr>
            <w:tcW w:w="7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color w:val="auto"/>
              </w:rPr>
              <w:t>(in millions)</w:t>
            </w:r>
          </w:p>
        </w:tc>
      </w:tr>
      <w:tr>
        <w:trPr>
          <w:trHeight w:val="250"/>
        </w:trPr>
        <w:tc>
          <w:tcPr>
            <w:tcW w:w="7340" w:type="dxa"/>
            <w:vAlign w:val="bottom"/>
          </w:tcPr>
          <w:p>
            <w:pPr>
              <w:jc w:val="right"/>
              <w:spacing w:after="0"/>
              <w:rPr>
                <w:sz w:val="20"/>
                <w:szCs w:val="20"/>
                <w:color w:val="auto"/>
              </w:rPr>
            </w:pPr>
            <w:r>
              <w:rPr>
                <w:rFonts w:ascii="Arial" w:cs="Arial" w:eastAsia="Arial" w:hAnsi="Arial"/>
                <w:sz w:val="20"/>
                <w:szCs w:val="20"/>
                <w:color w:val="auto"/>
                <w:w w:val="95"/>
              </w:rPr>
              <w:t>2023  . . . . . . . . . . . . . . . . . . . . . . . . . . . . . . . . . . . . . . . . . . . . . . . . . . . . . . . . . . . . . . . .</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580" w:type="dxa"/>
            <w:vAlign w:val="bottom"/>
          </w:tcPr>
          <w:p>
            <w:pPr>
              <w:jc w:val="right"/>
              <w:spacing w:after="0"/>
              <w:rPr>
                <w:sz w:val="20"/>
                <w:szCs w:val="20"/>
                <w:color w:val="auto"/>
              </w:rPr>
            </w:pPr>
            <w:r>
              <w:rPr>
                <w:rFonts w:ascii="Arial" w:cs="Arial" w:eastAsia="Arial" w:hAnsi="Arial"/>
                <w:sz w:val="20"/>
                <w:szCs w:val="20"/>
                <w:color w:val="auto"/>
              </w:rPr>
              <w:t>61</w:t>
            </w:r>
          </w:p>
        </w:tc>
        <w:tc>
          <w:tcPr>
            <w:tcW w:w="60" w:type="dxa"/>
            <w:vAlign w:val="bottom"/>
          </w:tcPr>
          <w:p>
            <w:pPr>
              <w:spacing w:after="0"/>
              <w:rPr>
                <w:sz w:val="21"/>
                <w:szCs w:val="21"/>
                <w:color w:val="auto"/>
              </w:rPr>
            </w:pPr>
          </w:p>
        </w:tc>
      </w:tr>
      <w:tr>
        <w:trPr>
          <w:trHeight w:val="240"/>
        </w:trPr>
        <w:tc>
          <w:tcPr>
            <w:tcW w:w="7340" w:type="dxa"/>
            <w:vAlign w:val="bottom"/>
          </w:tcPr>
          <w:p>
            <w:pPr>
              <w:jc w:val="right"/>
              <w:spacing w:after="0"/>
              <w:rPr>
                <w:sz w:val="20"/>
                <w:szCs w:val="20"/>
                <w:color w:val="auto"/>
              </w:rPr>
            </w:pPr>
            <w:r>
              <w:rPr>
                <w:rFonts w:ascii="Arial" w:cs="Arial" w:eastAsia="Arial" w:hAnsi="Arial"/>
                <w:sz w:val="20"/>
                <w:szCs w:val="20"/>
                <w:color w:val="auto"/>
                <w:w w:val="95"/>
              </w:rPr>
              <w:t>2024  . . . . . . . . . . . . . . . . . . . . . . . . . . . . . . . . . . . . . . . . . . . . . . . . . . . . . . . . . . . . . . . .</w:t>
            </w: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9</w:t>
            </w:r>
          </w:p>
        </w:tc>
        <w:tc>
          <w:tcPr>
            <w:tcW w:w="60" w:type="dxa"/>
            <w:vAlign w:val="bottom"/>
          </w:tcPr>
          <w:p>
            <w:pPr>
              <w:spacing w:after="0"/>
              <w:rPr>
                <w:sz w:val="20"/>
                <w:szCs w:val="20"/>
                <w:color w:val="auto"/>
              </w:rPr>
            </w:pPr>
          </w:p>
        </w:tc>
      </w:tr>
      <w:tr>
        <w:trPr>
          <w:trHeight w:val="240"/>
        </w:trPr>
        <w:tc>
          <w:tcPr>
            <w:tcW w:w="7340" w:type="dxa"/>
            <w:vAlign w:val="bottom"/>
          </w:tcPr>
          <w:p>
            <w:pPr>
              <w:jc w:val="right"/>
              <w:spacing w:after="0"/>
              <w:rPr>
                <w:sz w:val="20"/>
                <w:szCs w:val="20"/>
                <w:color w:val="auto"/>
              </w:rPr>
            </w:pPr>
            <w:r>
              <w:rPr>
                <w:rFonts w:ascii="Arial" w:cs="Arial" w:eastAsia="Arial" w:hAnsi="Arial"/>
                <w:sz w:val="20"/>
                <w:szCs w:val="20"/>
                <w:color w:val="auto"/>
                <w:w w:val="95"/>
              </w:rPr>
              <w:t>2025  . . . . . . . . . . . . . . . . . . . . . . . . . . . . . . . . . . . . . . . . . . . . . . . . . . . . . . . . . . . . . . . .</w:t>
            </w: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6</w:t>
            </w:r>
          </w:p>
        </w:tc>
        <w:tc>
          <w:tcPr>
            <w:tcW w:w="60" w:type="dxa"/>
            <w:vAlign w:val="bottom"/>
          </w:tcPr>
          <w:p>
            <w:pPr>
              <w:spacing w:after="0"/>
              <w:rPr>
                <w:sz w:val="20"/>
                <w:szCs w:val="20"/>
                <w:color w:val="auto"/>
              </w:rPr>
            </w:pPr>
          </w:p>
        </w:tc>
      </w:tr>
      <w:tr>
        <w:trPr>
          <w:trHeight w:val="240"/>
        </w:trPr>
        <w:tc>
          <w:tcPr>
            <w:tcW w:w="7340" w:type="dxa"/>
            <w:vAlign w:val="bottom"/>
          </w:tcPr>
          <w:p>
            <w:pPr>
              <w:jc w:val="right"/>
              <w:spacing w:after="0"/>
              <w:rPr>
                <w:sz w:val="20"/>
                <w:szCs w:val="20"/>
                <w:color w:val="auto"/>
              </w:rPr>
            </w:pPr>
            <w:r>
              <w:rPr>
                <w:rFonts w:ascii="Arial" w:cs="Arial" w:eastAsia="Arial" w:hAnsi="Arial"/>
                <w:sz w:val="20"/>
                <w:szCs w:val="20"/>
                <w:color w:val="auto"/>
                <w:w w:val="95"/>
              </w:rPr>
              <w:t>2026  . . . . . . . . . . . . . . . . . . . . . . . . . . . . . . . . . . . . . . . . . . . . . . . . . . . . . . . . . . . . . . . .</w:t>
            </w: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6</w:t>
            </w:r>
          </w:p>
        </w:tc>
        <w:tc>
          <w:tcPr>
            <w:tcW w:w="60" w:type="dxa"/>
            <w:vAlign w:val="bottom"/>
          </w:tcPr>
          <w:p>
            <w:pPr>
              <w:spacing w:after="0"/>
              <w:rPr>
                <w:sz w:val="20"/>
                <w:szCs w:val="20"/>
                <w:color w:val="auto"/>
              </w:rPr>
            </w:pPr>
          </w:p>
        </w:tc>
      </w:tr>
      <w:tr>
        <w:trPr>
          <w:trHeight w:val="240"/>
        </w:trPr>
        <w:tc>
          <w:tcPr>
            <w:tcW w:w="7340" w:type="dxa"/>
            <w:vAlign w:val="bottom"/>
          </w:tcPr>
          <w:p>
            <w:pPr>
              <w:jc w:val="right"/>
              <w:spacing w:after="0"/>
              <w:rPr>
                <w:sz w:val="20"/>
                <w:szCs w:val="20"/>
                <w:color w:val="auto"/>
              </w:rPr>
            </w:pPr>
            <w:r>
              <w:rPr>
                <w:rFonts w:ascii="Arial" w:cs="Arial" w:eastAsia="Arial" w:hAnsi="Arial"/>
                <w:sz w:val="20"/>
                <w:szCs w:val="20"/>
                <w:color w:val="auto"/>
                <w:w w:val="95"/>
              </w:rPr>
              <w:t>2027  . . . . . . . . . . . . . . . . . . . . . . . . . . . . . . . . . . . . . . . . . . . . . . . . . . . . . . . . . . . . . . . .</w:t>
            </w: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5</w:t>
            </w:r>
          </w:p>
        </w:tc>
        <w:tc>
          <w:tcPr>
            <w:tcW w:w="60" w:type="dxa"/>
            <w:vAlign w:val="bottom"/>
          </w:tcPr>
          <w:p>
            <w:pPr>
              <w:spacing w:after="0"/>
              <w:rPr>
                <w:sz w:val="20"/>
                <w:szCs w:val="20"/>
                <w:color w:val="auto"/>
              </w:rPr>
            </w:pPr>
          </w:p>
        </w:tc>
      </w:tr>
      <w:tr>
        <w:trPr>
          <w:trHeight w:val="240"/>
        </w:trPr>
        <w:tc>
          <w:tcPr>
            <w:tcW w:w="7340" w:type="dxa"/>
            <w:vAlign w:val="bottom"/>
          </w:tcPr>
          <w:p>
            <w:pPr>
              <w:jc w:val="right"/>
              <w:spacing w:after="0"/>
              <w:rPr>
                <w:sz w:val="20"/>
                <w:szCs w:val="20"/>
                <w:color w:val="auto"/>
              </w:rPr>
            </w:pPr>
            <w:r>
              <w:rPr>
                <w:rFonts w:ascii="Arial" w:cs="Arial" w:eastAsia="Arial" w:hAnsi="Arial"/>
                <w:sz w:val="20"/>
                <w:szCs w:val="20"/>
                <w:color w:val="auto"/>
                <w:w w:val="95"/>
              </w:rPr>
              <w:t>Thereafter . . . . . . . . . . . . . . . . . . . . . . . . . . . . . . . . . . . . . . . . . . . . . . . . . . . . . . . . . . . .</w:t>
            </w: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25</w:t>
            </w:r>
          </w:p>
        </w:tc>
        <w:tc>
          <w:tcPr>
            <w:tcW w:w="60" w:type="dxa"/>
            <w:vAlign w:val="bottom"/>
          </w:tcPr>
          <w:p>
            <w:pPr>
              <w:spacing w:after="0"/>
              <w:rPr>
                <w:sz w:val="20"/>
                <w:szCs w:val="20"/>
                <w:color w:val="auto"/>
              </w:rPr>
            </w:pPr>
          </w:p>
        </w:tc>
      </w:tr>
      <w:tr>
        <w:trPr>
          <w:trHeight w:val="28"/>
        </w:trPr>
        <w:tc>
          <w:tcPr>
            <w:tcW w:w="7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7340" w:type="dxa"/>
            <w:vAlign w:val="bottom"/>
          </w:tcPr>
          <w:p>
            <w:pPr>
              <w:jc w:val="right"/>
              <w:spacing w:after="0"/>
              <w:rPr>
                <w:sz w:val="20"/>
                <w:szCs w:val="20"/>
                <w:color w:val="auto"/>
              </w:rPr>
            </w:pPr>
            <w:r>
              <w:rPr>
                <w:rFonts w:ascii="Arial" w:cs="Arial" w:eastAsia="Arial" w:hAnsi="Arial"/>
                <w:sz w:val="20"/>
                <w:szCs w:val="20"/>
                <w:color w:val="auto"/>
                <w:w w:val="95"/>
              </w:rPr>
              <w:t>Total  . . . . . . . . . . . . . . . . . . . . . . . . . . . . . . . . . . . . . . . . . . . . . . . . . . . . . . . . . . . . . . . .</w:t>
            </w:r>
          </w:p>
        </w:tc>
        <w:tc>
          <w:tcPr>
            <w:tcW w:w="200" w:type="dxa"/>
            <w:vAlign w:val="bottom"/>
          </w:tcPr>
          <w:p>
            <w:pPr>
              <w:spacing w:after="0"/>
              <w:rPr>
                <w:sz w:val="23"/>
                <w:szCs w:val="23"/>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20"/>
                <w:szCs w:val="20"/>
                <w:color w:val="auto"/>
              </w:rPr>
              <w:t>112</w:t>
            </w:r>
          </w:p>
        </w:tc>
      </w:tr>
      <w:tr>
        <w:trPr>
          <w:trHeight w:val="240"/>
        </w:trPr>
        <w:tc>
          <w:tcPr>
            <w:tcW w:w="7340" w:type="dxa"/>
            <w:vAlign w:val="bottom"/>
          </w:tcPr>
          <w:p>
            <w:pPr>
              <w:jc w:val="right"/>
              <w:spacing w:after="0"/>
              <w:rPr>
                <w:sz w:val="20"/>
                <w:szCs w:val="20"/>
                <w:color w:val="auto"/>
              </w:rPr>
            </w:pPr>
            <w:r>
              <w:rPr>
                <w:rFonts w:ascii="Arial" w:cs="Arial" w:eastAsia="Arial" w:hAnsi="Arial"/>
                <w:sz w:val="20"/>
                <w:szCs w:val="20"/>
                <w:color w:val="auto"/>
                <w:w w:val="96"/>
              </w:rPr>
              <w:t>Less: Interest . . . . . . . . . . . . . . . . . . . . . . . . . . . . . . . . . . . . . . . . . . . . . . . . . . . . . . . . .</w:t>
            </w:r>
          </w:p>
        </w:tc>
        <w:tc>
          <w:tcPr>
            <w:tcW w:w="20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(19)</w:t>
            </w:r>
          </w:p>
        </w:tc>
      </w:tr>
      <w:tr>
        <w:trPr>
          <w:trHeight w:val="28"/>
        </w:trPr>
        <w:tc>
          <w:tcPr>
            <w:tcW w:w="7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7340" w:type="dxa"/>
            <w:vAlign w:val="bottom"/>
          </w:tcPr>
          <w:p>
            <w:pPr>
              <w:jc w:val="right"/>
              <w:spacing w:after="0"/>
              <w:rPr>
                <w:sz w:val="20"/>
                <w:szCs w:val="20"/>
                <w:color w:val="auto"/>
              </w:rPr>
            </w:pPr>
            <w:r>
              <w:rPr>
                <w:rFonts w:ascii="Arial" w:cs="Arial" w:eastAsia="Arial" w:hAnsi="Arial"/>
                <w:sz w:val="20"/>
                <w:szCs w:val="20"/>
                <w:color w:val="auto"/>
              </w:rPr>
              <w:t>Present value of purchase obligations . . . . . . . . . . . . . . . . . . . . . . . . . . . . . . . . . . .</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580" w:type="dxa"/>
            <w:vAlign w:val="bottom"/>
          </w:tcPr>
          <w:p>
            <w:pPr>
              <w:jc w:val="right"/>
              <w:spacing w:after="0"/>
              <w:rPr>
                <w:sz w:val="20"/>
                <w:szCs w:val="20"/>
                <w:color w:val="auto"/>
              </w:rPr>
            </w:pPr>
            <w:r>
              <w:rPr>
                <w:rFonts w:ascii="Arial" w:cs="Arial" w:eastAsia="Arial" w:hAnsi="Arial"/>
                <w:sz w:val="20"/>
                <w:szCs w:val="20"/>
                <w:color w:val="auto"/>
              </w:rPr>
              <w:t>93</w:t>
            </w:r>
          </w:p>
        </w:tc>
        <w:tc>
          <w:tcPr>
            <w:tcW w:w="60" w:type="dxa"/>
            <w:vAlign w:val="bottom"/>
          </w:tcPr>
          <w:p>
            <w:pPr>
              <w:spacing w:after="0"/>
              <w:rPr>
                <w:sz w:val="23"/>
                <w:szCs w:val="23"/>
                <w:color w:val="auto"/>
              </w:rPr>
            </w:pPr>
          </w:p>
        </w:tc>
      </w:tr>
      <w:tr>
        <w:trPr>
          <w:trHeight w:val="28"/>
        </w:trPr>
        <w:tc>
          <w:tcPr>
            <w:tcW w:w="7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7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80"/>
          </w:cols>
          <w:pgMar w:left="1380" w:top="1310" w:right="132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122</w:t>
      </w:r>
    </w:p>
    <w:p>
      <w:pPr>
        <w:sectPr>
          <w:pgSz w:w="11880" w:h="15480" w:orient="portrait"/>
          <w:cols w:equalWidth="0" w:num="1">
            <w:col w:w="9180"/>
          </w:cols>
          <w:pgMar w:left="1380" w:top="1310" w:right="1320" w:bottom="661" w:gutter="0" w:footer="0" w:header="0"/>
          <w:type w:val="continuous"/>
        </w:sectPr>
      </w:pPr>
    </w:p>
    <w:bookmarkStart w:id="126" w:name="page127"/>
    <w:bookmarkEnd w:id="126"/>
    <w:p>
      <w:pPr>
        <w:spacing w:after="0"/>
        <w:tabs>
          <w:tab w:leader="none" w:pos="900" w:val="left"/>
        </w:tabs>
        <w:rPr>
          <w:sz w:val="20"/>
          <w:szCs w:val="20"/>
          <w:color w:val="auto"/>
        </w:rPr>
      </w:pPr>
      <w:r>
        <w:rPr>
          <w:rFonts w:ascii="Arial" w:cs="Arial" w:eastAsia="Arial" w:hAnsi="Arial"/>
          <w:sz w:val="20"/>
          <w:szCs w:val="20"/>
          <w:b w:val="1"/>
          <w:bCs w:val="1"/>
          <w:color w:val="auto"/>
        </w:rPr>
        <w:t>NOTE 7</w:t>
        <w:tab/>
        <w:t>DERIVATIVES</w:t>
      </w:r>
    </w:p>
    <w:p>
      <w:pPr>
        <w:spacing w:after="0" w:line="216"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We continue to maintain a commodity hedging program primarily focused on crude oil to help protect our cash flows, margins and capital program from the volatility of commodity prices. We did not have any commodity derivatives designated as accounting hedges as of and during the years ended December 31, 2022, 2021 and each of the periods in 2020</w:t>
      </w:r>
      <w:r>
        <w:rPr>
          <w:rFonts w:ascii="Arial" w:cs="Arial" w:eastAsia="Arial" w:hAnsi="Arial"/>
          <w:sz w:val="20"/>
          <w:szCs w:val="20"/>
          <w:i w:val="1"/>
          <w:iCs w:val="1"/>
          <w:color w:val="auto"/>
        </w:rPr>
        <w:t>.</w:t>
      </w:r>
      <w:r>
        <w:rPr>
          <w:rFonts w:ascii="Arial" w:cs="Arial" w:eastAsia="Arial" w:hAnsi="Arial"/>
          <w:sz w:val="20"/>
          <w:szCs w:val="20"/>
          <w:color w:val="auto"/>
        </w:rPr>
        <w:t xml:space="preserve"> Unless otherwise indicated, we use the term “hedge” to describe derivative instruments that are designed to achieve our hedging requirements and program goals, even though they are not accounted for as accounting hedges. Our Revolving Credit Facility includes covenants that require us to maintain a certain level of hedges. We have also entered into incremental hedges above and beyond these requirements and will continue to evaluate our hedging strategy based on prevailing market prices and conditions. For more information on the requirements of our Revolving Credit Facility, see </w:t>
      </w:r>
      <w:r>
        <w:rPr>
          <w:rFonts w:ascii="Arial" w:cs="Arial" w:eastAsia="Arial" w:hAnsi="Arial"/>
          <w:sz w:val="20"/>
          <w:szCs w:val="20"/>
          <w:i w:val="1"/>
          <w:iCs w:val="1"/>
          <w:color w:val="auto"/>
        </w:rPr>
        <w:t>Note 4 Debt.</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Commodity-Price Risk</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As part of our hedging program, we held the following Brent-based crude oil contracts as of</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2022:</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center"/>
              <w:ind w:right="60"/>
              <w:spacing w:after="0"/>
              <w:rPr>
                <w:sz w:val="20"/>
                <w:szCs w:val="20"/>
                <w:color w:val="auto"/>
              </w:rPr>
            </w:pPr>
            <w:r>
              <w:rPr>
                <w:rFonts w:ascii="Arial" w:cs="Arial" w:eastAsia="Arial" w:hAnsi="Arial"/>
                <w:sz w:val="20"/>
                <w:szCs w:val="20"/>
                <w:b w:val="1"/>
                <w:bCs w:val="1"/>
                <w:color w:val="auto"/>
                <w:w w:val="97"/>
              </w:rPr>
              <w:t>Q1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center"/>
              <w:ind w:right="60"/>
              <w:spacing w:after="0"/>
              <w:rPr>
                <w:sz w:val="20"/>
                <w:szCs w:val="20"/>
                <w:color w:val="auto"/>
              </w:rPr>
            </w:pPr>
            <w:r>
              <w:rPr>
                <w:rFonts w:ascii="Arial" w:cs="Arial" w:eastAsia="Arial" w:hAnsi="Arial"/>
                <w:sz w:val="20"/>
                <w:szCs w:val="20"/>
                <w:b w:val="1"/>
                <w:bCs w:val="1"/>
                <w:color w:val="auto"/>
                <w:w w:val="97"/>
              </w:rPr>
              <w:t>Q2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center"/>
              <w:ind w:right="60"/>
              <w:spacing w:after="0"/>
              <w:rPr>
                <w:sz w:val="20"/>
                <w:szCs w:val="20"/>
                <w:color w:val="auto"/>
              </w:rPr>
            </w:pPr>
            <w:r>
              <w:rPr>
                <w:rFonts w:ascii="Arial" w:cs="Arial" w:eastAsia="Arial" w:hAnsi="Arial"/>
                <w:sz w:val="20"/>
                <w:szCs w:val="20"/>
                <w:b w:val="1"/>
                <w:bCs w:val="1"/>
                <w:color w:val="auto"/>
                <w:w w:val="97"/>
              </w:rPr>
              <w:t>Q3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center"/>
              <w:ind w:right="40"/>
              <w:spacing w:after="0"/>
              <w:rPr>
                <w:sz w:val="20"/>
                <w:szCs w:val="20"/>
                <w:color w:val="auto"/>
              </w:rPr>
            </w:pPr>
            <w:r>
              <w:rPr>
                <w:rFonts w:ascii="Arial" w:cs="Arial" w:eastAsia="Arial" w:hAnsi="Arial"/>
                <w:sz w:val="20"/>
                <w:szCs w:val="20"/>
                <w:b w:val="1"/>
                <w:bCs w:val="1"/>
                <w:color w:val="auto"/>
              </w:rPr>
              <w:t>Q4</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48"/>
        </w:trPr>
        <w:tc>
          <w:tcPr>
            <w:tcW w:w="4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ind w:right="80"/>
              <w:spacing w:after="0"/>
              <w:rPr>
                <w:sz w:val="20"/>
                <w:szCs w:val="20"/>
                <w:color w:val="auto"/>
              </w:rPr>
            </w:pPr>
            <w:r>
              <w:rPr>
                <w:rFonts w:ascii="Arial" w:cs="Arial" w:eastAsia="Arial" w:hAnsi="Arial"/>
                <w:sz w:val="20"/>
                <w:szCs w:val="20"/>
                <w:b w:val="1"/>
                <w:bCs w:val="1"/>
                <w:color w:val="auto"/>
              </w:rPr>
              <w:t>2023</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ind w:right="80"/>
              <w:spacing w:after="0"/>
              <w:rPr>
                <w:sz w:val="20"/>
                <w:szCs w:val="20"/>
                <w:color w:val="auto"/>
              </w:rPr>
            </w:pPr>
            <w:r>
              <w:rPr>
                <w:rFonts w:ascii="Arial" w:cs="Arial" w:eastAsia="Arial" w:hAnsi="Arial"/>
                <w:sz w:val="20"/>
                <w:szCs w:val="20"/>
                <w:b w:val="1"/>
                <w:bCs w:val="1"/>
                <w:color w:val="auto"/>
              </w:rPr>
              <w:t>2023</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ind w:right="80"/>
              <w:spacing w:after="0"/>
              <w:rPr>
                <w:sz w:val="20"/>
                <w:szCs w:val="20"/>
                <w:color w:val="auto"/>
              </w:rPr>
            </w:pPr>
            <w:r>
              <w:rPr>
                <w:rFonts w:ascii="Arial" w:cs="Arial" w:eastAsia="Arial" w:hAnsi="Arial"/>
                <w:sz w:val="20"/>
                <w:szCs w:val="20"/>
                <w:b w:val="1"/>
                <w:bCs w:val="1"/>
                <w:color w:val="auto"/>
              </w:rPr>
              <w:t>2023</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ind w:right="80"/>
              <w:spacing w:after="0"/>
              <w:rPr>
                <w:sz w:val="20"/>
                <w:szCs w:val="20"/>
                <w:color w:val="auto"/>
              </w:rPr>
            </w:pPr>
            <w:r>
              <w:rPr>
                <w:rFonts w:ascii="Arial" w:cs="Arial" w:eastAsia="Arial" w:hAnsi="Arial"/>
                <w:sz w:val="20"/>
                <w:szCs w:val="20"/>
                <w:b w:val="1"/>
                <w:bCs w:val="1"/>
                <w:color w:val="auto"/>
              </w:rPr>
              <w:t>2023</w:t>
            </w:r>
          </w:p>
        </w:tc>
        <w:tc>
          <w:tcPr>
            <w:tcW w:w="760" w:type="dxa"/>
            <w:vAlign w:val="bottom"/>
            <w:gridSpan w:val="3"/>
          </w:tcPr>
          <w:p>
            <w:pPr>
              <w:jc w:val="right"/>
              <w:ind w:right="40"/>
              <w:spacing w:after="0"/>
              <w:rPr>
                <w:sz w:val="20"/>
                <w:szCs w:val="20"/>
                <w:color w:val="auto"/>
              </w:rPr>
            </w:pPr>
            <w:r>
              <w:rPr>
                <w:rFonts w:ascii="Arial" w:cs="Arial" w:eastAsia="Arial" w:hAnsi="Arial"/>
                <w:sz w:val="20"/>
                <w:szCs w:val="20"/>
                <w:b w:val="1"/>
                <w:bCs w:val="1"/>
                <w:color w:val="auto"/>
              </w:rPr>
              <w:t>2024</w:t>
            </w:r>
          </w:p>
        </w:tc>
      </w:tr>
      <w:tr>
        <w:trPr>
          <w:trHeight w:val="282"/>
        </w:trPr>
        <w:tc>
          <w:tcPr>
            <w:tcW w:w="4960" w:type="dxa"/>
            <w:vAlign w:val="bottom"/>
          </w:tcPr>
          <w:p>
            <w:pPr>
              <w:spacing w:after="0"/>
              <w:rPr>
                <w:sz w:val="20"/>
                <w:szCs w:val="20"/>
                <w:color w:val="auto"/>
              </w:rPr>
            </w:pPr>
            <w:r>
              <w:rPr>
                <w:rFonts w:ascii="Arial" w:cs="Arial" w:eastAsia="Arial" w:hAnsi="Arial"/>
                <w:sz w:val="20"/>
                <w:szCs w:val="20"/>
                <w:color w:val="auto"/>
              </w:rPr>
              <w:t>Sold Calls:</w:t>
            </w: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r>
      <w:tr>
        <w:trPr>
          <w:trHeight w:val="240"/>
        </w:trPr>
        <w:tc>
          <w:tcPr>
            <w:tcW w:w="4960" w:type="dxa"/>
            <w:vAlign w:val="bottom"/>
          </w:tcPr>
          <w:p>
            <w:pPr>
              <w:ind w:left="200"/>
              <w:spacing w:after="0"/>
              <w:rPr>
                <w:sz w:val="20"/>
                <w:szCs w:val="20"/>
                <w:color w:val="auto"/>
              </w:rPr>
            </w:pPr>
            <w:r>
              <w:rPr>
                <w:rFonts w:ascii="Arial" w:cs="Arial" w:eastAsia="Arial" w:hAnsi="Arial"/>
                <w:sz w:val="20"/>
                <w:szCs w:val="20"/>
                <w:color w:val="auto"/>
                <w:w w:val="98"/>
              </w:rPr>
              <w:t>Barrels per day . . . . . . . . . . . . . . . . . . . . . . . . . . . . . . .</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w w:val="98"/>
              </w:rPr>
              <w:t>18,322</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w w:val="98"/>
              </w:rPr>
              <w:t>17,837</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w w:val="98"/>
              </w:rPr>
              <w:t>17,363</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5,747</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40"/>
        </w:trPr>
        <w:tc>
          <w:tcPr>
            <w:tcW w:w="4960" w:type="dxa"/>
            <w:vAlign w:val="bottom"/>
          </w:tcPr>
          <w:p>
            <w:pPr>
              <w:ind w:left="200"/>
              <w:spacing w:after="0"/>
              <w:rPr>
                <w:sz w:val="20"/>
                <w:szCs w:val="20"/>
                <w:color w:val="auto"/>
              </w:rPr>
            </w:pPr>
            <w:r>
              <w:rPr>
                <w:rFonts w:ascii="Arial" w:cs="Arial" w:eastAsia="Arial" w:hAnsi="Arial"/>
                <w:sz w:val="20"/>
                <w:szCs w:val="20"/>
                <w:color w:val="auto"/>
              </w:rPr>
              <w:t>Weighted-average price per barrel . . . . . . . . . . . . . . .</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57.28</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60.00</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57.06</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57.06</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480"/>
        </w:trPr>
        <w:tc>
          <w:tcPr>
            <w:tcW w:w="4960" w:type="dxa"/>
            <w:vAlign w:val="bottom"/>
          </w:tcPr>
          <w:p>
            <w:pPr>
              <w:spacing w:after="0"/>
              <w:rPr>
                <w:sz w:val="20"/>
                <w:szCs w:val="20"/>
                <w:color w:val="auto"/>
              </w:rPr>
            </w:pPr>
            <w:r>
              <w:rPr>
                <w:rFonts w:ascii="Arial" w:cs="Arial" w:eastAsia="Arial" w:hAnsi="Arial"/>
                <w:sz w:val="20"/>
                <w:szCs w:val="20"/>
                <w:color w:val="auto"/>
              </w:rPr>
              <w:t>Swaps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0"/>
        </w:trPr>
        <w:tc>
          <w:tcPr>
            <w:tcW w:w="4960" w:type="dxa"/>
            <w:vAlign w:val="bottom"/>
          </w:tcPr>
          <w:p>
            <w:pPr>
              <w:ind w:left="200"/>
              <w:spacing w:after="0"/>
              <w:rPr>
                <w:sz w:val="20"/>
                <w:szCs w:val="20"/>
                <w:color w:val="auto"/>
              </w:rPr>
            </w:pPr>
            <w:r>
              <w:rPr>
                <w:rFonts w:ascii="Arial" w:cs="Arial" w:eastAsia="Arial" w:hAnsi="Arial"/>
                <w:sz w:val="20"/>
                <w:szCs w:val="20"/>
                <w:color w:val="auto"/>
                <w:w w:val="98"/>
              </w:rPr>
              <w:t>Barrels per day . . . . . . . . . . . . . . . . . . . . . . . . . . . . . . .</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w w:val="98"/>
              </w:rPr>
              <w:t>16,620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w w:val="98"/>
              </w:rPr>
              <w:t>16,475</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w w:val="98"/>
              </w:rPr>
              <w:t>16,697</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w w:val="98"/>
              </w:rPr>
              <w:t>26,094</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w w:val="95"/>
              </w:rPr>
              <w:t>1,492</w:t>
            </w:r>
          </w:p>
        </w:tc>
      </w:tr>
      <w:tr>
        <w:trPr>
          <w:trHeight w:val="240"/>
        </w:trPr>
        <w:tc>
          <w:tcPr>
            <w:tcW w:w="4960" w:type="dxa"/>
            <w:vAlign w:val="bottom"/>
          </w:tcPr>
          <w:p>
            <w:pPr>
              <w:ind w:left="200"/>
              <w:spacing w:after="0"/>
              <w:rPr>
                <w:sz w:val="20"/>
                <w:szCs w:val="20"/>
                <w:color w:val="auto"/>
              </w:rPr>
            </w:pPr>
            <w:r>
              <w:rPr>
                <w:rFonts w:ascii="Arial" w:cs="Arial" w:eastAsia="Arial" w:hAnsi="Arial"/>
                <w:sz w:val="20"/>
                <w:szCs w:val="20"/>
                <w:color w:val="auto"/>
              </w:rPr>
              <w:t>Weighted-average price per barrel . . . . . . . . . . . . . . .</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69.46</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68.53</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68.33</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70.18</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spacing w:after="0"/>
              <w:rPr>
                <w:sz w:val="20"/>
                <w:szCs w:val="20"/>
                <w:color w:val="auto"/>
              </w:rPr>
            </w:pPr>
            <w:r>
              <w:rPr>
                <w:rFonts w:ascii="Arial" w:cs="Arial" w:eastAsia="Arial" w:hAnsi="Arial"/>
                <w:sz w:val="20"/>
                <w:szCs w:val="20"/>
                <w:color w:val="auto"/>
                <w:w w:val="95"/>
              </w:rPr>
              <w:t>79.06</w:t>
            </w:r>
          </w:p>
        </w:tc>
      </w:tr>
      <w:tr>
        <w:trPr>
          <w:trHeight w:val="494"/>
        </w:trPr>
        <w:tc>
          <w:tcPr>
            <w:tcW w:w="4960" w:type="dxa"/>
            <w:vAlign w:val="bottom"/>
          </w:tcPr>
          <w:p>
            <w:pPr>
              <w:spacing w:after="0"/>
              <w:rPr>
                <w:sz w:val="20"/>
                <w:szCs w:val="20"/>
                <w:color w:val="auto"/>
              </w:rPr>
            </w:pPr>
            <w:r>
              <w:rPr>
                <w:rFonts w:ascii="Arial" w:cs="Arial" w:eastAsia="Arial" w:hAnsi="Arial"/>
                <w:sz w:val="20"/>
                <w:szCs w:val="20"/>
                <w:color w:val="auto"/>
              </w:rPr>
              <w:t>Net Purchased Puts</w:t>
            </w:r>
            <w:r>
              <w:rPr>
                <w:rFonts w:ascii="Arial" w:cs="Arial" w:eastAsia="Arial" w:hAnsi="Arial"/>
                <w:sz w:val="26"/>
                <w:szCs w:val="26"/>
                <w:color w:val="auto"/>
                <w:vertAlign w:val="superscript"/>
              </w:rPr>
              <w:t>(a)</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6"/>
        </w:trPr>
        <w:tc>
          <w:tcPr>
            <w:tcW w:w="4960" w:type="dxa"/>
            <w:vAlign w:val="bottom"/>
          </w:tcPr>
          <w:p>
            <w:pPr>
              <w:ind w:left="200"/>
              <w:spacing w:after="0" w:line="226" w:lineRule="exact"/>
              <w:rPr>
                <w:sz w:val="20"/>
                <w:szCs w:val="20"/>
                <w:color w:val="auto"/>
              </w:rPr>
            </w:pPr>
            <w:r>
              <w:rPr>
                <w:rFonts w:ascii="Arial" w:cs="Arial" w:eastAsia="Arial" w:hAnsi="Arial"/>
                <w:sz w:val="20"/>
                <w:szCs w:val="20"/>
                <w:color w:val="auto"/>
                <w:w w:val="98"/>
              </w:rPr>
              <w:t>Barrels per day . . . . . . . . . . . . . . . . . . . . . . . . . . . . . . .</w:t>
            </w:r>
          </w:p>
        </w:tc>
        <w:tc>
          <w:tcPr>
            <w:tcW w:w="160" w:type="dxa"/>
            <w:vAlign w:val="bottom"/>
          </w:tcPr>
          <w:p>
            <w:pPr>
              <w:spacing w:after="0"/>
              <w:rPr>
                <w:sz w:val="19"/>
                <w:szCs w:val="19"/>
                <w:color w:val="auto"/>
              </w:rPr>
            </w:pPr>
          </w:p>
        </w:tc>
        <w:tc>
          <w:tcPr>
            <w:tcW w:w="660" w:type="dxa"/>
            <w:vAlign w:val="bottom"/>
          </w:tcPr>
          <w:p>
            <w:pPr>
              <w:jc w:val="right"/>
              <w:spacing w:after="0" w:line="226" w:lineRule="exact"/>
              <w:rPr>
                <w:sz w:val="20"/>
                <w:szCs w:val="20"/>
                <w:color w:val="auto"/>
              </w:rPr>
            </w:pPr>
            <w:r>
              <w:rPr>
                <w:rFonts w:ascii="Arial" w:cs="Arial" w:eastAsia="Arial" w:hAnsi="Arial"/>
                <w:sz w:val="20"/>
                <w:szCs w:val="20"/>
                <w:color w:val="auto"/>
                <w:w w:val="98"/>
              </w:rPr>
              <w:t>18,322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line="226" w:lineRule="exact"/>
              <w:rPr>
                <w:sz w:val="20"/>
                <w:szCs w:val="20"/>
                <w:color w:val="auto"/>
              </w:rPr>
            </w:pPr>
            <w:r>
              <w:rPr>
                <w:rFonts w:ascii="Arial" w:cs="Arial" w:eastAsia="Arial" w:hAnsi="Arial"/>
                <w:sz w:val="20"/>
                <w:szCs w:val="20"/>
                <w:color w:val="auto"/>
                <w:w w:val="98"/>
              </w:rPr>
              <w:t>17,837</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line="226" w:lineRule="exact"/>
              <w:rPr>
                <w:sz w:val="20"/>
                <w:szCs w:val="20"/>
                <w:color w:val="auto"/>
              </w:rPr>
            </w:pPr>
            <w:r>
              <w:rPr>
                <w:rFonts w:ascii="Arial" w:cs="Arial" w:eastAsia="Arial" w:hAnsi="Arial"/>
                <w:sz w:val="20"/>
                <w:szCs w:val="20"/>
                <w:color w:val="auto"/>
                <w:w w:val="98"/>
              </w:rPr>
              <w:t>17,363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line="226" w:lineRule="exact"/>
              <w:rPr>
                <w:sz w:val="20"/>
                <w:szCs w:val="20"/>
                <w:color w:val="auto"/>
              </w:rPr>
            </w:pPr>
            <w:r>
              <w:rPr>
                <w:rFonts w:ascii="Arial" w:cs="Arial" w:eastAsia="Arial" w:hAnsi="Arial"/>
                <w:sz w:val="20"/>
                <w:szCs w:val="20"/>
                <w:color w:val="auto"/>
              </w:rPr>
              <w:t>5,747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line="226" w:lineRule="exact"/>
              <w:rPr>
                <w:sz w:val="20"/>
                <w:szCs w:val="20"/>
                <w:color w:val="auto"/>
              </w:rPr>
            </w:pPr>
            <w:r>
              <w:rPr>
                <w:rFonts w:ascii="Arial" w:cs="Arial" w:eastAsia="Arial" w:hAnsi="Arial"/>
                <w:sz w:val="20"/>
                <w:szCs w:val="20"/>
                <w:color w:val="auto"/>
                <w:w w:val="95"/>
              </w:rPr>
              <w:t>1,724</w:t>
            </w:r>
          </w:p>
        </w:tc>
      </w:tr>
      <w:tr>
        <w:trPr>
          <w:trHeight w:val="240"/>
        </w:trPr>
        <w:tc>
          <w:tcPr>
            <w:tcW w:w="4960" w:type="dxa"/>
            <w:vAlign w:val="bottom"/>
          </w:tcPr>
          <w:p>
            <w:pPr>
              <w:ind w:left="200"/>
              <w:spacing w:after="0"/>
              <w:rPr>
                <w:sz w:val="20"/>
                <w:szCs w:val="20"/>
                <w:color w:val="auto"/>
              </w:rPr>
            </w:pPr>
            <w:r>
              <w:rPr>
                <w:rFonts w:ascii="Arial" w:cs="Arial" w:eastAsia="Arial" w:hAnsi="Arial"/>
                <w:sz w:val="20"/>
                <w:szCs w:val="20"/>
                <w:color w:val="auto"/>
              </w:rPr>
              <w:t>Weighted-average price per barrel . . . . . . . . . . . . . . .</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76.25</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76.25</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76.25</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76.25</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spacing w:after="0"/>
              <w:rPr>
                <w:sz w:val="20"/>
                <w:szCs w:val="20"/>
                <w:color w:val="auto"/>
              </w:rPr>
            </w:pPr>
            <w:r>
              <w:rPr>
                <w:rFonts w:ascii="Arial" w:cs="Arial" w:eastAsia="Arial" w:hAnsi="Arial"/>
                <w:sz w:val="20"/>
                <w:szCs w:val="20"/>
                <w:color w:val="auto"/>
                <w:w w:val="95"/>
              </w:rPr>
              <w:t>75.00</w:t>
            </w:r>
          </w:p>
        </w:tc>
      </w:tr>
    </w:tbl>
    <w:p>
      <w:pPr>
        <w:spacing w:after="0" w:line="46"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5"/>
          <w:szCs w:val="15"/>
          <w:color w:val="auto"/>
        </w:rPr>
        <w:t>Purchased puts and sold puts with the same strike price have been presented on a net basis.</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The outcomes of the derivative positions are as follows:</w:t>
      </w:r>
    </w:p>
    <w:p>
      <w:pPr>
        <w:spacing w:after="0" w:line="214" w:lineRule="exact"/>
        <w:rPr>
          <w:sz w:val="20"/>
          <w:szCs w:val="20"/>
          <w:color w:val="auto"/>
        </w:rPr>
      </w:pPr>
    </w:p>
    <w:p>
      <w:pPr>
        <w:ind w:left="800" w:right="220" w:hanging="400"/>
        <w:spacing w:after="0" w:line="245" w:lineRule="auto"/>
        <w:tabs>
          <w:tab w:leader="none" w:pos="800" w:val="left"/>
        </w:tabs>
        <w:numPr>
          <w:ilvl w:val="0"/>
          <w:numId w:val="53"/>
        </w:numPr>
        <w:rPr>
          <w:rFonts w:ascii="Arial" w:cs="Arial" w:eastAsia="Arial" w:hAnsi="Arial"/>
          <w:sz w:val="20"/>
          <w:szCs w:val="20"/>
          <w:color w:val="auto"/>
        </w:rPr>
      </w:pPr>
      <w:r>
        <w:rPr>
          <w:rFonts w:ascii="Arial" w:cs="Arial" w:eastAsia="Arial" w:hAnsi="Arial"/>
          <w:sz w:val="20"/>
          <w:szCs w:val="20"/>
          <w:color w:val="auto"/>
        </w:rPr>
        <w:t>Sold calls – we make settlement payments for prices above the indicated weighted-average price per barrel.</w:t>
      </w:r>
    </w:p>
    <w:p>
      <w:pPr>
        <w:spacing w:after="0" w:line="10" w:lineRule="exact"/>
        <w:rPr>
          <w:rFonts w:ascii="Arial" w:cs="Arial" w:eastAsia="Arial" w:hAnsi="Arial"/>
          <w:sz w:val="20"/>
          <w:szCs w:val="20"/>
          <w:color w:val="auto"/>
        </w:rPr>
      </w:pPr>
    </w:p>
    <w:p>
      <w:pPr>
        <w:ind w:left="800" w:right="860" w:hanging="400"/>
        <w:spacing w:after="0" w:line="245" w:lineRule="auto"/>
        <w:tabs>
          <w:tab w:leader="none" w:pos="800" w:val="left"/>
        </w:tabs>
        <w:numPr>
          <w:ilvl w:val="0"/>
          <w:numId w:val="53"/>
        </w:numPr>
        <w:rPr>
          <w:rFonts w:ascii="Arial" w:cs="Arial" w:eastAsia="Arial" w:hAnsi="Arial"/>
          <w:sz w:val="20"/>
          <w:szCs w:val="20"/>
          <w:color w:val="auto"/>
        </w:rPr>
      </w:pPr>
      <w:r>
        <w:rPr>
          <w:rFonts w:ascii="Arial" w:cs="Arial" w:eastAsia="Arial" w:hAnsi="Arial"/>
          <w:sz w:val="20"/>
          <w:szCs w:val="20"/>
          <w:color w:val="auto"/>
        </w:rPr>
        <w:t>Net purchased puts – we receive settlement payments for prices below the indicated weighted-average price per barrel.</w:t>
      </w:r>
    </w:p>
    <w:p>
      <w:pPr>
        <w:spacing w:after="0" w:line="10" w:lineRule="exact"/>
        <w:rPr>
          <w:rFonts w:ascii="Arial" w:cs="Arial" w:eastAsia="Arial" w:hAnsi="Arial"/>
          <w:sz w:val="20"/>
          <w:szCs w:val="20"/>
          <w:color w:val="auto"/>
        </w:rPr>
      </w:pPr>
    </w:p>
    <w:p>
      <w:pPr>
        <w:ind w:left="800" w:right="420" w:hanging="400"/>
        <w:spacing w:after="0" w:line="248" w:lineRule="auto"/>
        <w:tabs>
          <w:tab w:leader="none" w:pos="800" w:val="left"/>
        </w:tabs>
        <w:numPr>
          <w:ilvl w:val="0"/>
          <w:numId w:val="53"/>
        </w:numPr>
        <w:rPr>
          <w:rFonts w:ascii="Arial" w:cs="Arial" w:eastAsia="Arial" w:hAnsi="Arial"/>
          <w:sz w:val="20"/>
          <w:szCs w:val="20"/>
          <w:color w:val="auto"/>
        </w:rPr>
      </w:pPr>
      <w:r>
        <w:rPr>
          <w:rFonts w:ascii="Arial" w:cs="Arial" w:eastAsia="Arial" w:hAnsi="Arial"/>
          <w:sz w:val="20"/>
          <w:szCs w:val="20"/>
          <w:color w:val="auto"/>
        </w:rPr>
        <w:t>Swaps – we make settlement payments for prices above the indicated weighted-average price per barrel and receive settlement payments for prices below the indicated weighted-average price per barrel.</w:t>
      </w:r>
    </w:p>
    <w:p>
      <w:pPr>
        <w:spacing w:after="0" w:line="207" w:lineRule="exact"/>
        <w:rPr>
          <w:sz w:val="20"/>
          <w:szCs w:val="20"/>
          <w:color w:val="auto"/>
        </w:rPr>
      </w:pPr>
    </w:p>
    <w:p>
      <w:pPr>
        <w:ind w:right="240" w:firstLine="300"/>
        <w:spacing w:after="0" w:line="248" w:lineRule="auto"/>
        <w:rPr>
          <w:sz w:val="20"/>
          <w:szCs w:val="20"/>
          <w:color w:val="auto"/>
        </w:rPr>
      </w:pPr>
      <w:r>
        <w:rPr>
          <w:rFonts w:ascii="Arial" w:cs="Arial" w:eastAsia="Arial" w:hAnsi="Arial"/>
          <w:sz w:val="20"/>
          <w:szCs w:val="20"/>
          <w:color w:val="auto"/>
        </w:rPr>
        <w:t>We use combinations of these positions to meet the requirements of our Revolving Credit Facility and to increase the efficacy of our hedging program. At December 31, 2022, we had derivative contracts for an insignificant amount of natural gas volumes.</w:t>
      </w:r>
    </w:p>
    <w:p>
      <w:pPr>
        <w:sectPr>
          <w:pgSz w:w="11880" w:h="15480" w:orient="portrait"/>
          <w:cols w:equalWidth="0" w:num="1">
            <w:col w:w="9120"/>
          </w:cols>
          <w:pgMar w:left="1380" w:top="1310" w:right="138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123</w:t>
      </w:r>
    </w:p>
    <w:p>
      <w:pPr>
        <w:sectPr>
          <w:pgSz w:w="11880" w:h="15480" w:orient="portrait"/>
          <w:cols w:equalWidth="0" w:num="1">
            <w:col w:w="9120"/>
          </w:cols>
          <w:pgMar w:left="1380" w:top="1310" w:right="1380" w:bottom="661" w:gutter="0" w:footer="0" w:header="0"/>
          <w:type w:val="continuous"/>
        </w:sectPr>
      </w:pPr>
    </w:p>
    <w:bookmarkStart w:id="127" w:name="page128"/>
    <w:bookmarkEnd w:id="127"/>
    <w:p>
      <w:pPr>
        <w:ind w:right="60" w:firstLine="300"/>
        <w:spacing w:after="0" w:line="248" w:lineRule="auto"/>
        <w:rPr>
          <w:sz w:val="20"/>
          <w:szCs w:val="20"/>
          <w:color w:val="auto"/>
        </w:rPr>
      </w:pPr>
      <w:r>
        <w:rPr>
          <w:rFonts w:ascii="Arial" w:cs="Arial" w:eastAsia="Arial" w:hAnsi="Arial"/>
          <w:sz w:val="20"/>
          <w:szCs w:val="20"/>
          <w:color w:val="auto"/>
        </w:rPr>
        <w:t>Derivative instruments not designated as hedging instruments are required to be recorded on the balance sheet at fair value. Noncash derivative gains and losses, along with settlement payments, are reported in net (loss) gain from commodity derivatives on our consolidated statements of operations as shown in the table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5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20"/>
                <w:szCs w:val="20"/>
                <w:b w:val="1"/>
                <w:bCs w:val="1"/>
                <w:color w:val="auto"/>
              </w:rPr>
              <w:t>Successor</w:t>
            </w:r>
          </w:p>
        </w:tc>
        <w:tc>
          <w:tcPr>
            <w:tcW w:w="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20"/>
                <w:szCs w:val="20"/>
                <w:b w:val="1"/>
                <w:bCs w:val="1"/>
                <w:color w:val="auto"/>
                <w:w w:val="99"/>
              </w:rPr>
              <w:t>Predecessor</w:t>
            </w:r>
          </w:p>
        </w:tc>
        <w:tc>
          <w:tcPr>
            <w:tcW w:w="0" w:type="dxa"/>
            <w:vAlign w:val="bottom"/>
          </w:tcPr>
          <w:p>
            <w:pPr>
              <w:spacing w:after="0"/>
              <w:rPr>
                <w:sz w:val="1"/>
                <w:szCs w:val="1"/>
                <w:color w:val="auto"/>
              </w:rPr>
            </w:pPr>
          </w:p>
        </w:tc>
      </w:tr>
      <w:tr>
        <w:trPr>
          <w:trHeight w:val="212"/>
        </w:trPr>
        <w:tc>
          <w:tcPr>
            <w:tcW w:w="2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3"/>
          </w:tcPr>
          <w:p>
            <w:pPr>
              <w:jc w:val="center"/>
              <w:ind w:right="40"/>
              <w:spacing w:after="0" w:line="212" w:lineRule="exact"/>
              <w:rPr>
                <w:sz w:val="20"/>
                <w:szCs w:val="20"/>
                <w:color w:val="auto"/>
              </w:rPr>
            </w:pPr>
            <w:r>
              <w:rPr>
                <w:rFonts w:ascii="Arial" w:cs="Arial" w:eastAsia="Arial" w:hAnsi="Arial"/>
                <w:sz w:val="20"/>
                <w:szCs w:val="20"/>
                <w:b w:val="1"/>
                <w:bCs w:val="1"/>
                <w:color w:val="auto"/>
              </w:rPr>
              <w:t>Year ended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60"/>
              <w:spacing w:after="0" w:line="212" w:lineRule="exact"/>
              <w:rPr>
                <w:sz w:val="20"/>
                <w:szCs w:val="20"/>
                <w:color w:val="auto"/>
              </w:rPr>
            </w:pPr>
            <w:r>
              <w:rPr>
                <w:rFonts w:ascii="Arial" w:cs="Arial" w:eastAsia="Arial" w:hAnsi="Arial"/>
                <w:sz w:val="20"/>
                <w:szCs w:val="20"/>
                <w:b w:val="1"/>
                <w:bCs w:val="1"/>
                <w:color w:val="auto"/>
              </w:rPr>
              <w:t>Year ended</w:t>
            </w:r>
          </w:p>
        </w:tc>
        <w:tc>
          <w:tcPr>
            <w:tcW w:w="1920" w:type="dxa"/>
            <w:vAlign w:val="bottom"/>
            <w:tcBorders>
              <w:right w:val="single" w:sz="8" w:color="auto"/>
            </w:tcBorders>
            <w:gridSpan w:val="5"/>
            <w:vMerge w:val="restart"/>
          </w:tcPr>
          <w:p>
            <w:pPr>
              <w:spacing w:after="0"/>
              <w:rPr>
                <w:sz w:val="20"/>
                <w:szCs w:val="20"/>
                <w:color w:val="auto"/>
              </w:rPr>
            </w:pPr>
            <w:r>
              <w:rPr>
                <w:rFonts w:ascii="Arial" w:cs="Arial" w:eastAsia="Arial" w:hAnsi="Arial"/>
                <w:sz w:val="20"/>
                <w:szCs w:val="20"/>
                <w:b w:val="1"/>
                <w:bCs w:val="1"/>
                <w:color w:val="auto"/>
              </w:rPr>
              <w:t>November 1, 2020 -</w:t>
            </w:r>
          </w:p>
        </w:tc>
        <w:tc>
          <w:tcPr>
            <w:tcW w:w="20" w:type="dxa"/>
            <w:vAlign w:val="bottom"/>
          </w:tcPr>
          <w:p>
            <w:pPr>
              <w:spacing w:after="0"/>
              <w:rPr>
                <w:sz w:val="18"/>
                <w:szCs w:val="18"/>
                <w:color w:val="auto"/>
              </w:rPr>
            </w:pPr>
          </w:p>
        </w:tc>
        <w:tc>
          <w:tcPr>
            <w:tcW w:w="1620" w:type="dxa"/>
            <w:vAlign w:val="bottom"/>
            <w:gridSpan w:val="4"/>
            <w:vMerge w:val="restart"/>
          </w:tcPr>
          <w:p>
            <w:pPr>
              <w:jc w:val="center"/>
              <w:spacing w:after="0"/>
              <w:rPr>
                <w:sz w:val="20"/>
                <w:szCs w:val="20"/>
                <w:color w:val="auto"/>
              </w:rPr>
            </w:pPr>
            <w:r>
              <w:rPr>
                <w:rFonts w:ascii="Arial" w:cs="Arial" w:eastAsia="Arial" w:hAnsi="Arial"/>
                <w:sz w:val="20"/>
                <w:szCs w:val="20"/>
                <w:b w:val="1"/>
                <w:bCs w:val="1"/>
                <w:color w:val="auto"/>
              </w:rPr>
              <w:t>January 1, 2020 -</w:t>
            </w:r>
          </w:p>
        </w:tc>
        <w:tc>
          <w:tcPr>
            <w:tcW w:w="0" w:type="dxa"/>
            <w:vAlign w:val="bottom"/>
          </w:tcPr>
          <w:p>
            <w:pPr>
              <w:spacing w:after="0"/>
              <w:rPr>
                <w:sz w:val="1"/>
                <w:szCs w:val="1"/>
                <w:color w:val="auto"/>
              </w:rPr>
            </w:pPr>
          </w:p>
        </w:tc>
      </w:tr>
      <w:tr>
        <w:trPr>
          <w:trHeight w:val="188"/>
        </w:trPr>
        <w:tc>
          <w:tcPr>
            <w:tcW w:w="2560" w:type="dxa"/>
            <w:vAlign w:val="bottom"/>
          </w:tcPr>
          <w:p>
            <w:pPr>
              <w:spacing w:after="0"/>
              <w:rPr>
                <w:sz w:val="16"/>
                <w:szCs w:val="16"/>
                <w:color w:val="auto"/>
              </w:rPr>
            </w:pPr>
          </w:p>
        </w:tc>
        <w:tc>
          <w:tcPr>
            <w:tcW w:w="1360" w:type="dxa"/>
            <w:vAlign w:val="bottom"/>
            <w:gridSpan w:val="4"/>
          </w:tcPr>
          <w:p>
            <w:pPr>
              <w:jc w:val="center"/>
              <w:spacing w:after="0" w:line="187" w:lineRule="exact"/>
              <w:rPr>
                <w:sz w:val="20"/>
                <w:szCs w:val="20"/>
                <w:color w:val="auto"/>
              </w:rPr>
            </w:pPr>
            <w:r>
              <w:rPr>
                <w:rFonts w:ascii="Arial" w:cs="Arial" w:eastAsia="Arial" w:hAnsi="Arial"/>
                <w:sz w:val="20"/>
                <w:szCs w:val="20"/>
                <w:b w:val="1"/>
                <w:bCs w:val="1"/>
                <w:color w:val="auto"/>
                <w:w w:val="99"/>
              </w:rPr>
              <w:t>December 31,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180"/>
              <w:spacing w:after="0" w:line="187" w:lineRule="exact"/>
              <w:rPr>
                <w:sz w:val="20"/>
                <w:szCs w:val="20"/>
                <w:color w:val="auto"/>
              </w:rPr>
            </w:pPr>
            <w:r>
              <w:rPr>
                <w:rFonts w:ascii="Arial" w:cs="Arial" w:eastAsia="Arial" w:hAnsi="Arial"/>
                <w:sz w:val="20"/>
                <w:szCs w:val="20"/>
                <w:b w:val="1"/>
                <w:bCs w:val="1"/>
                <w:color w:val="auto"/>
                <w:w w:val="99"/>
              </w:rPr>
              <w:t>December 31,</w:t>
            </w:r>
          </w:p>
        </w:tc>
        <w:tc>
          <w:tcPr>
            <w:tcW w:w="1920" w:type="dxa"/>
            <w:vAlign w:val="bottom"/>
            <w:tcBorders>
              <w:right w:val="single" w:sz="8" w:color="auto"/>
            </w:tcBorders>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560" w:type="dxa"/>
            <w:vAlign w:val="bottom"/>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920" w:type="dxa"/>
            <w:vAlign w:val="bottom"/>
            <w:tcBorders>
              <w:right w:val="single" w:sz="8" w:color="auto"/>
            </w:tcBorders>
            <w:gridSpan w:val="5"/>
            <w:vMerge w:val="restart"/>
          </w:tcPr>
          <w:p>
            <w:pPr>
              <w:spacing w:after="0"/>
              <w:rPr>
                <w:sz w:val="20"/>
                <w:szCs w:val="20"/>
                <w:color w:val="auto"/>
              </w:rPr>
            </w:pPr>
            <w:r>
              <w:rPr>
                <w:rFonts w:ascii="Arial" w:cs="Arial" w:eastAsia="Arial" w:hAnsi="Arial"/>
                <w:sz w:val="20"/>
                <w:szCs w:val="20"/>
                <w:b w:val="1"/>
                <w:bCs w:val="1"/>
                <w:color w:val="auto"/>
              </w:rPr>
              <w:t>December 31, 2020</w:t>
            </w:r>
          </w:p>
        </w:tc>
        <w:tc>
          <w:tcPr>
            <w:tcW w:w="20" w:type="dxa"/>
            <w:vAlign w:val="bottom"/>
          </w:tcPr>
          <w:p>
            <w:pPr>
              <w:spacing w:after="0"/>
              <w:rPr>
                <w:sz w:val="5"/>
                <w:szCs w:val="5"/>
                <w:color w:val="auto"/>
              </w:rPr>
            </w:pPr>
          </w:p>
        </w:tc>
        <w:tc>
          <w:tcPr>
            <w:tcW w:w="1620" w:type="dxa"/>
            <w:vAlign w:val="bottom"/>
            <w:gridSpan w:val="4"/>
            <w:vMerge w:val="restart"/>
          </w:tcPr>
          <w:p>
            <w:pPr>
              <w:jc w:val="center"/>
              <w:spacing w:after="0"/>
              <w:rPr>
                <w:sz w:val="20"/>
                <w:szCs w:val="20"/>
                <w:color w:val="auto"/>
              </w:rPr>
            </w:pPr>
            <w:r>
              <w:rPr>
                <w:rFonts w:ascii="Arial" w:cs="Arial" w:eastAsia="Arial" w:hAnsi="Arial"/>
                <w:sz w:val="20"/>
                <w:szCs w:val="20"/>
                <w:b w:val="1"/>
                <w:bCs w:val="1"/>
                <w:color w:val="auto"/>
                <w:w w:val="99"/>
              </w:rPr>
              <w:t>October 31, 2020</w:t>
            </w:r>
          </w:p>
        </w:tc>
        <w:tc>
          <w:tcPr>
            <w:tcW w:w="0" w:type="dxa"/>
            <w:vAlign w:val="bottom"/>
          </w:tcPr>
          <w:p>
            <w:pPr>
              <w:spacing w:after="0"/>
              <w:rPr>
                <w:sz w:val="1"/>
                <w:szCs w:val="1"/>
                <w:color w:val="auto"/>
              </w:rPr>
            </w:pPr>
          </w:p>
        </w:tc>
      </w:tr>
      <w:tr>
        <w:trPr>
          <w:trHeight w:val="150"/>
        </w:trPr>
        <w:tc>
          <w:tcPr>
            <w:tcW w:w="2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vMerge w:val="restart"/>
          </w:tcPr>
          <w:p>
            <w:pPr>
              <w:jc w:val="center"/>
              <w:ind w:right="180"/>
              <w:spacing w:after="0"/>
              <w:rPr>
                <w:sz w:val="20"/>
                <w:szCs w:val="20"/>
                <w:color w:val="auto"/>
              </w:rPr>
            </w:pPr>
            <w:r>
              <w:rPr>
                <w:rFonts w:ascii="Arial" w:cs="Arial" w:eastAsia="Arial" w:hAnsi="Arial"/>
                <w:sz w:val="20"/>
                <w:szCs w:val="20"/>
                <w:b w:val="1"/>
                <w:bCs w:val="1"/>
                <w:color w:val="auto"/>
                <w:w w:val="98"/>
              </w:rPr>
              <w:t>2022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vMerge w:val="restart"/>
          </w:tcPr>
          <w:p>
            <w:pPr>
              <w:jc w:val="center"/>
              <w:ind w:right="20"/>
              <w:spacing w:after="0"/>
              <w:rPr>
                <w:sz w:val="20"/>
                <w:szCs w:val="20"/>
                <w:color w:val="auto"/>
              </w:rPr>
            </w:pPr>
            <w:r>
              <w:rPr>
                <w:rFonts w:ascii="Arial" w:cs="Arial" w:eastAsia="Arial" w:hAnsi="Arial"/>
                <w:sz w:val="20"/>
                <w:szCs w:val="20"/>
                <w:b w:val="1"/>
                <w:bCs w:val="1"/>
                <w:color w:val="auto"/>
                <w:w w:val="98"/>
              </w:rPr>
              <w:t>2021</w:t>
            </w:r>
          </w:p>
        </w:tc>
        <w:tc>
          <w:tcPr>
            <w:tcW w:w="40" w:type="dxa"/>
            <w:vAlign w:val="bottom"/>
          </w:tcPr>
          <w:p>
            <w:pPr>
              <w:spacing w:after="0"/>
              <w:rPr>
                <w:sz w:val="13"/>
                <w:szCs w:val="13"/>
                <w:color w:val="auto"/>
              </w:rPr>
            </w:pPr>
          </w:p>
        </w:tc>
        <w:tc>
          <w:tcPr>
            <w:tcW w:w="1920" w:type="dxa"/>
            <w:vAlign w:val="bottom"/>
            <w:tcBorders>
              <w:right w:val="single" w:sz="8" w:color="auto"/>
            </w:tcBorders>
            <w:gridSpan w:val="5"/>
            <w:vMerge w:val="continue"/>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56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vMerge w:val="continue"/>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2880" w:type="dxa"/>
            <w:vAlign w:val="bottom"/>
            <w:gridSpan w:val="3"/>
          </w:tcPr>
          <w:p>
            <w:pPr>
              <w:spacing w:after="0"/>
              <w:rPr>
                <w:sz w:val="20"/>
                <w:szCs w:val="20"/>
                <w:color w:val="auto"/>
              </w:rPr>
            </w:pPr>
            <w:r>
              <w:rPr>
                <w:rFonts w:ascii="Arial" w:cs="Arial" w:eastAsia="Arial" w:hAnsi="Arial"/>
                <w:sz w:val="16"/>
                <w:szCs w:val="16"/>
                <w:b w:val="1"/>
                <w:bCs w:val="1"/>
                <w:color w:val="auto"/>
              </w:rPr>
              <w:t>(in millions)</w:t>
            </w: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80" w:type="dxa"/>
            <w:vAlign w:val="bottom"/>
            <w:gridSpan w:val="3"/>
          </w:tcPr>
          <w:p>
            <w:pPr>
              <w:spacing w:after="0" w:line="216" w:lineRule="exact"/>
              <w:rPr>
                <w:sz w:val="20"/>
                <w:szCs w:val="20"/>
                <w:color w:val="auto"/>
              </w:rPr>
            </w:pPr>
            <w:r>
              <w:rPr>
                <w:rFonts w:ascii="Arial" w:cs="Arial" w:eastAsia="Arial" w:hAnsi="Arial"/>
                <w:sz w:val="20"/>
                <w:szCs w:val="20"/>
                <w:color w:val="auto"/>
              </w:rPr>
              <w:t>Non-cash commodity</w:t>
            </w: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3"/>
          </w:tcPr>
          <w:p>
            <w:pPr>
              <w:spacing w:after="0" w:line="216" w:lineRule="exact"/>
              <w:rPr>
                <w:sz w:val="20"/>
                <w:szCs w:val="20"/>
                <w:color w:val="auto"/>
              </w:rPr>
            </w:pPr>
            <w:r>
              <w:rPr>
                <w:rFonts w:ascii="Arial" w:cs="Arial" w:eastAsia="Arial" w:hAnsi="Arial"/>
                <w:sz w:val="20"/>
                <w:szCs w:val="20"/>
                <w:color w:val="auto"/>
              </w:rPr>
              <w:t>derivative gain (loss),</w:t>
            </w: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3"/>
          </w:tcPr>
          <w:p>
            <w:pPr>
              <w:spacing w:after="0" w:line="216" w:lineRule="exact"/>
              <w:rPr>
                <w:sz w:val="20"/>
                <w:szCs w:val="20"/>
                <w:color w:val="auto"/>
              </w:rPr>
            </w:pPr>
            <w:r>
              <w:rPr>
                <w:rFonts w:ascii="Arial" w:cs="Arial" w:eastAsia="Arial" w:hAnsi="Arial"/>
                <w:sz w:val="20"/>
                <w:szCs w:val="20"/>
                <w:color w:val="auto"/>
              </w:rPr>
              <w:t>excluding noncontrolling</w:t>
            </w: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3"/>
          </w:tcPr>
          <w:p>
            <w:pPr>
              <w:spacing w:after="0" w:line="216" w:lineRule="exact"/>
              <w:rPr>
                <w:sz w:val="20"/>
                <w:szCs w:val="20"/>
                <w:color w:val="auto"/>
              </w:rPr>
            </w:pPr>
            <w:r>
              <w:rPr>
                <w:rFonts w:ascii="Arial" w:cs="Arial" w:eastAsia="Arial" w:hAnsi="Arial"/>
                <w:sz w:val="20"/>
                <w:szCs w:val="20"/>
                <w:color w:val="auto"/>
              </w:rPr>
              <w:t>interest  . . . . . . . . . . . . . . . . . $</w:t>
            </w:r>
          </w:p>
        </w:tc>
        <w:tc>
          <w:tcPr>
            <w:tcW w:w="1000" w:type="dxa"/>
            <w:vAlign w:val="bottom"/>
          </w:tcPr>
          <w:p>
            <w:pPr>
              <w:jc w:val="right"/>
              <w:spacing w:after="0" w:line="216" w:lineRule="exact"/>
              <w:rPr>
                <w:sz w:val="20"/>
                <w:szCs w:val="20"/>
                <w:color w:val="auto"/>
              </w:rPr>
            </w:pPr>
            <w:r>
              <w:rPr>
                <w:rFonts w:ascii="Arial" w:cs="Arial" w:eastAsia="Arial" w:hAnsi="Arial"/>
                <w:sz w:val="20"/>
                <w:szCs w:val="20"/>
                <w:color w:val="auto"/>
              </w:rPr>
              <w:t>187</w:t>
            </w:r>
          </w:p>
        </w:tc>
        <w:tc>
          <w:tcPr>
            <w:tcW w:w="40" w:type="dxa"/>
            <w:vAlign w:val="bottom"/>
          </w:tcPr>
          <w:p>
            <w:pPr>
              <w:spacing w:after="0"/>
              <w:rPr>
                <w:sz w:val="18"/>
                <w:szCs w:val="18"/>
                <w:color w:val="auto"/>
              </w:rPr>
            </w:pPr>
          </w:p>
        </w:tc>
        <w:tc>
          <w:tcPr>
            <w:tcW w:w="16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w:t>
            </w:r>
          </w:p>
        </w:tc>
        <w:tc>
          <w:tcPr>
            <w:tcW w:w="1480" w:type="dxa"/>
            <w:vAlign w:val="bottom"/>
            <w:gridSpan w:val="2"/>
          </w:tcPr>
          <w:p>
            <w:pPr>
              <w:jc w:val="right"/>
              <w:ind w:right="20"/>
              <w:spacing w:after="0" w:line="216" w:lineRule="exact"/>
              <w:rPr>
                <w:sz w:val="20"/>
                <w:szCs w:val="20"/>
                <w:color w:val="auto"/>
              </w:rPr>
            </w:pPr>
            <w:r>
              <w:rPr>
                <w:rFonts w:ascii="Arial" w:cs="Arial" w:eastAsia="Arial" w:hAnsi="Arial"/>
                <w:sz w:val="20"/>
                <w:szCs w:val="20"/>
                <w:color w:val="auto"/>
              </w:rPr>
              <w:t>(357)</w:t>
            </w:r>
          </w:p>
        </w:tc>
        <w:tc>
          <w:tcPr>
            <w:tcW w:w="760" w:type="dxa"/>
            <w:vAlign w:val="bottom"/>
            <w:gridSpan w:val="2"/>
          </w:tcPr>
          <w:p>
            <w:pPr>
              <w:jc w:val="right"/>
              <w:ind w:right="580"/>
              <w:spacing w:after="0" w:line="216" w:lineRule="exact"/>
              <w:rPr>
                <w:sz w:val="20"/>
                <w:szCs w:val="20"/>
                <w:color w:val="auto"/>
              </w:rPr>
            </w:pPr>
            <w:r>
              <w:rPr>
                <w:rFonts w:ascii="Arial" w:cs="Arial" w:eastAsia="Arial" w:hAnsi="Arial"/>
                <w:sz w:val="20"/>
                <w:szCs w:val="20"/>
                <w:color w:val="auto"/>
              </w:rPr>
              <w:t>$</w:t>
            </w:r>
          </w:p>
        </w:tc>
        <w:tc>
          <w:tcPr>
            <w:tcW w:w="1060" w:type="dxa"/>
            <w:vAlign w:val="bottom"/>
            <w:gridSpan w:val="2"/>
          </w:tcPr>
          <w:p>
            <w:pPr>
              <w:jc w:val="right"/>
              <w:ind w:right="40"/>
              <w:spacing w:after="0" w:line="216" w:lineRule="exact"/>
              <w:rPr>
                <w:sz w:val="20"/>
                <w:szCs w:val="20"/>
                <w:color w:val="auto"/>
              </w:rPr>
            </w:pPr>
            <w:r>
              <w:rPr>
                <w:rFonts w:ascii="Arial" w:cs="Arial" w:eastAsia="Arial" w:hAnsi="Arial"/>
                <w:sz w:val="20"/>
                <w:szCs w:val="20"/>
                <w:color w:val="auto"/>
              </w:rPr>
              <w:t>(138)</w:t>
            </w:r>
          </w:p>
        </w:tc>
        <w:tc>
          <w:tcPr>
            <w:tcW w:w="100" w:type="dxa"/>
            <w:vAlign w:val="bottom"/>
            <w:tcBorders>
              <w:right w:val="single" w:sz="8" w:color="auto"/>
            </w:tcBorders>
          </w:tcPr>
          <w:p>
            <w:pPr>
              <w:spacing w:after="0"/>
              <w:rPr>
                <w:sz w:val="18"/>
                <w:szCs w:val="18"/>
                <w:color w:val="auto"/>
              </w:rPr>
            </w:pPr>
          </w:p>
        </w:tc>
        <w:tc>
          <w:tcPr>
            <w:tcW w:w="200" w:type="dxa"/>
            <w:vAlign w:val="bottom"/>
            <w:gridSpan w:val="3"/>
          </w:tcPr>
          <w:p>
            <w:pPr>
              <w:jc w:val="right"/>
              <w:ind w:right="20"/>
              <w:spacing w:after="0" w:line="216" w:lineRule="exact"/>
              <w:rPr>
                <w:sz w:val="20"/>
                <w:szCs w:val="20"/>
                <w:color w:val="auto"/>
              </w:rPr>
            </w:pPr>
            <w:r>
              <w:rPr>
                <w:rFonts w:ascii="Arial" w:cs="Arial" w:eastAsia="Arial" w:hAnsi="Arial"/>
                <w:sz w:val="20"/>
                <w:szCs w:val="20"/>
                <w:color w:val="auto"/>
              </w:rPr>
              <w:t>$</w:t>
            </w:r>
          </w:p>
        </w:tc>
        <w:tc>
          <w:tcPr>
            <w:tcW w:w="144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216"/>
        </w:trPr>
        <w:tc>
          <w:tcPr>
            <w:tcW w:w="2880" w:type="dxa"/>
            <w:vAlign w:val="bottom"/>
            <w:gridSpan w:val="3"/>
          </w:tcPr>
          <w:p>
            <w:pPr>
              <w:spacing w:after="0" w:line="216" w:lineRule="exact"/>
              <w:rPr>
                <w:sz w:val="20"/>
                <w:szCs w:val="20"/>
                <w:color w:val="auto"/>
              </w:rPr>
            </w:pPr>
            <w:r>
              <w:rPr>
                <w:rFonts w:ascii="Arial" w:cs="Arial" w:eastAsia="Arial" w:hAnsi="Arial"/>
                <w:sz w:val="20"/>
                <w:szCs w:val="20"/>
                <w:color w:val="auto"/>
              </w:rPr>
              <w:t>Non-cash commodity</w:t>
            </w: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3"/>
          </w:tcPr>
          <w:p>
            <w:pPr>
              <w:spacing w:after="0" w:line="216" w:lineRule="exact"/>
              <w:rPr>
                <w:sz w:val="20"/>
                <w:szCs w:val="20"/>
                <w:color w:val="auto"/>
              </w:rPr>
            </w:pPr>
            <w:r>
              <w:rPr>
                <w:rFonts w:ascii="Arial" w:cs="Arial" w:eastAsia="Arial" w:hAnsi="Arial"/>
                <w:sz w:val="20"/>
                <w:szCs w:val="20"/>
                <w:color w:val="auto"/>
              </w:rPr>
              <w:t>derivative (loss) gain,</w:t>
            </w: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3"/>
          </w:tcPr>
          <w:p>
            <w:pPr>
              <w:spacing w:after="0" w:line="216" w:lineRule="exact"/>
              <w:rPr>
                <w:sz w:val="20"/>
                <w:szCs w:val="20"/>
                <w:color w:val="auto"/>
              </w:rPr>
            </w:pPr>
            <w:r>
              <w:rPr>
                <w:rFonts w:ascii="Arial" w:cs="Arial" w:eastAsia="Arial" w:hAnsi="Arial"/>
                <w:sz w:val="20"/>
                <w:szCs w:val="20"/>
                <w:color w:val="auto"/>
              </w:rPr>
              <w:t>attributable to noncontrolling</w:t>
            </w: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80" w:type="dxa"/>
            <w:vAlign w:val="bottom"/>
            <w:gridSpan w:val="3"/>
          </w:tcPr>
          <w:p>
            <w:pPr>
              <w:spacing w:after="0" w:line="224" w:lineRule="exact"/>
              <w:rPr>
                <w:sz w:val="20"/>
                <w:szCs w:val="20"/>
                <w:color w:val="auto"/>
              </w:rPr>
            </w:pPr>
            <w:r>
              <w:rPr>
                <w:rFonts w:ascii="Arial" w:cs="Arial" w:eastAsia="Arial" w:hAnsi="Arial"/>
                <w:sz w:val="20"/>
                <w:szCs w:val="20"/>
                <w:color w:val="auto"/>
              </w:rPr>
              <w:t>interest  . . . . . . . . . . . . . . . . .</w:t>
            </w:r>
          </w:p>
        </w:tc>
        <w:tc>
          <w:tcPr>
            <w:tcW w:w="1040" w:type="dxa"/>
            <w:vAlign w:val="bottom"/>
            <w:gridSpan w:val="2"/>
          </w:tcPr>
          <w:p>
            <w:pPr>
              <w:jc w:val="right"/>
              <w:ind w:right="80"/>
              <w:spacing w:after="0" w:line="224" w:lineRule="exact"/>
              <w:rPr>
                <w:sz w:val="20"/>
                <w:szCs w:val="20"/>
                <w:color w:val="auto"/>
              </w:rPr>
            </w:pPr>
            <w:r>
              <w:rPr>
                <w:rFonts w:ascii="Arial" w:cs="Arial" w:eastAsia="Arial" w:hAnsi="Arial"/>
                <w:sz w:val="20"/>
                <w:szCs w:val="20"/>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80"/>
              <w:spacing w:after="0" w:line="224" w:lineRule="exact"/>
              <w:rPr>
                <w:sz w:val="20"/>
                <w:szCs w:val="20"/>
                <w:color w:val="auto"/>
              </w:rPr>
            </w:pPr>
            <w:r>
              <w:rPr>
                <w:rFonts w:ascii="Arial" w:cs="Arial" w:eastAsia="Arial" w:hAnsi="Arial"/>
                <w:sz w:val="20"/>
                <w:szCs w:val="20"/>
                <w:color w:val="auto"/>
              </w:rPr>
              <w:t>—</w:t>
            </w: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gridSpan w:val="2"/>
          </w:tcPr>
          <w:p>
            <w:pPr>
              <w:jc w:val="right"/>
              <w:ind w:right="40"/>
              <w:spacing w:after="0" w:line="224" w:lineRule="exact"/>
              <w:rPr>
                <w:sz w:val="20"/>
                <w:szCs w:val="20"/>
                <w:color w:val="auto"/>
              </w:rPr>
            </w:pPr>
            <w:r>
              <w:rPr>
                <w:rFonts w:ascii="Arial" w:cs="Arial" w:eastAsia="Arial" w:hAnsi="Arial"/>
                <w:sz w:val="20"/>
                <w:szCs w:val="20"/>
                <w:color w:val="auto"/>
              </w:rPr>
              <w:t>(2)</w:t>
            </w:r>
          </w:p>
        </w:tc>
        <w:tc>
          <w:tcPr>
            <w:tcW w:w="1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line="224" w:lineRule="exact"/>
              <w:rPr>
                <w:sz w:val="20"/>
                <w:szCs w:val="20"/>
                <w:color w:val="auto"/>
              </w:rPr>
            </w:pPr>
            <w:r>
              <w:rPr>
                <w:rFonts w:ascii="Arial" w:cs="Arial" w:eastAsia="Arial" w:hAnsi="Arial"/>
                <w:sz w:val="20"/>
                <w:szCs w:val="20"/>
                <w:color w:val="auto"/>
              </w:rPr>
              <w:t>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60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2880" w:type="dxa"/>
            <w:vAlign w:val="bottom"/>
            <w:gridSpan w:val="3"/>
          </w:tcPr>
          <w:p>
            <w:pPr>
              <w:ind w:left="200"/>
              <w:spacing w:after="0"/>
              <w:rPr>
                <w:sz w:val="20"/>
                <w:szCs w:val="20"/>
                <w:color w:val="auto"/>
              </w:rPr>
            </w:pPr>
            <w:r>
              <w:rPr>
                <w:rFonts w:ascii="Arial" w:cs="Arial" w:eastAsia="Arial" w:hAnsi="Arial"/>
                <w:sz w:val="20"/>
                <w:szCs w:val="20"/>
                <w:color w:val="auto"/>
              </w:rPr>
              <w:t>Total non-cash</w:t>
            </w: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80" w:type="dxa"/>
            <w:vAlign w:val="bottom"/>
            <w:gridSpan w:val="3"/>
          </w:tcPr>
          <w:p>
            <w:pPr>
              <w:ind w:left="200"/>
              <w:spacing w:after="0" w:line="216" w:lineRule="exact"/>
              <w:rPr>
                <w:sz w:val="20"/>
                <w:szCs w:val="20"/>
                <w:color w:val="auto"/>
              </w:rPr>
            </w:pPr>
            <w:r>
              <w:rPr>
                <w:rFonts w:ascii="Arial" w:cs="Arial" w:eastAsia="Arial" w:hAnsi="Arial"/>
                <w:sz w:val="20"/>
                <w:szCs w:val="20"/>
                <w:color w:val="auto"/>
              </w:rPr>
              <w:t>changes  . . . . . . . . . . . . . .</w:t>
            </w:r>
          </w:p>
        </w:tc>
        <w:tc>
          <w:tcPr>
            <w:tcW w:w="1000" w:type="dxa"/>
            <w:vAlign w:val="bottom"/>
          </w:tcPr>
          <w:p>
            <w:pPr>
              <w:jc w:val="right"/>
              <w:spacing w:after="0" w:line="216" w:lineRule="exact"/>
              <w:rPr>
                <w:sz w:val="20"/>
                <w:szCs w:val="20"/>
                <w:color w:val="auto"/>
              </w:rPr>
            </w:pPr>
            <w:r>
              <w:rPr>
                <w:rFonts w:ascii="Arial" w:cs="Arial" w:eastAsia="Arial" w:hAnsi="Arial"/>
                <w:sz w:val="20"/>
                <w:szCs w:val="20"/>
                <w:color w:val="auto"/>
              </w:rPr>
              <w:t>187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0"/>
              <w:spacing w:after="0" w:line="216" w:lineRule="exact"/>
              <w:rPr>
                <w:sz w:val="20"/>
                <w:szCs w:val="20"/>
                <w:color w:val="auto"/>
              </w:rPr>
            </w:pPr>
            <w:r>
              <w:rPr>
                <w:rFonts w:ascii="Arial" w:cs="Arial" w:eastAsia="Arial" w:hAnsi="Arial"/>
                <w:sz w:val="20"/>
                <w:szCs w:val="20"/>
                <w:color w:val="auto"/>
              </w:rPr>
              <w:t>(357)</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gridSpan w:val="2"/>
          </w:tcPr>
          <w:p>
            <w:pPr>
              <w:jc w:val="right"/>
              <w:ind w:right="40"/>
              <w:spacing w:after="0" w:line="216" w:lineRule="exact"/>
              <w:rPr>
                <w:sz w:val="20"/>
                <w:szCs w:val="20"/>
                <w:color w:val="auto"/>
              </w:rPr>
            </w:pPr>
            <w:r>
              <w:rPr>
                <w:rFonts w:ascii="Arial" w:cs="Arial" w:eastAsia="Arial" w:hAnsi="Arial"/>
                <w:sz w:val="20"/>
                <w:szCs w:val="20"/>
                <w:color w:val="auto"/>
              </w:rPr>
              <w:t>(140)</w:t>
            </w:r>
          </w:p>
        </w:tc>
        <w:tc>
          <w:tcPr>
            <w:tcW w:w="1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16"/>
        </w:trPr>
        <w:tc>
          <w:tcPr>
            <w:tcW w:w="2880" w:type="dxa"/>
            <w:vAlign w:val="bottom"/>
            <w:gridSpan w:val="3"/>
          </w:tcPr>
          <w:p>
            <w:pPr>
              <w:ind w:left="200"/>
              <w:spacing w:after="0" w:line="216" w:lineRule="exact"/>
              <w:rPr>
                <w:sz w:val="20"/>
                <w:szCs w:val="20"/>
                <w:color w:val="auto"/>
              </w:rPr>
            </w:pPr>
            <w:r>
              <w:rPr>
                <w:rFonts w:ascii="Arial" w:cs="Arial" w:eastAsia="Arial" w:hAnsi="Arial"/>
                <w:sz w:val="20"/>
                <w:szCs w:val="20"/>
                <w:color w:val="auto"/>
              </w:rPr>
              <w:t>Net (payments) proceeds</w:t>
            </w: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880" w:type="dxa"/>
            <w:vAlign w:val="bottom"/>
            <w:gridSpan w:val="3"/>
          </w:tcPr>
          <w:p>
            <w:pPr>
              <w:ind w:left="200"/>
              <w:spacing w:after="0" w:line="226" w:lineRule="exact"/>
              <w:rPr>
                <w:sz w:val="20"/>
                <w:szCs w:val="20"/>
                <w:color w:val="auto"/>
              </w:rPr>
            </w:pPr>
            <w:r>
              <w:rPr>
                <w:rFonts w:ascii="Arial" w:cs="Arial" w:eastAsia="Arial" w:hAnsi="Arial"/>
                <w:sz w:val="20"/>
                <w:szCs w:val="20"/>
                <w:color w:val="auto"/>
              </w:rPr>
              <w:t>on commodity derivatives</w:t>
            </w:r>
          </w:p>
        </w:tc>
        <w:tc>
          <w:tcPr>
            <w:tcW w:w="1040" w:type="dxa"/>
            <w:vAlign w:val="bottom"/>
            <w:gridSpan w:val="2"/>
          </w:tcPr>
          <w:p>
            <w:pPr>
              <w:jc w:val="right"/>
              <w:spacing w:after="0" w:line="226" w:lineRule="exact"/>
              <w:rPr>
                <w:sz w:val="20"/>
                <w:szCs w:val="20"/>
                <w:color w:val="auto"/>
              </w:rPr>
            </w:pPr>
            <w:r>
              <w:rPr>
                <w:rFonts w:ascii="Arial" w:cs="Arial" w:eastAsia="Arial" w:hAnsi="Arial"/>
                <w:sz w:val="20"/>
                <w:szCs w:val="20"/>
                <w:color w:val="auto"/>
              </w:rPr>
              <w:t>(738)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0"/>
              <w:spacing w:after="0" w:line="226" w:lineRule="exact"/>
              <w:rPr>
                <w:sz w:val="20"/>
                <w:szCs w:val="20"/>
                <w:color w:val="auto"/>
              </w:rPr>
            </w:pPr>
            <w:r>
              <w:rPr>
                <w:rFonts w:ascii="Arial" w:cs="Arial" w:eastAsia="Arial" w:hAnsi="Arial"/>
                <w:sz w:val="20"/>
                <w:szCs w:val="20"/>
                <w:color w:val="auto"/>
              </w:rPr>
              <w:t>(319)</w:t>
            </w: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gridSpan w:val="2"/>
          </w:tcPr>
          <w:p>
            <w:pPr>
              <w:jc w:val="right"/>
              <w:ind w:right="40"/>
              <w:spacing w:after="0" w:line="226" w:lineRule="exact"/>
              <w:rPr>
                <w:sz w:val="20"/>
                <w:szCs w:val="20"/>
                <w:color w:val="auto"/>
              </w:rPr>
            </w:pPr>
            <w:r>
              <w:rPr>
                <w:rFonts w:ascii="Arial" w:cs="Arial" w:eastAsia="Arial" w:hAnsi="Arial"/>
                <w:sz w:val="20"/>
                <w:szCs w:val="20"/>
                <w:color w:val="auto"/>
              </w:rPr>
              <w:t>(1)</w:t>
            </w:r>
          </w:p>
        </w:tc>
        <w:tc>
          <w:tcPr>
            <w:tcW w:w="1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line="226" w:lineRule="exact"/>
              <w:rPr>
                <w:sz w:val="20"/>
                <w:szCs w:val="20"/>
                <w:color w:val="auto"/>
              </w:rPr>
            </w:pPr>
            <w:r>
              <w:rPr>
                <w:rFonts w:ascii="Arial" w:cs="Arial" w:eastAsia="Arial" w:hAnsi="Arial"/>
                <w:sz w:val="20"/>
                <w:szCs w:val="20"/>
                <w:color w:val="auto"/>
              </w:rPr>
              <w:t>108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60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2880" w:type="dxa"/>
            <w:vAlign w:val="bottom"/>
            <w:gridSpan w:val="3"/>
          </w:tcPr>
          <w:p>
            <w:pPr>
              <w:spacing w:after="0"/>
              <w:rPr>
                <w:sz w:val="20"/>
                <w:szCs w:val="20"/>
                <w:color w:val="auto"/>
              </w:rPr>
            </w:pPr>
            <w:r>
              <w:rPr>
                <w:rFonts w:ascii="Arial" w:cs="Arial" w:eastAsia="Arial" w:hAnsi="Arial"/>
                <w:sz w:val="20"/>
                <w:szCs w:val="20"/>
                <w:color w:val="auto"/>
              </w:rPr>
              <w:t>Net (loss) gain from</w:t>
            </w: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880" w:type="dxa"/>
            <w:vAlign w:val="bottom"/>
            <w:gridSpan w:val="3"/>
          </w:tcPr>
          <w:p>
            <w:pPr>
              <w:spacing w:after="0" w:line="226" w:lineRule="exact"/>
              <w:rPr>
                <w:sz w:val="20"/>
                <w:szCs w:val="20"/>
                <w:color w:val="auto"/>
              </w:rPr>
            </w:pPr>
            <w:r>
              <w:rPr>
                <w:rFonts w:ascii="Arial" w:cs="Arial" w:eastAsia="Arial" w:hAnsi="Arial"/>
                <w:sz w:val="20"/>
                <w:szCs w:val="20"/>
                <w:color w:val="auto"/>
              </w:rPr>
              <w:t>commodity derivatives . . . . . $</w:t>
            </w:r>
          </w:p>
        </w:tc>
        <w:tc>
          <w:tcPr>
            <w:tcW w:w="1040" w:type="dxa"/>
            <w:vAlign w:val="bottom"/>
            <w:gridSpan w:val="2"/>
          </w:tcPr>
          <w:p>
            <w:pPr>
              <w:jc w:val="right"/>
              <w:spacing w:after="0" w:line="226" w:lineRule="exact"/>
              <w:rPr>
                <w:sz w:val="20"/>
                <w:szCs w:val="20"/>
                <w:color w:val="auto"/>
              </w:rPr>
            </w:pPr>
            <w:r>
              <w:rPr>
                <w:rFonts w:ascii="Arial" w:cs="Arial" w:eastAsia="Arial" w:hAnsi="Arial"/>
                <w:sz w:val="20"/>
                <w:szCs w:val="20"/>
                <w:color w:val="auto"/>
              </w:rPr>
              <w:t>(551)</w:t>
            </w:r>
          </w:p>
        </w:tc>
        <w:tc>
          <w:tcPr>
            <w:tcW w:w="160" w:type="dxa"/>
            <w:vAlign w:val="bottom"/>
            <w:gridSpan w:val="2"/>
          </w:tcPr>
          <w:p>
            <w:pPr>
              <w:jc w:val="right"/>
              <w:spacing w:after="0" w:line="226" w:lineRule="exact"/>
              <w:rPr>
                <w:sz w:val="20"/>
                <w:szCs w:val="20"/>
                <w:color w:val="auto"/>
              </w:rPr>
            </w:pPr>
            <w:r>
              <w:rPr>
                <w:rFonts w:ascii="Arial" w:cs="Arial" w:eastAsia="Arial" w:hAnsi="Arial"/>
                <w:sz w:val="20"/>
                <w:szCs w:val="20"/>
                <w:color w:val="auto"/>
              </w:rPr>
              <w:t>$</w:t>
            </w:r>
          </w:p>
        </w:tc>
        <w:tc>
          <w:tcPr>
            <w:tcW w:w="1480" w:type="dxa"/>
            <w:vAlign w:val="bottom"/>
            <w:gridSpan w:val="2"/>
          </w:tcPr>
          <w:p>
            <w:pPr>
              <w:jc w:val="right"/>
              <w:ind w:right="20"/>
              <w:spacing w:after="0" w:line="226" w:lineRule="exact"/>
              <w:rPr>
                <w:sz w:val="20"/>
                <w:szCs w:val="20"/>
                <w:color w:val="auto"/>
              </w:rPr>
            </w:pPr>
            <w:r>
              <w:rPr>
                <w:rFonts w:ascii="Arial" w:cs="Arial" w:eastAsia="Arial" w:hAnsi="Arial"/>
                <w:sz w:val="20"/>
                <w:szCs w:val="20"/>
                <w:color w:val="auto"/>
              </w:rPr>
              <w:t>(676)</w:t>
            </w:r>
          </w:p>
        </w:tc>
        <w:tc>
          <w:tcPr>
            <w:tcW w:w="760" w:type="dxa"/>
            <w:vAlign w:val="bottom"/>
            <w:gridSpan w:val="2"/>
          </w:tcPr>
          <w:p>
            <w:pPr>
              <w:jc w:val="right"/>
              <w:ind w:right="580"/>
              <w:spacing w:after="0" w:line="226" w:lineRule="exact"/>
              <w:rPr>
                <w:sz w:val="20"/>
                <w:szCs w:val="20"/>
                <w:color w:val="auto"/>
              </w:rPr>
            </w:pPr>
            <w:r>
              <w:rPr>
                <w:rFonts w:ascii="Arial" w:cs="Arial" w:eastAsia="Arial" w:hAnsi="Arial"/>
                <w:sz w:val="20"/>
                <w:szCs w:val="20"/>
                <w:color w:val="auto"/>
              </w:rPr>
              <w:t>$</w:t>
            </w:r>
          </w:p>
        </w:tc>
        <w:tc>
          <w:tcPr>
            <w:tcW w:w="1060" w:type="dxa"/>
            <w:vAlign w:val="bottom"/>
            <w:gridSpan w:val="2"/>
          </w:tcPr>
          <w:p>
            <w:pPr>
              <w:jc w:val="right"/>
              <w:ind w:right="40"/>
              <w:spacing w:after="0" w:line="226" w:lineRule="exact"/>
              <w:rPr>
                <w:sz w:val="20"/>
                <w:szCs w:val="20"/>
                <w:color w:val="auto"/>
              </w:rPr>
            </w:pPr>
            <w:r>
              <w:rPr>
                <w:rFonts w:ascii="Arial" w:cs="Arial" w:eastAsia="Arial" w:hAnsi="Arial"/>
                <w:sz w:val="20"/>
                <w:szCs w:val="20"/>
                <w:color w:val="auto"/>
              </w:rPr>
              <w:t>(141)</w:t>
            </w:r>
          </w:p>
        </w:tc>
        <w:tc>
          <w:tcPr>
            <w:tcW w:w="100" w:type="dxa"/>
            <w:vAlign w:val="bottom"/>
            <w:tcBorders>
              <w:right w:val="single" w:sz="8" w:color="auto"/>
            </w:tcBorders>
          </w:tcPr>
          <w:p>
            <w:pPr>
              <w:spacing w:after="0"/>
              <w:rPr>
                <w:sz w:val="19"/>
                <w:szCs w:val="19"/>
                <w:color w:val="auto"/>
              </w:rPr>
            </w:pPr>
          </w:p>
        </w:tc>
        <w:tc>
          <w:tcPr>
            <w:tcW w:w="200" w:type="dxa"/>
            <w:vAlign w:val="bottom"/>
            <w:gridSpan w:val="3"/>
          </w:tcPr>
          <w:p>
            <w:pPr>
              <w:jc w:val="right"/>
              <w:ind w:right="20"/>
              <w:spacing w:after="0" w:line="226" w:lineRule="exact"/>
              <w:rPr>
                <w:sz w:val="20"/>
                <w:szCs w:val="20"/>
                <w:color w:val="auto"/>
              </w:rPr>
            </w:pPr>
            <w:r>
              <w:rPr>
                <w:rFonts w:ascii="Arial" w:cs="Arial" w:eastAsia="Arial" w:hAnsi="Arial"/>
                <w:sz w:val="20"/>
                <w:szCs w:val="20"/>
                <w:color w:val="auto"/>
              </w:rPr>
              <w:t>$</w:t>
            </w:r>
          </w:p>
        </w:tc>
        <w:tc>
          <w:tcPr>
            <w:tcW w:w="1400" w:type="dxa"/>
            <w:vAlign w:val="bottom"/>
          </w:tcPr>
          <w:p>
            <w:pPr>
              <w:jc w:val="right"/>
              <w:spacing w:after="0" w:line="226" w:lineRule="exact"/>
              <w:rPr>
                <w:sz w:val="20"/>
                <w:szCs w:val="20"/>
                <w:color w:val="auto"/>
              </w:rPr>
            </w:pPr>
            <w:r>
              <w:rPr>
                <w:rFonts w:ascii="Arial" w:cs="Arial" w:eastAsia="Arial" w:hAnsi="Arial"/>
                <w:sz w:val="20"/>
                <w:szCs w:val="20"/>
                <w:color w:val="auto"/>
              </w:rPr>
              <w:t>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Interest-Rate Risk</w:t>
      </w:r>
    </w:p>
    <w:p>
      <w:pPr>
        <w:spacing w:after="0" w:line="185" w:lineRule="exact"/>
        <w:rPr>
          <w:sz w:val="20"/>
          <w:szCs w:val="20"/>
          <w:color w:val="auto"/>
        </w:rPr>
      </w:pPr>
    </w:p>
    <w:p>
      <w:pPr>
        <w:jc w:val="both"/>
        <w:ind w:right="80" w:firstLine="300"/>
        <w:spacing w:after="0" w:line="249" w:lineRule="auto"/>
        <w:rPr>
          <w:sz w:val="20"/>
          <w:szCs w:val="20"/>
          <w:color w:val="auto"/>
        </w:rPr>
      </w:pPr>
      <w:r>
        <w:rPr>
          <w:rFonts w:ascii="Arial" w:cs="Arial" w:eastAsia="Arial" w:hAnsi="Arial"/>
          <w:sz w:val="20"/>
          <w:szCs w:val="20"/>
          <w:color w:val="auto"/>
        </w:rPr>
        <w:t>As of December 31, 2022, we do not have any derivative contracts in place with respect to interest-rate exposure. In May 2018, we entered into derivative contracts that limited our interest rate exposure with respect to a notional amount of $1.3 billion of variable-rate indebtedness. These contracts expired on May 4, 2021. We did not report any gains or losses on these contracts and no settlement payments were received during the year ended December 31, 2021 or the periods in 2020.</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of Derivatives</w:t>
      </w:r>
    </w:p>
    <w:p>
      <w:pPr>
        <w:spacing w:after="0" w:line="186" w:lineRule="exact"/>
        <w:rPr>
          <w:sz w:val="20"/>
          <w:szCs w:val="20"/>
          <w:color w:val="auto"/>
        </w:rPr>
      </w:pPr>
    </w:p>
    <w:p>
      <w:pPr>
        <w:ind w:right="400" w:firstLine="300"/>
        <w:spacing w:after="0" w:line="247" w:lineRule="auto"/>
        <w:rPr>
          <w:sz w:val="20"/>
          <w:szCs w:val="20"/>
          <w:color w:val="auto"/>
        </w:rPr>
      </w:pPr>
      <w:r>
        <w:rPr>
          <w:rFonts w:ascii="Arial" w:cs="Arial" w:eastAsia="Arial" w:hAnsi="Arial"/>
          <w:sz w:val="20"/>
          <w:szCs w:val="20"/>
          <w:color w:val="auto"/>
        </w:rPr>
        <w:t>Our derivative contracts are measured at fair value using industry-standard models with various inputs, including quoted forward prices, and are classified as Level 2 in the required fair value hierarchy for the periods presented.</w:t>
      </w:r>
    </w:p>
    <w:p>
      <w:pPr>
        <w:spacing w:after="0" w:line="181" w:lineRule="exact"/>
        <w:rPr>
          <w:sz w:val="20"/>
          <w:szCs w:val="20"/>
          <w:color w:val="auto"/>
        </w:rPr>
      </w:pPr>
    </w:p>
    <w:p>
      <w:pPr>
        <w:ind w:right="740" w:firstLine="300"/>
        <w:spacing w:after="0" w:line="245" w:lineRule="auto"/>
        <w:rPr>
          <w:sz w:val="20"/>
          <w:szCs w:val="20"/>
          <w:color w:val="auto"/>
        </w:rPr>
      </w:pPr>
      <w:r>
        <w:rPr>
          <w:rFonts w:ascii="Arial" w:cs="Arial" w:eastAsia="Arial" w:hAnsi="Arial"/>
          <w:sz w:val="20"/>
          <w:szCs w:val="20"/>
          <w:color w:val="auto"/>
        </w:rPr>
        <w:t>The following tables present the fair values (at gross and net) of our outstanding commodity derivatives:</w:t>
      </w:r>
    </w:p>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December 31,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19050</wp:posOffset>
                </wp:positionV>
                <wp:extent cx="579120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912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pt" to="456pt,1.5pt" o:allowincell="f" strokecolor="#000000" strokeweight="1pt"/>
            </w:pict>
          </mc:Fallback>
        </mc:AlternateConten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rPr>
              <w:t>Gross</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0"/>
        </w:trPr>
        <w:tc>
          <w:tcPr>
            <w:tcW w:w="4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220"/>
              <w:spacing w:after="0" w:line="200" w:lineRule="exact"/>
              <w:rPr>
                <w:sz w:val="20"/>
                <w:szCs w:val="20"/>
                <w:color w:val="auto"/>
              </w:rPr>
            </w:pPr>
            <w:r>
              <w:rPr>
                <w:rFonts w:ascii="Arial" w:cs="Arial" w:eastAsia="Arial" w:hAnsi="Arial"/>
                <w:sz w:val="20"/>
                <w:szCs w:val="20"/>
                <w:b w:val="1"/>
                <w:bCs w:val="1"/>
                <w:color w:val="auto"/>
                <w:w w:val="99"/>
              </w:rPr>
              <w:t>Amounts at</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6"/>
        </w:trPr>
        <w:tc>
          <w:tcPr>
            <w:tcW w:w="4880" w:type="dxa"/>
            <w:vAlign w:val="bottom"/>
          </w:tcPr>
          <w:p>
            <w:pPr>
              <w:ind w:left="1780"/>
              <w:spacing w:after="0" w:line="226" w:lineRule="exact"/>
              <w:rPr>
                <w:sz w:val="20"/>
                <w:szCs w:val="20"/>
                <w:color w:val="auto"/>
              </w:rPr>
            </w:pPr>
            <w:r>
              <w:rPr>
                <w:rFonts w:ascii="Arial" w:cs="Arial" w:eastAsia="Arial" w:hAnsi="Arial"/>
                <w:sz w:val="20"/>
                <w:szCs w:val="20"/>
                <w:b w:val="1"/>
                <w:bCs w:val="1"/>
                <w:color w:val="auto"/>
              </w:rPr>
              <w:t>Classification</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200"/>
              <w:spacing w:after="0" w:line="226" w:lineRule="exact"/>
              <w:rPr>
                <w:sz w:val="20"/>
                <w:szCs w:val="20"/>
                <w:color w:val="auto"/>
              </w:rPr>
            </w:pPr>
            <w:r>
              <w:rPr>
                <w:rFonts w:ascii="Arial" w:cs="Arial" w:eastAsia="Arial" w:hAnsi="Arial"/>
                <w:sz w:val="20"/>
                <w:szCs w:val="20"/>
                <w:b w:val="1"/>
                <w:bCs w:val="1"/>
                <w:color w:val="auto"/>
              </w:rPr>
              <w:t>Fair Value</w:t>
            </w:r>
          </w:p>
        </w:tc>
        <w:tc>
          <w:tcPr>
            <w:tcW w:w="180" w:type="dxa"/>
            <w:vAlign w:val="bottom"/>
          </w:tcPr>
          <w:p>
            <w:pPr>
              <w:spacing w:after="0"/>
              <w:rPr>
                <w:sz w:val="19"/>
                <w:szCs w:val="19"/>
                <w:color w:val="auto"/>
              </w:rPr>
            </w:pPr>
          </w:p>
        </w:tc>
        <w:tc>
          <w:tcPr>
            <w:tcW w:w="1220" w:type="dxa"/>
            <w:vAlign w:val="bottom"/>
            <w:gridSpan w:val="2"/>
          </w:tcPr>
          <w:p>
            <w:pPr>
              <w:jc w:val="right"/>
              <w:ind w:right="380"/>
              <w:spacing w:after="0" w:line="226" w:lineRule="exact"/>
              <w:rPr>
                <w:sz w:val="20"/>
                <w:szCs w:val="20"/>
                <w:color w:val="auto"/>
              </w:rPr>
            </w:pPr>
            <w:r>
              <w:rPr>
                <w:rFonts w:ascii="Arial" w:cs="Arial" w:eastAsia="Arial" w:hAnsi="Arial"/>
                <w:sz w:val="20"/>
                <w:szCs w:val="20"/>
                <w:b w:val="1"/>
                <w:bCs w:val="1"/>
                <w:color w:val="auto"/>
              </w:rPr>
              <w:t>Netting</w:t>
            </w:r>
          </w:p>
        </w:tc>
        <w:tc>
          <w:tcPr>
            <w:tcW w:w="1380" w:type="dxa"/>
            <w:vAlign w:val="bottom"/>
            <w:gridSpan w:val="3"/>
          </w:tcPr>
          <w:p>
            <w:pPr>
              <w:jc w:val="right"/>
              <w:ind w:right="40"/>
              <w:spacing w:after="0" w:line="226" w:lineRule="exact"/>
              <w:rPr>
                <w:sz w:val="20"/>
                <w:szCs w:val="20"/>
                <w:color w:val="auto"/>
              </w:rPr>
            </w:pPr>
            <w:r>
              <w:rPr>
                <w:rFonts w:ascii="Arial" w:cs="Arial" w:eastAsia="Arial" w:hAnsi="Arial"/>
                <w:sz w:val="20"/>
                <w:szCs w:val="20"/>
                <w:b w:val="1"/>
                <w:bCs w:val="1"/>
                <w:color w:val="auto"/>
                <w:w w:val="98"/>
              </w:rPr>
              <w:t>Net Fair Value</w:t>
            </w: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2"/>
        </w:trPr>
        <w:tc>
          <w:tcPr>
            <w:tcW w:w="4880" w:type="dxa"/>
            <w:vAlign w:val="bottom"/>
          </w:tcPr>
          <w:p>
            <w:pPr>
              <w:spacing w:after="0"/>
              <w:rPr>
                <w:sz w:val="20"/>
                <w:szCs w:val="20"/>
                <w:color w:val="auto"/>
              </w:rPr>
            </w:pPr>
            <w:r>
              <w:rPr>
                <w:rFonts w:ascii="Arial" w:cs="Arial" w:eastAsia="Arial" w:hAnsi="Arial"/>
                <w:sz w:val="20"/>
                <w:szCs w:val="20"/>
                <w:b w:val="1"/>
                <w:bCs w:val="1"/>
                <w:color w:val="auto"/>
              </w:rPr>
              <w:t>Assets:</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6"/>
                <w:szCs w:val="16"/>
                <w:color w:val="auto"/>
              </w:rPr>
              <w:t>(in millions)</w:t>
            </w: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16"/>
        </w:trPr>
        <w:tc>
          <w:tcPr>
            <w:tcW w:w="4880" w:type="dxa"/>
            <w:vAlign w:val="bottom"/>
          </w:tcPr>
          <w:p>
            <w:pPr>
              <w:spacing w:after="0" w:line="216" w:lineRule="exact"/>
              <w:rPr>
                <w:sz w:val="20"/>
                <w:szCs w:val="20"/>
                <w:color w:val="auto"/>
              </w:rPr>
            </w:pPr>
            <w:r>
              <w:rPr>
                <w:rFonts w:ascii="Arial" w:cs="Arial" w:eastAsia="Arial" w:hAnsi="Arial"/>
                <w:sz w:val="20"/>
                <w:szCs w:val="20"/>
                <w:color w:val="auto"/>
                <w:w w:val="97"/>
              </w:rPr>
              <w:t>Other current assets  . . . . . . . . . . . . . . . . . . . . . . . . . . . .</w:t>
            </w:r>
          </w:p>
        </w:tc>
        <w:tc>
          <w:tcPr>
            <w:tcW w:w="16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w:t>
            </w:r>
          </w:p>
        </w:tc>
        <w:tc>
          <w:tcPr>
            <w:tcW w:w="1240" w:type="dxa"/>
            <w:vAlign w:val="bottom"/>
          </w:tcPr>
          <w:p>
            <w:pPr>
              <w:jc w:val="right"/>
              <w:spacing w:after="0" w:line="216" w:lineRule="exact"/>
              <w:rPr>
                <w:sz w:val="20"/>
                <w:szCs w:val="20"/>
                <w:color w:val="auto"/>
              </w:rPr>
            </w:pPr>
            <w:r>
              <w:rPr>
                <w:rFonts w:ascii="Arial" w:cs="Arial" w:eastAsia="Arial" w:hAnsi="Arial"/>
                <w:sz w:val="20"/>
                <w:szCs w:val="20"/>
                <w:color w:val="auto"/>
              </w:rPr>
              <w:t>51</w:t>
            </w:r>
          </w:p>
        </w:tc>
        <w:tc>
          <w:tcPr>
            <w:tcW w:w="80" w:type="dxa"/>
            <w:vAlign w:val="bottom"/>
          </w:tcPr>
          <w:p>
            <w:pPr>
              <w:spacing w:after="0"/>
              <w:rPr>
                <w:sz w:val="18"/>
                <w:szCs w:val="18"/>
                <w:color w:val="auto"/>
              </w:rPr>
            </w:pPr>
          </w:p>
        </w:tc>
        <w:tc>
          <w:tcPr>
            <w:tcW w:w="180" w:type="dxa"/>
            <w:vAlign w:val="bottom"/>
          </w:tcPr>
          <w:p>
            <w:pPr>
              <w:jc w:val="right"/>
              <w:spacing w:after="0" w:line="216" w:lineRule="exact"/>
              <w:rPr>
                <w:sz w:val="20"/>
                <w:szCs w:val="20"/>
                <w:color w:val="auto"/>
              </w:rPr>
            </w:pPr>
            <w:r>
              <w:rPr>
                <w:rFonts w:ascii="Arial" w:cs="Arial" w:eastAsia="Arial" w:hAnsi="Arial"/>
                <w:sz w:val="20"/>
                <w:szCs w:val="20"/>
                <w:color w:val="auto"/>
                <w:w w:val="89"/>
              </w:rPr>
              <w:t>$</w:t>
            </w:r>
          </w:p>
        </w:tc>
        <w:tc>
          <w:tcPr>
            <w:tcW w:w="1220" w:type="dxa"/>
            <w:vAlign w:val="bottom"/>
            <w:gridSpan w:val="2"/>
          </w:tcPr>
          <w:p>
            <w:pPr>
              <w:jc w:val="right"/>
              <w:ind w:right="20"/>
              <w:spacing w:after="0" w:line="216" w:lineRule="exact"/>
              <w:rPr>
                <w:sz w:val="20"/>
                <w:szCs w:val="20"/>
                <w:color w:val="auto"/>
              </w:rPr>
            </w:pPr>
            <w:r>
              <w:rPr>
                <w:rFonts w:ascii="Arial" w:cs="Arial" w:eastAsia="Arial" w:hAnsi="Arial"/>
                <w:sz w:val="20"/>
                <w:szCs w:val="20"/>
                <w:color w:val="auto"/>
              </w:rPr>
              <w:t>(12)</w:t>
            </w:r>
          </w:p>
        </w:tc>
        <w:tc>
          <w:tcPr>
            <w:tcW w:w="520" w:type="dxa"/>
            <w:vAlign w:val="bottom"/>
          </w:tcPr>
          <w:p>
            <w:pPr>
              <w:jc w:val="right"/>
              <w:ind w:right="300"/>
              <w:spacing w:after="0" w:line="216" w:lineRule="exact"/>
              <w:rPr>
                <w:sz w:val="20"/>
                <w:szCs w:val="20"/>
                <w:color w:val="auto"/>
              </w:rPr>
            </w:pPr>
            <w:r>
              <w:rPr>
                <w:rFonts w:ascii="Arial" w:cs="Arial" w:eastAsia="Arial" w:hAnsi="Arial"/>
                <w:sz w:val="20"/>
                <w:szCs w:val="20"/>
                <w:color w:val="auto"/>
                <w:w w:val="89"/>
              </w:rPr>
              <w:t>$</w:t>
            </w:r>
          </w:p>
        </w:tc>
        <w:tc>
          <w:tcPr>
            <w:tcW w:w="840" w:type="dxa"/>
            <w:vAlign w:val="bottom"/>
          </w:tcPr>
          <w:p>
            <w:pPr>
              <w:jc w:val="right"/>
              <w:spacing w:after="0" w:line="216" w:lineRule="exact"/>
              <w:rPr>
                <w:sz w:val="20"/>
                <w:szCs w:val="20"/>
                <w:color w:val="auto"/>
              </w:rPr>
            </w:pPr>
            <w:r>
              <w:rPr>
                <w:rFonts w:ascii="Arial" w:cs="Arial" w:eastAsia="Arial" w:hAnsi="Arial"/>
                <w:sz w:val="20"/>
                <w:szCs w:val="20"/>
                <w:color w:val="auto"/>
              </w:rPr>
              <w:t>39</w:t>
            </w:r>
          </w:p>
        </w:tc>
        <w:tc>
          <w:tcPr>
            <w:tcW w:w="20" w:type="dxa"/>
            <w:vAlign w:val="bottom"/>
          </w:tcPr>
          <w:p>
            <w:pPr>
              <w:spacing w:after="0"/>
              <w:rPr>
                <w:sz w:val="18"/>
                <w:szCs w:val="18"/>
                <w:color w:val="auto"/>
              </w:rPr>
            </w:pPr>
          </w:p>
        </w:tc>
      </w:tr>
      <w:tr>
        <w:trPr>
          <w:trHeight w:val="226"/>
        </w:trPr>
        <w:tc>
          <w:tcPr>
            <w:tcW w:w="4880" w:type="dxa"/>
            <w:vAlign w:val="bottom"/>
          </w:tcPr>
          <w:p>
            <w:pPr>
              <w:spacing w:after="0" w:line="226" w:lineRule="exact"/>
              <w:rPr>
                <w:sz w:val="20"/>
                <w:szCs w:val="20"/>
                <w:color w:val="auto"/>
              </w:rPr>
            </w:pPr>
            <w:r>
              <w:rPr>
                <w:rFonts w:ascii="Arial" w:cs="Arial" w:eastAsia="Arial" w:hAnsi="Arial"/>
                <w:sz w:val="20"/>
                <w:szCs w:val="20"/>
                <w:color w:val="auto"/>
                <w:w w:val="97"/>
              </w:rPr>
              <w:t>Other noncurrent assets  . . . . . . . . . . . . . . . . . . . . . . . . .</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line="226" w:lineRule="exact"/>
              <w:rPr>
                <w:sz w:val="20"/>
                <w:szCs w:val="20"/>
                <w:color w:val="auto"/>
              </w:rPr>
            </w:pPr>
            <w:r>
              <w:rPr>
                <w:rFonts w:ascii="Arial" w:cs="Arial" w:eastAsia="Arial" w:hAnsi="Arial"/>
                <w:sz w:val="20"/>
                <w:szCs w:val="20"/>
                <w:color w:val="auto"/>
              </w:rPr>
              <w:t>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80"/>
              <w:spacing w:after="0" w:line="226" w:lineRule="exact"/>
              <w:rPr>
                <w:sz w:val="20"/>
                <w:szCs w:val="20"/>
                <w:color w:val="auto"/>
              </w:rPr>
            </w:pPr>
            <w:r>
              <w:rPr>
                <w:rFonts w:ascii="Arial" w:cs="Arial" w:eastAsia="Arial" w:hAnsi="Arial"/>
                <w:sz w:val="20"/>
                <w:szCs w:val="20"/>
                <w:color w:val="auto"/>
              </w:rPr>
              <w:t>—</w:t>
            </w:r>
          </w:p>
        </w:tc>
        <w:tc>
          <w:tcPr>
            <w:tcW w:w="520" w:type="dxa"/>
            <w:vAlign w:val="bottom"/>
          </w:tcPr>
          <w:p>
            <w:pPr>
              <w:spacing w:after="0"/>
              <w:rPr>
                <w:sz w:val="19"/>
                <w:szCs w:val="19"/>
                <w:color w:val="auto"/>
              </w:rPr>
            </w:pPr>
          </w:p>
        </w:tc>
        <w:tc>
          <w:tcPr>
            <w:tcW w:w="840" w:type="dxa"/>
            <w:vAlign w:val="bottom"/>
          </w:tcPr>
          <w:p>
            <w:pPr>
              <w:jc w:val="right"/>
              <w:spacing w:after="0" w:line="226" w:lineRule="exact"/>
              <w:rPr>
                <w:sz w:val="20"/>
                <w:szCs w:val="20"/>
                <w:color w:val="auto"/>
              </w:rPr>
            </w:pPr>
            <w:r>
              <w:rPr>
                <w:rFonts w:ascii="Arial" w:cs="Arial" w:eastAsia="Arial" w:hAnsi="Arial"/>
                <w:sz w:val="20"/>
                <w:szCs w:val="20"/>
                <w:color w:val="auto"/>
              </w:rPr>
              <w:t>7</w:t>
            </w:r>
          </w:p>
        </w:tc>
        <w:tc>
          <w:tcPr>
            <w:tcW w:w="20" w:type="dxa"/>
            <w:vAlign w:val="bottom"/>
          </w:tcPr>
          <w:p>
            <w:pPr>
              <w:spacing w:after="0"/>
              <w:rPr>
                <w:sz w:val="19"/>
                <w:szCs w:val="19"/>
                <w:color w:val="auto"/>
              </w:rPr>
            </w:pPr>
          </w:p>
        </w:tc>
      </w:tr>
      <w:tr>
        <w:trPr>
          <w:trHeight w:val="446"/>
        </w:trPr>
        <w:tc>
          <w:tcPr>
            <w:tcW w:w="4880" w:type="dxa"/>
            <w:vAlign w:val="bottom"/>
          </w:tcPr>
          <w:p>
            <w:pPr>
              <w:spacing w:after="0"/>
              <w:rPr>
                <w:sz w:val="20"/>
                <w:szCs w:val="20"/>
                <w:color w:val="auto"/>
              </w:rPr>
            </w:pPr>
            <w:r>
              <w:rPr>
                <w:rFonts w:ascii="Arial" w:cs="Arial" w:eastAsia="Arial" w:hAnsi="Arial"/>
                <w:sz w:val="20"/>
                <w:szCs w:val="20"/>
                <w:b w:val="1"/>
                <w:bCs w:val="1"/>
                <w:color w:val="auto"/>
              </w:rPr>
              <w:t>Liabilities: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880" w:type="dxa"/>
            <w:vAlign w:val="bottom"/>
          </w:tcPr>
          <w:p>
            <w:pPr>
              <w:spacing w:after="0" w:line="216" w:lineRule="exact"/>
              <w:rPr>
                <w:sz w:val="20"/>
                <w:szCs w:val="20"/>
                <w:color w:val="auto"/>
              </w:rPr>
            </w:pPr>
            <w:r>
              <w:rPr>
                <w:rFonts w:ascii="Arial" w:cs="Arial" w:eastAsia="Arial" w:hAnsi="Arial"/>
                <w:sz w:val="20"/>
                <w:szCs w:val="20"/>
                <w:color w:val="auto"/>
                <w:w w:val="99"/>
              </w:rPr>
              <w:t>Current - Fair value of derivative contracts  . . . . . . . . .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60"/>
              <w:spacing w:after="0" w:line="216" w:lineRule="exact"/>
              <w:rPr>
                <w:sz w:val="20"/>
                <w:szCs w:val="20"/>
                <w:color w:val="auto"/>
              </w:rPr>
            </w:pPr>
            <w:r>
              <w:rPr>
                <w:rFonts w:ascii="Arial" w:cs="Arial" w:eastAsia="Arial" w:hAnsi="Arial"/>
                <w:sz w:val="20"/>
                <w:szCs w:val="20"/>
                <w:color w:val="auto"/>
              </w:rPr>
              <w:t>(258)</w:t>
            </w:r>
          </w:p>
        </w:tc>
        <w:tc>
          <w:tcPr>
            <w:tcW w:w="180" w:type="dxa"/>
            <w:vAlign w:val="bottom"/>
          </w:tcPr>
          <w:p>
            <w:pPr>
              <w:spacing w:after="0"/>
              <w:rPr>
                <w:sz w:val="18"/>
                <w:szCs w:val="18"/>
                <w:color w:val="auto"/>
              </w:rPr>
            </w:pPr>
          </w:p>
        </w:tc>
        <w:tc>
          <w:tcPr>
            <w:tcW w:w="1180" w:type="dxa"/>
            <w:vAlign w:val="bottom"/>
          </w:tcPr>
          <w:p>
            <w:pPr>
              <w:jc w:val="right"/>
              <w:spacing w:after="0" w:line="216" w:lineRule="exact"/>
              <w:rPr>
                <w:sz w:val="20"/>
                <w:szCs w:val="20"/>
                <w:color w:val="auto"/>
              </w:rPr>
            </w:pPr>
            <w:r>
              <w:rPr>
                <w:rFonts w:ascii="Arial" w:cs="Arial" w:eastAsia="Arial" w:hAnsi="Arial"/>
                <w:sz w:val="20"/>
                <w:szCs w:val="20"/>
                <w:color w:val="auto"/>
              </w:rPr>
              <w:t>12</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(246)</w:t>
            </w:r>
          </w:p>
        </w:tc>
      </w:tr>
      <w:tr>
        <w:trPr>
          <w:trHeight w:val="224"/>
        </w:trPr>
        <w:tc>
          <w:tcPr>
            <w:tcW w:w="4880" w:type="dxa"/>
            <w:vAlign w:val="bottom"/>
          </w:tcPr>
          <w:p>
            <w:pPr>
              <w:spacing w:after="0" w:line="224" w:lineRule="exact"/>
              <w:rPr>
                <w:sz w:val="20"/>
                <w:szCs w:val="20"/>
                <w:color w:val="auto"/>
              </w:rPr>
            </w:pPr>
            <w:r>
              <w:rPr>
                <w:rFonts w:ascii="Arial" w:cs="Arial" w:eastAsia="Arial" w:hAnsi="Arial"/>
                <w:sz w:val="20"/>
                <w:szCs w:val="20"/>
                <w:color w:val="auto"/>
                <w:w w:val="99"/>
              </w:rPr>
              <w:t>Noncurrent - Fair value of derivative contracts  . . . . . . .</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20"/>
              <w:spacing w:after="0" w:line="224" w:lineRule="exact"/>
              <w:rPr>
                <w:sz w:val="20"/>
                <w:szCs w:val="20"/>
                <w:color w:val="auto"/>
              </w:rPr>
            </w:pPr>
            <w:r>
              <w:rPr>
                <w:rFonts w:ascii="Arial" w:cs="Arial" w:eastAsia="Arial" w:hAnsi="Arial"/>
                <w:sz w:val="20"/>
                <w:szCs w:val="20"/>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80"/>
              <w:spacing w:after="0" w:line="224" w:lineRule="exact"/>
              <w:rPr>
                <w:sz w:val="20"/>
                <w:szCs w:val="20"/>
                <w:color w:val="auto"/>
              </w:rPr>
            </w:pPr>
            <w:r>
              <w:rPr>
                <w:rFonts w:ascii="Arial" w:cs="Arial" w:eastAsia="Arial" w:hAnsi="Arial"/>
                <w:sz w:val="20"/>
                <w:szCs w:val="20"/>
                <w:color w:val="auto"/>
              </w:rPr>
              <w:t>—</w:t>
            </w:r>
          </w:p>
        </w:tc>
        <w:tc>
          <w:tcPr>
            <w:tcW w:w="520" w:type="dxa"/>
            <w:vAlign w:val="bottom"/>
          </w:tcPr>
          <w:p>
            <w:pPr>
              <w:spacing w:after="0"/>
              <w:rPr>
                <w:sz w:val="19"/>
                <w:szCs w:val="19"/>
                <w:color w:val="auto"/>
              </w:rPr>
            </w:pPr>
          </w:p>
        </w:tc>
        <w:tc>
          <w:tcPr>
            <w:tcW w:w="860" w:type="dxa"/>
            <w:vAlign w:val="bottom"/>
            <w:gridSpan w:val="2"/>
          </w:tcPr>
          <w:p>
            <w:pPr>
              <w:jc w:val="right"/>
              <w:ind w:right="60"/>
              <w:spacing w:after="0" w:line="224" w:lineRule="exact"/>
              <w:rPr>
                <w:sz w:val="20"/>
                <w:szCs w:val="20"/>
                <w:color w:val="auto"/>
              </w:rPr>
            </w:pPr>
            <w:r>
              <w:rPr>
                <w:rFonts w:ascii="Arial" w:cs="Arial" w:eastAsia="Arial" w:hAnsi="Arial"/>
                <w:sz w:val="20"/>
                <w:szCs w:val="20"/>
                <w:color w:val="auto"/>
              </w:rPr>
              <w:t>—</w:t>
            </w:r>
          </w:p>
        </w:tc>
      </w:tr>
      <w:tr>
        <w:trPr>
          <w:trHeight w:val="30"/>
        </w:trPr>
        <w:tc>
          <w:tcPr>
            <w:tcW w:w="4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6"/>
        </w:trPr>
        <w:tc>
          <w:tcPr>
            <w:tcW w:w="488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20"/>
                <w:szCs w:val="20"/>
                <w:color w:val="auto"/>
              </w:rPr>
              <w:t>(200)</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740" w:type="dxa"/>
            <w:vAlign w:val="bottom"/>
            <w:gridSpan w:val="3"/>
          </w:tcPr>
          <w:p>
            <w:pPr>
              <w:jc w:val="right"/>
              <w:ind w:right="300"/>
              <w:spacing w:after="0"/>
              <w:rPr>
                <w:sz w:val="20"/>
                <w:szCs w:val="20"/>
                <w:color w:val="auto"/>
              </w:rPr>
            </w:pPr>
            <w:r>
              <w:rPr>
                <w:rFonts w:ascii="Arial" w:cs="Arial" w:eastAsia="Arial" w:hAnsi="Arial"/>
                <w:sz w:val="20"/>
                <w:szCs w:val="20"/>
                <w:color w:val="auto"/>
              </w:rPr>
              <w:t>— $</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(200)</w:t>
            </w:r>
          </w:p>
        </w:tc>
      </w:tr>
      <w:tr>
        <w:trPr>
          <w:trHeight w:val="30"/>
        </w:trPr>
        <w:tc>
          <w:tcPr>
            <w:tcW w:w="4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4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40"/>
          </w:cols>
          <w:pgMar w:left="1380" w:top="1316" w:right="1360" w:bottom="661" w:gutter="0" w:footer="0" w:header="0"/>
        </w:sectPr>
      </w:pPr>
    </w:p>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124</w:t>
      </w:r>
    </w:p>
    <w:p>
      <w:pPr>
        <w:sectPr>
          <w:pgSz w:w="11880" w:h="15480" w:orient="portrait"/>
          <w:cols w:equalWidth="0" w:num="1">
            <w:col w:w="9140"/>
          </w:cols>
          <w:pgMar w:left="1380" w:top="1316" w:right="1360" w:bottom="661" w:gutter="0" w:footer="0" w:header="0"/>
          <w:type w:val="continuous"/>
        </w:sectPr>
      </w:pPr>
    </w:p>
    <w:bookmarkStart w:id="128" w:name="page129"/>
    <w:bookmarkEnd w:id="128"/>
    <w:p>
      <w:pPr>
        <w:jc w:val="center"/>
        <w:spacing w:after="0"/>
        <w:rPr>
          <w:sz w:val="20"/>
          <w:szCs w:val="20"/>
          <w:color w:val="auto"/>
        </w:rPr>
      </w:pPr>
      <w:r>
        <w:rPr>
          <w:rFonts w:ascii="Arial" w:cs="Arial" w:eastAsia="Arial" w:hAnsi="Arial"/>
          <w:sz w:val="20"/>
          <w:szCs w:val="20"/>
          <w:b w:val="1"/>
          <w:bCs w:val="1"/>
          <w:color w:val="auto"/>
        </w:rPr>
        <w:t>December 31, 2021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19050</wp:posOffset>
                </wp:positionV>
                <wp:extent cx="579120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912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pt" to="456pt,1.5pt" o:allowincell="f" strokecolor="#000000" strokeweight="1pt"/>
            </w:pict>
          </mc:Fallback>
        </mc:AlternateConten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20"/>
                <w:szCs w:val="20"/>
                <w:b w:val="1"/>
                <w:bCs w:val="1"/>
                <w:color w:val="auto"/>
              </w:rPr>
              <w:t>Gross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0"/>
        </w:trPr>
        <w:tc>
          <w:tcPr>
            <w:tcW w:w="5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4"/>
          </w:tcPr>
          <w:p>
            <w:pPr>
              <w:jc w:val="right"/>
              <w:spacing w:after="0" w:line="200" w:lineRule="exact"/>
              <w:rPr>
                <w:sz w:val="20"/>
                <w:szCs w:val="20"/>
                <w:color w:val="auto"/>
              </w:rPr>
            </w:pPr>
            <w:r>
              <w:rPr>
                <w:rFonts w:ascii="Arial" w:cs="Arial" w:eastAsia="Arial" w:hAnsi="Arial"/>
                <w:sz w:val="20"/>
                <w:szCs w:val="20"/>
                <w:b w:val="1"/>
                <w:bCs w:val="1"/>
                <w:color w:val="auto"/>
                <w:w w:val="98"/>
              </w:rPr>
              <w:t>Amounts at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8"/>
        </w:trPr>
        <w:tc>
          <w:tcPr>
            <w:tcW w:w="5880" w:type="dxa"/>
            <w:vAlign w:val="bottom"/>
          </w:tcPr>
          <w:p>
            <w:pPr>
              <w:ind w:left="2280"/>
              <w:spacing w:after="0" w:line="228" w:lineRule="exact"/>
              <w:rPr>
                <w:sz w:val="20"/>
                <w:szCs w:val="20"/>
                <w:color w:val="auto"/>
              </w:rPr>
            </w:pPr>
            <w:r>
              <w:rPr>
                <w:rFonts w:ascii="Arial" w:cs="Arial" w:eastAsia="Arial" w:hAnsi="Arial"/>
                <w:sz w:val="20"/>
                <w:szCs w:val="20"/>
                <w:b w:val="1"/>
                <w:bCs w:val="1"/>
                <w:color w:val="auto"/>
              </w:rPr>
              <w:t>Classification</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3"/>
          </w:tcPr>
          <w:p>
            <w:pPr>
              <w:spacing w:after="0" w:line="228" w:lineRule="exact"/>
              <w:rPr>
                <w:sz w:val="20"/>
                <w:szCs w:val="20"/>
                <w:color w:val="auto"/>
              </w:rPr>
            </w:pPr>
            <w:r>
              <w:rPr>
                <w:rFonts w:ascii="Arial" w:cs="Arial" w:eastAsia="Arial" w:hAnsi="Arial"/>
                <w:sz w:val="20"/>
                <w:szCs w:val="20"/>
                <w:b w:val="1"/>
                <w:bCs w:val="1"/>
                <w:color w:val="auto"/>
              </w:rPr>
              <w:t>Fair Value</w:t>
            </w:r>
          </w:p>
        </w:tc>
        <w:tc>
          <w:tcPr>
            <w:tcW w:w="40" w:type="dxa"/>
            <w:vAlign w:val="bottom"/>
          </w:tcPr>
          <w:p>
            <w:pPr>
              <w:spacing w:after="0"/>
              <w:rPr>
                <w:sz w:val="19"/>
                <w:szCs w:val="19"/>
                <w:color w:val="auto"/>
              </w:rPr>
            </w:pPr>
          </w:p>
        </w:tc>
        <w:tc>
          <w:tcPr>
            <w:tcW w:w="2060" w:type="dxa"/>
            <w:vAlign w:val="bottom"/>
            <w:gridSpan w:val="9"/>
          </w:tcPr>
          <w:p>
            <w:pPr>
              <w:spacing w:after="0" w:line="228" w:lineRule="exact"/>
              <w:rPr>
                <w:sz w:val="20"/>
                <w:szCs w:val="20"/>
                <w:color w:val="auto"/>
              </w:rPr>
            </w:pPr>
            <w:r>
              <w:rPr>
                <w:rFonts w:ascii="Arial" w:cs="Arial" w:eastAsia="Arial" w:hAnsi="Arial"/>
                <w:sz w:val="20"/>
                <w:szCs w:val="20"/>
                <w:b w:val="1"/>
                <w:bCs w:val="1"/>
                <w:color w:val="auto"/>
                <w:w w:val="98"/>
              </w:rPr>
              <w:t>Netting Net Fair Value</w:t>
            </w:r>
          </w:p>
        </w:tc>
      </w:tr>
      <w:tr>
        <w:trPr>
          <w:trHeight w:val="20"/>
        </w:trPr>
        <w:tc>
          <w:tcPr>
            <w:tcW w:w="5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80"/>
        </w:trPr>
        <w:tc>
          <w:tcPr>
            <w:tcW w:w="5880" w:type="dxa"/>
            <w:vAlign w:val="bottom"/>
          </w:tcPr>
          <w:p>
            <w:pPr>
              <w:spacing w:after="0"/>
              <w:rPr>
                <w:sz w:val="20"/>
                <w:szCs w:val="20"/>
                <w:color w:val="auto"/>
              </w:rPr>
            </w:pPr>
            <w:r>
              <w:rPr>
                <w:rFonts w:ascii="Arial" w:cs="Arial" w:eastAsia="Arial" w:hAnsi="Arial"/>
                <w:sz w:val="20"/>
                <w:szCs w:val="20"/>
                <w:b w:val="1"/>
                <w:bCs w:val="1"/>
                <w:color w:val="auto"/>
              </w:rPr>
              <w:t>Assets: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6"/>
          </w:tcPr>
          <w:p>
            <w:pPr>
              <w:jc w:val="right"/>
              <w:ind w:right="380"/>
              <w:spacing w:after="0"/>
              <w:rPr>
                <w:sz w:val="20"/>
                <w:szCs w:val="20"/>
                <w:color w:val="auto"/>
              </w:rPr>
            </w:pPr>
            <w:r>
              <w:rPr>
                <w:rFonts w:ascii="Arial" w:cs="Arial" w:eastAsia="Arial" w:hAnsi="Arial"/>
                <w:sz w:val="16"/>
                <w:szCs w:val="16"/>
                <w:color w:val="auto"/>
              </w:rPr>
              <w:t>(in millions)</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0"/>
        </w:trPr>
        <w:tc>
          <w:tcPr>
            <w:tcW w:w="5880" w:type="dxa"/>
            <w:vAlign w:val="bottom"/>
          </w:tcPr>
          <w:p>
            <w:pPr>
              <w:spacing w:after="0"/>
              <w:rPr>
                <w:sz w:val="20"/>
                <w:szCs w:val="20"/>
                <w:color w:val="auto"/>
              </w:rPr>
            </w:pPr>
            <w:r>
              <w:rPr>
                <w:rFonts w:ascii="Arial" w:cs="Arial" w:eastAsia="Arial" w:hAnsi="Arial"/>
                <w:sz w:val="20"/>
                <w:szCs w:val="20"/>
                <w:color w:val="auto"/>
                <w:w w:val="97"/>
              </w:rPr>
              <w:t>Other current assets . . . . . . . . . . . . . . . . . . . . . . . . . . . . . . . . . . . . . .</w:t>
            </w:r>
          </w:p>
        </w:tc>
        <w:tc>
          <w:tcPr>
            <w:tcW w:w="260" w:type="dxa"/>
            <w:vAlign w:val="bottom"/>
            <w:gridSpan w:val="3"/>
          </w:tcPr>
          <w:p>
            <w:pPr>
              <w:ind w:left="1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33</w:t>
            </w:r>
          </w:p>
        </w:tc>
        <w:tc>
          <w:tcPr>
            <w:tcW w:w="60" w:type="dxa"/>
            <w:vAlign w:val="bottom"/>
          </w:tcPr>
          <w:p>
            <w:pPr>
              <w:spacing w:after="0"/>
              <w:rPr>
                <w:sz w:val="20"/>
                <w:szCs w:val="20"/>
                <w:color w:val="auto"/>
              </w:rPr>
            </w:pPr>
          </w:p>
        </w:tc>
        <w:tc>
          <w:tcPr>
            <w:tcW w:w="280" w:type="dxa"/>
            <w:vAlign w:val="bottom"/>
            <w:gridSpan w:val="3"/>
          </w:tcPr>
          <w:p>
            <w:pPr>
              <w:ind w:left="60"/>
              <w:spacing w:after="0"/>
              <w:rPr>
                <w:sz w:val="20"/>
                <w:szCs w:val="20"/>
                <w:color w:val="auto"/>
              </w:rPr>
            </w:pPr>
            <w:r>
              <w:rPr>
                <w:rFonts w:ascii="Arial" w:cs="Arial" w:eastAsia="Arial" w:hAnsi="Arial"/>
                <w:sz w:val="20"/>
                <w:szCs w:val="20"/>
                <w:color w:val="auto"/>
              </w:rPr>
              <w:t>$</w:t>
            </w:r>
          </w:p>
        </w:tc>
        <w:tc>
          <w:tcPr>
            <w:tcW w:w="480" w:type="dxa"/>
            <w:vAlign w:val="bottom"/>
            <w:gridSpan w:val="3"/>
          </w:tcPr>
          <w:p>
            <w:pPr>
              <w:jc w:val="right"/>
              <w:ind w:right="20"/>
              <w:spacing w:after="0"/>
              <w:rPr>
                <w:sz w:val="20"/>
                <w:szCs w:val="20"/>
                <w:color w:val="auto"/>
              </w:rPr>
            </w:pPr>
            <w:r>
              <w:rPr>
                <w:rFonts w:ascii="Arial" w:cs="Arial" w:eastAsia="Arial" w:hAnsi="Arial"/>
                <w:sz w:val="20"/>
                <w:szCs w:val="20"/>
                <w:color w:val="auto"/>
              </w:rPr>
              <w:t>(27)</w:t>
            </w:r>
          </w:p>
        </w:tc>
        <w:tc>
          <w:tcPr>
            <w:tcW w:w="520" w:type="dxa"/>
            <w:vAlign w:val="bottom"/>
            <w:gridSpan w:val="2"/>
          </w:tcPr>
          <w:p>
            <w:pPr>
              <w:jc w:val="right"/>
              <w:ind w:right="36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6</w:t>
            </w:r>
          </w:p>
        </w:tc>
        <w:tc>
          <w:tcPr>
            <w:tcW w:w="40" w:type="dxa"/>
            <w:vAlign w:val="bottom"/>
          </w:tcPr>
          <w:p>
            <w:pPr>
              <w:spacing w:after="0"/>
              <w:rPr>
                <w:sz w:val="20"/>
                <w:szCs w:val="20"/>
                <w:color w:val="auto"/>
              </w:rPr>
            </w:pPr>
          </w:p>
        </w:tc>
      </w:tr>
      <w:tr>
        <w:trPr>
          <w:trHeight w:val="240"/>
        </w:trPr>
        <w:tc>
          <w:tcPr>
            <w:tcW w:w="5880" w:type="dxa"/>
            <w:vAlign w:val="bottom"/>
          </w:tcPr>
          <w:p>
            <w:pPr>
              <w:spacing w:after="0"/>
              <w:rPr>
                <w:sz w:val="20"/>
                <w:szCs w:val="20"/>
                <w:color w:val="auto"/>
              </w:rPr>
            </w:pPr>
            <w:r>
              <w:rPr>
                <w:rFonts w:ascii="Arial" w:cs="Arial" w:eastAsia="Arial" w:hAnsi="Arial"/>
                <w:sz w:val="20"/>
                <w:szCs w:val="20"/>
                <w:color w:val="auto"/>
                <w:w w:val="97"/>
              </w:rPr>
              <w:t>Other noncurrent assets . . . . . . . . . . . . . . . . . . . . . . . . . . . . . . . . . .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20"/>
                <w:szCs w:val="20"/>
                <w:color w:val="auto"/>
              </w:rPr>
              <w:t>(11)</w:t>
            </w: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w:t>
            </w:r>
          </w:p>
        </w:tc>
        <w:tc>
          <w:tcPr>
            <w:tcW w:w="40" w:type="dxa"/>
            <w:vAlign w:val="bottom"/>
          </w:tcPr>
          <w:p>
            <w:pPr>
              <w:spacing w:after="0"/>
              <w:rPr>
                <w:sz w:val="20"/>
                <w:szCs w:val="20"/>
                <w:color w:val="auto"/>
              </w:rPr>
            </w:pPr>
          </w:p>
        </w:tc>
      </w:tr>
      <w:tr>
        <w:trPr>
          <w:trHeight w:val="480"/>
        </w:trPr>
        <w:tc>
          <w:tcPr>
            <w:tcW w:w="5880" w:type="dxa"/>
            <w:vAlign w:val="bottom"/>
          </w:tcPr>
          <w:p>
            <w:pPr>
              <w:spacing w:after="0"/>
              <w:rPr>
                <w:sz w:val="20"/>
                <w:szCs w:val="20"/>
                <w:color w:val="auto"/>
              </w:rPr>
            </w:pPr>
            <w:r>
              <w:rPr>
                <w:rFonts w:ascii="Arial" w:cs="Arial" w:eastAsia="Arial" w:hAnsi="Arial"/>
                <w:sz w:val="20"/>
                <w:szCs w:val="20"/>
                <w:b w:val="1"/>
                <w:bCs w:val="1"/>
                <w:color w:val="auto"/>
              </w:rPr>
              <w:t>Liabilities: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0"/>
        </w:trPr>
        <w:tc>
          <w:tcPr>
            <w:tcW w:w="5880" w:type="dxa"/>
            <w:vAlign w:val="bottom"/>
          </w:tcPr>
          <w:p>
            <w:pPr>
              <w:spacing w:after="0"/>
              <w:rPr>
                <w:sz w:val="20"/>
                <w:szCs w:val="20"/>
                <w:color w:val="auto"/>
              </w:rPr>
            </w:pPr>
            <w:r>
              <w:rPr>
                <w:rFonts w:ascii="Arial" w:cs="Arial" w:eastAsia="Arial" w:hAnsi="Arial"/>
                <w:sz w:val="20"/>
                <w:szCs w:val="20"/>
                <w:color w:val="auto"/>
                <w:w w:val="98"/>
              </w:rPr>
              <w:t>Current - Fair value of derivative contracts . . . . . . . . . . . . . . . . . . .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20"/>
                <w:szCs w:val="20"/>
                <w:color w:val="auto"/>
              </w:rPr>
              <w:t>(297)</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20"/>
                <w:szCs w:val="20"/>
                <w:color w:val="auto"/>
              </w:rPr>
              <w:t>27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20"/>
                <w:szCs w:val="20"/>
                <w:color w:val="auto"/>
              </w:rPr>
              <w:t>(270)</w:t>
            </w:r>
          </w:p>
        </w:tc>
      </w:tr>
      <w:tr>
        <w:trPr>
          <w:trHeight w:val="240"/>
        </w:trPr>
        <w:tc>
          <w:tcPr>
            <w:tcW w:w="5880" w:type="dxa"/>
            <w:vAlign w:val="bottom"/>
          </w:tcPr>
          <w:p>
            <w:pPr>
              <w:spacing w:after="0"/>
              <w:rPr>
                <w:sz w:val="20"/>
                <w:szCs w:val="20"/>
                <w:color w:val="auto"/>
              </w:rPr>
            </w:pPr>
            <w:r>
              <w:rPr>
                <w:rFonts w:ascii="Arial" w:cs="Arial" w:eastAsia="Arial" w:hAnsi="Arial"/>
                <w:sz w:val="20"/>
                <w:szCs w:val="20"/>
                <w:color w:val="auto"/>
                <w:w w:val="98"/>
              </w:rPr>
              <w:t>Noncurrent - Fair value of derivative contracts . . . . . . . . . . . . . . . .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20"/>
                <w:szCs w:val="20"/>
                <w:color w:val="auto"/>
              </w:rPr>
              <w:t>(143)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20"/>
                <w:szCs w:val="20"/>
                <w:color w:val="auto"/>
              </w:rPr>
              <w:t>11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20"/>
                <w:szCs w:val="20"/>
                <w:color w:val="auto"/>
              </w:rPr>
              <w:t>(132)</w:t>
            </w:r>
          </w:p>
        </w:tc>
      </w:tr>
      <w:tr>
        <w:trPr>
          <w:trHeight w:val="30"/>
        </w:trPr>
        <w:tc>
          <w:tcPr>
            <w:tcW w:w="58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5880" w:type="dxa"/>
            <w:vAlign w:val="bottom"/>
          </w:tcPr>
          <w:p>
            <w:pPr>
              <w:spacing w:after="0"/>
              <w:rPr>
                <w:sz w:val="23"/>
                <w:szCs w:val="23"/>
                <w:color w:val="auto"/>
              </w:rPr>
            </w:pPr>
          </w:p>
        </w:tc>
        <w:tc>
          <w:tcPr>
            <w:tcW w:w="260" w:type="dxa"/>
            <w:vAlign w:val="bottom"/>
            <w:gridSpan w:val="3"/>
          </w:tcPr>
          <w:p>
            <w:pPr>
              <w:ind w:left="100"/>
              <w:spacing w:after="0"/>
              <w:rPr>
                <w:sz w:val="20"/>
                <w:szCs w:val="20"/>
                <w:color w:val="auto"/>
              </w:rPr>
            </w:pPr>
            <w:r>
              <w:rPr>
                <w:rFonts w:ascii="Arial" w:cs="Arial" w:eastAsia="Arial" w:hAnsi="Arial"/>
                <w:sz w:val="20"/>
                <w:szCs w:val="20"/>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20"/>
                <w:szCs w:val="20"/>
                <w:color w:val="auto"/>
              </w:rPr>
              <w:t>(395)</w:t>
            </w:r>
          </w:p>
        </w:tc>
        <w:tc>
          <w:tcPr>
            <w:tcW w:w="280" w:type="dxa"/>
            <w:vAlign w:val="bottom"/>
            <w:gridSpan w:val="3"/>
          </w:tcPr>
          <w:p>
            <w:pPr>
              <w:ind w:left="60"/>
              <w:spacing w:after="0"/>
              <w:rPr>
                <w:sz w:val="20"/>
                <w:szCs w:val="20"/>
                <w:color w:val="auto"/>
              </w:rPr>
            </w:pPr>
            <w:r>
              <w:rPr>
                <w:rFonts w:ascii="Arial" w:cs="Arial" w:eastAsia="Arial" w:hAnsi="Arial"/>
                <w:sz w:val="20"/>
                <w:szCs w:val="20"/>
                <w:color w:val="auto"/>
              </w:rPr>
              <w:t>$</w:t>
            </w:r>
          </w:p>
        </w:tc>
        <w:tc>
          <w:tcPr>
            <w:tcW w:w="480" w:type="dxa"/>
            <w:vAlign w:val="bottom"/>
            <w:gridSpan w:val="3"/>
          </w:tcPr>
          <w:p>
            <w:pPr>
              <w:jc w:val="right"/>
              <w:ind w:right="80"/>
              <w:spacing w:after="0"/>
              <w:rPr>
                <w:sz w:val="20"/>
                <w:szCs w:val="20"/>
                <w:color w:val="auto"/>
              </w:rPr>
            </w:pPr>
            <w:r>
              <w:rPr>
                <w:rFonts w:ascii="Arial" w:cs="Arial" w:eastAsia="Arial" w:hAnsi="Arial"/>
                <w:sz w:val="20"/>
                <w:szCs w:val="20"/>
                <w:color w:val="auto"/>
              </w:rPr>
              <w:t>—</w:t>
            </w:r>
          </w:p>
        </w:tc>
        <w:tc>
          <w:tcPr>
            <w:tcW w:w="520" w:type="dxa"/>
            <w:vAlign w:val="bottom"/>
            <w:gridSpan w:val="2"/>
          </w:tcPr>
          <w:p>
            <w:pPr>
              <w:jc w:val="right"/>
              <w:ind w:right="360"/>
              <w:spacing w:after="0"/>
              <w:rPr>
                <w:sz w:val="20"/>
                <w:szCs w:val="20"/>
                <w:color w:val="auto"/>
              </w:rPr>
            </w:pPr>
            <w:r>
              <w:rPr>
                <w:rFonts w:ascii="Arial" w:cs="Arial" w:eastAsia="Arial" w:hAnsi="Arial"/>
                <w:sz w:val="20"/>
                <w:szCs w:val="20"/>
                <w:color w:val="auto"/>
              </w:rPr>
              <w:t>$</w:t>
            </w:r>
          </w:p>
        </w:tc>
        <w:tc>
          <w:tcPr>
            <w:tcW w:w="820" w:type="dxa"/>
            <w:vAlign w:val="bottom"/>
            <w:gridSpan w:val="2"/>
          </w:tcPr>
          <w:p>
            <w:pPr>
              <w:jc w:val="right"/>
              <w:spacing w:after="0"/>
              <w:rPr>
                <w:sz w:val="20"/>
                <w:szCs w:val="20"/>
                <w:color w:val="auto"/>
              </w:rPr>
            </w:pPr>
            <w:r>
              <w:rPr>
                <w:rFonts w:ascii="Arial" w:cs="Arial" w:eastAsia="Arial" w:hAnsi="Arial"/>
                <w:sz w:val="20"/>
                <w:szCs w:val="20"/>
                <w:color w:val="auto"/>
              </w:rPr>
              <w:t>(395)</w:t>
            </w:r>
          </w:p>
        </w:tc>
      </w:tr>
      <w:tr>
        <w:trPr>
          <w:trHeight w:val="30"/>
        </w:trPr>
        <w:tc>
          <w:tcPr>
            <w:tcW w:w="58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0"/>
        </w:trPr>
        <w:tc>
          <w:tcPr>
            <w:tcW w:w="5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Counterparty Credit Risk</w:t>
      </w:r>
    </w:p>
    <w:p>
      <w:pPr>
        <w:spacing w:after="0" w:line="215"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As of December 31, 2022, all of our derivative financial instruments were with investment-grade counterparties. We actively evaluate the creditworthiness of our counterparties, assign credit limits and monitor exposure against those assigned limits. We believe exposure to credit-related losses as of December 31, 2022 was not significant. Losses associated with credit risk have been insignificant for all periods presented. At December 31, 2022, and 2021, we had an insignificant amount of collateral posted.</w:t>
      </w:r>
    </w:p>
    <w:p>
      <w:pPr>
        <w:spacing w:after="0" w:line="204" w:lineRule="exact"/>
        <w:rPr>
          <w:sz w:val="20"/>
          <w:szCs w:val="20"/>
          <w:color w:val="auto"/>
        </w:rPr>
      </w:pPr>
    </w:p>
    <w:p>
      <w:pPr>
        <w:ind w:right="1200"/>
        <w:spacing w:after="0" w:line="250" w:lineRule="auto"/>
        <w:rPr>
          <w:sz w:val="20"/>
          <w:szCs w:val="20"/>
          <w:color w:val="auto"/>
        </w:rPr>
      </w:pPr>
      <w:r>
        <w:rPr>
          <w:rFonts w:ascii="Arial" w:cs="Arial" w:eastAsia="Arial" w:hAnsi="Arial"/>
          <w:sz w:val="20"/>
          <w:szCs w:val="20"/>
          <w:b w:val="1"/>
          <w:bCs w:val="1"/>
          <w:color w:val="auto"/>
        </w:rPr>
        <w:t>NOTE 8 INVESTMENT IN UNCONSOLIDATED SUBSIDIARY AND RELATED PARTY TRANSACTIONS</w:t>
      </w:r>
    </w:p>
    <w:p>
      <w:pPr>
        <w:spacing w:after="0" w:line="205" w:lineRule="exact"/>
        <w:rPr>
          <w:sz w:val="20"/>
          <w:szCs w:val="20"/>
          <w:color w:val="auto"/>
        </w:rPr>
      </w:pPr>
    </w:p>
    <w:p>
      <w:pPr>
        <w:ind w:right="120" w:firstLine="300"/>
        <w:spacing w:after="0" w:line="249" w:lineRule="auto"/>
        <w:rPr>
          <w:sz w:val="20"/>
          <w:szCs w:val="20"/>
          <w:color w:val="auto"/>
        </w:rPr>
      </w:pPr>
      <w:r>
        <w:rPr>
          <w:rFonts w:ascii="Arial" w:cs="Arial" w:eastAsia="Arial" w:hAnsi="Arial"/>
          <w:sz w:val="20"/>
          <w:szCs w:val="20"/>
          <w:color w:val="auto"/>
        </w:rPr>
        <w:t xml:space="preserve">In August 2022, our wholly-owned subsidiary Carbon TerraVault I, LLC entered into a joint venture with BGTF Sierra Aggregator LLC (Brookfield) for the further development of a carbon management business in California (Carbon TerraVault JV). We hold a 51% interest in the Carbon TerraVault JV and Brookfield holds a 49% interest. We determined that the Carbon TerraVault JV is a VIE; however, we share decision-making power with Brookfield on all matters that most significantly impact the economic performance of the joint venture. Therefore, we account for our investment in the Carbon TerraVault JV under the equity method of accounting. See </w:t>
      </w:r>
      <w:r>
        <w:rPr>
          <w:rFonts w:ascii="Arial" w:cs="Arial" w:eastAsia="Arial" w:hAnsi="Arial"/>
          <w:sz w:val="20"/>
          <w:szCs w:val="20"/>
          <w:i w:val="1"/>
          <w:iCs w:val="1"/>
          <w:color w:val="auto"/>
        </w:rPr>
        <w:t>Note 1 Nature of Business, Summary of</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Significant Accounting Policies and Other </w:t>
      </w:r>
      <w:r>
        <w:rPr>
          <w:rFonts w:ascii="Arial" w:cs="Arial" w:eastAsia="Arial" w:hAnsi="Arial"/>
          <w:sz w:val="20"/>
          <w:szCs w:val="20"/>
          <w:color w:val="auto"/>
        </w:rPr>
        <w:t>for more information on the VIE consolidation model.</w:t>
      </w:r>
    </w:p>
    <w:p>
      <w:pPr>
        <w:spacing w:after="0" w:line="211" w:lineRule="exact"/>
        <w:rPr>
          <w:sz w:val="20"/>
          <w:szCs w:val="20"/>
          <w:color w:val="auto"/>
        </w:rPr>
      </w:pPr>
    </w:p>
    <w:p>
      <w:pPr>
        <w:ind w:right="20" w:firstLine="300"/>
        <w:spacing w:after="0" w:line="245" w:lineRule="auto"/>
        <w:rPr>
          <w:sz w:val="20"/>
          <w:szCs w:val="20"/>
          <w:color w:val="auto"/>
        </w:rPr>
      </w:pPr>
      <w:r>
        <w:rPr>
          <w:rFonts w:ascii="Arial" w:cs="Arial" w:eastAsia="Arial" w:hAnsi="Arial"/>
          <w:sz w:val="20"/>
          <w:szCs w:val="20"/>
          <w:color w:val="auto"/>
        </w:rPr>
        <w:t>Brookfield has committed an initial $500 million to invest in CCS projects that are jointly approved through the Carbon TerraVault JV. As part of the formation of the Carbon TerraVault JV, we contributed rights to inject CO</w:t>
      </w:r>
      <w:r>
        <w:rPr>
          <w:rFonts w:ascii="Arial" w:cs="Arial" w:eastAsia="Arial" w:hAnsi="Arial"/>
          <w:sz w:val="26"/>
          <w:szCs w:val="26"/>
          <w:color w:val="auto"/>
          <w:vertAlign w:val="subscript"/>
        </w:rPr>
        <w:t>2</w:t>
      </w:r>
      <w:r>
        <w:rPr>
          <w:rFonts w:ascii="Arial" w:cs="Arial" w:eastAsia="Arial" w:hAnsi="Arial"/>
          <w:sz w:val="20"/>
          <w:szCs w:val="20"/>
          <w:color w:val="auto"/>
        </w:rPr>
        <w:t xml:space="preserve"> into the 26R reservoir in our Elk Hills field for permanent CO</w:t>
      </w:r>
      <w:r>
        <w:rPr>
          <w:rFonts w:ascii="Arial" w:cs="Arial" w:eastAsia="Arial" w:hAnsi="Arial"/>
          <w:sz w:val="26"/>
          <w:szCs w:val="26"/>
          <w:color w:val="auto"/>
          <w:vertAlign w:val="subscript"/>
        </w:rPr>
        <w:t>2</w:t>
      </w:r>
      <w:r>
        <w:rPr>
          <w:rFonts w:ascii="Arial" w:cs="Arial" w:eastAsia="Arial" w:hAnsi="Arial"/>
          <w:sz w:val="20"/>
          <w:szCs w:val="20"/>
          <w:color w:val="auto"/>
        </w:rPr>
        <w:t xml:space="preserve"> storage (26R reservoir) and Brookfield committed to make an initial investment of $137 million, payable in three equal installments with the last two installments subject to the achievement of certain milestones. Brookfield contributed the first $46 million installment of their initial investment to the Carbon TerraVault JV in 2022. This amount may, at our sole discretion, be distributed to us or used to satisfy our share of future capital contributions, among other items. During 2022, $12 million was distributed to us (and used to pay transaction costs related to the formation of the joint venture) and $2 million was used to satisfy a capital call. The remaining $32 million is included in receivable from affiliate on our consolidated balance sheet as of December 31, 2022. Because the parties have certain put and call rights (repurchase features) with respect to the 26R reservoir if certain milestones are not met, the initial investment by Brookfield is reflected as a contingent liability, included in other long-term liabilities, on our consolidated balance sheet. This contingent liability was $48 million as of December 31, 2022, including $2 million of interest, and reflects the amount we would be required to pay should Brookfield exercise its put right.</w:t>
      </w:r>
    </w:p>
    <w:p>
      <w:pPr>
        <w:sectPr>
          <w:pgSz w:w="11880" w:h="15480" w:orient="portrait"/>
          <w:cols w:equalWidth="0" w:num="1">
            <w:col w:w="9120"/>
          </w:cols>
          <w:pgMar w:left="1380" w:top="1270" w:right="138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125</w:t>
      </w:r>
    </w:p>
    <w:p>
      <w:pPr>
        <w:sectPr>
          <w:pgSz w:w="11880" w:h="15480" w:orient="portrait"/>
          <w:cols w:equalWidth="0" w:num="1">
            <w:col w:w="9120"/>
          </w:cols>
          <w:pgMar w:left="1380" w:top="1270" w:right="1380" w:bottom="661" w:gutter="0" w:footer="0" w:header="0"/>
          <w:type w:val="continuous"/>
        </w:sectPr>
      </w:pPr>
    </w:p>
    <w:bookmarkStart w:id="129" w:name="page130"/>
    <w:bookmarkEnd w:id="129"/>
    <w:p>
      <w:pPr>
        <w:ind w:firstLine="300"/>
        <w:spacing w:after="0" w:line="249" w:lineRule="auto"/>
        <w:rPr>
          <w:sz w:val="20"/>
          <w:szCs w:val="20"/>
          <w:color w:val="auto"/>
        </w:rPr>
      </w:pPr>
      <w:r>
        <w:rPr>
          <w:rFonts w:ascii="Arial" w:cs="Arial" w:eastAsia="Arial" w:hAnsi="Arial"/>
          <w:sz w:val="20"/>
          <w:szCs w:val="20"/>
          <w:color w:val="auto"/>
        </w:rPr>
        <w:t>The carrying value of our investment in unconsolidated subsidiary was $13 million as of December 31, 2022. This carrying value reflects our investment less cumulative losses allocated to us of $1 million through December 31, 2022. The underlying net assets of the Carbon TerraVault JV were $314 million as of December 31, 2022 which includes cash on hand and PP&amp;E, net of current liabilities. The difference between the carrying value of our investment and the carrying value of the underlying net assets of the joint venture relates to our accounting for the contribution of the 26R reservoir as a financing arrangement due to the put and call features of the joint venture. The joint venture recognized the cash contributions by the members and the 26R reservoir at fair value.</w:t>
      </w:r>
    </w:p>
    <w:p>
      <w:pPr>
        <w:spacing w:after="0" w:line="211" w:lineRule="exact"/>
        <w:rPr>
          <w:sz w:val="20"/>
          <w:szCs w:val="20"/>
          <w:color w:val="auto"/>
        </w:rPr>
      </w:pPr>
    </w:p>
    <w:p>
      <w:pPr>
        <w:ind w:right="60" w:firstLine="300"/>
        <w:spacing w:after="0" w:line="232" w:lineRule="auto"/>
        <w:rPr>
          <w:sz w:val="20"/>
          <w:szCs w:val="20"/>
          <w:color w:val="auto"/>
        </w:rPr>
      </w:pPr>
      <w:r>
        <w:rPr>
          <w:rFonts w:ascii="Arial" w:cs="Arial" w:eastAsia="Arial" w:hAnsi="Arial"/>
          <w:sz w:val="19"/>
          <w:szCs w:val="19"/>
          <w:color w:val="auto"/>
        </w:rPr>
        <w:t>The Carbon TerraVault JV has an option to participate in certain projects that involve the capture, transportation and storage of CO</w:t>
      </w:r>
      <w:r>
        <w:rPr>
          <w:rFonts w:ascii="Arial" w:cs="Arial" w:eastAsia="Arial" w:hAnsi="Arial"/>
          <w:sz w:val="25"/>
          <w:szCs w:val="25"/>
          <w:color w:val="auto"/>
          <w:vertAlign w:val="subscript"/>
        </w:rPr>
        <w:t>2</w:t>
      </w:r>
      <w:r>
        <w:rPr>
          <w:rFonts w:ascii="Arial" w:cs="Arial" w:eastAsia="Arial" w:hAnsi="Arial"/>
          <w:sz w:val="19"/>
          <w:szCs w:val="19"/>
          <w:color w:val="auto"/>
        </w:rPr>
        <w:t xml:space="preserve"> in California. This option expires upon the earlier of (1) August 2027,</w:t>
      </w:r>
    </w:p>
    <w:p>
      <w:pPr>
        <w:spacing w:after="0" w:line="1" w:lineRule="exact"/>
        <w:rPr>
          <w:sz w:val="20"/>
          <w:szCs w:val="20"/>
          <w:color w:val="auto"/>
        </w:rPr>
      </w:pPr>
    </w:p>
    <w:p>
      <w:pPr>
        <w:jc w:val="both"/>
        <w:ind w:right="580"/>
        <w:spacing w:after="0" w:line="258" w:lineRule="auto"/>
        <w:tabs>
          <w:tab w:leader="none" w:pos="301" w:val="left"/>
        </w:tabs>
        <w:numPr>
          <w:ilvl w:val="0"/>
          <w:numId w:val="54"/>
        </w:numPr>
        <w:rPr>
          <w:rFonts w:ascii="Arial" w:cs="Arial" w:eastAsia="Arial" w:hAnsi="Arial"/>
          <w:sz w:val="19"/>
          <w:szCs w:val="19"/>
          <w:color w:val="auto"/>
        </w:rPr>
      </w:pPr>
      <w:r>
        <w:rPr>
          <w:rFonts w:ascii="Arial" w:cs="Arial" w:eastAsia="Arial" w:hAnsi="Arial"/>
          <w:sz w:val="19"/>
          <w:szCs w:val="19"/>
          <w:color w:val="auto"/>
        </w:rPr>
        <w:t>when a final investment decision has been approved by the Carbon TerraVault JV for storage projects representing in excess of 5 million metric tons per annum (MMTPA) in the aggregate, or</w:t>
      </w:r>
    </w:p>
    <w:p>
      <w:pPr>
        <w:ind w:right="640"/>
        <w:spacing w:after="0" w:line="243" w:lineRule="auto"/>
        <w:tabs>
          <w:tab w:leader="none" w:pos="301" w:val="left"/>
        </w:tabs>
        <w:numPr>
          <w:ilvl w:val="0"/>
          <w:numId w:val="54"/>
        </w:numPr>
        <w:rPr>
          <w:rFonts w:ascii="Arial" w:cs="Arial" w:eastAsia="Arial" w:hAnsi="Arial"/>
          <w:sz w:val="20"/>
          <w:szCs w:val="20"/>
          <w:color w:val="auto"/>
        </w:rPr>
      </w:pPr>
      <w:r>
        <w:rPr>
          <w:rFonts w:ascii="Arial" w:cs="Arial" w:eastAsia="Arial" w:hAnsi="Arial"/>
          <w:sz w:val="20"/>
          <w:szCs w:val="20"/>
          <w:color w:val="auto"/>
        </w:rPr>
        <w:t>when Brookfield has made contributions to the joint venture in excess of $500 million (unless Brookfield elects to increase its commitment).</w:t>
      </w:r>
    </w:p>
    <w:p>
      <w:pPr>
        <w:spacing w:after="0" w:line="214" w:lineRule="exact"/>
        <w:rPr>
          <w:sz w:val="20"/>
          <w:szCs w:val="20"/>
          <w:color w:val="auto"/>
        </w:rPr>
      </w:pPr>
    </w:p>
    <w:p>
      <w:pPr>
        <w:ind w:right="260" w:firstLine="300"/>
        <w:spacing w:after="0" w:line="249" w:lineRule="auto"/>
        <w:rPr>
          <w:sz w:val="20"/>
          <w:szCs w:val="20"/>
          <w:color w:val="auto"/>
        </w:rPr>
      </w:pPr>
      <w:r>
        <w:rPr>
          <w:rFonts w:ascii="Arial" w:cs="Arial" w:eastAsia="Arial" w:hAnsi="Arial"/>
          <w:sz w:val="20"/>
          <w:szCs w:val="20"/>
          <w:color w:val="auto"/>
        </w:rPr>
        <w:t>We entered into a Management Services Agreement (MSA) with the Carbon TerraVault JV whereby we provide administrative, operational and commercial services under a cost-plus arrangement. Services may be supplemented by using third parties and payments to us under the MSA are limited to the amounts in an approved budget. The MSA may be terminated by mutual agreement of the parties, among other events. As of December 31, 2022, we had a $1 million receivable due to us under the MSA which is included in receivable from affiliate on our consolidated balance sheet.</w:t>
      </w:r>
    </w:p>
    <w:p>
      <w:pPr>
        <w:spacing w:after="0" w:line="205"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auto"/>
        </w:rPr>
        <w:t>NOTE 9</w:t>
      </w:r>
      <w:r>
        <w:rPr>
          <w:sz w:val="20"/>
          <w:szCs w:val="20"/>
          <w:color w:val="auto"/>
        </w:rPr>
        <w:tab/>
      </w:r>
      <w:r>
        <w:rPr>
          <w:rFonts w:ascii="Arial" w:cs="Arial" w:eastAsia="Arial" w:hAnsi="Arial"/>
          <w:sz w:val="19"/>
          <w:szCs w:val="19"/>
          <w:b w:val="1"/>
          <w:bCs w:val="1"/>
          <w:color w:val="auto"/>
        </w:rPr>
        <w:t>INCOME TAXES</w:t>
      </w:r>
    </w:p>
    <w:p>
      <w:pPr>
        <w:spacing w:after="0" w:line="214" w:lineRule="exact"/>
        <w:rPr>
          <w:sz w:val="20"/>
          <w:szCs w:val="20"/>
          <w:color w:val="auto"/>
        </w:rPr>
      </w:pPr>
    </w:p>
    <w:p>
      <w:pPr>
        <w:ind w:right="420" w:firstLine="300"/>
        <w:spacing w:after="0" w:line="271" w:lineRule="auto"/>
        <w:rPr>
          <w:sz w:val="20"/>
          <w:szCs w:val="20"/>
          <w:color w:val="auto"/>
        </w:rPr>
      </w:pPr>
      <w:r>
        <w:rPr>
          <w:rFonts w:ascii="Arial" w:cs="Arial" w:eastAsia="Arial" w:hAnsi="Arial"/>
          <w:sz w:val="19"/>
          <w:szCs w:val="19"/>
          <w:color w:val="auto"/>
        </w:rPr>
        <w:t>Net income (loss) before income taxes, for all periods presented, was generated from domestic operations. We recognized an income tax provision (benefit) for the periods presented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3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Successor</w:t>
            </w: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20" w:type="dxa"/>
            <w:vAlign w:val="bottom"/>
            <w:tcBorders>
              <w:bottom w:val="single" w:sz="8" w:color="auto"/>
            </w:tcBorders>
            <w:gridSpan w:val="2"/>
          </w:tcPr>
          <w:p>
            <w:pPr>
              <w:ind w:left="220"/>
              <w:spacing w:after="0"/>
              <w:rPr>
                <w:sz w:val="20"/>
                <w:szCs w:val="20"/>
                <w:color w:val="auto"/>
              </w:rPr>
            </w:pPr>
            <w:r>
              <w:rPr>
                <w:rFonts w:ascii="Arial" w:cs="Arial" w:eastAsia="Arial" w:hAnsi="Arial"/>
                <w:sz w:val="20"/>
                <w:szCs w:val="20"/>
                <w:b w:val="1"/>
                <w:bCs w:val="1"/>
                <w:color w:val="auto"/>
              </w:rPr>
              <w:t>Predecessor</w:t>
            </w:r>
          </w:p>
        </w:tc>
        <w:tc>
          <w:tcPr>
            <w:tcW w:w="0" w:type="dxa"/>
            <w:vAlign w:val="bottom"/>
          </w:tcPr>
          <w:p>
            <w:pPr>
              <w:spacing w:after="0"/>
              <w:rPr>
                <w:sz w:val="1"/>
                <w:szCs w:val="1"/>
                <w:color w:val="auto"/>
              </w:rPr>
            </w:pPr>
          </w:p>
        </w:tc>
      </w:tr>
      <w:tr>
        <w:trPr>
          <w:trHeight w:val="212"/>
        </w:trPr>
        <w:tc>
          <w:tcPr>
            <w:tcW w:w="2360" w:type="dxa"/>
            <w:vAlign w:val="bottom"/>
          </w:tcPr>
          <w:p>
            <w:pPr>
              <w:spacing w:after="0"/>
              <w:rPr>
                <w:sz w:val="18"/>
                <w:szCs w:val="18"/>
                <w:color w:val="auto"/>
              </w:rPr>
            </w:pPr>
          </w:p>
        </w:tc>
        <w:tc>
          <w:tcPr>
            <w:tcW w:w="1300" w:type="dxa"/>
            <w:vAlign w:val="bottom"/>
            <w:gridSpan w:val="2"/>
          </w:tcPr>
          <w:p>
            <w:pPr>
              <w:jc w:val="center"/>
              <w:spacing w:after="0" w:line="212" w:lineRule="exact"/>
              <w:rPr>
                <w:sz w:val="20"/>
                <w:szCs w:val="20"/>
                <w:color w:val="auto"/>
              </w:rPr>
            </w:pPr>
            <w:r>
              <w:rPr>
                <w:rFonts w:ascii="Arial" w:cs="Arial" w:eastAsia="Arial" w:hAnsi="Arial"/>
                <w:sz w:val="20"/>
                <w:szCs w:val="20"/>
                <w:b w:val="1"/>
                <w:bCs w:val="1"/>
                <w:color w:val="auto"/>
              </w:rPr>
              <w:t>Year ended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center"/>
              <w:ind w:right="20"/>
              <w:spacing w:after="0" w:line="212" w:lineRule="exact"/>
              <w:rPr>
                <w:sz w:val="20"/>
                <w:szCs w:val="20"/>
                <w:color w:val="auto"/>
              </w:rPr>
            </w:pPr>
            <w:r>
              <w:rPr>
                <w:rFonts w:ascii="Arial" w:cs="Arial" w:eastAsia="Arial" w:hAnsi="Arial"/>
                <w:sz w:val="20"/>
                <w:szCs w:val="20"/>
                <w:b w:val="1"/>
                <w:bCs w:val="1"/>
                <w:color w:val="auto"/>
              </w:rPr>
              <w:t>Year ended</w:t>
            </w:r>
          </w:p>
        </w:tc>
        <w:tc>
          <w:tcPr>
            <w:tcW w:w="100" w:type="dxa"/>
            <w:vAlign w:val="bottom"/>
          </w:tcPr>
          <w:p>
            <w:pPr>
              <w:spacing w:after="0"/>
              <w:rPr>
                <w:sz w:val="18"/>
                <w:szCs w:val="18"/>
                <w:color w:val="auto"/>
              </w:rPr>
            </w:pPr>
          </w:p>
        </w:tc>
        <w:tc>
          <w:tcPr>
            <w:tcW w:w="194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20"/>
                <w:szCs w:val="20"/>
                <w:b w:val="1"/>
                <w:bCs w:val="1"/>
                <w:color w:val="auto"/>
              </w:rPr>
              <w:t>November 1, 2020 -</w:t>
            </w:r>
          </w:p>
        </w:tc>
        <w:tc>
          <w:tcPr>
            <w:tcW w:w="80" w:type="dxa"/>
            <w:vAlign w:val="bottom"/>
          </w:tcPr>
          <w:p>
            <w:pPr>
              <w:spacing w:after="0"/>
              <w:rPr>
                <w:sz w:val="18"/>
                <w:szCs w:val="18"/>
                <w:color w:val="auto"/>
              </w:rPr>
            </w:pPr>
          </w:p>
        </w:tc>
        <w:tc>
          <w:tcPr>
            <w:tcW w:w="1620" w:type="dxa"/>
            <w:vAlign w:val="bottom"/>
            <w:gridSpan w:val="2"/>
            <w:vMerge w:val="restart"/>
          </w:tcPr>
          <w:p>
            <w:pPr>
              <w:spacing w:after="0"/>
              <w:rPr>
                <w:sz w:val="20"/>
                <w:szCs w:val="20"/>
                <w:color w:val="auto"/>
              </w:rPr>
            </w:pPr>
            <w:r>
              <w:rPr>
                <w:rFonts w:ascii="Arial" w:cs="Arial" w:eastAsia="Arial" w:hAnsi="Arial"/>
                <w:sz w:val="20"/>
                <w:szCs w:val="20"/>
                <w:b w:val="1"/>
                <w:bCs w:val="1"/>
                <w:color w:val="auto"/>
                <w:w w:val="99"/>
              </w:rPr>
              <w:t>January 1, 2020 -</w:t>
            </w:r>
          </w:p>
        </w:tc>
        <w:tc>
          <w:tcPr>
            <w:tcW w:w="0" w:type="dxa"/>
            <w:vAlign w:val="bottom"/>
          </w:tcPr>
          <w:p>
            <w:pPr>
              <w:spacing w:after="0"/>
              <w:rPr>
                <w:sz w:val="1"/>
                <w:szCs w:val="1"/>
                <w:color w:val="auto"/>
              </w:rPr>
            </w:pPr>
          </w:p>
        </w:tc>
      </w:tr>
      <w:tr>
        <w:trPr>
          <w:trHeight w:val="188"/>
        </w:trPr>
        <w:tc>
          <w:tcPr>
            <w:tcW w:w="2360" w:type="dxa"/>
            <w:vAlign w:val="bottom"/>
          </w:tcPr>
          <w:p>
            <w:pPr>
              <w:spacing w:after="0"/>
              <w:rPr>
                <w:sz w:val="16"/>
                <w:szCs w:val="16"/>
                <w:color w:val="auto"/>
              </w:rPr>
            </w:pPr>
          </w:p>
        </w:tc>
        <w:tc>
          <w:tcPr>
            <w:tcW w:w="1300" w:type="dxa"/>
            <w:vAlign w:val="bottom"/>
            <w:gridSpan w:val="2"/>
          </w:tcPr>
          <w:p>
            <w:pPr>
              <w:jc w:val="center"/>
              <w:spacing w:after="0" w:line="187" w:lineRule="exact"/>
              <w:rPr>
                <w:sz w:val="20"/>
                <w:szCs w:val="20"/>
                <w:color w:val="auto"/>
              </w:rPr>
            </w:pPr>
            <w:r>
              <w:rPr>
                <w:rFonts w:ascii="Arial" w:cs="Arial" w:eastAsia="Arial" w:hAnsi="Arial"/>
                <w:sz w:val="20"/>
                <w:szCs w:val="20"/>
                <w:b w:val="1"/>
                <w:bCs w:val="1"/>
                <w:color w:val="auto"/>
                <w:w w:val="99"/>
              </w:rPr>
              <w:t>December 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center"/>
              <w:ind w:right="40"/>
              <w:spacing w:after="0" w:line="187" w:lineRule="exact"/>
              <w:rPr>
                <w:sz w:val="20"/>
                <w:szCs w:val="20"/>
                <w:color w:val="auto"/>
              </w:rPr>
            </w:pPr>
            <w:r>
              <w:rPr>
                <w:rFonts w:ascii="Arial" w:cs="Arial" w:eastAsia="Arial" w:hAnsi="Arial"/>
                <w:sz w:val="20"/>
                <w:szCs w:val="20"/>
                <w:b w:val="1"/>
                <w:bCs w:val="1"/>
                <w:color w:val="auto"/>
                <w:w w:val="99"/>
              </w:rPr>
              <w:t>December 31,</w:t>
            </w:r>
          </w:p>
        </w:tc>
        <w:tc>
          <w:tcPr>
            <w:tcW w:w="100" w:type="dxa"/>
            <w:vAlign w:val="bottom"/>
          </w:tcPr>
          <w:p>
            <w:pPr>
              <w:spacing w:after="0"/>
              <w:rPr>
                <w:sz w:val="16"/>
                <w:szCs w:val="16"/>
                <w:color w:val="auto"/>
              </w:rPr>
            </w:pPr>
          </w:p>
        </w:tc>
        <w:tc>
          <w:tcPr>
            <w:tcW w:w="1940" w:type="dxa"/>
            <w:vAlign w:val="bottom"/>
            <w:tcBorders>
              <w:right w:val="single" w:sz="8" w:color="auto"/>
            </w:tcBorders>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36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vMerge w:val="restart"/>
          </w:tcPr>
          <w:p>
            <w:pPr>
              <w:spacing w:after="0"/>
              <w:rPr>
                <w:sz w:val="5"/>
                <w:szCs w:val="5"/>
                <w:color w:val="auto"/>
              </w:rPr>
            </w:pPr>
          </w:p>
        </w:tc>
        <w:tc>
          <w:tcPr>
            <w:tcW w:w="194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20"/>
                <w:szCs w:val="20"/>
                <w:b w:val="1"/>
                <w:bCs w:val="1"/>
                <w:color w:val="auto"/>
              </w:rPr>
              <w:t>December 31, 2020</w:t>
            </w:r>
          </w:p>
        </w:tc>
        <w:tc>
          <w:tcPr>
            <w:tcW w:w="80" w:type="dxa"/>
            <w:vAlign w:val="bottom"/>
          </w:tcPr>
          <w:p>
            <w:pPr>
              <w:spacing w:after="0"/>
              <w:rPr>
                <w:sz w:val="5"/>
                <w:szCs w:val="5"/>
                <w:color w:val="auto"/>
              </w:rPr>
            </w:pPr>
          </w:p>
        </w:tc>
        <w:tc>
          <w:tcPr>
            <w:tcW w:w="1620" w:type="dxa"/>
            <w:vAlign w:val="bottom"/>
            <w:gridSpan w:val="2"/>
            <w:vMerge w:val="restart"/>
          </w:tcPr>
          <w:p>
            <w:pPr>
              <w:ind w:left="20"/>
              <w:spacing w:after="0"/>
              <w:rPr>
                <w:sz w:val="20"/>
                <w:szCs w:val="20"/>
                <w:color w:val="auto"/>
              </w:rPr>
            </w:pPr>
            <w:r>
              <w:rPr>
                <w:rFonts w:ascii="Arial" w:cs="Arial" w:eastAsia="Arial" w:hAnsi="Arial"/>
                <w:sz w:val="20"/>
                <w:szCs w:val="20"/>
                <w:b w:val="1"/>
                <w:bCs w:val="1"/>
                <w:color w:val="auto"/>
                <w:w w:val="98"/>
              </w:rPr>
              <w:t>October 31, 2020</w:t>
            </w:r>
          </w:p>
        </w:tc>
        <w:tc>
          <w:tcPr>
            <w:tcW w:w="0" w:type="dxa"/>
            <w:vAlign w:val="bottom"/>
          </w:tcPr>
          <w:p>
            <w:pPr>
              <w:spacing w:after="0"/>
              <w:rPr>
                <w:sz w:val="1"/>
                <w:szCs w:val="1"/>
                <w:color w:val="auto"/>
              </w:rPr>
            </w:pPr>
          </w:p>
        </w:tc>
      </w:tr>
      <w:tr>
        <w:trPr>
          <w:trHeight w:val="150"/>
        </w:trPr>
        <w:tc>
          <w:tcPr>
            <w:tcW w:w="2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vMerge w:val="restart"/>
          </w:tcPr>
          <w:p>
            <w:pPr>
              <w:jc w:val="center"/>
              <w:ind w:right="180"/>
              <w:spacing w:after="0"/>
              <w:rPr>
                <w:sz w:val="20"/>
                <w:szCs w:val="20"/>
                <w:color w:val="auto"/>
              </w:rPr>
            </w:pPr>
            <w:r>
              <w:rPr>
                <w:rFonts w:ascii="Arial" w:cs="Arial" w:eastAsia="Arial" w:hAnsi="Arial"/>
                <w:sz w:val="20"/>
                <w:szCs w:val="20"/>
                <w:b w:val="1"/>
                <w:bCs w:val="1"/>
                <w:color w:val="auto"/>
                <w:w w:val="98"/>
              </w:rPr>
              <w:t>2022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vMerge w:val="restart"/>
          </w:tcPr>
          <w:p>
            <w:pPr>
              <w:jc w:val="center"/>
              <w:ind w:right="40"/>
              <w:spacing w:after="0"/>
              <w:rPr>
                <w:sz w:val="20"/>
                <w:szCs w:val="20"/>
                <w:color w:val="auto"/>
              </w:rPr>
            </w:pPr>
            <w:r>
              <w:rPr>
                <w:rFonts w:ascii="Arial" w:cs="Arial" w:eastAsia="Arial" w:hAnsi="Arial"/>
                <w:sz w:val="20"/>
                <w:szCs w:val="20"/>
                <w:b w:val="1"/>
                <w:bCs w:val="1"/>
                <w:color w:val="auto"/>
              </w:rPr>
              <w:t>2021</w:t>
            </w:r>
          </w:p>
        </w:tc>
        <w:tc>
          <w:tcPr>
            <w:tcW w:w="100" w:type="dxa"/>
            <w:vAlign w:val="bottom"/>
            <w:vMerge w:val="continue"/>
          </w:tcPr>
          <w:p>
            <w:pPr>
              <w:spacing w:after="0"/>
              <w:rPr>
                <w:sz w:val="13"/>
                <w:szCs w:val="13"/>
                <w:color w:val="auto"/>
              </w:rPr>
            </w:pPr>
          </w:p>
        </w:tc>
        <w:tc>
          <w:tcPr>
            <w:tcW w:w="1940" w:type="dxa"/>
            <w:vAlign w:val="bottom"/>
            <w:tcBorders>
              <w:right w:val="single" w:sz="8" w:color="auto"/>
            </w:tcBorders>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3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2"/>
        </w:trPr>
        <w:tc>
          <w:tcPr>
            <w:tcW w:w="2360" w:type="dxa"/>
            <w:vAlign w:val="bottom"/>
          </w:tcPr>
          <w:p>
            <w:pPr>
              <w:spacing w:after="0"/>
              <w:rPr>
                <w:sz w:val="20"/>
                <w:szCs w:val="20"/>
                <w:color w:val="auto"/>
              </w:rPr>
            </w:pPr>
            <w:r>
              <w:rPr>
                <w:rFonts w:ascii="Arial" w:cs="Arial" w:eastAsia="Arial" w:hAnsi="Arial"/>
                <w:sz w:val="16"/>
                <w:szCs w:val="16"/>
                <w:color w:val="auto"/>
              </w:rPr>
              <w:t>(in millions)</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360" w:type="dxa"/>
            <w:vAlign w:val="bottom"/>
          </w:tcPr>
          <w:p>
            <w:pPr>
              <w:spacing w:after="0"/>
              <w:rPr>
                <w:sz w:val="20"/>
                <w:szCs w:val="20"/>
                <w:color w:val="auto"/>
              </w:rPr>
            </w:pPr>
            <w:r>
              <w:rPr>
                <w:rFonts w:ascii="Arial" w:cs="Arial" w:eastAsia="Arial" w:hAnsi="Arial"/>
                <w:sz w:val="20"/>
                <w:szCs w:val="20"/>
                <w:b w:val="1"/>
                <w:bCs w:val="1"/>
                <w:color w:val="auto"/>
              </w:rPr>
              <w:t>Current</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360" w:type="dxa"/>
            <w:vAlign w:val="bottom"/>
          </w:tcPr>
          <w:p>
            <w:pPr>
              <w:spacing w:after="0"/>
              <w:rPr>
                <w:sz w:val="20"/>
                <w:szCs w:val="20"/>
                <w:color w:val="auto"/>
              </w:rPr>
            </w:pPr>
            <w:r>
              <w:rPr>
                <w:rFonts w:ascii="Arial" w:cs="Arial" w:eastAsia="Arial" w:hAnsi="Arial"/>
                <w:sz w:val="20"/>
                <w:szCs w:val="20"/>
                <w:color w:val="auto"/>
              </w:rPr>
              <w:t>Federal  . . . . . . . . . . . . . .</w:t>
            </w:r>
          </w:p>
        </w:tc>
        <w:tc>
          <w:tcPr>
            <w:tcW w:w="260" w:type="dxa"/>
            <w:vAlign w:val="bottom"/>
          </w:tcPr>
          <w:p>
            <w:pPr>
              <w:jc w:val="right"/>
              <w:ind w:right="40"/>
              <w:spacing w:after="0"/>
              <w:rPr>
                <w:sz w:val="20"/>
                <w:szCs w:val="20"/>
                <w:color w:val="auto"/>
              </w:rPr>
            </w:pPr>
            <w:r>
              <w:rPr>
                <w:rFonts w:ascii="Arial" w:cs="Arial" w:eastAsia="Arial" w:hAnsi="Arial"/>
                <w:sz w:val="20"/>
                <w:szCs w:val="20"/>
                <w:color w:val="auto"/>
                <w:w w:val="89"/>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10</w:t>
            </w:r>
          </w:p>
        </w:tc>
        <w:tc>
          <w:tcPr>
            <w:tcW w:w="2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100" w:type="dxa"/>
            <w:vAlign w:val="bottom"/>
            <w:tcBorders>
              <w:right w:val="single" w:sz="8" w:color="auto"/>
            </w:tcBorders>
            <w:gridSpan w:val="2"/>
          </w:tcPr>
          <w:p>
            <w:pPr>
              <w:ind w:left="460"/>
              <w:spacing w:after="0"/>
              <w:rPr>
                <w:sz w:val="20"/>
                <w:szCs w:val="20"/>
                <w:color w:val="auto"/>
              </w:rPr>
            </w:pPr>
            <w:r>
              <w:rPr>
                <w:rFonts w:ascii="Arial" w:cs="Arial" w:eastAsia="Arial" w:hAnsi="Arial"/>
                <w:sz w:val="20"/>
                <w:szCs w:val="20"/>
                <w:color w:val="auto"/>
              </w:rPr>
              <w:t>—</w:t>
            </w:r>
          </w:p>
        </w:tc>
        <w:tc>
          <w:tcPr>
            <w:tcW w:w="820" w:type="dxa"/>
            <w:vAlign w:val="bottom"/>
            <w:gridSpan w:val="2"/>
          </w:tcPr>
          <w:p>
            <w:pPr>
              <w:ind w:left="260"/>
              <w:spacing w:after="0"/>
              <w:rPr>
                <w:sz w:val="20"/>
                <w:szCs w:val="20"/>
                <w:color w:val="auto"/>
              </w:rPr>
            </w:pPr>
            <w:r>
              <w:rPr>
                <w:rFonts w:ascii="Arial" w:cs="Arial" w:eastAsia="Arial" w:hAnsi="Arial"/>
                <w:sz w:val="20"/>
                <w:szCs w:val="20"/>
                <w:color w:val="auto"/>
              </w:rPr>
              <w:t>$</w:t>
            </w:r>
          </w:p>
        </w:tc>
        <w:tc>
          <w:tcPr>
            <w:tcW w:w="880" w:type="dxa"/>
            <w:vAlign w:val="bottom"/>
          </w:tcPr>
          <w:p>
            <w:pPr>
              <w:ind w:left="4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2360" w:type="dxa"/>
            <w:vAlign w:val="bottom"/>
          </w:tcPr>
          <w:p>
            <w:pPr>
              <w:spacing w:after="0"/>
              <w:rPr>
                <w:sz w:val="20"/>
                <w:szCs w:val="20"/>
                <w:color w:val="auto"/>
              </w:rPr>
            </w:pPr>
            <w:r>
              <w:rPr>
                <w:rFonts w:ascii="Arial" w:cs="Arial" w:eastAsia="Arial" w:hAnsi="Arial"/>
                <w:sz w:val="20"/>
                <w:szCs w:val="20"/>
                <w:color w:val="auto"/>
              </w:rPr>
              <w:t>State  . . . . . . . . . . . . . . . .</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00" w:type="dxa"/>
            <w:vAlign w:val="bottom"/>
            <w:tcBorders>
              <w:right w:val="single" w:sz="8" w:color="auto"/>
            </w:tcBorders>
            <w:gridSpan w:val="2"/>
          </w:tcPr>
          <w:p>
            <w:pPr>
              <w:ind w:left="46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tcPr>
          <w:p>
            <w:pPr>
              <w:ind w:left="4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
        </w:trPr>
        <w:tc>
          <w:tcPr>
            <w:tcW w:w="2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360" w:type="dxa"/>
            <w:vAlign w:val="bottom"/>
          </w:tcPr>
          <w:p>
            <w:pPr>
              <w:ind w:left="200"/>
              <w:spacing w:after="0"/>
              <w:rPr>
                <w:sz w:val="20"/>
                <w:szCs w:val="20"/>
                <w:color w:val="auto"/>
              </w:rPr>
            </w:pPr>
            <w:r>
              <w:rPr>
                <w:rFonts w:ascii="Arial" w:cs="Arial" w:eastAsia="Arial" w:hAnsi="Arial"/>
                <w:sz w:val="20"/>
                <w:szCs w:val="20"/>
                <w:color w:val="auto"/>
              </w:rPr>
              <w:t>Subtotal . . . . . . . . . . . .</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100" w:type="dxa"/>
            <w:vAlign w:val="bottom"/>
            <w:tcBorders>
              <w:right w:val="single" w:sz="8" w:color="auto"/>
            </w:tcBorders>
            <w:gridSpan w:val="2"/>
          </w:tcPr>
          <w:p>
            <w:pPr>
              <w:ind w:left="46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80" w:type="dxa"/>
            <w:vAlign w:val="bottom"/>
          </w:tcPr>
          <w:p>
            <w:pPr>
              <w:ind w:left="4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2360" w:type="dxa"/>
            <w:vAlign w:val="bottom"/>
          </w:tcPr>
          <w:p>
            <w:pPr>
              <w:spacing w:after="0"/>
              <w:rPr>
                <w:sz w:val="20"/>
                <w:szCs w:val="20"/>
                <w:color w:val="auto"/>
              </w:rPr>
            </w:pPr>
            <w:r>
              <w:rPr>
                <w:rFonts w:ascii="Arial" w:cs="Arial" w:eastAsia="Arial" w:hAnsi="Arial"/>
                <w:sz w:val="20"/>
                <w:szCs w:val="20"/>
                <w:b w:val="1"/>
                <w:bCs w:val="1"/>
                <w:color w:val="auto"/>
              </w:rPr>
              <w:t>Deferred</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360" w:type="dxa"/>
            <w:vAlign w:val="bottom"/>
          </w:tcPr>
          <w:p>
            <w:pPr>
              <w:spacing w:after="0"/>
              <w:rPr>
                <w:sz w:val="20"/>
                <w:szCs w:val="20"/>
                <w:color w:val="auto"/>
              </w:rPr>
            </w:pPr>
            <w:r>
              <w:rPr>
                <w:rFonts w:ascii="Arial" w:cs="Arial" w:eastAsia="Arial" w:hAnsi="Arial"/>
                <w:sz w:val="20"/>
                <w:szCs w:val="20"/>
                <w:color w:val="auto"/>
              </w:rPr>
              <w:t>Federal  . . . . . . . . . . . . . .</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(161)</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00" w:type="dxa"/>
            <w:vAlign w:val="bottom"/>
            <w:tcBorders>
              <w:right w:val="single" w:sz="8" w:color="auto"/>
            </w:tcBorders>
            <w:gridSpan w:val="2"/>
          </w:tcPr>
          <w:p>
            <w:pPr>
              <w:ind w:left="46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tcPr>
          <w:p>
            <w:pPr>
              <w:ind w:left="4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2360" w:type="dxa"/>
            <w:vAlign w:val="bottom"/>
          </w:tcPr>
          <w:p>
            <w:pPr>
              <w:spacing w:after="0"/>
              <w:rPr>
                <w:sz w:val="20"/>
                <w:szCs w:val="20"/>
                <w:color w:val="auto"/>
              </w:rPr>
            </w:pPr>
            <w:r>
              <w:rPr>
                <w:rFonts w:ascii="Arial" w:cs="Arial" w:eastAsia="Arial" w:hAnsi="Arial"/>
                <w:sz w:val="20"/>
                <w:szCs w:val="20"/>
                <w:color w:val="auto"/>
              </w:rPr>
              <w:t>State  . . . . . . . . . . . . . . . .</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(235)</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00" w:type="dxa"/>
            <w:vAlign w:val="bottom"/>
            <w:tcBorders>
              <w:right w:val="single" w:sz="8" w:color="auto"/>
            </w:tcBorders>
            <w:gridSpan w:val="2"/>
          </w:tcPr>
          <w:p>
            <w:pPr>
              <w:ind w:left="46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tcPr>
          <w:p>
            <w:pPr>
              <w:ind w:left="4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
        </w:trPr>
        <w:tc>
          <w:tcPr>
            <w:tcW w:w="2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360" w:type="dxa"/>
            <w:vAlign w:val="bottom"/>
          </w:tcPr>
          <w:p>
            <w:pPr>
              <w:ind w:left="200"/>
              <w:spacing w:after="0"/>
              <w:rPr>
                <w:sz w:val="20"/>
                <w:szCs w:val="20"/>
                <w:color w:val="auto"/>
              </w:rPr>
            </w:pPr>
            <w:r>
              <w:rPr>
                <w:rFonts w:ascii="Arial" w:cs="Arial" w:eastAsia="Arial" w:hAnsi="Arial"/>
                <w:sz w:val="20"/>
                <w:szCs w:val="20"/>
                <w:color w:val="auto"/>
              </w:rPr>
              <w:t>Subtotal . . . . . . . . . . . .</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226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(396)</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100" w:type="dxa"/>
            <w:vAlign w:val="bottom"/>
            <w:tcBorders>
              <w:right w:val="single" w:sz="8" w:color="auto"/>
            </w:tcBorders>
            <w:gridSpan w:val="2"/>
          </w:tcPr>
          <w:p>
            <w:pPr>
              <w:ind w:left="46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80" w:type="dxa"/>
            <w:vAlign w:val="bottom"/>
          </w:tcPr>
          <w:p>
            <w:pPr>
              <w:ind w:left="4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
        </w:trPr>
        <w:tc>
          <w:tcPr>
            <w:tcW w:w="2360" w:type="dxa"/>
            <w:vAlign w:val="bottom"/>
            <w:vMerge w:val="restart"/>
          </w:tcPr>
          <w:p>
            <w:pPr>
              <w:ind w:left="400"/>
              <w:spacing w:after="0"/>
              <w:rPr>
                <w:sz w:val="20"/>
                <w:szCs w:val="20"/>
                <w:color w:val="auto"/>
              </w:rPr>
            </w:pPr>
            <w:r>
              <w:rPr>
                <w:rFonts w:ascii="Arial" w:cs="Arial" w:eastAsia="Arial" w:hAnsi="Arial"/>
                <w:sz w:val="20"/>
                <w:szCs w:val="20"/>
                <w:color w:val="auto"/>
              </w:rPr>
              <w:t>Total income tax</w:t>
            </w: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360" w:type="dxa"/>
            <w:vAlign w:val="bottom"/>
            <w:vMerge w:val="continue"/>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620" w:type="dxa"/>
            <w:vAlign w:val="bottom"/>
            <w:gridSpan w:val="2"/>
          </w:tcPr>
          <w:p>
            <w:pPr>
              <w:ind w:left="400"/>
              <w:spacing w:after="0"/>
              <w:rPr>
                <w:sz w:val="20"/>
                <w:szCs w:val="20"/>
                <w:color w:val="auto"/>
              </w:rPr>
            </w:pPr>
            <w:r>
              <w:rPr>
                <w:rFonts w:ascii="Arial" w:cs="Arial" w:eastAsia="Arial" w:hAnsi="Arial"/>
                <w:sz w:val="20"/>
                <w:szCs w:val="20"/>
                <w:color w:val="auto"/>
              </w:rPr>
              <w:t>provision (benefit) . . $</w:t>
            </w:r>
          </w:p>
        </w:tc>
        <w:tc>
          <w:tcPr>
            <w:tcW w:w="1040" w:type="dxa"/>
            <w:vAlign w:val="bottom"/>
          </w:tcPr>
          <w:p>
            <w:pPr>
              <w:jc w:val="right"/>
              <w:spacing w:after="0"/>
              <w:rPr>
                <w:sz w:val="20"/>
                <w:szCs w:val="20"/>
                <w:color w:val="auto"/>
              </w:rPr>
            </w:pPr>
            <w:r>
              <w:rPr>
                <w:rFonts w:ascii="Arial" w:cs="Arial" w:eastAsia="Arial" w:hAnsi="Arial"/>
                <w:sz w:val="20"/>
                <w:szCs w:val="20"/>
                <w:color w:val="auto"/>
              </w:rPr>
              <w:t>237</w:t>
            </w:r>
          </w:p>
        </w:tc>
        <w:tc>
          <w:tcPr>
            <w:tcW w:w="2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(396)</w:t>
            </w:r>
          </w:p>
        </w:tc>
        <w:tc>
          <w:tcPr>
            <w:tcW w:w="94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100" w:type="dxa"/>
            <w:vAlign w:val="bottom"/>
            <w:tcBorders>
              <w:right w:val="single" w:sz="8" w:color="auto"/>
            </w:tcBorders>
            <w:gridSpan w:val="2"/>
          </w:tcPr>
          <w:p>
            <w:pPr>
              <w:ind w:left="460"/>
              <w:spacing w:after="0"/>
              <w:rPr>
                <w:sz w:val="20"/>
                <w:szCs w:val="20"/>
                <w:color w:val="auto"/>
              </w:rPr>
            </w:pPr>
            <w:r>
              <w:rPr>
                <w:rFonts w:ascii="Arial" w:cs="Arial" w:eastAsia="Arial" w:hAnsi="Arial"/>
                <w:sz w:val="20"/>
                <w:szCs w:val="20"/>
                <w:color w:val="auto"/>
              </w:rPr>
              <w:t>—</w:t>
            </w:r>
          </w:p>
        </w:tc>
        <w:tc>
          <w:tcPr>
            <w:tcW w:w="820" w:type="dxa"/>
            <w:vAlign w:val="bottom"/>
            <w:gridSpan w:val="2"/>
          </w:tcPr>
          <w:p>
            <w:pPr>
              <w:ind w:left="260"/>
              <w:spacing w:after="0"/>
              <w:rPr>
                <w:sz w:val="20"/>
                <w:szCs w:val="20"/>
                <w:color w:val="auto"/>
              </w:rPr>
            </w:pPr>
            <w:r>
              <w:rPr>
                <w:rFonts w:ascii="Arial" w:cs="Arial" w:eastAsia="Arial" w:hAnsi="Arial"/>
                <w:sz w:val="20"/>
                <w:szCs w:val="20"/>
                <w:color w:val="auto"/>
              </w:rPr>
              <w:t>$</w:t>
            </w:r>
          </w:p>
        </w:tc>
        <w:tc>
          <w:tcPr>
            <w:tcW w:w="880" w:type="dxa"/>
            <w:vAlign w:val="bottom"/>
          </w:tcPr>
          <w:p>
            <w:pPr>
              <w:ind w:left="4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
        </w:trPr>
        <w:tc>
          <w:tcPr>
            <w:tcW w:w="2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316" w:right="138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126</w:t>
      </w:r>
    </w:p>
    <w:p>
      <w:pPr>
        <w:sectPr>
          <w:pgSz w:w="11880" w:h="15480" w:orient="portrait"/>
          <w:cols w:equalWidth="0" w:num="1">
            <w:col w:w="9120"/>
          </w:cols>
          <w:pgMar w:left="1380" w:top="1316" w:right="1380" w:bottom="661" w:gutter="0" w:footer="0" w:header="0"/>
          <w:type w:val="continuous"/>
        </w:sectPr>
      </w:pPr>
    </w:p>
    <w:bookmarkStart w:id="130" w:name="page131"/>
    <w:bookmarkEnd w:id="130"/>
    <w:p>
      <w:pPr>
        <w:ind w:right="120" w:firstLine="300"/>
        <w:spacing w:after="0" w:line="243" w:lineRule="auto"/>
        <w:rPr>
          <w:sz w:val="20"/>
          <w:szCs w:val="20"/>
          <w:color w:val="auto"/>
        </w:rPr>
      </w:pPr>
      <w:r>
        <w:rPr>
          <w:rFonts w:ascii="Arial" w:cs="Arial" w:eastAsia="Arial" w:hAnsi="Arial"/>
          <w:sz w:val="20"/>
          <w:szCs w:val="20"/>
          <w:color w:val="auto"/>
        </w:rPr>
        <w:t>Total income tax provision (benefit) differs from the amounts computed by applying the U.S. federal income tax statutory rate to pre-tax income (loss)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58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Successor</w:t>
            </w:r>
          </w:p>
        </w:tc>
        <w:tc>
          <w:tcPr>
            <w:tcW w:w="1640" w:type="dxa"/>
            <w:vAlign w:val="bottom"/>
            <w:tcBorders>
              <w:bottom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Predecessor</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580" w:type="dxa"/>
            <w:vAlign w:val="bottom"/>
          </w:tcPr>
          <w:p>
            <w:pPr>
              <w:spacing w:after="0"/>
              <w:rPr>
                <w:sz w:val="17"/>
                <w:szCs w:val="17"/>
                <w:color w:val="auto"/>
              </w:rPr>
            </w:pPr>
          </w:p>
        </w:tc>
        <w:tc>
          <w:tcPr>
            <w:tcW w:w="1560" w:type="dxa"/>
            <w:vAlign w:val="bottom"/>
            <w:gridSpan w:val="2"/>
          </w:tcPr>
          <w:p>
            <w:pPr>
              <w:jc w:val="center"/>
              <w:ind w:right="100"/>
              <w:spacing w:after="0" w:line="200" w:lineRule="exact"/>
              <w:rPr>
                <w:sz w:val="20"/>
                <w:szCs w:val="20"/>
                <w:color w:val="auto"/>
              </w:rPr>
            </w:pPr>
            <w:r>
              <w:rPr>
                <w:rFonts w:ascii="Arial" w:cs="Arial" w:eastAsia="Arial" w:hAnsi="Arial"/>
                <w:sz w:val="18"/>
                <w:szCs w:val="18"/>
                <w:b w:val="1"/>
                <w:bCs w:val="1"/>
                <w:color w:val="auto"/>
              </w:rPr>
              <w:t>Year ended</w:t>
            </w:r>
          </w:p>
        </w:tc>
        <w:tc>
          <w:tcPr>
            <w:tcW w:w="1700" w:type="dxa"/>
            <w:vAlign w:val="bottom"/>
            <w:gridSpan w:val="2"/>
          </w:tcPr>
          <w:p>
            <w:pPr>
              <w:jc w:val="center"/>
              <w:ind w:right="220"/>
              <w:spacing w:after="0" w:line="200" w:lineRule="exact"/>
              <w:rPr>
                <w:sz w:val="20"/>
                <w:szCs w:val="20"/>
                <w:color w:val="auto"/>
              </w:rPr>
            </w:pPr>
            <w:r>
              <w:rPr>
                <w:rFonts w:ascii="Arial" w:cs="Arial" w:eastAsia="Arial" w:hAnsi="Arial"/>
                <w:sz w:val="18"/>
                <w:szCs w:val="18"/>
                <w:b w:val="1"/>
                <w:bCs w:val="1"/>
                <w:color w:val="auto"/>
                <w:w w:val="98"/>
              </w:rPr>
              <w:t>Year ended</w:t>
            </w:r>
          </w:p>
        </w:tc>
        <w:tc>
          <w:tcPr>
            <w:tcW w:w="17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November 1, 2020 -</w:t>
            </w:r>
          </w:p>
        </w:tc>
        <w:tc>
          <w:tcPr>
            <w:tcW w:w="100" w:type="dxa"/>
            <w:vAlign w:val="bottom"/>
          </w:tcPr>
          <w:p>
            <w:pPr>
              <w:spacing w:after="0"/>
              <w:rPr>
                <w:sz w:val="17"/>
                <w:szCs w:val="17"/>
                <w:color w:val="auto"/>
              </w:rPr>
            </w:pPr>
          </w:p>
        </w:tc>
        <w:tc>
          <w:tcPr>
            <w:tcW w:w="152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9"/>
              </w:rPr>
              <w:t>January 1, 2020 -</w:t>
            </w:r>
          </w:p>
        </w:tc>
        <w:tc>
          <w:tcPr>
            <w:tcW w:w="0" w:type="dxa"/>
            <w:vAlign w:val="bottom"/>
          </w:tcPr>
          <w:p>
            <w:pPr>
              <w:spacing w:after="0"/>
              <w:rPr>
                <w:sz w:val="1"/>
                <w:szCs w:val="1"/>
                <w:color w:val="auto"/>
              </w:rPr>
            </w:pPr>
          </w:p>
        </w:tc>
      </w:tr>
      <w:tr>
        <w:trPr>
          <w:trHeight w:val="180"/>
        </w:trPr>
        <w:tc>
          <w:tcPr>
            <w:tcW w:w="2580" w:type="dxa"/>
            <w:vAlign w:val="bottom"/>
          </w:tcPr>
          <w:p>
            <w:pPr>
              <w:spacing w:after="0"/>
              <w:rPr>
                <w:sz w:val="15"/>
                <w:szCs w:val="15"/>
                <w:color w:val="auto"/>
              </w:rPr>
            </w:pPr>
          </w:p>
        </w:tc>
        <w:tc>
          <w:tcPr>
            <w:tcW w:w="1560" w:type="dxa"/>
            <w:vAlign w:val="bottom"/>
            <w:gridSpan w:val="2"/>
          </w:tcPr>
          <w:p>
            <w:pPr>
              <w:jc w:val="center"/>
              <w:ind w:right="100"/>
              <w:spacing w:after="0" w:line="180" w:lineRule="exact"/>
              <w:rPr>
                <w:sz w:val="20"/>
                <w:szCs w:val="20"/>
                <w:color w:val="auto"/>
              </w:rPr>
            </w:pPr>
            <w:r>
              <w:rPr>
                <w:rFonts w:ascii="Arial" w:cs="Arial" w:eastAsia="Arial" w:hAnsi="Arial"/>
                <w:sz w:val="18"/>
                <w:szCs w:val="18"/>
                <w:b w:val="1"/>
                <w:bCs w:val="1"/>
                <w:color w:val="auto"/>
              </w:rPr>
              <w:t>December 31,</w:t>
            </w:r>
          </w:p>
        </w:tc>
        <w:tc>
          <w:tcPr>
            <w:tcW w:w="1700" w:type="dxa"/>
            <w:vAlign w:val="bottom"/>
            <w:gridSpan w:val="2"/>
          </w:tcPr>
          <w:p>
            <w:pPr>
              <w:jc w:val="center"/>
              <w:ind w:right="200"/>
              <w:spacing w:after="0" w:line="180" w:lineRule="exact"/>
              <w:rPr>
                <w:sz w:val="20"/>
                <w:szCs w:val="20"/>
                <w:color w:val="auto"/>
              </w:rPr>
            </w:pPr>
            <w:r>
              <w:rPr>
                <w:rFonts w:ascii="Arial" w:cs="Arial" w:eastAsia="Arial" w:hAnsi="Arial"/>
                <w:sz w:val="20"/>
                <w:szCs w:val="20"/>
                <w:b w:val="1"/>
                <w:bCs w:val="1"/>
                <w:color w:val="auto"/>
                <w:w w:val="99"/>
              </w:rPr>
              <w:t>December 31,</w:t>
            </w:r>
          </w:p>
        </w:tc>
        <w:tc>
          <w:tcPr>
            <w:tcW w:w="1740" w:type="dxa"/>
            <w:vAlign w:val="bottom"/>
            <w:tcBorders>
              <w:right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2580" w:type="dxa"/>
            <w:vAlign w:val="bottom"/>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740" w:type="dxa"/>
            <w:vAlign w:val="bottom"/>
            <w:tcBorders>
              <w:right w:val="single" w:sz="8" w:color="auto"/>
            </w:tcBorders>
            <w:gridSpan w:val="2"/>
            <w:vMerge w:val="restart"/>
          </w:tcPr>
          <w:p>
            <w:pPr>
              <w:spacing w:after="0" w:line="203" w:lineRule="exact"/>
              <w:rPr>
                <w:sz w:val="20"/>
                <w:szCs w:val="20"/>
                <w:color w:val="auto"/>
              </w:rPr>
            </w:pPr>
            <w:r>
              <w:rPr>
                <w:rFonts w:ascii="Arial" w:cs="Arial" w:eastAsia="Arial" w:hAnsi="Arial"/>
                <w:sz w:val="18"/>
                <w:szCs w:val="18"/>
                <w:b w:val="1"/>
                <w:bCs w:val="1"/>
                <w:color w:val="auto"/>
              </w:rPr>
              <w:t>December 31, 2020</w:t>
            </w:r>
          </w:p>
        </w:tc>
        <w:tc>
          <w:tcPr>
            <w:tcW w:w="100" w:type="dxa"/>
            <w:vAlign w:val="bottom"/>
          </w:tcPr>
          <w:p>
            <w:pPr>
              <w:spacing w:after="0"/>
              <w:rPr>
                <w:sz w:val="5"/>
                <w:szCs w:val="5"/>
                <w:color w:val="auto"/>
              </w:rPr>
            </w:pPr>
          </w:p>
        </w:tc>
        <w:tc>
          <w:tcPr>
            <w:tcW w:w="1520" w:type="dxa"/>
            <w:vAlign w:val="bottom"/>
            <w:gridSpan w:val="2"/>
            <w:vMerge w:val="restart"/>
          </w:tcPr>
          <w:p>
            <w:pPr>
              <w:jc w:val="center"/>
              <w:ind w:right="80"/>
              <w:spacing w:after="0" w:line="203" w:lineRule="exact"/>
              <w:rPr>
                <w:sz w:val="20"/>
                <w:szCs w:val="20"/>
                <w:color w:val="auto"/>
              </w:rPr>
            </w:pPr>
            <w:r>
              <w:rPr>
                <w:rFonts w:ascii="Arial" w:cs="Arial" w:eastAsia="Arial" w:hAnsi="Arial"/>
                <w:sz w:val="18"/>
                <w:szCs w:val="18"/>
                <w:b w:val="1"/>
                <w:bCs w:val="1"/>
                <w:color w:val="auto"/>
                <w:w w:val="99"/>
              </w:rPr>
              <w:t>October 31, 2020</w:t>
            </w:r>
          </w:p>
        </w:tc>
        <w:tc>
          <w:tcPr>
            <w:tcW w:w="0" w:type="dxa"/>
            <w:vAlign w:val="bottom"/>
          </w:tcPr>
          <w:p>
            <w:pPr>
              <w:spacing w:after="0"/>
              <w:rPr>
                <w:sz w:val="1"/>
                <w:szCs w:val="1"/>
                <w:color w:val="auto"/>
              </w:rPr>
            </w:pPr>
          </w:p>
        </w:tc>
      </w:tr>
      <w:tr>
        <w:trPr>
          <w:trHeight w:val="123"/>
        </w:trPr>
        <w:tc>
          <w:tcPr>
            <w:tcW w:w="2580" w:type="dxa"/>
            <w:vAlign w:val="bottom"/>
          </w:tcPr>
          <w:p>
            <w:pPr>
              <w:spacing w:after="0"/>
              <w:rPr>
                <w:sz w:val="10"/>
                <w:szCs w:val="10"/>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10"/>
                <w:szCs w:val="10"/>
                <w:color w:val="auto"/>
              </w:rPr>
            </w:pPr>
          </w:p>
        </w:tc>
        <w:tc>
          <w:tcPr>
            <w:tcW w:w="1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2021</w:t>
            </w:r>
          </w:p>
        </w:tc>
        <w:tc>
          <w:tcPr>
            <w:tcW w:w="200" w:type="dxa"/>
            <w:vAlign w:val="bottom"/>
          </w:tcPr>
          <w:p>
            <w:pPr>
              <w:spacing w:after="0"/>
              <w:rPr>
                <w:sz w:val="10"/>
                <w:szCs w:val="10"/>
                <w:color w:val="auto"/>
              </w:rPr>
            </w:pPr>
          </w:p>
        </w:tc>
        <w:tc>
          <w:tcPr>
            <w:tcW w:w="1740" w:type="dxa"/>
            <w:vAlign w:val="bottom"/>
            <w:tcBorders>
              <w:right w:val="single" w:sz="8" w:color="auto"/>
            </w:tcBorders>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58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2580" w:type="dxa"/>
            <w:vAlign w:val="bottom"/>
            <w:vMerge w:val="restart"/>
          </w:tcPr>
          <w:p>
            <w:pPr>
              <w:spacing w:after="0"/>
              <w:rPr>
                <w:sz w:val="20"/>
                <w:szCs w:val="20"/>
                <w:color w:val="auto"/>
              </w:rPr>
            </w:pPr>
            <w:r>
              <w:rPr>
                <w:rFonts w:ascii="Arial" w:cs="Arial" w:eastAsia="Arial" w:hAnsi="Arial"/>
                <w:sz w:val="20"/>
                <w:szCs w:val="20"/>
                <w:color w:val="auto"/>
              </w:rPr>
              <w:t>U.S. federal statutory tax</w:t>
            </w: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580" w:type="dxa"/>
            <w:vAlign w:val="bottom"/>
            <w:vMerge w:val="continue"/>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580" w:type="dxa"/>
            <w:vAlign w:val="bottom"/>
          </w:tcPr>
          <w:p>
            <w:pPr>
              <w:spacing w:after="0" w:line="220" w:lineRule="exact"/>
              <w:rPr>
                <w:sz w:val="20"/>
                <w:szCs w:val="20"/>
                <w:color w:val="auto"/>
              </w:rPr>
            </w:pPr>
            <w:r>
              <w:rPr>
                <w:rFonts w:ascii="Arial" w:cs="Arial" w:eastAsia="Arial" w:hAnsi="Arial"/>
                <w:sz w:val="20"/>
                <w:szCs w:val="20"/>
                <w:color w:val="auto"/>
                <w:w w:val="99"/>
              </w:rPr>
              <w:t>rate . . . . . . . . . . . . . . . . . . . .</w:t>
            </w:r>
          </w:p>
        </w:tc>
        <w:tc>
          <w:tcPr>
            <w:tcW w:w="1560" w:type="dxa"/>
            <w:vAlign w:val="bottom"/>
            <w:gridSpan w:val="2"/>
          </w:tcPr>
          <w:p>
            <w:pPr>
              <w:jc w:val="right"/>
              <w:ind w:right="40"/>
              <w:spacing w:after="0" w:line="220" w:lineRule="exact"/>
              <w:rPr>
                <w:sz w:val="20"/>
                <w:szCs w:val="20"/>
                <w:color w:val="auto"/>
              </w:rPr>
            </w:pPr>
            <w:r>
              <w:rPr>
                <w:rFonts w:ascii="Arial" w:cs="Arial" w:eastAsia="Arial" w:hAnsi="Arial"/>
                <w:sz w:val="20"/>
                <w:szCs w:val="20"/>
                <w:color w:val="auto"/>
              </w:rPr>
              <w:t>21 %</w:t>
            </w:r>
          </w:p>
        </w:tc>
        <w:tc>
          <w:tcPr>
            <w:tcW w:w="1700" w:type="dxa"/>
            <w:vAlign w:val="bottom"/>
            <w:gridSpan w:val="2"/>
          </w:tcPr>
          <w:p>
            <w:pPr>
              <w:jc w:val="right"/>
              <w:ind w:right="160"/>
              <w:spacing w:after="0" w:line="220" w:lineRule="exact"/>
              <w:rPr>
                <w:sz w:val="20"/>
                <w:szCs w:val="20"/>
                <w:color w:val="auto"/>
              </w:rPr>
            </w:pPr>
            <w:r>
              <w:rPr>
                <w:rFonts w:ascii="Arial" w:cs="Arial" w:eastAsia="Arial" w:hAnsi="Arial"/>
                <w:sz w:val="20"/>
                <w:szCs w:val="20"/>
                <w:color w:val="auto"/>
              </w:rPr>
              <w:t>21 %</w:t>
            </w:r>
          </w:p>
        </w:tc>
        <w:tc>
          <w:tcPr>
            <w:tcW w:w="1640" w:type="dxa"/>
            <w:vAlign w:val="bottom"/>
          </w:tcPr>
          <w:p>
            <w:pPr>
              <w:ind w:left="1160"/>
              <w:spacing w:after="0" w:line="220" w:lineRule="exact"/>
              <w:rPr>
                <w:sz w:val="20"/>
                <w:szCs w:val="20"/>
                <w:color w:val="auto"/>
              </w:rPr>
            </w:pPr>
            <w:r>
              <w:rPr>
                <w:rFonts w:ascii="Arial" w:cs="Arial" w:eastAsia="Arial" w:hAnsi="Arial"/>
                <w:sz w:val="20"/>
                <w:szCs w:val="20"/>
                <w:color w:val="auto"/>
              </w:rPr>
              <w:t>21 %</w:t>
            </w:r>
          </w:p>
        </w:tc>
        <w:tc>
          <w:tcPr>
            <w:tcW w:w="100" w:type="dxa"/>
            <w:vAlign w:val="bottom"/>
            <w:tcBorders>
              <w:right w:val="single" w:sz="8" w:color="auto"/>
            </w:tcBorders>
          </w:tcPr>
          <w:p>
            <w:pPr>
              <w:spacing w:after="0"/>
              <w:rPr>
                <w:sz w:val="19"/>
                <w:szCs w:val="19"/>
                <w:color w:val="auto"/>
              </w:rPr>
            </w:pPr>
          </w:p>
        </w:tc>
        <w:tc>
          <w:tcPr>
            <w:tcW w:w="1620" w:type="dxa"/>
            <w:vAlign w:val="bottom"/>
            <w:gridSpan w:val="3"/>
          </w:tcPr>
          <w:p>
            <w:pPr>
              <w:jc w:val="right"/>
              <w:ind w:right="20"/>
              <w:spacing w:after="0" w:line="220" w:lineRule="exact"/>
              <w:rPr>
                <w:sz w:val="20"/>
                <w:szCs w:val="20"/>
                <w:color w:val="auto"/>
              </w:rPr>
            </w:pPr>
            <w:r>
              <w:rPr>
                <w:rFonts w:ascii="Arial" w:cs="Arial" w:eastAsia="Arial" w:hAnsi="Arial"/>
                <w:sz w:val="20"/>
                <w:szCs w:val="20"/>
                <w:color w:val="auto"/>
              </w:rPr>
              <w:t>21 %</w:t>
            </w:r>
          </w:p>
        </w:tc>
        <w:tc>
          <w:tcPr>
            <w:tcW w:w="0" w:type="dxa"/>
            <w:vAlign w:val="bottom"/>
          </w:tcPr>
          <w:p>
            <w:pPr>
              <w:spacing w:after="0"/>
              <w:rPr>
                <w:sz w:val="1"/>
                <w:szCs w:val="1"/>
                <w:color w:val="auto"/>
              </w:rPr>
            </w:pPr>
          </w:p>
        </w:tc>
      </w:tr>
      <w:tr>
        <w:trPr>
          <w:trHeight w:val="220"/>
        </w:trPr>
        <w:tc>
          <w:tcPr>
            <w:tcW w:w="2580" w:type="dxa"/>
            <w:vAlign w:val="bottom"/>
          </w:tcPr>
          <w:p>
            <w:pPr>
              <w:spacing w:after="0" w:line="220" w:lineRule="exact"/>
              <w:rPr>
                <w:sz w:val="20"/>
                <w:szCs w:val="20"/>
                <w:color w:val="auto"/>
              </w:rPr>
            </w:pPr>
            <w:r>
              <w:rPr>
                <w:rFonts w:ascii="Arial" w:cs="Arial" w:eastAsia="Arial" w:hAnsi="Arial"/>
                <w:sz w:val="20"/>
                <w:szCs w:val="20"/>
                <w:color w:val="auto"/>
              </w:rPr>
              <w:t>State income taxes, net  . . .</w:t>
            </w:r>
          </w:p>
        </w:tc>
        <w:tc>
          <w:tcPr>
            <w:tcW w:w="1460" w:type="dxa"/>
            <w:vAlign w:val="bottom"/>
          </w:tcPr>
          <w:p>
            <w:pPr>
              <w:jc w:val="right"/>
              <w:ind w:right="63"/>
              <w:spacing w:after="0" w:line="220" w:lineRule="exact"/>
              <w:rPr>
                <w:sz w:val="20"/>
                <w:szCs w:val="20"/>
                <w:color w:val="auto"/>
              </w:rPr>
            </w:pPr>
            <w:r>
              <w:rPr>
                <w:rFonts w:ascii="Arial" w:cs="Arial" w:eastAsia="Arial" w:hAnsi="Arial"/>
                <w:sz w:val="20"/>
                <w:szCs w:val="20"/>
                <w:color w:val="auto"/>
              </w:rPr>
              <w:t>9</w:t>
            </w:r>
          </w:p>
        </w:tc>
        <w:tc>
          <w:tcPr>
            <w:tcW w:w="100" w:type="dxa"/>
            <w:vAlign w:val="bottom"/>
          </w:tcPr>
          <w:p>
            <w:pPr>
              <w:spacing w:after="0"/>
              <w:rPr>
                <w:sz w:val="19"/>
                <w:szCs w:val="19"/>
                <w:color w:val="auto"/>
              </w:rPr>
            </w:pPr>
          </w:p>
        </w:tc>
        <w:tc>
          <w:tcPr>
            <w:tcW w:w="1500" w:type="dxa"/>
            <w:vAlign w:val="bottom"/>
          </w:tcPr>
          <w:p>
            <w:pPr>
              <w:jc w:val="right"/>
              <w:ind w:right="22"/>
              <w:spacing w:after="0" w:line="220" w:lineRule="exact"/>
              <w:rPr>
                <w:sz w:val="20"/>
                <w:szCs w:val="20"/>
                <w:color w:val="auto"/>
              </w:rPr>
            </w:pPr>
            <w:r>
              <w:rPr>
                <w:rFonts w:ascii="Arial" w:cs="Arial" w:eastAsia="Arial" w:hAnsi="Arial"/>
                <w:sz w:val="20"/>
                <w:szCs w:val="20"/>
                <w:color w:val="auto"/>
              </w:rPr>
              <w:t>(81)</w:t>
            </w:r>
          </w:p>
        </w:tc>
        <w:tc>
          <w:tcPr>
            <w:tcW w:w="200" w:type="dxa"/>
            <w:vAlign w:val="bottom"/>
          </w:tcPr>
          <w:p>
            <w:pPr>
              <w:spacing w:after="0"/>
              <w:rPr>
                <w:sz w:val="19"/>
                <w:szCs w:val="19"/>
                <w:color w:val="auto"/>
              </w:rPr>
            </w:pPr>
          </w:p>
        </w:tc>
        <w:tc>
          <w:tcPr>
            <w:tcW w:w="1740" w:type="dxa"/>
            <w:vAlign w:val="bottom"/>
            <w:tcBorders>
              <w:right w:val="single" w:sz="8" w:color="auto"/>
            </w:tcBorders>
            <w:gridSpan w:val="2"/>
          </w:tcPr>
          <w:p>
            <w:pPr>
              <w:ind w:left="1160"/>
              <w:spacing w:after="0" w:line="220" w:lineRule="exact"/>
              <w:rPr>
                <w:sz w:val="20"/>
                <w:szCs w:val="20"/>
                <w:color w:val="auto"/>
              </w:rPr>
            </w:pPr>
            <w:r>
              <w:rPr>
                <w:rFonts w:ascii="Arial" w:cs="Arial" w:eastAsia="Arial" w:hAnsi="Arial"/>
                <w:sz w:val="20"/>
                <w:szCs w:val="20"/>
                <w:color w:val="auto"/>
              </w:rPr>
              <w:t>—</w:t>
            </w:r>
          </w:p>
        </w:tc>
        <w:tc>
          <w:tcPr>
            <w:tcW w:w="100" w:type="dxa"/>
            <w:vAlign w:val="bottom"/>
          </w:tcPr>
          <w:p>
            <w:pPr>
              <w:spacing w:after="0"/>
              <w:rPr>
                <w:sz w:val="19"/>
                <w:szCs w:val="19"/>
                <w:color w:val="auto"/>
              </w:rPr>
            </w:pPr>
          </w:p>
        </w:tc>
        <w:tc>
          <w:tcPr>
            <w:tcW w:w="1520" w:type="dxa"/>
            <w:vAlign w:val="bottom"/>
            <w:gridSpan w:val="2"/>
          </w:tcPr>
          <w:p>
            <w:pPr>
              <w:jc w:val="right"/>
              <w:ind w:right="280"/>
              <w:spacing w:after="0" w:line="220"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0"/>
        </w:trPr>
        <w:tc>
          <w:tcPr>
            <w:tcW w:w="2580" w:type="dxa"/>
            <w:vAlign w:val="bottom"/>
          </w:tcPr>
          <w:p>
            <w:pPr>
              <w:spacing w:after="0" w:line="220" w:lineRule="exact"/>
              <w:rPr>
                <w:sz w:val="20"/>
                <w:szCs w:val="20"/>
                <w:color w:val="auto"/>
              </w:rPr>
            </w:pPr>
            <w:r>
              <w:rPr>
                <w:rFonts w:ascii="Arial" w:cs="Arial" w:eastAsia="Arial" w:hAnsi="Arial"/>
                <w:sz w:val="20"/>
                <w:szCs w:val="20"/>
                <w:color w:val="auto"/>
              </w:rPr>
              <w:t>Exclusion of income</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80" w:type="dxa"/>
            <w:vAlign w:val="bottom"/>
          </w:tcPr>
          <w:p>
            <w:pPr>
              <w:spacing w:after="0" w:line="220" w:lineRule="exact"/>
              <w:rPr>
                <w:sz w:val="20"/>
                <w:szCs w:val="20"/>
                <w:color w:val="auto"/>
              </w:rPr>
            </w:pPr>
            <w:r>
              <w:rPr>
                <w:rFonts w:ascii="Arial" w:cs="Arial" w:eastAsia="Arial" w:hAnsi="Arial"/>
                <w:sz w:val="20"/>
                <w:szCs w:val="20"/>
                <w:color w:val="auto"/>
              </w:rPr>
              <w:t>attributable to</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80" w:type="dxa"/>
            <w:vAlign w:val="bottom"/>
          </w:tcPr>
          <w:p>
            <w:pPr>
              <w:spacing w:after="0" w:line="220" w:lineRule="exact"/>
              <w:rPr>
                <w:sz w:val="20"/>
                <w:szCs w:val="20"/>
                <w:color w:val="auto"/>
              </w:rPr>
            </w:pPr>
            <w:r>
              <w:rPr>
                <w:rFonts w:ascii="Arial" w:cs="Arial" w:eastAsia="Arial" w:hAnsi="Arial"/>
                <w:sz w:val="20"/>
                <w:szCs w:val="20"/>
                <w:color w:val="auto"/>
              </w:rPr>
              <w:t>noncontrolling interests . . . .</w:t>
            </w:r>
          </w:p>
        </w:tc>
        <w:tc>
          <w:tcPr>
            <w:tcW w:w="1560" w:type="dxa"/>
            <w:vAlign w:val="bottom"/>
            <w:gridSpan w:val="2"/>
          </w:tcPr>
          <w:p>
            <w:pPr>
              <w:jc w:val="right"/>
              <w:ind w:right="260"/>
              <w:spacing w:after="0" w:line="220" w:lineRule="exact"/>
              <w:rPr>
                <w:sz w:val="20"/>
                <w:szCs w:val="20"/>
                <w:color w:val="auto"/>
              </w:rPr>
            </w:pPr>
            <w:r>
              <w:rPr>
                <w:rFonts w:ascii="Arial" w:cs="Arial" w:eastAsia="Arial" w:hAnsi="Arial"/>
                <w:sz w:val="20"/>
                <w:szCs w:val="20"/>
                <w:color w:val="auto"/>
              </w:rPr>
              <w:t>—</w:t>
            </w:r>
          </w:p>
        </w:tc>
        <w:tc>
          <w:tcPr>
            <w:tcW w:w="1500" w:type="dxa"/>
            <w:vAlign w:val="bottom"/>
          </w:tcPr>
          <w:p>
            <w:pPr>
              <w:jc w:val="right"/>
              <w:ind w:right="62"/>
              <w:spacing w:after="0" w:line="220" w:lineRule="exact"/>
              <w:rPr>
                <w:sz w:val="20"/>
                <w:szCs w:val="20"/>
                <w:color w:val="auto"/>
              </w:rPr>
            </w:pPr>
            <w:r>
              <w:rPr>
                <w:rFonts w:ascii="Arial" w:cs="Arial" w:eastAsia="Arial" w:hAnsi="Arial"/>
                <w:sz w:val="20"/>
                <w:szCs w:val="20"/>
                <w:color w:val="auto"/>
              </w:rPr>
              <w:t>(1)</w:t>
            </w:r>
          </w:p>
        </w:tc>
        <w:tc>
          <w:tcPr>
            <w:tcW w:w="200" w:type="dxa"/>
            <w:vAlign w:val="bottom"/>
          </w:tcPr>
          <w:p>
            <w:pPr>
              <w:spacing w:after="0"/>
              <w:rPr>
                <w:sz w:val="19"/>
                <w:szCs w:val="19"/>
                <w:color w:val="auto"/>
              </w:rPr>
            </w:pPr>
          </w:p>
        </w:tc>
        <w:tc>
          <w:tcPr>
            <w:tcW w:w="1740" w:type="dxa"/>
            <w:vAlign w:val="bottom"/>
            <w:tcBorders>
              <w:right w:val="single" w:sz="8" w:color="auto"/>
            </w:tcBorders>
            <w:gridSpan w:val="2"/>
          </w:tcPr>
          <w:p>
            <w:pPr>
              <w:ind w:left="1160"/>
              <w:spacing w:after="0" w:line="220" w:lineRule="exact"/>
              <w:rPr>
                <w:sz w:val="20"/>
                <w:szCs w:val="20"/>
                <w:color w:val="auto"/>
              </w:rPr>
            </w:pPr>
            <w:r>
              <w:rPr>
                <w:rFonts w:ascii="Arial" w:cs="Arial" w:eastAsia="Arial" w:hAnsi="Arial"/>
                <w:sz w:val="20"/>
                <w:szCs w:val="20"/>
                <w:color w:val="auto"/>
              </w:rPr>
              <w:t>—</w:t>
            </w:r>
          </w:p>
        </w:tc>
        <w:tc>
          <w:tcPr>
            <w:tcW w:w="1540" w:type="dxa"/>
            <w:vAlign w:val="bottom"/>
            <w:gridSpan w:val="2"/>
          </w:tcPr>
          <w:p>
            <w:pPr>
              <w:ind w:left="1200"/>
              <w:spacing w:after="0" w:line="220" w:lineRule="exact"/>
              <w:rPr>
                <w:sz w:val="20"/>
                <w:szCs w:val="20"/>
                <w:color w:val="auto"/>
              </w:rPr>
            </w:pPr>
            <w:r>
              <w:rPr>
                <w:rFonts w:ascii="Arial" w:cs="Arial" w:eastAsia="Arial" w:hAnsi="Arial"/>
                <w:sz w:val="20"/>
                <w:szCs w:val="20"/>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80" w:type="dxa"/>
            <w:vAlign w:val="bottom"/>
          </w:tcPr>
          <w:p>
            <w:pPr>
              <w:spacing w:after="0" w:line="220" w:lineRule="exact"/>
              <w:rPr>
                <w:sz w:val="20"/>
                <w:szCs w:val="20"/>
                <w:color w:val="auto"/>
              </w:rPr>
            </w:pPr>
            <w:r>
              <w:rPr>
                <w:rFonts w:ascii="Arial" w:cs="Arial" w:eastAsia="Arial" w:hAnsi="Arial"/>
                <w:sz w:val="20"/>
                <w:szCs w:val="20"/>
                <w:color w:val="auto"/>
              </w:rPr>
              <w:t>Debt restructuring . . . . . . . .</w:t>
            </w:r>
          </w:p>
        </w:tc>
        <w:tc>
          <w:tcPr>
            <w:tcW w:w="1560" w:type="dxa"/>
            <w:vAlign w:val="bottom"/>
            <w:gridSpan w:val="2"/>
          </w:tcPr>
          <w:p>
            <w:pPr>
              <w:jc w:val="right"/>
              <w:ind w:right="260"/>
              <w:spacing w:after="0" w:line="220" w:lineRule="exact"/>
              <w:rPr>
                <w:sz w:val="20"/>
                <w:szCs w:val="20"/>
                <w:color w:val="auto"/>
              </w:rPr>
            </w:pPr>
            <w:r>
              <w:rPr>
                <w:rFonts w:ascii="Arial" w:cs="Arial" w:eastAsia="Arial" w:hAnsi="Arial"/>
                <w:sz w:val="20"/>
                <w:szCs w:val="20"/>
                <w:color w:val="auto"/>
              </w:rPr>
              <w:t>—</w:t>
            </w:r>
          </w:p>
        </w:tc>
        <w:tc>
          <w:tcPr>
            <w:tcW w:w="1700" w:type="dxa"/>
            <w:vAlign w:val="bottom"/>
            <w:gridSpan w:val="2"/>
          </w:tcPr>
          <w:p>
            <w:pPr>
              <w:jc w:val="right"/>
              <w:ind w:right="400"/>
              <w:spacing w:after="0" w:line="220" w:lineRule="exact"/>
              <w:rPr>
                <w:sz w:val="20"/>
                <w:szCs w:val="20"/>
                <w:color w:val="auto"/>
              </w:rPr>
            </w:pPr>
            <w:r>
              <w:rPr>
                <w:rFonts w:ascii="Arial" w:cs="Arial" w:eastAsia="Arial" w:hAnsi="Arial"/>
                <w:sz w:val="20"/>
                <w:szCs w:val="20"/>
                <w:color w:val="auto"/>
              </w:rPr>
              <w:t>—</w:t>
            </w:r>
          </w:p>
        </w:tc>
        <w:tc>
          <w:tcPr>
            <w:tcW w:w="1740" w:type="dxa"/>
            <w:vAlign w:val="bottom"/>
            <w:tcBorders>
              <w:right w:val="single" w:sz="8" w:color="auto"/>
            </w:tcBorders>
            <w:gridSpan w:val="2"/>
          </w:tcPr>
          <w:p>
            <w:pPr>
              <w:ind w:left="1160"/>
              <w:spacing w:after="0" w:line="220" w:lineRule="exact"/>
              <w:rPr>
                <w:sz w:val="20"/>
                <w:szCs w:val="20"/>
                <w:color w:val="auto"/>
              </w:rPr>
            </w:pPr>
            <w:r>
              <w:rPr>
                <w:rFonts w:ascii="Arial" w:cs="Arial" w:eastAsia="Arial" w:hAnsi="Arial"/>
                <w:sz w:val="20"/>
                <w:szCs w:val="20"/>
                <w:color w:val="auto"/>
              </w:rPr>
              <w:t>—</w:t>
            </w:r>
          </w:p>
        </w:tc>
        <w:tc>
          <w:tcPr>
            <w:tcW w:w="100" w:type="dxa"/>
            <w:vAlign w:val="bottom"/>
          </w:tcPr>
          <w:p>
            <w:pPr>
              <w:spacing w:after="0"/>
              <w:rPr>
                <w:sz w:val="19"/>
                <w:szCs w:val="19"/>
                <w:color w:val="auto"/>
              </w:rPr>
            </w:pPr>
          </w:p>
        </w:tc>
        <w:tc>
          <w:tcPr>
            <w:tcW w:w="1520" w:type="dxa"/>
            <w:vAlign w:val="bottom"/>
            <w:gridSpan w:val="2"/>
          </w:tcPr>
          <w:p>
            <w:pPr>
              <w:ind w:left="1100"/>
              <w:spacing w:after="0" w:line="220"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0"/>
        </w:trPr>
        <w:tc>
          <w:tcPr>
            <w:tcW w:w="2580" w:type="dxa"/>
            <w:vAlign w:val="bottom"/>
          </w:tcPr>
          <w:p>
            <w:pPr>
              <w:spacing w:after="0" w:line="220" w:lineRule="exact"/>
              <w:rPr>
                <w:sz w:val="20"/>
                <w:szCs w:val="20"/>
                <w:color w:val="auto"/>
              </w:rPr>
            </w:pPr>
            <w:r>
              <w:rPr>
                <w:rFonts w:ascii="Arial" w:cs="Arial" w:eastAsia="Arial" w:hAnsi="Arial"/>
                <w:sz w:val="20"/>
                <w:szCs w:val="20"/>
                <w:color w:val="auto"/>
              </w:rPr>
              <w:t>Changes in tax attributes . .</w:t>
            </w:r>
          </w:p>
        </w:tc>
        <w:tc>
          <w:tcPr>
            <w:tcW w:w="1460" w:type="dxa"/>
            <w:vAlign w:val="bottom"/>
          </w:tcPr>
          <w:p>
            <w:pPr>
              <w:jc w:val="right"/>
              <w:ind w:right="63"/>
              <w:spacing w:after="0" w:line="220" w:lineRule="exact"/>
              <w:rPr>
                <w:sz w:val="20"/>
                <w:szCs w:val="20"/>
                <w:color w:val="auto"/>
              </w:rPr>
            </w:pPr>
            <w:r>
              <w:rPr>
                <w:rFonts w:ascii="Arial" w:cs="Arial" w:eastAsia="Arial" w:hAnsi="Arial"/>
                <w:sz w:val="20"/>
                <w:szCs w:val="20"/>
                <w:color w:val="auto"/>
              </w:rPr>
              <w:t>(2)</w:t>
            </w:r>
          </w:p>
        </w:tc>
        <w:tc>
          <w:tcPr>
            <w:tcW w:w="100" w:type="dxa"/>
            <w:vAlign w:val="bottom"/>
          </w:tcPr>
          <w:p>
            <w:pPr>
              <w:spacing w:after="0"/>
              <w:rPr>
                <w:sz w:val="19"/>
                <w:szCs w:val="19"/>
                <w:color w:val="auto"/>
              </w:rPr>
            </w:pPr>
          </w:p>
        </w:tc>
        <w:tc>
          <w:tcPr>
            <w:tcW w:w="1500" w:type="dxa"/>
            <w:vAlign w:val="bottom"/>
          </w:tcPr>
          <w:p>
            <w:pPr>
              <w:jc w:val="right"/>
              <w:ind w:right="62"/>
              <w:spacing w:after="0" w:line="220" w:lineRule="exact"/>
              <w:rPr>
                <w:sz w:val="20"/>
                <w:szCs w:val="20"/>
                <w:color w:val="auto"/>
              </w:rPr>
            </w:pPr>
            <w:r>
              <w:rPr>
                <w:rFonts w:ascii="Arial" w:cs="Arial" w:eastAsia="Arial" w:hAnsi="Arial"/>
                <w:sz w:val="20"/>
                <w:szCs w:val="20"/>
                <w:color w:val="auto"/>
              </w:rPr>
              <w:t>(8)</w:t>
            </w:r>
          </w:p>
        </w:tc>
        <w:tc>
          <w:tcPr>
            <w:tcW w:w="200" w:type="dxa"/>
            <w:vAlign w:val="bottom"/>
          </w:tcPr>
          <w:p>
            <w:pPr>
              <w:spacing w:after="0"/>
              <w:rPr>
                <w:sz w:val="19"/>
                <w:szCs w:val="19"/>
                <w:color w:val="auto"/>
              </w:rPr>
            </w:pPr>
          </w:p>
        </w:tc>
        <w:tc>
          <w:tcPr>
            <w:tcW w:w="1740" w:type="dxa"/>
            <w:vAlign w:val="bottom"/>
            <w:tcBorders>
              <w:right w:val="single" w:sz="8" w:color="auto"/>
            </w:tcBorders>
            <w:gridSpan w:val="2"/>
          </w:tcPr>
          <w:p>
            <w:pPr>
              <w:ind w:left="1160"/>
              <w:spacing w:after="0" w:line="220" w:lineRule="exact"/>
              <w:rPr>
                <w:sz w:val="20"/>
                <w:szCs w:val="20"/>
                <w:color w:val="auto"/>
              </w:rPr>
            </w:pPr>
            <w:r>
              <w:rPr>
                <w:rFonts w:ascii="Arial" w:cs="Arial" w:eastAsia="Arial" w:hAnsi="Arial"/>
                <w:sz w:val="20"/>
                <w:szCs w:val="20"/>
                <w:color w:val="auto"/>
              </w:rPr>
              <w:t>—</w:t>
            </w:r>
          </w:p>
        </w:tc>
        <w:tc>
          <w:tcPr>
            <w:tcW w:w="100" w:type="dxa"/>
            <w:vAlign w:val="bottom"/>
          </w:tcPr>
          <w:p>
            <w:pPr>
              <w:spacing w:after="0"/>
              <w:rPr>
                <w:sz w:val="19"/>
                <w:szCs w:val="19"/>
                <w:color w:val="auto"/>
              </w:rPr>
            </w:pPr>
          </w:p>
        </w:tc>
        <w:tc>
          <w:tcPr>
            <w:tcW w:w="1520" w:type="dxa"/>
            <w:vAlign w:val="bottom"/>
            <w:gridSpan w:val="2"/>
          </w:tcPr>
          <w:p>
            <w:pPr>
              <w:jc w:val="right"/>
              <w:ind w:right="280"/>
              <w:spacing w:after="0" w:line="220"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0"/>
        </w:trPr>
        <w:tc>
          <w:tcPr>
            <w:tcW w:w="2580" w:type="dxa"/>
            <w:vAlign w:val="bottom"/>
          </w:tcPr>
          <w:p>
            <w:pPr>
              <w:spacing w:after="0" w:line="220" w:lineRule="exact"/>
              <w:rPr>
                <w:sz w:val="20"/>
                <w:szCs w:val="20"/>
                <w:color w:val="auto"/>
              </w:rPr>
            </w:pPr>
            <w:r>
              <w:rPr>
                <w:rFonts w:ascii="Arial" w:cs="Arial" w:eastAsia="Arial" w:hAnsi="Arial"/>
                <w:sz w:val="20"/>
                <w:szCs w:val="20"/>
                <w:color w:val="auto"/>
              </w:rPr>
              <w:t>Executive compensation  . .</w:t>
            </w:r>
          </w:p>
        </w:tc>
        <w:tc>
          <w:tcPr>
            <w:tcW w:w="1560" w:type="dxa"/>
            <w:vAlign w:val="bottom"/>
            <w:gridSpan w:val="2"/>
          </w:tcPr>
          <w:p>
            <w:pPr>
              <w:jc w:val="right"/>
              <w:ind w:right="260"/>
              <w:spacing w:after="0" w:line="220" w:lineRule="exact"/>
              <w:rPr>
                <w:sz w:val="20"/>
                <w:szCs w:val="20"/>
                <w:color w:val="auto"/>
              </w:rPr>
            </w:pPr>
            <w:r>
              <w:rPr>
                <w:rFonts w:ascii="Arial" w:cs="Arial" w:eastAsia="Arial" w:hAnsi="Arial"/>
                <w:sz w:val="20"/>
                <w:szCs w:val="20"/>
                <w:color w:val="auto"/>
              </w:rPr>
              <w:t>—</w:t>
            </w:r>
          </w:p>
        </w:tc>
        <w:tc>
          <w:tcPr>
            <w:tcW w:w="1500" w:type="dxa"/>
            <w:vAlign w:val="bottom"/>
          </w:tcPr>
          <w:p>
            <w:pPr>
              <w:jc w:val="right"/>
              <w:ind w:right="122"/>
              <w:spacing w:after="0" w:line="220" w:lineRule="exact"/>
              <w:rPr>
                <w:sz w:val="20"/>
                <w:szCs w:val="20"/>
                <w:color w:val="auto"/>
              </w:rPr>
            </w:pPr>
            <w:r>
              <w:rPr>
                <w:rFonts w:ascii="Arial" w:cs="Arial" w:eastAsia="Arial" w:hAnsi="Arial"/>
                <w:sz w:val="20"/>
                <w:szCs w:val="20"/>
                <w:color w:val="auto"/>
              </w:rPr>
              <w:t>2</w:t>
            </w:r>
          </w:p>
        </w:tc>
        <w:tc>
          <w:tcPr>
            <w:tcW w:w="200" w:type="dxa"/>
            <w:vAlign w:val="bottom"/>
          </w:tcPr>
          <w:p>
            <w:pPr>
              <w:spacing w:after="0"/>
              <w:rPr>
                <w:sz w:val="19"/>
                <w:szCs w:val="19"/>
                <w:color w:val="auto"/>
              </w:rPr>
            </w:pPr>
          </w:p>
        </w:tc>
        <w:tc>
          <w:tcPr>
            <w:tcW w:w="1740" w:type="dxa"/>
            <w:vAlign w:val="bottom"/>
            <w:tcBorders>
              <w:right w:val="single" w:sz="8" w:color="auto"/>
            </w:tcBorders>
            <w:gridSpan w:val="2"/>
          </w:tcPr>
          <w:p>
            <w:pPr>
              <w:ind w:left="1160"/>
              <w:spacing w:after="0" w:line="220" w:lineRule="exact"/>
              <w:rPr>
                <w:sz w:val="20"/>
                <w:szCs w:val="20"/>
                <w:color w:val="auto"/>
              </w:rPr>
            </w:pPr>
            <w:r>
              <w:rPr>
                <w:rFonts w:ascii="Arial" w:cs="Arial" w:eastAsia="Arial" w:hAnsi="Arial"/>
                <w:sz w:val="20"/>
                <w:szCs w:val="20"/>
                <w:color w:val="auto"/>
              </w:rPr>
              <w:t>—</w:t>
            </w:r>
          </w:p>
        </w:tc>
        <w:tc>
          <w:tcPr>
            <w:tcW w:w="100" w:type="dxa"/>
            <w:vAlign w:val="bottom"/>
          </w:tcPr>
          <w:p>
            <w:pPr>
              <w:spacing w:after="0"/>
              <w:rPr>
                <w:sz w:val="19"/>
                <w:szCs w:val="19"/>
                <w:color w:val="auto"/>
              </w:rPr>
            </w:pPr>
          </w:p>
        </w:tc>
        <w:tc>
          <w:tcPr>
            <w:tcW w:w="1520" w:type="dxa"/>
            <w:vAlign w:val="bottom"/>
            <w:gridSpan w:val="2"/>
          </w:tcPr>
          <w:p>
            <w:pPr>
              <w:jc w:val="right"/>
              <w:ind w:right="280"/>
              <w:spacing w:after="0" w:line="220"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0"/>
        </w:trPr>
        <w:tc>
          <w:tcPr>
            <w:tcW w:w="2580" w:type="dxa"/>
            <w:vAlign w:val="bottom"/>
          </w:tcPr>
          <w:p>
            <w:pPr>
              <w:spacing w:after="0" w:line="220" w:lineRule="exact"/>
              <w:rPr>
                <w:sz w:val="20"/>
                <w:szCs w:val="20"/>
                <w:color w:val="auto"/>
              </w:rPr>
            </w:pPr>
            <w:r>
              <w:rPr>
                <w:rFonts w:ascii="Arial" w:cs="Arial" w:eastAsia="Arial" w:hAnsi="Arial"/>
                <w:sz w:val="20"/>
                <w:szCs w:val="20"/>
                <w:color w:val="auto"/>
              </w:rPr>
              <w:t>Change in the U.S. federal</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80" w:type="dxa"/>
            <w:vAlign w:val="bottom"/>
          </w:tcPr>
          <w:p>
            <w:pPr>
              <w:spacing w:after="0" w:line="220" w:lineRule="exact"/>
              <w:rPr>
                <w:sz w:val="20"/>
                <w:szCs w:val="20"/>
                <w:color w:val="auto"/>
              </w:rPr>
            </w:pPr>
            <w:r>
              <w:rPr>
                <w:rFonts w:ascii="Arial" w:cs="Arial" w:eastAsia="Arial" w:hAnsi="Arial"/>
                <w:sz w:val="20"/>
                <w:szCs w:val="20"/>
                <w:color w:val="auto"/>
              </w:rPr>
              <w:t>valuation allowance  . . . . . .</w:t>
            </w:r>
          </w:p>
        </w:tc>
        <w:tc>
          <w:tcPr>
            <w:tcW w:w="1460" w:type="dxa"/>
            <w:vAlign w:val="bottom"/>
          </w:tcPr>
          <w:p>
            <w:pPr>
              <w:jc w:val="right"/>
              <w:ind w:right="63"/>
              <w:spacing w:after="0" w:line="220" w:lineRule="exact"/>
              <w:rPr>
                <w:sz w:val="20"/>
                <w:szCs w:val="20"/>
                <w:color w:val="auto"/>
              </w:rPr>
            </w:pPr>
            <w:r>
              <w:rPr>
                <w:rFonts w:ascii="Arial" w:cs="Arial" w:eastAsia="Arial" w:hAnsi="Arial"/>
                <w:sz w:val="20"/>
                <w:szCs w:val="20"/>
                <w:color w:val="auto"/>
              </w:rPr>
              <w:t>2</w:t>
            </w:r>
          </w:p>
        </w:tc>
        <w:tc>
          <w:tcPr>
            <w:tcW w:w="100" w:type="dxa"/>
            <w:vAlign w:val="bottom"/>
          </w:tcPr>
          <w:p>
            <w:pPr>
              <w:spacing w:after="0"/>
              <w:rPr>
                <w:sz w:val="19"/>
                <w:szCs w:val="19"/>
                <w:color w:val="auto"/>
              </w:rPr>
            </w:pPr>
          </w:p>
        </w:tc>
        <w:tc>
          <w:tcPr>
            <w:tcW w:w="1500" w:type="dxa"/>
            <w:vAlign w:val="bottom"/>
          </w:tcPr>
          <w:p>
            <w:pPr>
              <w:jc w:val="right"/>
              <w:ind w:right="62"/>
              <w:spacing w:after="0" w:line="220" w:lineRule="exact"/>
              <w:rPr>
                <w:sz w:val="20"/>
                <w:szCs w:val="20"/>
                <w:color w:val="auto"/>
              </w:rPr>
            </w:pPr>
            <w:r>
              <w:rPr>
                <w:rFonts w:ascii="Arial" w:cs="Arial" w:eastAsia="Arial" w:hAnsi="Arial"/>
                <w:sz w:val="20"/>
                <w:szCs w:val="20"/>
                <w:color w:val="auto"/>
              </w:rPr>
              <w:t>(106)</w:t>
            </w:r>
          </w:p>
        </w:tc>
        <w:tc>
          <w:tcPr>
            <w:tcW w:w="200" w:type="dxa"/>
            <w:vAlign w:val="bottom"/>
          </w:tcPr>
          <w:p>
            <w:pPr>
              <w:spacing w:after="0"/>
              <w:rPr>
                <w:sz w:val="19"/>
                <w:szCs w:val="19"/>
                <w:color w:val="auto"/>
              </w:rPr>
            </w:pPr>
          </w:p>
        </w:tc>
        <w:tc>
          <w:tcPr>
            <w:tcW w:w="1640" w:type="dxa"/>
            <w:vAlign w:val="bottom"/>
          </w:tcPr>
          <w:p>
            <w:pPr>
              <w:ind w:left="1100"/>
              <w:spacing w:after="0" w:line="220" w:lineRule="exact"/>
              <w:rPr>
                <w:sz w:val="20"/>
                <w:szCs w:val="20"/>
                <w:color w:val="auto"/>
              </w:rPr>
            </w:pPr>
            <w:r>
              <w:rPr>
                <w:rFonts w:ascii="Arial" w:cs="Arial" w:eastAsia="Arial" w:hAnsi="Arial"/>
                <w:sz w:val="20"/>
                <w:szCs w:val="20"/>
                <w:color w:val="auto"/>
              </w:rPr>
              <w:t>(20)</w:t>
            </w:r>
          </w:p>
        </w:tc>
        <w:tc>
          <w:tcPr>
            <w:tcW w:w="100" w:type="dxa"/>
            <w:vAlign w:val="bottom"/>
            <w:tcBorders>
              <w:right w:val="single" w:sz="8" w:color="auto"/>
            </w:tcBorders>
          </w:tcPr>
          <w:p>
            <w:pPr>
              <w:spacing w:after="0"/>
              <w:rPr>
                <w:sz w:val="19"/>
                <w:szCs w:val="19"/>
                <w:color w:val="auto"/>
              </w:rPr>
            </w:pPr>
          </w:p>
        </w:tc>
        <w:tc>
          <w:tcPr>
            <w:tcW w:w="1540" w:type="dxa"/>
            <w:vAlign w:val="bottom"/>
            <w:gridSpan w:val="2"/>
          </w:tcPr>
          <w:p>
            <w:pPr>
              <w:jc w:val="right"/>
              <w:ind w:right="64"/>
              <w:spacing w:after="0" w:line="220" w:lineRule="exact"/>
              <w:rPr>
                <w:sz w:val="20"/>
                <w:szCs w:val="20"/>
                <w:color w:val="auto"/>
              </w:rPr>
            </w:pPr>
            <w:r>
              <w:rPr>
                <w:rFonts w:ascii="Arial" w:cs="Arial" w:eastAsia="Arial" w:hAnsi="Arial"/>
                <w:sz w:val="20"/>
                <w:szCs w:val="20"/>
                <w:color w:val="auto"/>
              </w:rPr>
              <w:t>(21)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580" w:type="dxa"/>
            <w:vAlign w:val="bottom"/>
          </w:tcPr>
          <w:p>
            <w:pPr>
              <w:spacing w:after="0" w:line="226" w:lineRule="exact"/>
              <w:rPr>
                <w:sz w:val="20"/>
                <w:szCs w:val="20"/>
                <w:color w:val="auto"/>
              </w:rPr>
            </w:pPr>
            <w:r>
              <w:rPr>
                <w:rFonts w:ascii="Arial" w:cs="Arial" w:eastAsia="Arial" w:hAnsi="Arial"/>
                <w:sz w:val="20"/>
                <w:szCs w:val="20"/>
                <w:color w:val="auto"/>
              </w:rPr>
              <w:t>Other  . . . . . . . . . . . . . . . . . .</w:t>
            </w:r>
          </w:p>
        </w:tc>
        <w:tc>
          <w:tcPr>
            <w:tcW w:w="1460" w:type="dxa"/>
            <w:vAlign w:val="bottom"/>
          </w:tcPr>
          <w:p>
            <w:pPr>
              <w:jc w:val="right"/>
              <w:ind w:right="63"/>
              <w:spacing w:after="0" w:line="226" w:lineRule="exact"/>
              <w:rPr>
                <w:sz w:val="20"/>
                <w:szCs w:val="20"/>
                <w:color w:val="auto"/>
              </w:rPr>
            </w:pPr>
            <w:r>
              <w:rPr>
                <w:rFonts w:ascii="Arial" w:cs="Arial" w:eastAsia="Arial" w:hAnsi="Arial"/>
                <w:sz w:val="20"/>
                <w:szCs w:val="20"/>
                <w:color w:val="auto"/>
              </w:rPr>
              <w:t>1</w:t>
            </w:r>
          </w:p>
        </w:tc>
        <w:tc>
          <w:tcPr>
            <w:tcW w:w="100" w:type="dxa"/>
            <w:vAlign w:val="bottom"/>
          </w:tcPr>
          <w:p>
            <w:pPr>
              <w:spacing w:after="0"/>
              <w:rPr>
                <w:sz w:val="19"/>
                <w:szCs w:val="19"/>
                <w:color w:val="auto"/>
              </w:rPr>
            </w:pPr>
          </w:p>
        </w:tc>
        <w:tc>
          <w:tcPr>
            <w:tcW w:w="1700" w:type="dxa"/>
            <w:vAlign w:val="bottom"/>
            <w:gridSpan w:val="2"/>
          </w:tcPr>
          <w:p>
            <w:pPr>
              <w:jc w:val="right"/>
              <w:ind w:right="400"/>
              <w:spacing w:after="0" w:line="226" w:lineRule="exact"/>
              <w:rPr>
                <w:sz w:val="20"/>
                <w:szCs w:val="20"/>
                <w:color w:val="auto"/>
              </w:rPr>
            </w:pPr>
            <w:r>
              <w:rPr>
                <w:rFonts w:ascii="Arial" w:cs="Arial" w:eastAsia="Arial" w:hAnsi="Arial"/>
                <w:sz w:val="20"/>
                <w:szCs w:val="20"/>
                <w:color w:val="auto"/>
              </w:rPr>
              <w:t>—</w:t>
            </w:r>
          </w:p>
        </w:tc>
        <w:tc>
          <w:tcPr>
            <w:tcW w:w="1640" w:type="dxa"/>
            <w:vAlign w:val="bottom"/>
          </w:tcPr>
          <w:p>
            <w:pPr>
              <w:ind w:left="1160"/>
              <w:spacing w:after="0" w:line="226" w:lineRule="exact"/>
              <w:rPr>
                <w:sz w:val="20"/>
                <w:szCs w:val="20"/>
                <w:color w:val="auto"/>
              </w:rPr>
            </w:pPr>
            <w:r>
              <w:rPr>
                <w:rFonts w:ascii="Arial" w:cs="Arial" w:eastAsia="Arial" w:hAnsi="Arial"/>
                <w:sz w:val="20"/>
                <w:szCs w:val="20"/>
                <w:color w:val="auto"/>
              </w:rPr>
              <w:t>(1)</w:t>
            </w:r>
          </w:p>
        </w:tc>
        <w:tc>
          <w:tcPr>
            <w:tcW w:w="100" w:type="dxa"/>
            <w:vAlign w:val="bottom"/>
            <w:tcBorders>
              <w:right w:val="single" w:sz="8" w:color="auto"/>
            </w:tcBorders>
          </w:tcPr>
          <w:p>
            <w:pPr>
              <w:spacing w:after="0"/>
              <w:rPr>
                <w:sz w:val="19"/>
                <w:szCs w:val="19"/>
                <w:color w:val="auto"/>
              </w:rPr>
            </w:pPr>
          </w:p>
        </w:tc>
        <w:tc>
          <w:tcPr>
            <w:tcW w:w="1540" w:type="dxa"/>
            <w:vAlign w:val="bottom"/>
            <w:gridSpan w:val="2"/>
          </w:tcPr>
          <w:p>
            <w:pPr>
              <w:jc w:val="right"/>
              <w:ind w:right="104"/>
              <w:spacing w:after="0" w:line="226" w:lineRule="exact"/>
              <w:rPr>
                <w:sz w:val="20"/>
                <w:szCs w:val="20"/>
                <w:color w:val="auto"/>
              </w:rPr>
            </w:pPr>
            <w:r>
              <w:rPr>
                <w:rFonts w:ascii="Arial" w:cs="Arial" w:eastAsia="Arial" w:hAnsi="Arial"/>
                <w:sz w:val="20"/>
                <w:szCs w:val="20"/>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5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2580" w:type="dxa"/>
            <w:vAlign w:val="bottom"/>
          </w:tcPr>
          <w:p>
            <w:pPr>
              <w:spacing w:after="0"/>
              <w:rPr>
                <w:sz w:val="20"/>
                <w:szCs w:val="20"/>
                <w:color w:val="auto"/>
              </w:rPr>
            </w:pPr>
            <w:r>
              <w:rPr>
                <w:rFonts w:ascii="Arial" w:cs="Arial" w:eastAsia="Arial" w:hAnsi="Arial"/>
                <w:sz w:val="20"/>
                <w:szCs w:val="20"/>
                <w:color w:val="auto"/>
              </w:rPr>
              <w:t>Effective tax rate . . . . . . . . .</w:t>
            </w:r>
          </w:p>
        </w:tc>
        <w:tc>
          <w:tcPr>
            <w:tcW w:w="1560" w:type="dxa"/>
            <w:vAlign w:val="bottom"/>
            <w:gridSpan w:val="2"/>
          </w:tcPr>
          <w:p>
            <w:pPr>
              <w:jc w:val="right"/>
              <w:ind w:right="40"/>
              <w:spacing w:after="0"/>
              <w:rPr>
                <w:sz w:val="20"/>
                <w:szCs w:val="20"/>
                <w:color w:val="auto"/>
              </w:rPr>
            </w:pPr>
            <w:r>
              <w:rPr>
                <w:rFonts w:ascii="Arial" w:cs="Arial" w:eastAsia="Arial" w:hAnsi="Arial"/>
                <w:sz w:val="20"/>
                <w:szCs w:val="20"/>
                <w:color w:val="auto"/>
              </w:rPr>
              <w:t>31 %</w:t>
            </w:r>
          </w:p>
        </w:tc>
        <w:tc>
          <w:tcPr>
            <w:tcW w:w="1700" w:type="dxa"/>
            <w:vAlign w:val="bottom"/>
            <w:gridSpan w:val="2"/>
          </w:tcPr>
          <w:p>
            <w:pPr>
              <w:jc w:val="right"/>
              <w:ind w:right="140"/>
              <w:spacing w:after="0"/>
              <w:rPr>
                <w:sz w:val="20"/>
                <w:szCs w:val="20"/>
                <w:color w:val="auto"/>
              </w:rPr>
            </w:pPr>
            <w:r>
              <w:rPr>
                <w:rFonts w:ascii="Arial" w:cs="Arial" w:eastAsia="Arial" w:hAnsi="Arial"/>
                <w:sz w:val="20"/>
                <w:szCs w:val="20"/>
                <w:color w:val="auto"/>
              </w:rPr>
              <w:t>(173) %</w:t>
            </w:r>
          </w:p>
        </w:tc>
        <w:tc>
          <w:tcPr>
            <w:tcW w:w="1740" w:type="dxa"/>
            <w:vAlign w:val="bottom"/>
            <w:tcBorders>
              <w:right w:val="single" w:sz="8" w:color="auto"/>
            </w:tcBorders>
            <w:gridSpan w:val="2"/>
          </w:tcPr>
          <w:p>
            <w:pPr>
              <w:ind w:left="1220"/>
              <w:spacing w:after="0"/>
              <w:rPr>
                <w:sz w:val="20"/>
                <w:szCs w:val="20"/>
                <w:color w:val="auto"/>
              </w:rPr>
            </w:pPr>
            <w:r>
              <w:rPr>
                <w:rFonts w:ascii="Arial" w:cs="Arial" w:eastAsia="Arial" w:hAnsi="Arial"/>
                <w:sz w:val="20"/>
                <w:szCs w:val="20"/>
                <w:color w:val="auto"/>
              </w:rPr>
              <w:t>— %</w:t>
            </w:r>
          </w:p>
        </w:tc>
        <w:tc>
          <w:tcPr>
            <w:tcW w:w="100" w:type="dxa"/>
            <w:vAlign w:val="bottom"/>
          </w:tcPr>
          <w:p>
            <w:pPr>
              <w:spacing w:after="0"/>
              <w:rPr>
                <w:sz w:val="21"/>
                <w:szCs w:val="21"/>
                <w:color w:val="auto"/>
              </w:rPr>
            </w:pPr>
          </w:p>
        </w:tc>
        <w:tc>
          <w:tcPr>
            <w:tcW w:w="1520" w:type="dxa"/>
            <w:vAlign w:val="bottom"/>
            <w:gridSpan w:val="2"/>
          </w:tcPr>
          <w:p>
            <w:pPr>
              <w:ind w:left="1100"/>
              <w:spacing w:after="0"/>
              <w:rPr>
                <w:sz w:val="20"/>
                <w:szCs w:val="20"/>
                <w:color w:val="auto"/>
              </w:rPr>
            </w:pPr>
            <w:r>
              <w:rPr>
                <w:rFonts w:ascii="Arial" w:cs="Arial" w:eastAsia="Arial" w:hAnsi="Arial"/>
                <w:sz w:val="20"/>
                <w:szCs w:val="20"/>
                <w:color w:val="auto"/>
                <w:w w:val="92"/>
              </w:rPr>
              <w:t>— %</w:t>
            </w:r>
          </w:p>
        </w:tc>
        <w:tc>
          <w:tcPr>
            <w:tcW w:w="0" w:type="dxa"/>
            <w:vAlign w:val="bottom"/>
          </w:tcPr>
          <w:p>
            <w:pPr>
              <w:spacing w:after="0"/>
              <w:rPr>
                <w:sz w:val="1"/>
                <w:szCs w:val="1"/>
                <w:color w:val="auto"/>
              </w:rPr>
            </w:pPr>
          </w:p>
        </w:tc>
      </w:tr>
      <w:tr>
        <w:trPr>
          <w:trHeight w:val="28"/>
        </w:trPr>
        <w:tc>
          <w:tcPr>
            <w:tcW w:w="25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40" w:firstLine="300"/>
        <w:spacing w:after="0" w:line="249" w:lineRule="auto"/>
        <w:rPr>
          <w:sz w:val="20"/>
          <w:szCs w:val="20"/>
          <w:color w:val="auto"/>
        </w:rPr>
      </w:pPr>
      <w:r>
        <w:rPr>
          <w:rFonts w:ascii="Arial" w:cs="Arial" w:eastAsia="Arial" w:hAnsi="Arial"/>
          <w:sz w:val="20"/>
          <w:szCs w:val="20"/>
          <w:color w:val="auto"/>
        </w:rPr>
        <w:t>For the year ended December 31, 2022, our effective rate of 31% differed from the U.S. federal statutory tax rate of 21% primarily due to state taxes and the increase in a valuation allowance for a capital loss generated from the sale of Lost Hills. For the year ended December 31, 2021, our effective tax rate of negative 173% differed from the U.S. federal statutory tax rate of 21% primarily due to state taxes and releasing all of our valuation allowance recorded against our net deferred tax assets given our anticipated future earnings trends at that time. A portion of the change in our valuation allowance during 2021 was for the utilization of tax benefits against current year income and the remainder was recognized as a tax benefit reflecting the projected utilization of our deferred tax assets. We did not record an income tax provision (benefit) in the period ended December 31, 2020 or the period ended October 31, 2020.</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The tax effects of temporary differences resulting in deferred income tax assets and liabilities at</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2022 and 2021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ind w:right="205"/>
              <w:spacing w:after="0"/>
              <w:rPr>
                <w:sz w:val="20"/>
                <w:szCs w:val="20"/>
                <w:color w:val="auto"/>
              </w:rPr>
            </w:pPr>
            <w:r>
              <w:rPr>
                <w:rFonts w:ascii="Arial" w:cs="Arial" w:eastAsia="Arial" w:hAnsi="Arial"/>
                <w:sz w:val="18"/>
                <w:szCs w:val="18"/>
                <w:b w:val="1"/>
                <w:bCs w:val="1"/>
                <w:color w:val="auto"/>
              </w:rPr>
              <w:t>2022</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w w:val="94"/>
              </w:rPr>
              <w:t>2021</w:t>
            </w:r>
          </w:p>
        </w:tc>
        <w:tc>
          <w:tcPr>
            <w:tcW w:w="720" w:type="dxa"/>
            <w:vAlign w:val="bottom"/>
          </w:tcPr>
          <w:p>
            <w:pPr>
              <w:spacing w:after="0"/>
              <w:rPr>
                <w:sz w:val="18"/>
                <w:szCs w:val="18"/>
                <w:color w:val="auto"/>
              </w:rPr>
            </w:pPr>
          </w:p>
        </w:tc>
      </w:tr>
      <w:tr>
        <w:trPr>
          <w:trHeight w:val="24"/>
        </w:trPr>
        <w:tc>
          <w:tcPr>
            <w:tcW w:w="388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r>
      <w:tr>
        <w:trPr>
          <w:trHeight w:val="193"/>
        </w:trPr>
        <w:tc>
          <w:tcPr>
            <w:tcW w:w="3880" w:type="dxa"/>
            <w:vAlign w:val="bottom"/>
          </w:tcPr>
          <w:p>
            <w:pPr>
              <w:spacing w:after="0"/>
              <w:rPr>
                <w:sz w:val="16"/>
                <w:szCs w:val="16"/>
                <w:color w:val="auto"/>
              </w:rPr>
            </w:pPr>
          </w:p>
        </w:tc>
        <w:tc>
          <w:tcPr>
            <w:tcW w:w="1300" w:type="dxa"/>
            <w:vAlign w:val="bottom"/>
            <w:gridSpan w:val="3"/>
          </w:tcPr>
          <w:p>
            <w:pPr>
              <w:jc w:val="center"/>
              <w:ind w:right="200"/>
              <w:spacing w:after="0" w:line="193" w:lineRule="exact"/>
              <w:rPr>
                <w:sz w:val="20"/>
                <w:szCs w:val="20"/>
                <w:color w:val="auto"/>
              </w:rPr>
            </w:pPr>
            <w:r>
              <w:rPr>
                <w:rFonts w:ascii="Arial" w:cs="Arial" w:eastAsia="Arial" w:hAnsi="Arial"/>
                <w:sz w:val="18"/>
                <w:szCs w:val="18"/>
                <w:b w:val="1"/>
                <w:bCs w:val="1"/>
                <w:color w:val="auto"/>
                <w:w w:val="99"/>
              </w:rPr>
              <w:t>Deferred Tax</w:t>
            </w:r>
          </w:p>
        </w:tc>
        <w:tc>
          <w:tcPr>
            <w:tcW w:w="1300" w:type="dxa"/>
            <w:vAlign w:val="bottom"/>
            <w:gridSpan w:val="3"/>
          </w:tcPr>
          <w:p>
            <w:pPr>
              <w:spacing w:after="0" w:line="193" w:lineRule="exact"/>
              <w:rPr>
                <w:sz w:val="20"/>
                <w:szCs w:val="20"/>
                <w:color w:val="auto"/>
              </w:rPr>
            </w:pPr>
            <w:r>
              <w:rPr>
                <w:rFonts w:ascii="Arial" w:cs="Arial" w:eastAsia="Arial" w:hAnsi="Arial"/>
                <w:sz w:val="18"/>
                <w:szCs w:val="18"/>
                <w:b w:val="1"/>
                <w:bCs w:val="1"/>
                <w:color w:val="auto"/>
              </w:rPr>
              <w:t>Deferred Tax</w:t>
            </w:r>
          </w:p>
        </w:tc>
        <w:tc>
          <w:tcPr>
            <w:tcW w:w="1120" w:type="dxa"/>
            <w:vAlign w:val="bottom"/>
            <w:gridSpan w:val="3"/>
          </w:tcPr>
          <w:p>
            <w:pPr>
              <w:jc w:val="center"/>
              <w:ind w:right="20"/>
              <w:spacing w:after="0" w:line="193" w:lineRule="exact"/>
              <w:rPr>
                <w:sz w:val="20"/>
                <w:szCs w:val="20"/>
                <w:color w:val="auto"/>
              </w:rPr>
            </w:pPr>
            <w:r>
              <w:rPr>
                <w:rFonts w:ascii="Arial" w:cs="Arial" w:eastAsia="Arial" w:hAnsi="Arial"/>
                <w:sz w:val="18"/>
                <w:szCs w:val="18"/>
                <w:b w:val="1"/>
                <w:bCs w:val="1"/>
                <w:color w:val="auto"/>
                <w:w w:val="99"/>
              </w:rPr>
              <w:t>Deferred Tax</w:t>
            </w:r>
          </w:p>
        </w:tc>
        <w:tc>
          <w:tcPr>
            <w:tcW w:w="180" w:type="dxa"/>
            <w:vAlign w:val="bottom"/>
          </w:tcPr>
          <w:p>
            <w:pPr>
              <w:spacing w:after="0"/>
              <w:rPr>
                <w:sz w:val="16"/>
                <w:szCs w:val="16"/>
                <w:color w:val="auto"/>
              </w:rPr>
            </w:pPr>
          </w:p>
        </w:tc>
        <w:tc>
          <w:tcPr>
            <w:tcW w:w="1340" w:type="dxa"/>
            <w:vAlign w:val="bottom"/>
            <w:gridSpan w:val="2"/>
          </w:tcPr>
          <w:p>
            <w:pPr>
              <w:jc w:val="right"/>
              <w:ind w:right="20"/>
              <w:spacing w:after="0" w:line="193" w:lineRule="exact"/>
              <w:rPr>
                <w:sz w:val="20"/>
                <w:szCs w:val="20"/>
                <w:color w:val="auto"/>
              </w:rPr>
            </w:pPr>
            <w:r>
              <w:rPr>
                <w:rFonts w:ascii="Arial" w:cs="Arial" w:eastAsia="Arial" w:hAnsi="Arial"/>
                <w:sz w:val="18"/>
                <w:szCs w:val="18"/>
                <w:b w:val="1"/>
                <w:bCs w:val="1"/>
                <w:color w:val="auto"/>
              </w:rPr>
              <w:t>Deferred Tax</w:t>
            </w:r>
          </w:p>
        </w:tc>
      </w:tr>
      <w:tr>
        <w:trPr>
          <w:trHeight w:val="203"/>
        </w:trPr>
        <w:tc>
          <w:tcPr>
            <w:tcW w:w="3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center"/>
              <w:ind w:right="440"/>
              <w:spacing w:after="0" w:line="203" w:lineRule="exact"/>
              <w:rPr>
                <w:sz w:val="20"/>
                <w:szCs w:val="20"/>
                <w:color w:val="auto"/>
              </w:rPr>
            </w:pPr>
            <w:r>
              <w:rPr>
                <w:rFonts w:ascii="Arial" w:cs="Arial" w:eastAsia="Arial" w:hAnsi="Arial"/>
                <w:sz w:val="18"/>
                <w:szCs w:val="18"/>
                <w:b w:val="1"/>
                <w:bCs w:val="1"/>
                <w:color w:val="auto"/>
                <w:w w:val="98"/>
              </w:rPr>
              <w:t>Assets</w:t>
            </w:r>
          </w:p>
        </w:tc>
        <w:tc>
          <w:tcPr>
            <w:tcW w:w="1300" w:type="dxa"/>
            <w:vAlign w:val="bottom"/>
            <w:gridSpan w:val="3"/>
          </w:tcPr>
          <w:p>
            <w:pPr>
              <w:ind w:left="140"/>
              <w:spacing w:after="0" w:line="203" w:lineRule="exact"/>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17"/>
                <w:szCs w:val="17"/>
                <w:color w:val="auto"/>
              </w:rPr>
            </w:pPr>
          </w:p>
        </w:tc>
        <w:tc>
          <w:tcPr>
            <w:tcW w:w="880" w:type="dxa"/>
            <w:vAlign w:val="bottom"/>
            <w:gridSpan w:val="2"/>
          </w:tcPr>
          <w:p>
            <w:pPr>
              <w:jc w:val="center"/>
              <w:ind w:right="260"/>
              <w:spacing w:after="0" w:line="203" w:lineRule="exact"/>
              <w:rPr>
                <w:sz w:val="20"/>
                <w:szCs w:val="20"/>
                <w:color w:val="auto"/>
              </w:rPr>
            </w:pPr>
            <w:r>
              <w:rPr>
                <w:rFonts w:ascii="Arial" w:cs="Arial" w:eastAsia="Arial" w:hAnsi="Arial"/>
                <w:sz w:val="18"/>
                <w:szCs w:val="18"/>
                <w:b w:val="1"/>
                <w:bCs w:val="1"/>
                <w:color w:val="auto"/>
                <w:w w:val="98"/>
              </w:rPr>
              <w:t>Assets</w:t>
            </w:r>
          </w:p>
        </w:tc>
        <w:tc>
          <w:tcPr>
            <w:tcW w:w="180" w:type="dxa"/>
            <w:vAlign w:val="bottom"/>
          </w:tcPr>
          <w:p>
            <w:pPr>
              <w:spacing w:after="0"/>
              <w:rPr>
                <w:sz w:val="17"/>
                <w:szCs w:val="17"/>
                <w:color w:val="auto"/>
              </w:rPr>
            </w:pPr>
          </w:p>
        </w:tc>
        <w:tc>
          <w:tcPr>
            <w:tcW w:w="1340" w:type="dxa"/>
            <w:vAlign w:val="bottom"/>
            <w:gridSpan w:val="2"/>
          </w:tcPr>
          <w:p>
            <w:pPr>
              <w:jc w:val="right"/>
              <w:ind w:right="160"/>
              <w:spacing w:after="0" w:line="203" w:lineRule="exact"/>
              <w:rPr>
                <w:sz w:val="20"/>
                <w:szCs w:val="20"/>
                <w:color w:val="auto"/>
              </w:rPr>
            </w:pPr>
            <w:r>
              <w:rPr>
                <w:rFonts w:ascii="Arial" w:cs="Arial" w:eastAsia="Arial" w:hAnsi="Arial"/>
                <w:sz w:val="18"/>
                <w:szCs w:val="18"/>
                <w:b w:val="1"/>
                <w:bCs w:val="1"/>
                <w:color w:val="auto"/>
              </w:rPr>
              <w:t>Liabilities</w:t>
            </w:r>
          </w:p>
        </w:tc>
      </w:tr>
      <w:tr>
        <w:trPr>
          <w:trHeight w:val="24"/>
        </w:trPr>
        <w:tc>
          <w:tcPr>
            <w:tcW w:w="3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2"/>
        </w:trPr>
        <w:tc>
          <w:tcPr>
            <w:tcW w:w="3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20" w:type="dxa"/>
            <w:vAlign w:val="bottom"/>
            <w:gridSpan w:val="5"/>
          </w:tcPr>
          <w:p>
            <w:pPr>
              <w:ind w:left="520"/>
              <w:spacing w:after="0"/>
              <w:rPr>
                <w:sz w:val="20"/>
                <w:szCs w:val="20"/>
                <w:color w:val="auto"/>
              </w:rPr>
            </w:pPr>
            <w:r>
              <w:rPr>
                <w:rFonts w:ascii="Arial" w:cs="Arial" w:eastAsia="Arial" w:hAnsi="Arial"/>
                <w:sz w:val="16"/>
                <w:szCs w:val="16"/>
                <w:color w:val="auto"/>
              </w:rPr>
              <w:t>(in millions)</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24"/>
        </w:trPr>
        <w:tc>
          <w:tcPr>
            <w:tcW w:w="3880" w:type="dxa"/>
            <w:vAlign w:val="bottom"/>
          </w:tcPr>
          <w:p>
            <w:pPr>
              <w:spacing w:after="0" w:line="225" w:lineRule="exact"/>
              <w:rPr>
                <w:sz w:val="20"/>
                <w:szCs w:val="20"/>
                <w:color w:val="auto"/>
              </w:rPr>
            </w:pPr>
            <w:r>
              <w:rPr>
                <w:rFonts w:ascii="Arial" w:cs="Arial" w:eastAsia="Arial" w:hAnsi="Arial"/>
                <w:sz w:val="20"/>
                <w:szCs w:val="20"/>
                <w:color w:val="auto"/>
              </w:rPr>
              <w:t>Property, plant and equipment . . . . . . . . .</w:t>
            </w:r>
          </w:p>
        </w:tc>
        <w:tc>
          <w:tcPr>
            <w:tcW w:w="24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860" w:type="dxa"/>
            <w:vAlign w:val="bottom"/>
          </w:tcPr>
          <w:p>
            <w:pPr>
              <w:jc w:val="right"/>
              <w:ind w:right="22"/>
              <w:spacing w:after="0" w:line="225" w:lineRule="exact"/>
              <w:rPr>
                <w:sz w:val="20"/>
                <w:szCs w:val="20"/>
                <w:color w:val="auto"/>
              </w:rPr>
            </w:pPr>
            <w:r>
              <w:rPr>
                <w:rFonts w:ascii="Arial" w:cs="Arial" w:eastAsia="Arial" w:hAnsi="Arial"/>
                <w:sz w:val="20"/>
                <w:szCs w:val="20"/>
                <w:color w:val="auto"/>
              </w:rPr>
              <w:t>47</w:t>
            </w:r>
          </w:p>
        </w:tc>
        <w:tc>
          <w:tcPr>
            <w:tcW w:w="200" w:type="dxa"/>
            <w:vAlign w:val="bottom"/>
          </w:tcPr>
          <w:p>
            <w:pPr>
              <w:spacing w:after="0"/>
              <w:rPr>
                <w:sz w:val="19"/>
                <w:szCs w:val="19"/>
                <w:color w:val="auto"/>
              </w:rPr>
            </w:pPr>
          </w:p>
        </w:tc>
        <w:tc>
          <w:tcPr>
            <w:tcW w:w="400" w:type="dxa"/>
            <w:vAlign w:val="bottom"/>
          </w:tcPr>
          <w:p>
            <w:pPr>
              <w:ind w:left="140"/>
              <w:spacing w:after="0" w:line="225" w:lineRule="exact"/>
              <w:rPr>
                <w:sz w:val="20"/>
                <w:szCs w:val="20"/>
                <w:color w:val="auto"/>
              </w:rPr>
            </w:pPr>
            <w:r>
              <w:rPr>
                <w:rFonts w:ascii="Arial" w:cs="Arial" w:eastAsia="Arial" w:hAnsi="Arial"/>
                <w:sz w:val="20"/>
                <w:szCs w:val="20"/>
                <w:color w:val="auto"/>
              </w:rPr>
              <w:t>$</w:t>
            </w:r>
          </w:p>
        </w:tc>
        <w:tc>
          <w:tcPr>
            <w:tcW w:w="700" w:type="dxa"/>
            <w:vAlign w:val="bottom"/>
          </w:tcPr>
          <w:p>
            <w:pPr>
              <w:jc w:val="right"/>
              <w:ind w:right="42"/>
              <w:spacing w:after="0" w:line="225" w:lineRule="exact"/>
              <w:rPr>
                <w:sz w:val="20"/>
                <w:szCs w:val="20"/>
                <w:color w:val="auto"/>
              </w:rPr>
            </w:pPr>
            <w:r>
              <w:rPr>
                <w:rFonts w:ascii="Arial" w:cs="Arial" w:eastAsia="Arial" w:hAnsi="Arial"/>
                <w:sz w:val="20"/>
                <w:szCs w:val="20"/>
                <w:color w:val="auto"/>
              </w:rPr>
              <w:t>(267)</w:t>
            </w:r>
          </w:p>
        </w:tc>
        <w:tc>
          <w:tcPr>
            <w:tcW w:w="200" w:type="dxa"/>
            <w:vAlign w:val="bottom"/>
          </w:tcPr>
          <w:p>
            <w:pPr>
              <w:spacing w:after="0"/>
              <w:rPr>
                <w:sz w:val="19"/>
                <w:szCs w:val="19"/>
                <w:color w:val="auto"/>
              </w:rPr>
            </w:pPr>
          </w:p>
        </w:tc>
        <w:tc>
          <w:tcPr>
            <w:tcW w:w="24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860" w:type="dxa"/>
            <w:vAlign w:val="bottom"/>
          </w:tcPr>
          <w:p>
            <w:pPr>
              <w:jc w:val="right"/>
              <w:ind w:right="21"/>
              <w:spacing w:after="0" w:line="225" w:lineRule="exact"/>
              <w:rPr>
                <w:sz w:val="20"/>
                <w:szCs w:val="20"/>
                <w:color w:val="auto"/>
              </w:rPr>
            </w:pPr>
            <w:r>
              <w:rPr>
                <w:rFonts w:ascii="Arial" w:cs="Arial" w:eastAsia="Arial" w:hAnsi="Arial"/>
                <w:sz w:val="20"/>
                <w:szCs w:val="20"/>
                <w:color w:val="auto"/>
              </w:rPr>
              <w:t>122</w:t>
            </w:r>
          </w:p>
        </w:tc>
        <w:tc>
          <w:tcPr>
            <w:tcW w:w="20" w:type="dxa"/>
            <w:vAlign w:val="bottom"/>
          </w:tcPr>
          <w:p>
            <w:pPr>
              <w:spacing w:after="0"/>
              <w:rPr>
                <w:sz w:val="19"/>
                <w:szCs w:val="19"/>
                <w:color w:val="auto"/>
              </w:rPr>
            </w:pPr>
          </w:p>
        </w:tc>
        <w:tc>
          <w:tcPr>
            <w:tcW w:w="800" w:type="dxa"/>
            <w:vAlign w:val="bottom"/>
            <w:gridSpan w:val="2"/>
          </w:tcPr>
          <w:p>
            <w:pPr>
              <w:jc w:val="right"/>
              <w:ind w:right="310"/>
              <w:spacing w:after="0" w:line="225" w:lineRule="exact"/>
              <w:rPr>
                <w:sz w:val="20"/>
                <w:szCs w:val="20"/>
                <w:color w:val="auto"/>
              </w:rPr>
            </w:pPr>
            <w:r>
              <w:rPr>
                <w:rFonts w:ascii="Arial" w:cs="Arial" w:eastAsia="Arial" w:hAnsi="Arial"/>
                <w:sz w:val="20"/>
                <w:szCs w:val="20"/>
                <w:color w:val="auto"/>
              </w:rPr>
              <w:t>$</w:t>
            </w:r>
          </w:p>
        </w:tc>
        <w:tc>
          <w:tcPr>
            <w:tcW w:w="720" w:type="dxa"/>
            <w:vAlign w:val="bottom"/>
          </w:tcPr>
          <w:p>
            <w:pPr>
              <w:jc w:val="right"/>
              <w:spacing w:after="0" w:line="225" w:lineRule="exact"/>
              <w:rPr>
                <w:sz w:val="20"/>
                <w:szCs w:val="20"/>
                <w:color w:val="auto"/>
              </w:rPr>
            </w:pPr>
            <w:r>
              <w:rPr>
                <w:rFonts w:ascii="Arial" w:cs="Arial" w:eastAsia="Arial" w:hAnsi="Arial"/>
                <w:sz w:val="20"/>
                <w:szCs w:val="20"/>
                <w:color w:val="auto"/>
              </w:rPr>
              <w:t>(151)</w:t>
            </w:r>
          </w:p>
        </w:tc>
      </w:tr>
      <w:tr>
        <w:trPr>
          <w:trHeight w:val="220"/>
        </w:trPr>
        <w:tc>
          <w:tcPr>
            <w:tcW w:w="3880" w:type="dxa"/>
            <w:vAlign w:val="bottom"/>
          </w:tcPr>
          <w:p>
            <w:pPr>
              <w:spacing w:after="0" w:line="220" w:lineRule="exact"/>
              <w:rPr>
                <w:sz w:val="20"/>
                <w:szCs w:val="20"/>
                <w:color w:val="auto"/>
              </w:rPr>
            </w:pPr>
            <w:r>
              <w:rPr>
                <w:rFonts w:ascii="Arial" w:cs="Arial" w:eastAsia="Arial" w:hAnsi="Arial"/>
                <w:sz w:val="20"/>
                <w:szCs w:val="20"/>
                <w:color w:val="auto"/>
              </w:rPr>
              <w:t>Postretirement and pension benefit</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0"/>
        </w:trPr>
        <w:tc>
          <w:tcPr>
            <w:tcW w:w="3880" w:type="dxa"/>
            <w:vAlign w:val="bottom"/>
          </w:tcPr>
          <w:p>
            <w:pPr>
              <w:spacing w:after="0" w:line="220" w:lineRule="exact"/>
              <w:rPr>
                <w:sz w:val="20"/>
                <w:szCs w:val="20"/>
                <w:color w:val="auto"/>
              </w:rPr>
            </w:pPr>
            <w:r>
              <w:rPr>
                <w:rFonts w:ascii="Arial" w:cs="Arial" w:eastAsia="Arial" w:hAnsi="Arial"/>
                <w:sz w:val="20"/>
                <w:szCs w:val="20"/>
                <w:color w:val="auto"/>
              </w:rPr>
              <w:t>plans . . . . . . . . . . . . . . . . . . . . . . . . . . . . . .</w:t>
            </w:r>
          </w:p>
        </w:tc>
        <w:tc>
          <w:tcPr>
            <w:tcW w:w="240" w:type="dxa"/>
            <w:vAlign w:val="bottom"/>
          </w:tcPr>
          <w:p>
            <w:pPr>
              <w:spacing w:after="0"/>
              <w:rPr>
                <w:sz w:val="19"/>
                <w:szCs w:val="19"/>
                <w:color w:val="auto"/>
              </w:rPr>
            </w:pPr>
          </w:p>
        </w:tc>
        <w:tc>
          <w:tcPr>
            <w:tcW w:w="860" w:type="dxa"/>
            <w:vAlign w:val="bottom"/>
          </w:tcPr>
          <w:p>
            <w:pPr>
              <w:jc w:val="right"/>
              <w:ind w:right="22"/>
              <w:spacing w:after="0" w:line="220" w:lineRule="exact"/>
              <w:rPr>
                <w:sz w:val="20"/>
                <w:szCs w:val="20"/>
                <w:color w:val="auto"/>
              </w:rPr>
            </w:pPr>
            <w:r>
              <w:rPr>
                <w:rFonts w:ascii="Arial" w:cs="Arial" w:eastAsia="Arial" w:hAnsi="Arial"/>
                <w:sz w:val="20"/>
                <w:szCs w:val="20"/>
                <w:color w:val="auto"/>
              </w:rPr>
              <w:t>10</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ind w:right="42"/>
              <w:spacing w:after="0" w:line="220" w:lineRule="exact"/>
              <w:rPr>
                <w:sz w:val="20"/>
                <w:szCs w:val="20"/>
                <w:color w:val="auto"/>
              </w:rPr>
            </w:pPr>
            <w:r>
              <w:rPr>
                <w:rFonts w:ascii="Arial" w:cs="Arial" w:eastAsia="Arial" w:hAnsi="Arial"/>
                <w:sz w:val="20"/>
                <w:szCs w:val="20"/>
                <w:color w:val="auto"/>
              </w:rPr>
              <w:t>(1)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1"/>
              <w:spacing w:after="0" w:line="220" w:lineRule="exact"/>
              <w:rPr>
                <w:sz w:val="20"/>
                <w:szCs w:val="20"/>
                <w:color w:val="auto"/>
              </w:rPr>
            </w:pPr>
            <w:r>
              <w:rPr>
                <w:rFonts w:ascii="Arial" w:cs="Arial" w:eastAsia="Arial" w:hAnsi="Arial"/>
                <w:sz w:val="20"/>
                <w:szCs w:val="20"/>
                <w:color w:val="auto"/>
              </w:rPr>
              <w:t>18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jc w:val="right"/>
              <w:spacing w:after="0" w:line="220" w:lineRule="exact"/>
              <w:rPr>
                <w:sz w:val="20"/>
                <w:szCs w:val="20"/>
                <w:color w:val="auto"/>
              </w:rPr>
            </w:pPr>
            <w:r>
              <w:rPr>
                <w:rFonts w:ascii="Arial" w:cs="Arial" w:eastAsia="Arial" w:hAnsi="Arial"/>
                <w:sz w:val="20"/>
                <w:szCs w:val="20"/>
                <w:color w:val="auto"/>
              </w:rPr>
              <w:t>—</w:t>
            </w:r>
          </w:p>
        </w:tc>
      </w:tr>
      <w:tr>
        <w:trPr>
          <w:trHeight w:val="220"/>
        </w:trPr>
        <w:tc>
          <w:tcPr>
            <w:tcW w:w="3880" w:type="dxa"/>
            <w:vAlign w:val="bottom"/>
          </w:tcPr>
          <w:p>
            <w:pPr>
              <w:spacing w:after="0" w:line="220" w:lineRule="exact"/>
              <w:rPr>
                <w:sz w:val="20"/>
                <w:szCs w:val="20"/>
                <w:color w:val="auto"/>
              </w:rPr>
            </w:pPr>
            <w:r>
              <w:rPr>
                <w:rFonts w:ascii="Arial" w:cs="Arial" w:eastAsia="Arial" w:hAnsi="Arial"/>
                <w:sz w:val="20"/>
                <w:szCs w:val="20"/>
                <w:color w:val="auto"/>
              </w:rPr>
              <w:t>Asset retirement obligations . . . . . . . . . . .</w:t>
            </w:r>
          </w:p>
        </w:tc>
        <w:tc>
          <w:tcPr>
            <w:tcW w:w="240" w:type="dxa"/>
            <w:vAlign w:val="bottom"/>
          </w:tcPr>
          <w:p>
            <w:pPr>
              <w:spacing w:after="0"/>
              <w:rPr>
                <w:sz w:val="19"/>
                <w:szCs w:val="19"/>
                <w:color w:val="auto"/>
              </w:rPr>
            </w:pPr>
          </w:p>
        </w:tc>
        <w:tc>
          <w:tcPr>
            <w:tcW w:w="860" w:type="dxa"/>
            <w:vAlign w:val="bottom"/>
          </w:tcPr>
          <w:p>
            <w:pPr>
              <w:jc w:val="right"/>
              <w:ind w:right="22"/>
              <w:spacing w:after="0" w:line="220" w:lineRule="exact"/>
              <w:rPr>
                <w:sz w:val="20"/>
                <w:szCs w:val="20"/>
                <w:color w:val="auto"/>
              </w:rPr>
            </w:pPr>
            <w:r>
              <w:rPr>
                <w:rFonts w:ascii="Arial" w:cs="Arial" w:eastAsia="Arial" w:hAnsi="Arial"/>
                <w:sz w:val="20"/>
                <w:szCs w:val="20"/>
                <w:color w:val="auto"/>
              </w:rPr>
              <w:t>148</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2"/>
          </w:tcPr>
          <w:p>
            <w:pPr>
              <w:ind w:left="320"/>
              <w:spacing w:after="0" w:line="220" w:lineRule="exact"/>
              <w:rPr>
                <w:sz w:val="20"/>
                <w:szCs w:val="20"/>
                <w:color w:val="auto"/>
              </w:rPr>
            </w:pPr>
            <w:r>
              <w:rPr>
                <w:rFonts w:ascii="Arial" w:cs="Arial" w:eastAsia="Arial" w:hAnsi="Arial"/>
                <w:sz w:val="20"/>
                <w:szCs w:val="20"/>
                <w:color w:val="auto"/>
              </w:rPr>
              <w:t>—</w:t>
            </w:r>
          </w:p>
        </w:tc>
        <w:tc>
          <w:tcPr>
            <w:tcW w:w="240" w:type="dxa"/>
            <w:vAlign w:val="bottom"/>
          </w:tcPr>
          <w:p>
            <w:pPr>
              <w:spacing w:after="0"/>
              <w:rPr>
                <w:sz w:val="19"/>
                <w:szCs w:val="19"/>
                <w:color w:val="auto"/>
              </w:rPr>
            </w:pPr>
          </w:p>
        </w:tc>
        <w:tc>
          <w:tcPr>
            <w:tcW w:w="860" w:type="dxa"/>
            <w:vAlign w:val="bottom"/>
          </w:tcPr>
          <w:p>
            <w:pPr>
              <w:jc w:val="right"/>
              <w:ind w:right="21"/>
              <w:spacing w:after="0" w:line="220" w:lineRule="exact"/>
              <w:rPr>
                <w:sz w:val="20"/>
                <w:szCs w:val="20"/>
                <w:color w:val="auto"/>
              </w:rPr>
            </w:pPr>
            <w:r>
              <w:rPr>
                <w:rFonts w:ascii="Arial" w:cs="Arial" w:eastAsia="Arial" w:hAnsi="Arial"/>
                <w:sz w:val="20"/>
                <w:szCs w:val="20"/>
                <w:color w:val="auto"/>
              </w:rPr>
              <w:t>152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jc w:val="right"/>
              <w:spacing w:after="0" w:line="220" w:lineRule="exact"/>
              <w:rPr>
                <w:sz w:val="20"/>
                <w:szCs w:val="20"/>
                <w:color w:val="auto"/>
              </w:rPr>
            </w:pPr>
            <w:r>
              <w:rPr>
                <w:rFonts w:ascii="Arial" w:cs="Arial" w:eastAsia="Arial" w:hAnsi="Arial"/>
                <w:sz w:val="20"/>
                <w:szCs w:val="20"/>
                <w:color w:val="auto"/>
              </w:rPr>
              <w:t>—</w:t>
            </w:r>
          </w:p>
        </w:tc>
      </w:tr>
      <w:tr>
        <w:trPr>
          <w:trHeight w:val="220"/>
        </w:trPr>
        <w:tc>
          <w:tcPr>
            <w:tcW w:w="3880" w:type="dxa"/>
            <w:vAlign w:val="bottom"/>
          </w:tcPr>
          <w:p>
            <w:pPr>
              <w:spacing w:after="0" w:line="220" w:lineRule="exact"/>
              <w:rPr>
                <w:sz w:val="20"/>
                <w:szCs w:val="20"/>
                <w:color w:val="auto"/>
              </w:rPr>
            </w:pPr>
            <w:r>
              <w:rPr>
                <w:rFonts w:ascii="Arial" w:cs="Arial" w:eastAsia="Arial" w:hAnsi="Arial"/>
                <w:sz w:val="20"/>
                <w:szCs w:val="20"/>
                <w:color w:val="auto"/>
              </w:rPr>
              <w:t>Net operating loss and tax credit</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0"/>
        </w:trPr>
        <w:tc>
          <w:tcPr>
            <w:tcW w:w="3880" w:type="dxa"/>
            <w:vAlign w:val="bottom"/>
          </w:tcPr>
          <w:p>
            <w:pPr>
              <w:spacing w:after="0" w:line="220" w:lineRule="exact"/>
              <w:rPr>
                <w:sz w:val="20"/>
                <w:szCs w:val="20"/>
                <w:color w:val="auto"/>
              </w:rPr>
            </w:pPr>
            <w:r>
              <w:rPr>
                <w:rFonts w:ascii="Arial" w:cs="Arial" w:eastAsia="Arial" w:hAnsi="Arial"/>
                <w:sz w:val="20"/>
                <w:szCs w:val="20"/>
                <w:color w:val="auto"/>
              </w:rPr>
              <w:t>carryforwards . . . . . . . . . . . . . . . . . . . . . . .</w:t>
            </w:r>
          </w:p>
        </w:tc>
        <w:tc>
          <w:tcPr>
            <w:tcW w:w="240" w:type="dxa"/>
            <w:vAlign w:val="bottom"/>
          </w:tcPr>
          <w:p>
            <w:pPr>
              <w:spacing w:after="0"/>
              <w:rPr>
                <w:sz w:val="19"/>
                <w:szCs w:val="19"/>
                <w:color w:val="auto"/>
              </w:rPr>
            </w:pPr>
          </w:p>
        </w:tc>
        <w:tc>
          <w:tcPr>
            <w:tcW w:w="860" w:type="dxa"/>
            <w:vAlign w:val="bottom"/>
          </w:tcPr>
          <w:p>
            <w:pPr>
              <w:jc w:val="right"/>
              <w:ind w:right="22"/>
              <w:spacing w:after="0" w:line="220" w:lineRule="exact"/>
              <w:rPr>
                <w:sz w:val="20"/>
                <w:szCs w:val="20"/>
                <w:color w:val="auto"/>
              </w:rPr>
            </w:pPr>
            <w:r>
              <w:rPr>
                <w:rFonts w:ascii="Arial" w:cs="Arial" w:eastAsia="Arial" w:hAnsi="Arial"/>
                <w:sz w:val="20"/>
                <w:szCs w:val="20"/>
                <w:color w:val="auto"/>
              </w:rPr>
              <w:t>85</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2"/>
          </w:tcPr>
          <w:p>
            <w:pPr>
              <w:ind w:left="320"/>
              <w:spacing w:after="0" w:line="220" w:lineRule="exact"/>
              <w:rPr>
                <w:sz w:val="20"/>
                <w:szCs w:val="20"/>
                <w:color w:val="auto"/>
              </w:rPr>
            </w:pPr>
            <w:r>
              <w:rPr>
                <w:rFonts w:ascii="Arial" w:cs="Arial" w:eastAsia="Arial" w:hAnsi="Arial"/>
                <w:sz w:val="20"/>
                <w:szCs w:val="20"/>
                <w:color w:val="auto"/>
              </w:rPr>
              <w:t>—</w:t>
            </w:r>
          </w:p>
        </w:tc>
        <w:tc>
          <w:tcPr>
            <w:tcW w:w="240" w:type="dxa"/>
            <w:vAlign w:val="bottom"/>
          </w:tcPr>
          <w:p>
            <w:pPr>
              <w:spacing w:after="0"/>
              <w:rPr>
                <w:sz w:val="19"/>
                <w:szCs w:val="19"/>
                <w:color w:val="auto"/>
              </w:rPr>
            </w:pPr>
          </w:p>
        </w:tc>
        <w:tc>
          <w:tcPr>
            <w:tcW w:w="860" w:type="dxa"/>
            <w:vAlign w:val="bottom"/>
          </w:tcPr>
          <w:p>
            <w:pPr>
              <w:jc w:val="right"/>
              <w:ind w:right="21"/>
              <w:spacing w:after="0" w:line="220" w:lineRule="exact"/>
              <w:rPr>
                <w:sz w:val="20"/>
                <w:szCs w:val="20"/>
                <w:color w:val="auto"/>
              </w:rPr>
            </w:pPr>
            <w:r>
              <w:rPr>
                <w:rFonts w:ascii="Arial" w:cs="Arial" w:eastAsia="Arial" w:hAnsi="Arial"/>
                <w:sz w:val="20"/>
                <w:szCs w:val="20"/>
                <w:color w:val="auto"/>
              </w:rPr>
              <w:t>88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jc w:val="right"/>
              <w:spacing w:after="0" w:line="220" w:lineRule="exact"/>
              <w:rPr>
                <w:sz w:val="20"/>
                <w:szCs w:val="20"/>
                <w:color w:val="auto"/>
              </w:rPr>
            </w:pPr>
            <w:r>
              <w:rPr>
                <w:rFonts w:ascii="Arial" w:cs="Arial" w:eastAsia="Arial" w:hAnsi="Arial"/>
                <w:sz w:val="20"/>
                <w:szCs w:val="20"/>
                <w:color w:val="auto"/>
              </w:rPr>
              <w:t>—</w:t>
            </w:r>
          </w:p>
        </w:tc>
      </w:tr>
      <w:tr>
        <w:trPr>
          <w:trHeight w:val="220"/>
        </w:trPr>
        <w:tc>
          <w:tcPr>
            <w:tcW w:w="3880" w:type="dxa"/>
            <w:vAlign w:val="bottom"/>
          </w:tcPr>
          <w:p>
            <w:pPr>
              <w:spacing w:after="0" w:line="220" w:lineRule="exact"/>
              <w:rPr>
                <w:sz w:val="20"/>
                <w:szCs w:val="20"/>
                <w:color w:val="auto"/>
              </w:rPr>
            </w:pPr>
            <w:r>
              <w:rPr>
                <w:rFonts w:ascii="Arial" w:cs="Arial" w:eastAsia="Arial" w:hAnsi="Arial"/>
                <w:sz w:val="20"/>
                <w:szCs w:val="20"/>
                <w:color w:val="auto"/>
              </w:rPr>
              <w:t>Business interest expense</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0"/>
        </w:trPr>
        <w:tc>
          <w:tcPr>
            <w:tcW w:w="3880" w:type="dxa"/>
            <w:vAlign w:val="bottom"/>
          </w:tcPr>
          <w:p>
            <w:pPr>
              <w:spacing w:after="0" w:line="220" w:lineRule="exact"/>
              <w:rPr>
                <w:sz w:val="20"/>
                <w:szCs w:val="20"/>
                <w:color w:val="auto"/>
              </w:rPr>
            </w:pPr>
            <w:r>
              <w:rPr>
                <w:rFonts w:ascii="Arial" w:cs="Arial" w:eastAsia="Arial" w:hAnsi="Arial"/>
                <w:sz w:val="20"/>
                <w:szCs w:val="20"/>
                <w:color w:val="auto"/>
              </w:rPr>
              <w:t>carryforward . . . . . . . . . . . . . . . . . . . . . . . .</w:t>
            </w:r>
          </w:p>
        </w:tc>
        <w:tc>
          <w:tcPr>
            <w:tcW w:w="240" w:type="dxa"/>
            <w:vAlign w:val="bottom"/>
          </w:tcPr>
          <w:p>
            <w:pPr>
              <w:spacing w:after="0"/>
              <w:rPr>
                <w:sz w:val="19"/>
                <w:szCs w:val="19"/>
                <w:color w:val="auto"/>
              </w:rPr>
            </w:pPr>
          </w:p>
        </w:tc>
        <w:tc>
          <w:tcPr>
            <w:tcW w:w="860" w:type="dxa"/>
            <w:vAlign w:val="bottom"/>
          </w:tcPr>
          <w:p>
            <w:pPr>
              <w:jc w:val="right"/>
              <w:ind w:right="22"/>
              <w:spacing w:after="0" w:line="220" w:lineRule="exact"/>
              <w:rPr>
                <w:sz w:val="20"/>
                <w:szCs w:val="20"/>
                <w:color w:val="auto"/>
              </w:rPr>
            </w:pPr>
            <w:r>
              <w:rPr>
                <w:rFonts w:ascii="Arial" w:cs="Arial" w:eastAsia="Arial" w:hAnsi="Arial"/>
                <w:sz w:val="20"/>
                <w:szCs w:val="20"/>
                <w:color w:val="auto"/>
              </w:rPr>
              <w:t>167</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2"/>
          </w:tcPr>
          <w:p>
            <w:pPr>
              <w:ind w:left="320"/>
              <w:spacing w:after="0" w:line="220" w:lineRule="exact"/>
              <w:rPr>
                <w:sz w:val="20"/>
                <w:szCs w:val="20"/>
                <w:color w:val="auto"/>
              </w:rPr>
            </w:pPr>
            <w:r>
              <w:rPr>
                <w:rFonts w:ascii="Arial" w:cs="Arial" w:eastAsia="Arial" w:hAnsi="Arial"/>
                <w:sz w:val="20"/>
                <w:szCs w:val="20"/>
                <w:color w:val="auto"/>
              </w:rPr>
              <w:t>—</w:t>
            </w:r>
          </w:p>
        </w:tc>
        <w:tc>
          <w:tcPr>
            <w:tcW w:w="240" w:type="dxa"/>
            <w:vAlign w:val="bottom"/>
          </w:tcPr>
          <w:p>
            <w:pPr>
              <w:spacing w:after="0"/>
              <w:rPr>
                <w:sz w:val="19"/>
                <w:szCs w:val="19"/>
                <w:color w:val="auto"/>
              </w:rPr>
            </w:pPr>
          </w:p>
        </w:tc>
        <w:tc>
          <w:tcPr>
            <w:tcW w:w="860" w:type="dxa"/>
            <w:vAlign w:val="bottom"/>
          </w:tcPr>
          <w:p>
            <w:pPr>
              <w:jc w:val="right"/>
              <w:ind w:right="21"/>
              <w:spacing w:after="0" w:line="220" w:lineRule="exact"/>
              <w:rPr>
                <w:sz w:val="20"/>
                <w:szCs w:val="20"/>
                <w:color w:val="auto"/>
              </w:rPr>
            </w:pPr>
            <w:r>
              <w:rPr>
                <w:rFonts w:ascii="Arial" w:cs="Arial" w:eastAsia="Arial" w:hAnsi="Arial"/>
                <w:sz w:val="20"/>
                <w:szCs w:val="20"/>
                <w:color w:val="auto"/>
              </w:rPr>
              <w:t>177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jc w:val="right"/>
              <w:spacing w:after="0" w:line="220" w:lineRule="exact"/>
              <w:rPr>
                <w:sz w:val="20"/>
                <w:szCs w:val="20"/>
                <w:color w:val="auto"/>
              </w:rPr>
            </w:pPr>
            <w:r>
              <w:rPr>
                <w:rFonts w:ascii="Arial" w:cs="Arial" w:eastAsia="Arial" w:hAnsi="Arial"/>
                <w:sz w:val="20"/>
                <w:szCs w:val="20"/>
                <w:color w:val="auto"/>
              </w:rPr>
              <w:t>—</w:t>
            </w:r>
          </w:p>
        </w:tc>
      </w:tr>
      <w:tr>
        <w:trPr>
          <w:trHeight w:val="220"/>
        </w:trPr>
        <w:tc>
          <w:tcPr>
            <w:tcW w:w="3880" w:type="dxa"/>
            <w:vAlign w:val="bottom"/>
          </w:tcPr>
          <w:p>
            <w:pPr>
              <w:spacing w:after="0" w:line="220" w:lineRule="exact"/>
              <w:rPr>
                <w:sz w:val="20"/>
                <w:szCs w:val="20"/>
                <w:color w:val="auto"/>
              </w:rPr>
            </w:pPr>
            <w:r>
              <w:rPr>
                <w:rFonts w:ascii="Arial" w:cs="Arial" w:eastAsia="Arial" w:hAnsi="Arial"/>
                <w:sz w:val="20"/>
                <w:szCs w:val="20"/>
                <w:color w:val="auto"/>
              </w:rPr>
              <w:t>Federal benefit of state income taxes  . . .</w:t>
            </w:r>
          </w:p>
        </w:tc>
        <w:tc>
          <w:tcPr>
            <w:tcW w:w="240" w:type="dxa"/>
            <w:vAlign w:val="bottom"/>
          </w:tcPr>
          <w:p>
            <w:pPr>
              <w:spacing w:after="0"/>
              <w:rPr>
                <w:sz w:val="19"/>
                <w:szCs w:val="19"/>
                <w:color w:val="auto"/>
              </w:rPr>
            </w:pPr>
          </w:p>
        </w:tc>
        <w:tc>
          <w:tcPr>
            <w:tcW w:w="1060" w:type="dxa"/>
            <w:vAlign w:val="bottom"/>
            <w:gridSpan w:val="2"/>
          </w:tcPr>
          <w:p>
            <w:pPr>
              <w:jc w:val="right"/>
              <w:ind w:right="320"/>
              <w:spacing w:after="0" w:line="220" w:lineRule="exact"/>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700" w:type="dxa"/>
            <w:vAlign w:val="bottom"/>
          </w:tcPr>
          <w:p>
            <w:pPr>
              <w:jc w:val="right"/>
              <w:ind w:right="42"/>
              <w:spacing w:after="0" w:line="220" w:lineRule="exact"/>
              <w:rPr>
                <w:sz w:val="20"/>
                <w:szCs w:val="20"/>
                <w:color w:val="auto"/>
              </w:rPr>
            </w:pPr>
            <w:r>
              <w:rPr>
                <w:rFonts w:ascii="Arial" w:cs="Arial" w:eastAsia="Arial" w:hAnsi="Arial"/>
                <w:sz w:val="20"/>
                <w:szCs w:val="20"/>
                <w:color w:val="auto"/>
              </w:rPr>
              <w:t>(31)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40"/>
              <w:spacing w:after="0" w:line="220" w:lineRule="exact"/>
              <w:rPr>
                <w:sz w:val="20"/>
                <w:szCs w:val="20"/>
                <w:color w:val="auto"/>
              </w:rPr>
            </w:pPr>
            <w:r>
              <w:rPr>
                <w:rFonts w:ascii="Arial" w:cs="Arial" w:eastAsia="Arial" w:hAnsi="Arial"/>
                <w:sz w:val="20"/>
                <w:szCs w:val="20"/>
                <w:color w:val="auto"/>
              </w:rPr>
              <w:t>—</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jc w:val="right"/>
              <w:spacing w:after="0" w:line="220" w:lineRule="exact"/>
              <w:rPr>
                <w:sz w:val="20"/>
                <w:szCs w:val="20"/>
                <w:color w:val="auto"/>
              </w:rPr>
            </w:pPr>
            <w:r>
              <w:rPr>
                <w:rFonts w:ascii="Arial" w:cs="Arial" w:eastAsia="Arial" w:hAnsi="Arial"/>
                <w:sz w:val="20"/>
                <w:szCs w:val="20"/>
                <w:color w:val="auto"/>
              </w:rPr>
              <w:t>(49)</w:t>
            </w:r>
          </w:p>
        </w:tc>
      </w:tr>
      <w:tr>
        <w:trPr>
          <w:trHeight w:val="226"/>
        </w:trPr>
        <w:tc>
          <w:tcPr>
            <w:tcW w:w="3880" w:type="dxa"/>
            <w:vAlign w:val="bottom"/>
          </w:tcPr>
          <w:p>
            <w:pPr>
              <w:spacing w:after="0" w:line="226" w:lineRule="exact"/>
              <w:rPr>
                <w:sz w:val="20"/>
                <w:szCs w:val="20"/>
                <w:color w:val="auto"/>
              </w:rPr>
            </w:pPr>
            <w:r>
              <w:rPr>
                <w:rFonts w:ascii="Arial" w:cs="Arial" w:eastAsia="Arial" w:hAnsi="Arial"/>
                <w:sz w:val="20"/>
                <w:szCs w:val="20"/>
                <w:color w:val="auto"/>
              </w:rPr>
              <w:t>Other . . . . . . . . . . . . . . . . . . . . . . . . . . . . . .</w:t>
            </w:r>
          </w:p>
        </w:tc>
        <w:tc>
          <w:tcPr>
            <w:tcW w:w="240" w:type="dxa"/>
            <w:vAlign w:val="bottom"/>
          </w:tcPr>
          <w:p>
            <w:pPr>
              <w:spacing w:after="0"/>
              <w:rPr>
                <w:sz w:val="19"/>
                <w:szCs w:val="19"/>
                <w:color w:val="auto"/>
              </w:rPr>
            </w:pPr>
          </w:p>
        </w:tc>
        <w:tc>
          <w:tcPr>
            <w:tcW w:w="860" w:type="dxa"/>
            <w:vAlign w:val="bottom"/>
          </w:tcPr>
          <w:p>
            <w:pPr>
              <w:jc w:val="right"/>
              <w:ind w:right="22"/>
              <w:spacing w:after="0" w:line="226" w:lineRule="exact"/>
              <w:rPr>
                <w:sz w:val="20"/>
                <w:szCs w:val="20"/>
                <w:color w:val="auto"/>
              </w:rPr>
            </w:pPr>
            <w:r>
              <w:rPr>
                <w:rFonts w:ascii="Arial" w:cs="Arial" w:eastAsia="Arial" w:hAnsi="Arial"/>
                <w:sz w:val="20"/>
                <w:szCs w:val="20"/>
                <w:color w:val="auto"/>
              </w:rPr>
              <w:t>77</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ind w:right="42"/>
              <w:spacing w:after="0" w:line="226" w:lineRule="exact"/>
              <w:rPr>
                <w:sz w:val="20"/>
                <w:szCs w:val="20"/>
                <w:color w:val="auto"/>
              </w:rPr>
            </w:pPr>
            <w:r>
              <w:rPr>
                <w:rFonts w:ascii="Arial" w:cs="Arial" w:eastAsia="Arial" w:hAnsi="Arial"/>
                <w:sz w:val="20"/>
                <w:szCs w:val="20"/>
                <w:color w:val="auto"/>
              </w:rPr>
              <w:t>(36)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1"/>
              <w:spacing w:after="0" w:line="226" w:lineRule="exact"/>
              <w:rPr>
                <w:sz w:val="20"/>
                <w:szCs w:val="20"/>
                <w:color w:val="auto"/>
              </w:rPr>
            </w:pPr>
            <w:r>
              <w:rPr>
                <w:rFonts w:ascii="Arial" w:cs="Arial" w:eastAsia="Arial" w:hAnsi="Arial"/>
                <w:sz w:val="20"/>
                <w:szCs w:val="20"/>
                <w:color w:val="auto"/>
              </w:rPr>
              <w:t>59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jc w:val="right"/>
              <w:spacing w:after="0" w:line="226" w:lineRule="exact"/>
              <w:rPr>
                <w:sz w:val="20"/>
                <w:szCs w:val="20"/>
                <w:color w:val="auto"/>
              </w:rPr>
            </w:pPr>
            <w:r>
              <w:rPr>
                <w:rFonts w:ascii="Arial" w:cs="Arial" w:eastAsia="Arial" w:hAnsi="Arial"/>
                <w:sz w:val="20"/>
                <w:szCs w:val="20"/>
                <w:color w:val="auto"/>
              </w:rPr>
              <w:t>(20)</w:t>
            </w:r>
          </w:p>
        </w:tc>
      </w:tr>
      <w:tr>
        <w:trPr>
          <w:trHeight w:val="28"/>
        </w:trPr>
        <w:tc>
          <w:tcPr>
            <w:tcW w:w="3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6"/>
        </w:trPr>
        <w:tc>
          <w:tcPr>
            <w:tcW w:w="3880" w:type="dxa"/>
            <w:vAlign w:val="bottom"/>
          </w:tcPr>
          <w:p>
            <w:pPr>
              <w:spacing w:after="0"/>
              <w:rPr>
                <w:sz w:val="20"/>
                <w:szCs w:val="20"/>
                <w:color w:val="auto"/>
              </w:rPr>
            </w:pPr>
            <w:r>
              <w:rPr>
                <w:rFonts w:ascii="Arial" w:cs="Arial" w:eastAsia="Arial" w:hAnsi="Arial"/>
                <w:sz w:val="20"/>
                <w:szCs w:val="20"/>
                <w:color w:val="auto"/>
              </w:rPr>
              <w:t>Subtotal  . . . . . . . . . . . . . . . . . . . . . . . . . . .</w:t>
            </w:r>
          </w:p>
        </w:tc>
        <w:tc>
          <w:tcPr>
            <w:tcW w:w="240" w:type="dxa"/>
            <w:vAlign w:val="bottom"/>
          </w:tcPr>
          <w:p>
            <w:pPr>
              <w:spacing w:after="0"/>
              <w:rPr>
                <w:sz w:val="21"/>
                <w:szCs w:val="21"/>
                <w:color w:val="auto"/>
              </w:rPr>
            </w:pPr>
          </w:p>
        </w:tc>
        <w:tc>
          <w:tcPr>
            <w:tcW w:w="860" w:type="dxa"/>
            <w:vAlign w:val="bottom"/>
          </w:tcPr>
          <w:p>
            <w:pPr>
              <w:jc w:val="right"/>
              <w:ind w:right="22"/>
              <w:spacing w:after="0"/>
              <w:rPr>
                <w:sz w:val="20"/>
                <w:szCs w:val="20"/>
                <w:color w:val="auto"/>
              </w:rPr>
            </w:pPr>
            <w:r>
              <w:rPr>
                <w:rFonts w:ascii="Arial" w:cs="Arial" w:eastAsia="Arial" w:hAnsi="Arial"/>
                <w:sz w:val="20"/>
                <w:szCs w:val="20"/>
                <w:color w:val="auto"/>
              </w:rPr>
              <w:t>534</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ind w:right="42"/>
              <w:spacing w:after="0"/>
              <w:rPr>
                <w:sz w:val="20"/>
                <w:szCs w:val="20"/>
                <w:color w:val="auto"/>
              </w:rPr>
            </w:pPr>
            <w:r>
              <w:rPr>
                <w:rFonts w:ascii="Arial" w:cs="Arial" w:eastAsia="Arial" w:hAnsi="Arial"/>
                <w:sz w:val="20"/>
                <w:szCs w:val="20"/>
                <w:color w:val="auto"/>
              </w:rPr>
              <w:t>(335)</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21"/>
              <w:spacing w:after="0"/>
              <w:rPr>
                <w:sz w:val="20"/>
                <w:szCs w:val="20"/>
                <w:color w:val="auto"/>
              </w:rPr>
            </w:pPr>
            <w:r>
              <w:rPr>
                <w:rFonts w:ascii="Arial" w:cs="Arial" w:eastAsia="Arial" w:hAnsi="Arial"/>
                <w:sz w:val="20"/>
                <w:szCs w:val="20"/>
                <w:color w:val="auto"/>
              </w:rPr>
              <w:t>616</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(220)</w:t>
            </w:r>
          </w:p>
        </w:tc>
      </w:tr>
      <w:tr>
        <w:trPr>
          <w:trHeight w:val="224"/>
        </w:trPr>
        <w:tc>
          <w:tcPr>
            <w:tcW w:w="3880" w:type="dxa"/>
            <w:vAlign w:val="bottom"/>
          </w:tcPr>
          <w:p>
            <w:pPr>
              <w:ind w:left="200"/>
              <w:spacing w:after="0" w:line="224" w:lineRule="exact"/>
              <w:rPr>
                <w:sz w:val="20"/>
                <w:szCs w:val="20"/>
                <w:color w:val="auto"/>
              </w:rPr>
            </w:pPr>
            <w:r>
              <w:rPr>
                <w:rFonts w:ascii="Arial" w:cs="Arial" w:eastAsia="Arial" w:hAnsi="Arial"/>
                <w:sz w:val="20"/>
                <w:szCs w:val="20"/>
                <w:color w:val="auto"/>
              </w:rPr>
              <w:t>Valuation allowance . . . . . . . . . . . . . . . .</w:t>
            </w:r>
          </w:p>
        </w:tc>
        <w:tc>
          <w:tcPr>
            <w:tcW w:w="240" w:type="dxa"/>
            <w:vAlign w:val="bottom"/>
          </w:tcPr>
          <w:p>
            <w:pPr>
              <w:spacing w:after="0"/>
              <w:rPr>
                <w:sz w:val="19"/>
                <w:szCs w:val="19"/>
                <w:color w:val="auto"/>
              </w:rPr>
            </w:pPr>
          </w:p>
        </w:tc>
        <w:tc>
          <w:tcPr>
            <w:tcW w:w="860" w:type="dxa"/>
            <w:vAlign w:val="bottom"/>
          </w:tcPr>
          <w:p>
            <w:pPr>
              <w:jc w:val="right"/>
              <w:spacing w:after="0" w:line="224" w:lineRule="exact"/>
              <w:rPr>
                <w:sz w:val="20"/>
                <w:szCs w:val="20"/>
                <w:color w:val="auto"/>
              </w:rPr>
            </w:pPr>
            <w:r>
              <w:rPr>
                <w:rFonts w:ascii="Arial" w:cs="Arial" w:eastAsia="Arial" w:hAnsi="Arial"/>
                <w:sz w:val="20"/>
                <w:szCs w:val="20"/>
                <w:color w:val="auto"/>
              </w:rPr>
              <w:t>(35)</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2"/>
          </w:tcPr>
          <w:p>
            <w:pPr>
              <w:ind w:left="320"/>
              <w:spacing w:after="0" w:line="224" w:lineRule="exact"/>
              <w:rPr>
                <w:sz w:val="20"/>
                <w:szCs w:val="20"/>
                <w:color w:val="auto"/>
              </w:rPr>
            </w:pPr>
            <w:r>
              <w:rPr>
                <w:rFonts w:ascii="Arial" w:cs="Arial" w:eastAsia="Arial" w:hAnsi="Arial"/>
                <w:sz w:val="20"/>
                <w:szCs w:val="20"/>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40"/>
              <w:spacing w:after="0" w:line="224" w:lineRule="exact"/>
              <w:rPr>
                <w:sz w:val="20"/>
                <w:szCs w:val="20"/>
                <w:color w:val="auto"/>
              </w:rPr>
            </w:pPr>
            <w:r>
              <w:rPr>
                <w:rFonts w:ascii="Arial" w:cs="Arial" w:eastAsia="Arial" w:hAnsi="Arial"/>
                <w:sz w:val="20"/>
                <w:szCs w:val="20"/>
                <w:color w:val="auto"/>
              </w:rPr>
              <w:t>—</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jc w:val="right"/>
              <w:spacing w:after="0" w:line="224" w:lineRule="exact"/>
              <w:rPr>
                <w:sz w:val="20"/>
                <w:szCs w:val="20"/>
                <w:color w:val="auto"/>
              </w:rPr>
            </w:pPr>
            <w:r>
              <w:rPr>
                <w:rFonts w:ascii="Arial" w:cs="Arial" w:eastAsia="Arial" w:hAnsi="Arial"/>
                <w:sz w:val="20"/>
                <w:szCs w:val="20"/>
                <w:color w:val="auto"/>
              </w:rPr>
              <w:t>—</w:t>
            </w:r>
          </w:p>
        </w:tc>
      </w:tr>
      <w:tr>
        <w:trPr>
          <w:trHeight w:val="30"/>
        </w:trPr>
        <w:tc>
          <w:tcPr>
            <w:tcW w:w="3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3880" w:type="dxa"/>
            <w:vAlign w:val="bottom"/>
          </w:tcPr>
          <w:p>
            <w:pPr>
              <w:spacing w:after="0"/>
              <w:rPr>
                <w:sz w:val="20"/>
                <w:szCs w:val="20"/>
                <w:color w:val="auto"/>
              </w:rPr>
            </w:pPr>
            <w:r>
              <w:rPr>
                <w:rFonts w:ascii="Arial" w:cs="Arial" w:eastAsia="Arial" w:hAnsi="Arial"/>
                <w:sz w:val="20"/>
                <w:szCs w:val="20"/>
                <w:color w:val="auto"/>
              </w:rPr>
              <w:t>Total deferred taxes  . . . . . . . . . . . . . . . . .</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42"/>
              <w:spacing w:after="0"/>
              <w:rPr>
                <w:sz w:val="20"/>
                <w:szCs w:val="20"/>
                <w:color w:val="auto"/>
              </w:rPr>
            </w:pPr>
            <w:r>
              <w:rPr>
                <w:rFonts w:ascii="Arial" w:cs="Arial" w:eastAsia="Arial" w:hAnsi="Arial"/>
                <w:sz w:val="20"/>
                <w:szCs w:val="20"/>
                <w:color w:val="auto"/>
              </w:rPr>
              <w:t>499</w:t>
            </w:r>
          </w:p>
        </w:tc>
        <w:tc>
          <w:tcPr>
            <w:tcW w:w="200" w:type="dxa"/>
            <w:vAlign w:val="bottom"/>
          </w:tcPr>
          <w:p>
            <w:pPr>
              <w:spacing w:after="0"/>
              <w:rPr>
                <w:sz w:val="21"/>
                <w:szCs w:val="21"/>
                <w:color w:val="auto"/>
              </w:rPr>
            </w:pPr>
          </w:p>
        </w:tc>
        <w:tc>
          <w:tcPr>
            <w:tcW w:w="400" w:type="dxa"/>
            <w:vAlign w:val="bottom"/>
          </w:tcPr>
          <w:p>
            <w:pPr>
              <w:jc w:val="right"/>
              <w:ind w:right="5"/>
              <w:spacing w:after="0"/>
              <w:rPr>
                <w:sz w:val="20"/>
                <w:szCs w:val="20"/>
                <w:color w:val="auto"/>
              </w:rPr>
            </w:pPr>
            <w:r>
              <w:rPr>
                <w:rFonts w:ascii="Arial" w:cs="Arial" w:eastAsia="Arial" w:hAnsi="Arial"/>
                <w:sz w:val="20"/>
                <w:szCs w:val="20"/>
                <w:color w:val="auto"/>
              </w:rPr>
              <w:t>$</w:t>
            </w:r>
          </w:p>
        </w:tc>
        <w:tc>
          <w:tcPr>
            <w:tcW w:w="700" w:type="dxa"/>
            <w:vAlign w:val="bottom"/>
          </w:tcPr>
          <w:p>
            <w:pPr>
              <w:jc w:val="right"/>
              <w:ind w:right="42"/>
              <w:spacing w:after="0"/>
              <w:rPr>
                <w:sz w:val="20"/>
                <w:szCs w:val="20"/>
                <w:color w:val="auto"/>
              </w:rPr>
            </w:pPr>
            <w:r>
              <w:rPr>
                <w:rFonts w:ascii="Arial" w:cs="Arial" w:eastAsia="Arial" w:hAnsi="Arial"/>
                <w:sz w:val="20"/>
                <w:szCs w:val="20"/>
                <w:color w:val="auto"/>
              </w:rPr>
              <w:t>(335)</w:t>
            </w:r>
          </w:p>
        </w:tc>
        <w:tc>
          <w:tcPr>
            <w:tcW w:w="20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rPr>
              <w:t>616</w:t>
            </w:r>
          </w:p>
        </w:tc>
        <w:tc>
          <w:tcPr>
            <w:tcW w:w="20" w:type="dxa"/>
            <w:vAlign w:val="bottom"/>
          </w:tcPr>
          <w:p>
            <w:pPr>
              <w:spacing w:after="0"/>
              <w:rPr>
                <w:sz w:val="21"/>
                <w:szCs w:val="21"/>
                <w:color w:val="auto"/>
              </w:rPr>
            </w:pPr>
          </w:p>
        </w:tc>
        <w:tc>
          <w:tcPr>
            <w:tcW w:w="800" w:type="dxa"/>
            <w:vAlign w:val="bottom"/>
            <w:gridSpan w:val="2"/>
          </w:tcPr>
          <w:p>
            <w:pPr>
              <w:jc w:val="right"/>
              <w:ind w:right="11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(220)</w:t>
            </w:r>
          </w:p>
        </w:tc>
      </w:tr>
      <w:tr>
        <w:trPr>
          <w:trHeight w:val="30"/>
        </w:trPr>
        <w:tc>
          <w:tcPr>
            <w:tcW w:w="3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3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200"/>
          </w:cols>
          <w:pgMar w:left="1380" w:top="1316" w:right="1300" w:bottom="661" w:gutter="0" w:footer="0" w:header="0"/>
        </w:sectPr>
      </w:pPr>
    </w:p>
    <w:p>
      <w:pPr>
        <w:spacing w:after="0" w:line="316"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127</w:t>
      </w:r>
    </w:p>
    <w:p>
      <w:pPr>
        <w:sectPr>
          <w:pgSz w:w="11880" w:h="15480" w:orient="portrait"/>
          <w:cols w:equalWidth="0" w:num="1">
            <w:col w:w="9200"/>
          </w:cols>
          <w:pgMar w:left="1380" w:top="1316" w:right="1300" w:bottom="661" w:gutter="0" w:footer="0" w:header="0"/>
          <w:type w:val="continuous"/>
        </w:sectPr>
      </w:pPr>
    </w:p>
    <w:bookmarkStart w:id="131" w:name="page132"/>
    <w:bookmarkEnd w:id="131"/>
    <w:p>
      <w:pPr>
        <w:ind w:right="20" w:firstLine="300"/>
        <w:spacing w:after="0" w:line="264" w:lineRule="auto"/>
        <w:rPr>
          <w:sz w:val="20"/>
          <w:szCs w:val="20"/>
          <w:color w:val="auto"/>
        </w:rPr>
      </w:pPr>
      <w:r>
        <w:rPr>
          <w:rFonts w:ascii="Arial" w:cs="Arial" w:eastAsia="Arial" w:hAnsi="Arial"/>
          <w:sz w:val="19"/>
          <w:szCs w:val="19"/>
          <w:color w:val="auto"/>
        </w:rPr>
        <w:t>Management expects to realize the recorded deferred tax assets primarily through future operating income and reversal of taxable temporary differences. We assess the realizability of our deferred tax assets each period by considering whether it is more-likely-than-not that all or a portion of our deferred tax assets will be realized. At each reporting date new evidence is considered, both positive and negative, including whether sufficient future taxable income will be generated to permit realization of existing deferred tax assets. The amount of deferred tax assets considered realizable is not assured and could be adjusted if estimates change or three-years of cumulative income is no longer present.</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Carryforwards</w:t>
      </w:r>
    </w:p>
    <w:p>
      <w:pPr>
        <w:spacing w:after="0" w:line="215" w:lineRule="exact"/>
        <w:rPr>
          <w:sz w:val="20"/>
          <w:szCs w:val="20"/>
          <w:color w:val="auto"/>
        </w:rPr>
      </w:pPr>
    </w:p>
    <w:p>
      <w:pPr>
        <w:ind w:right="200" w:firstLine="300"/>
        <w:spacing w:after="0" w:line="247" w:lineRule="auto"/>
        <w:rPr>
          <w:sz w:val="20"/>
          <w:szCs w:val="20"/>
          <w:color w:val="auto"/>
        </w:rPr>
      </w:pPr>
      <w:r>
        <w:rPr>
          <w:rFonts w:ascii="Arial" w:cs="Arial" w:eastAsia="Arial" w:hAnsi="Arial"/>
          <w:sz w:val="20"/>
          <w:szCs w:val="20"/>
          <w:color w:val="auto"/>
        </w:rPr>
        <w:t>As of December 31, 2022, we had U.S. federal net operating loss carryforwards of $29 million, which begin to expire in 2037. Our carryforward for disallowed business interest of $794 million does not expire.</w:t>
      </w:r>
    </w:p>
    <w:p>
      <w:pPr>
        <w:spacing w:after="0" w:line="210" w:lineRule="exact"/>
        <w:rPr>
          <w:sz w:val="20"/>
          <w:szCs w:val="20"/>
          <w:color w:val="auto"/>
        </w:rPr>
      </w:pPr>
    </w:p>
    <w:p>
      <w:pPr>
        <w:ind w:right="80" w:firstLine="300"/>
        <w:spacing w:after="0" w:line="269" w:lineRule="auto"/>
        <w:rPr>
          <w:sz w:val="20"/>
          <w:szCs w:val="20"/>
          <w:color w:val="auto"/>
        </w:rPr>
      </w:pPr>
      <w:r>
        <w:rPr>
          <w:rFonts w:ascii="Arial" w:cs="Arial" w:eastAsia="Arial" w:hAnsi="Arial"/>
          <w:sz w:val="19"/>
          <w:szCs w:val="19"/>
          <w:color w:val="auto"/>
        </w:rPr>
        <w:t>As of December 31, 2022, we had California net operating loss carryforwards of $2.4 billion, which begin to expire in 2026, and $23 million of tax credit carryforwards, which begin to expire in 2041.</w:t>
      </w:r>
    </w:p>
    <w:p>
      <w:pPr>
        <w:spacing w:after="0" w:line="190"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Our ability to utilize a portion of our net operating loss, tax credit and interest expense carryforwards is subject to an annual limitation since we experienced an ownership change in connection with our emergence from bankruptcy. We did not recognize a tax benefit for $18 million U.S. federal net operating loss carryforwards and approximately $2 billion California net operating loss carryforwards which we expect will expire unused. Additionally, we did not recognize a tax benefit for $14 million of California tax credit carryforwards which we expect will expire unused.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Unrecognized Tax Benefits</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We did not record a liability for unrecognized tax benefits as of December 31, 2022 and 2021.</w:t>
      </w:r>
    </w:p>
    <w:p>
      <w:pPr>
        <w:spacing w:after="0" w:line="214"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color w:val="auto"/>
        </w:rPr>
        <w:t>In the period ended October 31, 2020, we recognized a tax benefit of $101 million for uncertain tax positions which primarily related to the calculation of the limitation on business interest expense. In 2020, the Internal Revenue Service (IRS) issued final regulations which clarified the calculation of the limitation on the deduction of business interest expense. Based on our evaluation of these final regulations, we determined that our income tax returns were filed on at least a more-likely-than-not basis and accordingly we reversed our liability for uncertain tax positions.</w:t>
      </w:r>
    </w:p>
    <w:p>
      <w:pPr>
        <w:spacing w:after="0" w:line="208" w:lineRule="exact"/>
        <w:rPr>
          <w:sz w:val="20"/>
          <w:szCs w:val="20"/>
          <w:color w:val="auto"/>
        </w:rPr>
      </w:pPr>
    </w:p>
    <w:p>
      <w:pPr>
        <w:ind w:right="100" w:firstLine="300"/>
        <w:spacing w:after="0" w:line="245" w:lineRule="auto"/>
        <w:rPr>
          <w:sz w:val="20"/>
          <w:szCs w:val="20"/>
          <w:color w:val="auto"/>
        </w:rPr>
      </w:pPr>
      <w:r>
        <w:rPr>
          <w:rFonts w:ascii="Arial" w:cs="Arial" w:eastAsia="Arial" w:hAnsi="Arial"/>
          <w:sz w:val="20"/>
          <w:szCs w:val="20"/>
          <w:color w:val="auto"/>
        </w:rPr>
        <w:t>We remain subject to audit by the Internal Revenue Service for calendar years 2019 through 2021 as well as 2018 through 2021 by the state of California.</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NOTE 10</w:t>
      </w:r>
      <w:r>
        <w:rPr>
          <w:sz w:val="20"/>
          <w:szCs w:val="20"/>
          <w:color w:val="auto"/>
        </w:rPr>
        <w:tab/>
      </w:r>
      <w:r>
        <w:rPr>
          <w:rFonts w:ascii="Arial" w:cs="Arial" w:eastAsia="Arial" w:hAnsi="Arial"/>
          <w:sz w:val="19"/>
          <w:szCs w:val="19"/>
          <w:b w:val="1"/>
          <w:bCs w:val="1"/>
          <w:color w:val="auto"/>
        </w:rPr>
        <w:t>STOCK-BASED COMPENSATION</w:t>
      </w:r>
    </w:p>
    <w:p>
      <w:pPr>
        <w:spacing w:after="0" w:line="214"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auto"/>
        </w:rPr>
        <w:t>On January 18, 2021, our Board of Directors approved the California Resources Corporation 2021 Long Term Incentive Plan (Long Term Incentive Plan). The shares issuable under the new long-term incentive plan had been previously authorized by the Bankruptcy Court in connection with our emergence from Chapter 11 and the terms of the new long-term incentive plan were approved by our Board of Directors. As a result, the Long Term Incentive Plan became effective on January 18, 2021. The Long Term Incentive Plan provides for potential grants of stock options, stock appreciation rights, restricted stock awards, restricted stock units, vested stock awards, dividend equivalents, other stock-based awards and substitute awards to employees, officers, non-employee directors and other service providers of the Company and its affiliates. The Long Term Incentive Plan replaces the earlier Amended and Restated California Resources Corporation Long Term Incentive Plan which was cancelled upon our emergence from bankruptcy, along with all outstanding stock-based compensation awards granted thereunder.</w:t>
      </w:r>
    </w:p>
    <w:p>
      <w:pPr>
        <w:sectPr>
          <w:pgSz w:w="11880" w:h="15480" w:orient="portrait"/>
          <w:cols w:equalWidth="0" w:num="1">
            <w:col w:w="9060"/>
          </w:cols>
          <w:pgMar w:left="1380" w:top="1316" w:right="144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128</w:t>
      </w:r>
    </w:p>
    <w:p>
      <w:pPr>
        <w:sectPr>
          <w:pgSz w:w="11880" w:h="15480" w:orient="portrait"/>
          <w:cols w:equalWidth="0" w:num="1">
            <w:col w:w="9060"/>
          </w:cols>
          <w:pgMar w:left="1380" w:top="1316" w:right="1440" w:bottom="661" w:gutter="0" w:footer="0" w:header="0"/>
          <w:type w:val="continuous"/>
        </w:sectPr>
      </w:pPr>
    </w:p>
    <w:bookmarkStart w:id="132" w:name="page133"/>
    <w:bookmarkEnd w:id="132"/>
    <w:p>
      <w:pPr>
        <w:ind w:firstLine="300"/>
        <w:spacing w:after="0" w:line="249" w:lineRule="auto"/>
        <w:rPr>
          <w:sz w:val="20"/>
          <w:szCs w:val="20"/>
          <w:color w:val="auto"/>
        </w:rPr>
      </w:pPr>
      <w:r>
        <w:rPr>
          <w:rFonts w:ascii="Arial" w:cs="Arial" w:eastAsia="Arial" w:hAnsi="Arial"/>
          <w:sz w:val="20"/>
          <w:szCs w:val="20"/>
          <w:color w:val="auto"/>
        </w:rPr>
        <w:t>The Long Term Incentive Plan provides for the reservation of 9,257,740 shares of common stock for future issuances, subject to adjustment as provided in the Long Term Incentive Plan. Shares of stock subject to an award under the Long Term Incentive Plan that expires or is cancelled, forfeited, exchanged, settled in cash or otherwise terminated without the actual delivery of shares (restricted stock awards are not considered “delivered shares” for this purpose) will again be available for new awards under the Long Term Incentive Plan. However, (i) shares tendered or withheld in payment of any exercise or purchase price of an award or taxes relating to awards, (ii) shares that were subject to an option or a stock appreciation right but were not issued or delivered as a result of the net settlement or net exercise of the option or stock appreciation right, and (iii) shares repurchased on the open market with the proceeds from the exercise price of an option, will not, in each case, again be available for new awards under the Long Term Incentive Plan.</w:t>
      </w:r>
    </w:p>
    <w:p>
      <w:pPr>
        <w:spacing w:after="0" w:line="215" w:lineRule="exact"/>
        <w:rPr>
          <w:sz w:val="20"/>
          <w:szCs w:val="20"/>
          <w:color w:val="auto"/>
        </w:rPr>
      </w:pPr>
    </w:p>
    <w:p>
      <w:pPr>
        <w:ind w:right="340" w:firstLine="300"/>
        <w:spacing w:after="0" w:line="243" w:lineRule="auto"/>
        <w:rPr>
          <w:sz w:val="20"/>
          <w:szCs w:val="20"/>
          <w:color w:val="auto"/>
        </w:rPr>
      </w:pPr>
      <w:r>
        <w:rPr>
          <w:rFonts w:ascii="Arial" w:cs="Arial" w:eastAsia="Arial" w:hAnsi="Arial"/>
          <w:sz w:val="20"/>
          <w:szCs w:val="20"/>
          <w:color w:val="auto"/>
        </w:rPr>
        <w:t>Shares of our common stock may be withheld by us in satisfaction of tax withholding obligations arising upon the vesting of restricted stock units (RSUs) and performance stock units (PSUs).</w:t>
      </w:r>
    </w:p>
    <w:p>
      <w:pPr>
        <w:spacing w:after="0" w:line="214" w:lineRule="exact"/>
        <w:rPr>
          <w:sz w:val="20"/>
          <w:szCs w:val="20"/>
          <w:color w:val="auto"/>
        </w:rPr>
      </w:pPr>
    </w:p>
    <w:p>
      <w:pPr>
        <w:ind w:right="480" w:firstLine="300"/>
        <w:spacing w:after="0" w:line="245" w:lineRule="auto"/>
        <w:rPr>
          <w:sz w:val="20"/>
          <w:szCs w:val="20"/>
          <w:color w:val="auto"/>
        </w:rPr>
      </w:pPr>
      <w:r>
        <w:rPr>
          <w:rFonts w:ascii="Arial" w:cs="Arial" w:eastAsia="Arial" w:hAnsi="Arial"/>
          <w:sz w:val="20"/>
          <w:szCs w:val="20"/>
          <w:color w:val="auto"/>
        </w:rPr>
        <w:t>Stock-based compensation expense is recorded on our consolidated statements of operations based on job function of the employees receiving the grants as shown in the table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2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20"/>
              <w:spacing w:after="0"/>
              <w:rPr>
                <w:sz w:val="20"/>
                <w:szCs w:val="20"/>
                <w:color w:val="auto"/>
              </w:rPr>
            </w:pPr>
            <w:r>
              <w:rPr>
                <w:rFonts w:ascii="Arial" w:cs="Arial" w:eastAsia="Arial" w:hAnsi="Arial"/>
                <w:sz w:val="20"/>
                <w:szCs w:val="20"/>
                <w:b w:val="1"/>
                <w:bCs w:val="1"/>
                <w:color w:val="auto"/>
                <w:w w:val="98"/>
              </w:rPr>
              <w:t>Successor</w:t>
            </w:r>
          </w:p>
        </w:tc>
        <w:tc>
          <w:tcPr>
            <w:tcW w:w="2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99"/>
              </w:rPr>
              <w:t>Predecessor</w:t>
            </w:r>
          </w:p>
        </w:tc>
        <w:tc>
          <w:tcPr>
            <w:tcW w:w="0" w:type="dxa"/>
            <w:vAlign w:val="bottom"/>
          </w:tcPr>
          <w:p>
            <w:pPr>
              <w:spacing w:after="0"/>
              <w:rPr>
                <w:sz w:val="1"/>
                <w:szCs w:val="1"/>
                <w:color w:val="auto"/>
              </w:rPr>
            </w:pPr>
          </w:p>
        </w:tc>
      </w:tr>
      <w:tr>
        <w:trPr>
          <w:trHeight w:val="212"/>
        </w:trPr>
        <w:tc>
          <w:tcPr>
            <w:tcW w:w="3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20"/>
                <w:szCs w:val="20"/>
                <w:b w:val="1"/>
                <w:bCs w:val="1"/>
                <w:color w:val="auto"/>
              </w:rPr>
              <w:t>November 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20"/>
              <w:spacing w:after="0" w:line="212" w:lineRule="exact"/>
              <w:rPr>
                <w:sz w:val="20"/>
                <w:szCs w:val="20"/>
                <w:color w:val="auto"/>
              </w:rPr>
            </w:pPr>
            <w:r>
              <w:rPr>
                <w:rFonts w:ascii="Arial" w:cs="Arial" w:eastAsia="Arial" w:hAnsi="Arial"/>
                <w:sz w:val="20"/>
                <w:szCs w:val="20"/>
                <w:b w:val="1"/>
                <w:bCs w:val="1"/>
                <w:color w:val="auto"/>
                <w:w w:val="99"/>
              </w:rPr>
              <w:t>January 1,</w:t>
            </w:r>
          </w:p>
        </w:tc>
        <w:tc>
          <w:tcPr>
            <w:tcW w:w="0" w:type="dxa"/>
            <w:vAlign w:val="bottom"/>
          </w:tcPr>
          <w:p>
            <w:pPr>
              <w:spacing w:after="0"/>
              <w:rPr>
                <w:sz w:val="1"/>
                <w:szCs w:val="1"/>
                <w:color w:val="auto"/>
              </w:rPr>
            </w:pPr>
          </w:p>
        </w:tc>
      </w:tr>
      <w:tr>
        <w:trPr>
          <w:trHeight w:val="80"/>
        </w:trPr>
        <w:tc>
          <w:tcPr>
            <w:tcW w:w="3200" w:type="dxa"/>
            <w:vAlign w:val="bottom"/>
          </w:tcPr>
          <w:p>
            <w:pPr>
              <w:spacing w:after="0"/>
              <w:rPr>
                <w:sz w:val="6"/>
                <w:szCs w:val="6"/>
                <w:color w:val="auto"/>
              </w:rPr>
            </w:pPr>
          </w:p>
        </w:tc>
        <w:tc>
          <w:tcPr>
            <w:tcW w:w="1300" w:type="dxa"/>
            <w:vAlign w:val="bottom"/>
            <w:gridSpan w:val="2"/>
            <w:vMerge w:val="restart"/>
          </w:tcPr>
          <w:p>
            <w:pPr>
              <w:ind w:left="100"/>
              <w:spacing w:after="0" w:line="200" w:lineRule="exact"/>
              <w:rPr>
                <w:sz w:val="20"/>
                <w:szCs w:val="20"/>
                <w:color w:val="auto"/>
              </w:rPr>
            </w:pPr>
            <w:r>
              <w:rPr>
                <w:rFonts w:ascii="Arial" w:cs="Arial" w:eastAsia="Arial" w:hAnsi="Arial"/>
                <w:sz w:val="20"/>
                <w:szCs w:val="20"/>
                <w:b w:val="1"/>
                <w:bCs w:val="1"/>
                <w:color w:val="auto"/>
              </w:rPr>
              <w:t>Year ended</w:t>
            </w: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vMerge w:val="restart"/>
          </w:tcPr>
          <w:p>
            <w:pPr>
              <w:jc w:val="center"/>
              <w:ind w:right="20"/>
              <w:spacing w:after="0" w:line="200" w:lineRule="exact"/>
              <w:rPr>
                <w:sz w:val="20"/>
                <w:szCs w:val="20"/>
                <w:color w:val="auto"/>
              </w:rPr>
            </w:pPr>
            <w:r>
              <w:rPr>
                <w:rFonts w:ascii="Arial" w:cs="Arial" w:eastAsia="Arial" w:hAnsi="Arial"/>
                <w:sz w:val="20"/>
                <w:szCs w:val="20"/>
                <w:b w:val="1"/>
                <w:bCs w:val="1"/>
                <w:color w:val="auto"/>
              </w:rPr>
              <w:t>Year ended</w:t>
            </w:r>
          </w:p>
        </w:tc>
        <w:tc>
          <w:tcPr>
            <w:tcW w:w="200" w:type="dxa"/>
            <w:vAlign w:val="bottom"/>
          </w:tcPr>
          <w:p>
            <w:pPr>
              <w:spacing w:after="0"/>
              <w:rPr>
                <w:sz w:val="6"/>
                <w:szCs w:val="6"/>
                <w:color w:val="auto"/>
              </w:rPr>
            </w:pPr>
          </w:p>
        </w:tc>
        <w:tc>
          <w:tcPr>
            <w:tcW w:w="1400" w:type="dxa"/>
            <w:vAlign w:val="bottom"/>
            <w:tcBorders>
              <w:right w:val="single" w:sz="8" w:color="auto"/>
            </w:tcBorders>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vMerge w:val="restart"/>
          </w:tcPr>
          <w:p>
            <w:pPr>
              <w:jc w:val="right"/>
              <w:ind w:right="240"/>
              <w:spacing w:after="0" w:line="200" w:lineRule="exact"/>
              <w:rPr>
                <w:sz w:val="20"/>
                <w:szCs w:val="20"/>
                <w:color w:val="auto"/>
              </w:rPr>
            </w:pPr>
            <w:r>
              <w:rPr>
                <w:rFonts w:ascii="Arial" w:cs="Arial" w:eastAsia="Arial" w:hAnsi="Arial"/>
                <w:sz w:val="20"/>
                <w:szCs w:val="20"/>
                <w:b w:val="1"/>
                <w:bCs w:val="1"/>
                <w:color w:val="auto"/>
              </w:rPr>
              <w:t>2020 -</w:t>
            </w:r>
          </w:p>
        </w:tc>
        <w:tc>
          <w:tcPr>
            <w:tcW w:w="0" w:type="dxa"/>
            <w:vAlign w:val="bottom"/>
          </w:tcPr>
          <w:p>
            <w:pPr>
              <w:spacing w:after="0"/>
              <w:rPr>
                <w:sz w:val="1"/>
                <w:szCs w:val="1"/>
                <w:color w:val="auto"/>
              </w:rPr>
            </w:pPr>
          </w:p>
        </w:tc>
      </w:tr>
      <w:tr>
        <w:trPr>
          <w:trHeight w:val="120"/>
        </w:trPr>
        <w:tc>
          <w:tcPr>
            <w:tcW w:w="32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vMerge w:val="restart"/>
          </w:tcPr>
          <w:p>
            <w:pPr>
              <w:jc w:val="right"/>
              <w:ind w:right="260"/>
              <w:spacing w:after="0" w:line="200" w:lineRule="exact"/>
              <w:rPr>
                <w:sz w:val="20"/>
                <w:szCs w:val="20"/>
                <w:color w:val="auto"/>
              </w:rPr>
            </w:pPr>
            <w:r>
              <w:rPr>
                <w:rFonts w:ascii="Arial" w:cs="Arial" w:eastAsia="Arial" w:hAnsi="Arial"/>
                <w:sz w:val="20"/>
                <w:szCs w:val="20"/>
                <w:b w:val="1"/>
                <w:bCs w:val="1"/>
                <w:color w:val="auto"/>
              </w:rPr>
              <w:t>2020 -</w:t>
            </w:r>
          </w:p>
        </w:tc>
        <w:tc>
          <w:tcPr>
            <w:tcW w:w="1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200" w:type="dxa"/>
            <w:vAlign w:val="bottom"/>
          </w:tcPr>
          <w:p>
            <w:pPr>
              <w:spacing w:after="0"/>
              <w:rPr>
                <w:sz w:val="6"/>
                <w:szCs w:val="6"/>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auto"/>
                <w:w w:val="98"/>
              </w:rPr>
              <w:t>December 31,</w:t>
            </w:r>
          </w:p>
        </w:tc>
        <w:tc>
          <w:tcPr>
            <w:tcW w:w="200" w:type="dxa"/>
            <w:vAlign w:val="bottom"/>
          </w:tcPr>
          <w:p>
            <w:pPr>
              <w:spacing w:after="0"/>
              <w:rPr>
                <w:sz w:val="6"/>
                <w:szCs w:val="6"/>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20"/>
                <w:szCs w:val="20"/>
                <w:b w:val="1"/>
                <w:bCs w:val="1"/>
                <w:color w:val="auto"/>
              </w:rPr>
              <w:t>December 31,</w:t>
            </w: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20"/>
                <w:szCs w:val="20"/>
                <w:b w:val="1"/>
                <w:bCs w:val="1"/>
                <w:color w:val="auto"/>
                <w:w w:val="99"/>
              </w:rPr>
              <w:t>October 31,</w:t>
            </w: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4"/>
                <w:szCs w:val="14"/>
                <w:color w:val="auto"/>
              </w:rPr>
            </w:pPr>
          </w:p>
        </w:tc>
        <w:tc>
          <w:tcPr>
            <w:tcW w:w="1300" w:type="dxa"/>
            <w:vAlign w:val="bottom"/>
            <w:tcBorders>
              <w:bottom w:val="single" w:sz="8" w:color="auto"/>
            </w:tcBorders>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Borders>
              <w:bottom w:val="single" w:sz="8" w:color="auto"/>
            </w:tcBorders>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Borders>
              <w:right w:val="single" w:sz="8" w:color="auto"/>
            </w:tcBorders>
            <w:gridSpan w:val="3"/>
          </w:tcPr>
          <w:p>
            <w:pPr>
              <w:spacing w:after="0" w:line="168" w:lineRule="exact"/>
              <w:rPr>
                <w:sz w:val="20"/>
                <w:szCs w:val="20"/>
                <w:color w:val="auto"/>
              </w:rPr>
            </w:pPr>
            <w:r>
              <w:rPr>
                <w:rFonts w:ascii="Arial" w:cs="Arial" w:eastAsia="Arial" w:hAnsi="Arial"/>
                <w:sz w:val="19"/>
                <w:szCs w:val="19"/>
                <w:b w:val="1"/>
                <w:bCs w:val="1"/>
                <w:color w:val="auto"/>
              </w:rPr>
              <w:t>December 31,</w:t>
            </w:r>
          </w:p>
        </w:tc>
        <w:tc>
          <w:tcPr>
            <w:tcW w:w="100" w:type="dxa"/>
            <w:vAlign w:val="bottom"/>
          </w:tcPr>
          <w:p>
            <w:pPr>
              <w:spacing w:after="0"/>
              <w:rPr>
                <w:sz w:val="14"/>
                <w:szCs w:val="14"/>
                <w:color w:val="auto"/>
              </w:rPr>
            </w:pPr>
          </w:p>
        </w:tc>
        <w:tc>
          <w:tcPr>
            <w:tcW w:w="12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32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20"/>
                <w:szCs w:val="20"/>
                <w:b w:val="1"/>
                <w:bCs w:val="1"/>
                <w:color w:val="auto"/>
              </w:rPr>
              <w:t>2022</w:t>
            </w: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20"/>
              <w:spacing w:after="0"/>
              <w:rPr>
                <w:sz w:val="20"/>
                <w:szCs w:val="20"/>
                <w:color w:val="auto"/>
              </w:rPr>
            </w:pPr>
            <w:r>
              <w:rPr>
                <w:rFonts w:ascii="Arial" w:cs="Arial" w:eastAsia="Arial" w:hAnsi="Arial"/>
                <w:sz w:val="20"/>
                <w:szCs w:val="20"/>
                <w:b w:val="1"/>
                <w:bCs w:val="1"/>
                <w:color w:val="auto"/>
                <w:w w:val="98"/>
              </w:rPr>
              <w:t>2021</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20"/>
              <w:spacing w:after="0"/>
              <w:rPr>
                <w:sz w:val="20"/>
                <w:szCs w:val="20"/>
                <w:color w:val="auto"/>
              </w:rPr>
            </w:pPr>
            <w:r>
              <w:rPr>
                <w:rFonts w:ascii="Arial" w:cs="Arial" w:eastAsia="Arial" w:hAnsi="Arial"/>
                <w:sz w:val="20"/>
                <w:szCs w:val="20"/>
                <w:b w:val="1"/>
                <w:bCs w:val="1"/>
                <w:color w:val="auto"/>
              </w:rPr>
              <w:t>2020</w:t>
            </w:r>
          </w:p>
        </w:tc>
        <w:tc>
          <w:tcPr>
            <w:tcW w:w="10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00"/>
              <w:spacing w:after="0"/>
              <w:rPr>
                <w:sz w:val="20"/>
                <w:szCs w:val="20"/>
                <w:color w:val="auto"/>
              </w:rPr>
            </w:pPr>
            <w:r>
              <w:rPr>
                <w:rFonts w:ascii="Arial" w:cs="Arial" w:eastAsia="Arial" w:hAnsi="Arial"/>
                <w:sz w:val="20"/>
                <w:szCs w:val="20"/>
                <w:b w:val="1"/>
                <w:bCs w:val="1"/>
                <w:color w:val="auto"/>
              </w:rPr>
              <w:t>2020</w:t>
            </w:r>
          </w:p>
        </w:tc>
        <w:tc>
          <w:tcPr>
            <w:tcW w:w="0" w:type="dxa"/>
            <w:vAlign w:val="bottom"/>
          </w:tcPr>
          <w:p>
            <w:pPr>
              <w:spacing w:after="0"/>
              <w:rPr>
                <w:sz w:val="1"/>
                <w:szCs w:val="1"/>
                <w:color w:val="auto"/>
              </w:rPr>
            </w:pPr>
          </w:p>
        </w:tc>
      </w:tr>
      <w:tr>
        <w:trPr>
          <w:trHeight w:val="282"/>
        </w:trPr>
        <w:tc>
          <w:tcPr>
            <w:tcW w:w="3200" w:type="dxa"/>
            <w:vAlign w:val="bottom"/>
          </w:tcPr>
          <w:p>
            <w:pPr>
              <w:spacing w:after="0"/>
              <w:rPr>
                <w:sz w:val="20"/>
                <w:szCs w:val="20"/>
                <w:color w:val="auto"/>
              </w:rPr>
            </w:pPr>
            <w:r>
              <w:rPr>
                <w:rFonts w:ascii="Arial" w:cs="Arial" w:eastAsia="Arial" w:hAnsi="Arial"/>
                <w:sz w:val="20"/>
                <w:szCs w:val="20"/>
                <w:color w:val="auto"/>
              </w:rPr>
              <w:t>(in millions)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200" w:type="dxa"/>
            <w:vAlign w:val="bottom"/>
          </w:tcPr>
          <w:p>
            <w:pPr>
              <w:spacing w:after="0"/>
              <w:rPr>
                <w:sz w:val="20"/>
                <w:szCs w:val="20"/>
                <w:color w:val="auto"/>
              </w:rPr>
            </w:pPr>
            <w:r>
              <w:rPr>
                <w:rFonts w:ascii="Arial" w:cs="Arial" w:eastAsia="Arial" w:hAnsi="Arial"/>
                <w:sz w:val="20"/>
                <w:szCs w:val="20"/>
                <w:color w:val="auto"/>
              </w:rPr>
              <w:t>General and administrative</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200" w:type="dxa"/>
            <w:vAlign w:val="bottom"/>
          </w:tcPr>
          <w:p>
            <w:pPr>
              <w:spacing w:after="0"/>
              <w:rPr>
                <w:sz w:val="20"/>
                <w:szCs w:val="20"/>
                <w:color w:val="auto"/>
              </w:rPr>
            </w:pPr>
            <w:r>
              <w:rPr>
                <w:rFonts w:ascii="Arial" w:cs="Arial" w:eastAsia="Arial" w:hAnsi="Arial"/>
                <w:sz w:val="20"/>
                <w:szCs w:val="20"/>
                <w:color w:val="auto"/>
                <w:w w:val="99"/>
              </w:rPr>
              <w:t>expenses . . . . . . . . . . . . . . . . . . . . .</w:t>
            </w:r>
          </w:p>
        </w:tc>
        <w:tc>
          <w:tcPr>
            <w:tcW w:w="320" w:type="dxa"/>
            <w:vAlign w:val="bottom"/>
          </w:tcPr>
          <w:p>
            <w:pPr>
              <w:ind w:left="120"/>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60"/>
              <w:spacing w:after="0"/>
              <w:rPr>
                <w:sz w:val="20"/>
                <w:szCs w:val="20"/>
                <w:color w:val="auto"/>
              </w:rPr>
            </w:pPr>
            <w:r>
              <w:rPr>
                <w:rFonts w:ascii="Arial" w:cs="Arial" w:eastAsia="Arial" w:hAnsi="Arial"/>
                <w:sz w:val="20"/>
                <w:szCs w:val="20"/>
                <w:color w:val="auto"/>
              </w:rPr>
              <w:t>26</w:t>
            </w:r>
          </w:p>
        </w:tc>
        <w:tc>
          <w:tcPr>
            <w:tcW w:w="320" w:type="dxa"/>
            <w:vAlign w:val="bottom"/>
            <w:gridSpan w:val="2"/>
          </w:tcPr>
          <w:p>
            <w:pPr>
              <w:ind w:left="200"/>
              <w:spacing w:after="0"/>
              <w:rPr>
                <w:sz w:val="20"/>
                <w:szCs w:val="20"/>
                <w:color w:val="auto"/>
              </w:rPr>
            </w:pPr>
            <w:r>
              <w:rPr>
                <w:rFonts w:ascii="Arial" w:cs="Arial" w:eastAsia="Arial" w:hAnsi="Arial"/>
                <w:sz w:val="20"/>
                <w:szCs w:val="20"/>
                <w:color w:val="auto"/>
                <w:w w:val="89"/>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17</w:t>
            </w:r>
          </w:p>
        </w:tc>
        <w:tc>
          <w:tcPr>
            <w:tcW w:w="440" w:type="dxa"/>
            <w:vAlign w:val="bottom"/>
            <w:gridSpan w:val="2"/>
          </w:tcPr>
          <w:p>
            <w:pPr>
              <w:ind w:left="220"/>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gridSpan w:val="2"/>
          </w:tcPr>
          <w:p>
            <w:pPr>
              <w:ind w:left="800"/>
              <w:spacing w:after="0"/>
              <w:rPr>
                <w:sz w:val="20"/>
                <w:szCs w:val="20"/>
                <w:color w:val="auto"/>
              </w:rPr>
            </w:pPr>
            <w:r>
              <w:rPr>
                <w:rFonts w:ascii="Arial" w:cs="Arial" w:eastAsia="Arial" w:hAnsi="Arial"/>
                <w:sz w:val="20"/>
                <w:szCs w:val="20"/>
                <w:color w:val="auto"/>
              </w:rPr>
              <w:t>—</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40"/>
        </w:trPr>
        <w:tc>
          <w:tcPr>
            <w:tcW w:w="3200" w:type="dxa"/>
            <w:vAlign w:val="bottom"/>
          </w:tcPr>
          <w:p>
            <w:pPr>
              <w:spacing w:after="0"/>
              <w:rPr>
                <w:sz w:val="20"/>
                <w:szCs w:val="20"/>
                <w:color w:val="auto"/>
              </w:rPr>
            </w:pPr>
            <w:r>
              <w:rPr>
                <w:rFonts w:ascii="Arial" w:cs="Arial" w:eastAsia="Arial" w:hAnsi="Arial"/>
                <w:sz w:val="20"/>
                <w:szCs w:val="20"/>
                <w:color w:val="auto"/>
                <w:w w:val="99"/>
              </w:rPr>
              <w:t>Operating costs . . . . . . . . . . . . . . . .</w:t>
            </w:r>
          </w:p>
        </w:tc>
        <w:tc>
          <w:tcPr>
            <w:tcW w:w="32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20"/>
                <w:szCs w:val="20"/>
                <w:color w:val="auto"/>
              </w:rPr>
              <w:t>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Borders>
              <w:right w:val="single" w:sz="8" w:color="auto"/>
            </w:tcBorders>
            <w:gridSpan w:val="2"/>
          </w:tcPr>
          <w:p>
            <w:pPr>
              <w:ind w:left="80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8"/>
        </w:trPr>
        <w:tc>
          <w:tcPr>
            <w:tcW w:w="3200" w:type="dxa"/>
            <w:vAlign w:val="bottom"/>
            <w:vMerge w:val="restart"/>
          </w:tcPr>
          <w:p>
            <w:pPr>
              <w:ind w:left="200"/>
              <w:spacing w:after="0"/>
              <w:rPr>
                <w:sz w:val="20"/>
                <w:szCs w:val="20"/>
                <w:color w:val="auto"/>
              </w:rPr>
            </w:pPr>
            <w:r>
              <w:rPr>
                <w:rFonts w:ascii="Arial" w:cs="Arial" w:eastAsia="Arial" w:hAnsi="Arial"/>
                <w:sz w:val="20"/>
                <w:szCs w:val="20"/>
                <w:color w:val="auto"/>
              </w:rPr>
              <w:t>Total stock-based compensation</w:t>
            </w: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200" w:type="dxa"/>
            <w:vAlign w:val="bottom"/>
            <w:vMerge w:val="continue"/>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3200" w:type="dxa"/>
            <w:vAlign w:val="bottom"/>
          </w:tcPr>
          <w:p>
            <w:pPr>
              <w:ind w:left="200"/>
              <w:spacing w:after="0"/>
              <w:rPr>
                <w:sz w:val="20"/>
                <w:szCs w:val="20"/>
                <w:color w:val="auto"/>
              </w:rPr>
            </w:pPr>
            <w:r>
              <w:rPr>
                <w:rFonts w:ascii="Arial" w:cs="Arial" w:eastAsia="Arial" w:hAnsi="Arial"/>
                <w:sz w:val="20"/>
                <w:szCs w:val="20"/>
                <w:color w:val="auto"/>
                <w:w w:val="99"/>
              </w:rPr>
              <w:t>expense . . . . . . . . . . . . . . . . . . . .</w:t>
            </w:r>
          </w:p>
        </w:tc>
        <w:tc>
          <w:tcPr>
            <w:tcW w:w="320" w:type="dxa"/>
            <w:vAlign w:val="bottom"/>
          </w:tcPr>
          <w:p>
            <w:pPr>
              <w:ind w:left="120"/>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60"/>
              <w:spacing w:after="0"/>
              <w:rPr>
                <w:sz w:val="20"/>
                <w:szCs w:val="20"/>
                <w:color w:val="auto"/>
              </w:rPr>
            </w:pPr>
            <w:r>
              <w:rPr>
                <w:rFonts w:ascii="Arial" w:cs="Arial" w:eastAsia="Arial" w:hAnsi="Arial"/>
                <w:sz w:val="20"/>
                <w:szCs w:val="20"/>
                <w:color w:val="auto"/>
              </w:rPr>
              <w:t>30</w:t>
            </w:r>
          </w:p>
        </w:tc>
        <w:tc>
          <w:tcPr>
            <w:tcW w:w="320" w:type="dxa"/>
            <w:vAlign w:val="bottom"/>
            <w:gridSpan w:val="2"/>
          </w:tcPr>
          <w:p>
            <w:pPr>
              <w:ind w:left="200"/>
              <w:spacing w:after="0"/>
              <w:rPr>
                <w:sz w:val="20"/>
                <w:szCs w:val="20"/>
                <w:color w:val="auto"/>
              </w:rPr>
            </w:pPr>
            <w:r>
              <w:rPr>
                <w:rFonts w:ascii="Arial" w:cs="Arial" w:eastAsia="Arial" w:hAnsi="Arial"/>
                <w:sz w:val="20"/>
                <w:szCs w:val="20"/>
                <w:color w:val="auto"/>
                <w:w w:val="89"/>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19</w:t>
            </w:r>
          </w:p>
        </w:tc>
        <w:tc>
          <w:tcPr>
            <w:tcW w:w="440" w:type="dxa"/>
            <w:vAlign w:val="bottom"/>
            <w:gridSpan w:val="2"/>
          </w:tcPr>
          <w:p>
            <w:pPr>
              <w:ind w:left="220"/>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gridSpan w:val="2"/>
          </w:tcPr>
          <w:p>
            <w:pPr>
              <w:ind w:left="800"/>
              <w:spacing w:after="0"/>
              <w:rPr>
                <w:sz w:val="20"/>
                <w:szCs w:val="20"/>
                <w:color w:val="auto"/>
              </w:rPr>
            </w:pPr>
            <w:r>
              <w:rPr>
                <w:rFonts w:ascii="Arial" w:cs="Arial" w:eastAsia="Arial" w:hAnsi="Arial"/>
                <w:sz w:val="20"/>
                <w:szCs w:val="20"/>
                <w:color w:val="auto"/>
              </w:rPr>
              <w:t>—</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8"/>
        </w:trPr>
        <w:tc>
          <w:tcPr>
            <w:tcW w:w="3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200" w:type="dxa"/>
            <w:vAlign w:val="bottom"/>
          </w:tcPr>
          <w:p>
            <w:pPr>
              <w:spacing w:after="0"/>
              <w:rPr>
                <w:sz w:val="20"/>
                <w:szCs w:val="20"/>
                <w:color w:val="auto"/>
              </w:rPr>
            </w:pPr>
            <w:r>
              <w:rPr>
                <w:rFonts w:ascii="Arial" w:cs="Arial" w:eastAsia="Arial" w:hAnsi="Arial"/>
                <w:sz w:val="20"/>
                <w:szCs w:val="20"/>
                <w:color w:val="auto"/>
              </w:rPr>
              <w:t>Income tax benefit  . . . . . . . . . . . . .</w:t>
            </w:r>
          </w:p>
        </w:tc>
        <w:tc>
          <w:tcPr>
            <w:tcW w:w="320" w:type="dxa"/>
            <w:vAlign w:val="bottom"/>
          </w:tcPr>
          <w:p>
            <w:pPr>
              <w:ind w:left="120"/>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60"/>
              <w:spacing w:after="0"/>
              <w:rPr>
                <w:sz w:val="20"/>
                <w:szCs w:val="20"/>
                <w:color w:val="auto"/>
              </w:rPr>
            </w:pPr>
            <w:r>
              <w:rPr>
                <w:rFonts w:ascii="Arial" w:cs="Arial" w:eastAsia="Arial" w:hAnsi="Arial"/>
                <w:sz w:val="20"/>
                <w:szCs w:val="20"/>
                <w:color w:val="auto"/>
              </w:rPr>
              <w:t>6</w:t>
            </w:r>
          </w:p>
        </w:tc>
        <w:tc>
          <w:tcPr>
            <w:tcW w:w="320" w:type="dxa"/>
            <w:vAlign w:val="bottom"/>
            <w:gridSpan w:val="2"/>
          </w:tcPr>
          <w:p>
            <w:pPr>
              <w:ind w:left="200"/>
              <w:spacing w:after="0"/>
              <w:rPr>
                <w:sz w:val="20"/>
                <w:szCs w:val="20"/>
                <w:color w:val="auto"/>
              </w:rPr>
            </w:pPr>
            <w:r>
              <w:rPr>
                <w:rFonts w:ascii="Arial" w:cs="Arial" w:eastAsia="Arial" w:hAnsi="Arial"/>
                <w:sz w:val="20"/>
                <w:szCs w:val="20"/>
                <w:color w:val="auto"/>
                <w:w w:val="89"/>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w:t>
            </w:r>
          </w:p>
        </w:tc>
        <w:tc>
          <w:tcPr>
            <w:tcW w:w="440" w:type="dxa"/>
            <w:vAlign w:val="bottom"/>
            <w:gridSpan w:val="2"/>
          </w:tcPr>
          <w:p>
            <w:pPr>
              <w:ind w:left="220"/>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gridSpan w:val="2"/>
          </w:tcPr>
          <w:p>
            <w:pPr>
              <w:ind w:left="800"/>
              <w:spacing w:after="0"/>
              <w:rPr>
                <w:sz w:val="20"/>
                <w:szCs w:val="20"/>
                <w:color w:val="auto"/>
              </w:rPr>
            </w:pPr>
            <w:r>
              <w:rPr>
                <w:rFonts w:ascii="Arial" w:cs="Arial" w:eastAsia="Arial" w:hAnsi="Arial"/>
                <w:sz w:val="20"/>
                <w:szCs w:val="20"/>
                <w:color w:val="auto"/>
              </w:rPr>
              <w:t>—</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
        </w:trPr>
        <w:tc>
          <w:tcPr>
            <w:tcW w:w="3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0" w:firstLine="300"/>
        <w:spacing w:after="0" w:line="248" w:lineRule="auto"/>
        <w:rPr>
          <w:sz w:val="20"/>
          <w:szCs w:val="20"/>
          <w:color w:val="auto"/>
        </w:rPr>
      </w:pPr>
      <w:r>
        <w:rPr>
          <w:rFonts w:ascii="Arial" w:cs="Arial" w:eastAsia="Arial" w:hAnsi="Arial"/>
          <w:sz w:val="20"/>
          <w:szCs w:val="20"/>
          <w:color w:val="auto"/>
        </w:rPr>
        <w:t>We paid $6 million for our long-term cash incentive awards for the year ended December 31, 2022. We did not make any payments for the cash-settled portion of our awards for the year ended December 31, 2021 or in the Successor period of 2020. We made payments of $8 million for the cash-settled portion of our long-term incentive awards during the Predecessor period of 2020.</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Successor Stock-Based Compensation Plan</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Long-Term Stock Settled Awards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Restricted Stock Units</w:t>
      </w:r>
    </w:p>
    <w:p>
      <w:pPr>
        <w:spacing w:after="0" w:line="214"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Executives and non-employee directors were granted RSUs, which are in the form of, or equivalent in value to, actual shares of our common stock. The awards generally vest ratably over three years, with one third of the granted units vesting on each of the first three anniversaries of the applicable date of grant. RSUs are settled in shares of our common stock at the end of the third year of the three-year vesting period.</w:t>
      </w:r>
    </w:p>
    <w:p>
      <w:pPr>
        <w:sectPr>
          <w:pgSz w:w="11880" w:h="15480" w:orient="portrait"/>
          <w:cols w:equalWidth="0" w:num="1">
            <w:col w:w="9100"/>
          </w:cols>
          <w:pgMar w:left="1380" w:top="1316" w:right="140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129</w:t>
      </w:r>
    </w:p>
    <w:p>
      <w:pPr>
        <w:sectPr>
          <w:pgSz w:w="11880" w:h="15480" w:orient="portrait"/>
          <w:cols w:equalWidth="0" w:num="1">
            <w:col w:w="9100"/>
          </w:cols>
          <w:pgMar w:left="1380" w:top="1316" w:right="1400" w:bottom="661" w:gutter="0" w:footer="0" w:header="0"/>
          <w:type w:val="continuous"/>
        </w:sectPr>
      </w:pPr>
    </w:p>
    <w:bookmarkStart w:id="133" w:name="page134"/>
    <w:bookmarkEnd w:id="133"/>
    <w:p>
      <w:pPr>
        <w:ind w:left="300"/>
        <w:spacing w:after="0"/>
        <w:rPr>
          <w:sz w:val="20"/>
          <w:szCs w:val="20"/>
          <w:color w:val="auto"/>
        </w:rPr>
      </w:pPr>
      <w:r>
        <w:rPr>
          <w:rFonts w:ascii="Arial" w:cs="Arial" w:eastAsia="Arial" w:hAnsi="Arial"/>
          <w:sz w:val="20"/>
          <w:szCs w:val="20"/>
          <w:color w:val="auto"/>
        </w:rPr>
        <w:t>The following table sets forth RSU activity for the year ended December 31, 2022:</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160"/>
              <w:spacing w:after="0"/>
              <w:rPr>
                <w:sz w:val="20"/>
                <w:szCs w:val="20"/>
                <w:color w:val="auto"/>
              </w:rPr>
            </w:pPr>
            <w:r>
              <w:rPr>
                <w:rFonts w:ascii="Arial" w:cs="Arial" w:eastAsia="Arial" w:hAnsi="Arial"/>
                <w:sz w:val="20"/>
                <w:szCs w:val="20"/>
                <w:b w:val="1"/>
                <w:bCs w:val="1"/>
                <w:color w:val="auto"/>
              </w:rPr>
              <w:t>Weighted-</w:t>
            </w:r>
          </w:p>
        </w:tc>
      </w:tr>
      <w:tr>
        <w:trPr>
          <w:trHeight w:val="200"/>
        </w:trPr>
        <w:tc>
          <w:tcPr>
            <w:tcW w:w="58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right"/>
              <w:spacing w:after="0" w:line="200" w:lineRule="exact"/>
              <w:rPr>
                <w:sz w:val="20"/>
                <w:szCs w:val="20"/>
                <w:color w:val="auto"/>
              </w:rPr>
            </w:pPr>
            <w:r>
              <w:rPr>
                <w:rFonts w:ascii="Arial" w:cs="Arial" w:eastAsia="Arial" w:hAnsi="Arial"/>
                <w:sz w:val="20"/>
                <w:szCs w:val="20"/>
                <w:b w:val="1"/>
                <w:bCs w:val="1"/>
                <w:color w:val="auto"/>
              </w:rPr>
              <w:t>Average Grant-</w:t>
            </w:r>
          </w:p>
        </w:tc>
      </w:tr>
      <w:tr>
        <w:trPr>
          <w:trHeight w:val="228"/>
        </w:trPr>
        <w:tc>
          <w:tcPr>
            <w:tcW w:w="5800" w:type="dxa"/>
            <w:vAlign w:val="bottom"/>
          </w:tcPr>
          <w:p>
            <w:pPr>
              <w:spacing w:after="0"/>
              <w:rPr>
                <w:sz w:val="19"/>
                <w:szCs w:val="19"/>
                <w:color w:val="auto"/>
              </w:rPr>
            </w:pPr>
          </w:p>
        </w:tc>
        <w:tc>
          <w:tcPr>
            <w:tcW w:w="1560" w:type="dxa"/>
            <w:vAlign w:val="bottom"/>
          </w:tcPr>
          <w:p>
            <w:pPr>
              <w:jc w:val="right"/>
              <w:spacing w:after="0" w:line="228" w:lineRule="exact"/>
              <w:rPr>
                <w:sz w:val="20"/>
                <w:szCs w:val="20"/>
                <w:color w:val="auto"/>
              </w:rPr>
            </w:pPr>
            <w:r>
              <w:rPr>
                <w:rFonts w:ascii="Arial" w:cs="Arial" w:eastAsia="Arial" w:hAnsi="Arial"/>
                <w:sz w:val="20"/>
                <w:szCs w:val="20"/>
                <w:b w:val="1"/>
                <w:bCs w:val="1"/>
                <w:color w:val="auto"/>
                <w:w w:val="98"/>
              </w:rPr>
              <w:t>Number of Units</w:t>
            </w:r>
          </w:p>
        </w:tc>
        <w:tc>
          <w:tcPr>
            <w:tcW w:w="200" w:type="dxa"/>
            <w:vAlign w:val="bottom"/>
          </w:tcPr>
          <w:p>
            <w:pPr>
              <w:spacing w:after="0"/>
              <w:rPr>
                <w:sz w:val="19"/>
                <w:szCs w:val="19"/>
                <w:color w:val="auto"/>
              </w:rPr>
            </w:pPr>
          </w:p>
        </w:tc>
        <w:tc>
          <w:tcPr>
            <w:tcW w:w="1560" w:type="dxa"/>
            <w:vAlign w:val="bottom"/>
            <w:gridSpan w:val="2"/>
          </w:tcPr>
          <w:p>
            <w:pPr>
              <w:jc w:val="right"/>
              <w:spacing w:after="0" w:line="228" w:lineRule="exact"/>
              <w:rPr>
                <w:sz w:val="20"/>
                <w:szCs w:val="20"/>
                <w:color w:val="auto"/>
              </w:rPr>
            </w:pPr>
            <w:r>
              <w:rPr>
                <w:rFonts w:ascii="Arial" w:cs="Arial" w:eastAsia="Arial" w:hAnsi="Arial"/>
                <w:sz w:val="20"/>
                <w:szCs w:val="20"/>
                <w:b w:val="1"/>
                <w:bCs w:val="1"/>
                <w:color w:val="auto"/>
              </w:rPr>
              <w:t>Date Fair Value</w:t>
            </w:r>
          </w:p>
        </w:tc>
      </w:tr>
      <w:tr>
        <w:trPr>
          <w:trHeight w:val="20"/>
        </w:trPr>
        <w:tc>
          <w:tcPr>
            <w:tcW w:w="58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0"/>
        </w:trPr>
        <w:tc>
          <w:tcPr>
            <w:tcW w:w="5800" w:type="dxa"/>
            <w:vAlign w:val="bottom"/>
          </w:tcPr>
          <w:p>
            <w:pPr>
              <w:spacing w:after="0"/>
              <w:rPr>
                <w:sz w:val="20"/>
                <w:szCs w:val="20"/>
                <w:color w:val="auto"/>
              </w:rPr>
            </w:pPr>
          </w:p>
        </w:tc>
        <w:tc>
          <w:tcPr>
            <w:tcW w:w="1560" w:type="dxa"/>
            <w:vAlign w:val="bottom"/>
          </w:tcPr>
          <w:p>
            <w:pPr>
              <w:jc w:val="right"/>
              <w:ind w:right="40"/>
              <w:spacing w:after="0"/>
              <w:rPr>
                <w:sz w:val="20"/>
                <w:szCs w:val="20"/>
                <w:color w:val="auto"/>
              </w:rPr>
            </w:pPr>
            <w:r>
              <w:rPr>
                <w:rFonts w:ascii="Arial" w:cs="Arial" w:eastAsia="Arial" w:hAnsi="Arial"/>
                <w:sz w:val="20"/>
                <w:szCs w:val="20"/>
                <w:color w:val="auto"/>
              </w:rPr>
              <w:t>(in thousands)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40"/>
        </w:trPr>
        <w:tc>
          <w:tcPr>
            <w:tcW w:w="5800" w:type="dxa"/>
            <w:vAlign w:val="bottom"/>
          </w:tcPr>
          <w:p>
            <w:pPr>
              <w:jc w:val="right"/>
              <w:ind w:right="100"/>
              <w:spacing w:after="0"/>
              <w:rPr>
                <w:sz w:val="20"/>
                <w:szCs w:val="20"/>
                <w:color w:val="auto"/>
              </w:rPr>
            </w:pPr>
            <w:r>
              <w:rPr>
                <w:rFonts w:ascii="Arial" w:cs="Arial" w:eastAsia="Arial" w:hAnsi="Arial"/>
                <w:sz w:val="20"/>
                <w:szCs w:val="20"/>
                <w:color w:val="auto"/>
                <w:w w:val="97"/>
              </w:rPr>
              <w:t>Unvested at December 31, 2021  . . . . . . . . . . . . . . . . . . . . . . . . .</w:t>
            </w:r>
          </w:p>
        </w:tc>
        <w:tc>
          <w:tcPr>
            <w:tcW w:w="1560" w:type="dxa"/>
            <w:vAlign w:val="bottom"/>
          </w:tcPr>
          <w:p>
            <w:pPr>
              <w:jc w:val="right"/>
              <w:spacing w:after="0"/>
              <w:rPr>
                <w:sz w:val="20"/>
                <w:szCs w:val="20"/>
                <w:color w:val="auto"/>
              </w:rPr>
            </w:pPr>
            <w:r>
              <w:rPr>
                <w:rFonts w:ascii="Arial" w:cs="Arial" w:eastAsia="Arial" w:hAnsi="Arial"/>
                <w:sz w:val="20"/>
                <w:szCs w:val="20"/>
                <w:color w:val="auto"/>
              </w:rPr>
              <w:t>1,130</w:t>
            </w:r>
          </w:p>
        </w:tc>
        <w:tc>
          <w:tcPr>
            <w:tcW w:w="4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25.28</w:t>
            </w:r>
          </w:p>
        </w:tc>
      </w:tr>
      <w:tr>
        <w:trPr>
          <w:trHeight w:val="240"/>
        </w:trPr>
        <w:tc>
          <w:tcPr>
            <w:tcW w:w="5800" w:type="dxa"/>
            <w:vAlign w:val="bottom"/>
          </w:tcPr>
          <w:p>
            <w:pPr>
              <w:jc w:val="right"/>
              <w:ind w:right="100"/>
              <w:spacing w:after="0"/>
              <w:rPr>
                <w:sz w:val="20"/>
                <w:szCs w:val="20"/>
                <w:color w:val="auto"/>
              </w:rPr>
            </w:pPr>
            <w:r>
              <w:rPr>
                <w:rFonts w:ascii="Arial" w:cs="Arial" w:eastAsia="Arial" w:hAnsi="Arial"/>
                <w:sz w:val="20"/>
                <w:szCs w:val="20"/>
                <w:color w:val="auto"/>
                <w:w w:val="99"/>
              </w:rPr>
              <w:t>Granted . . . . . . . . . . . . . . . . . . . . . . . . . . . . . . . . . . . . . . . . . . . .</w:t>
            </w:r>
          </w:p>
        </w:tc>
        <w:tc>
          <w:tcPr>
            <w:tcW w:w="1560" w:type="dxa"/>
            <w:vAlign w:val="bottom"/>
          </w:tcPr>
          <w:p>
            <w:pPr>
              <w:jc w:val="right"/>
              <w:spacing w:after="0"/>
              <w:rPr>
                <w:sz w:val="20"/>
                <w:szCs w:val="20"/>
                <w:color w:val="auto"/>
              </w:rPr>
            </w:pPr>
            <w:r>
              <w:rPr>
                <w:rFonts w:ascii="Arial" w:cs="Arial" w:eastAsia="Arial" w:hAnsi="Arial"/>
                <w:sz w:val="20"/>
                <w:szCs w:val="20"/>
                <w:color w:val="auto"/>
              </w:rPr>
              <w:t>20</w:t>
            </w:r>
          </w:p>
        </w:tc>
        <w:tc>
          <w:tcPr>
            <w:tcW w:w="4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44.31</w:t>
            </w:r>
          </w:p>
        </w:tc>
      </w:tr>
      <w:tr>
        <w:trPr>
          <w:trHeight w:val="240"/>
        </w:trPr>
        <w:tc>
          <w:tcPr>
            <w:tcW w:w="5800" w:type="dxa"/>
            <w:vAlign w:val="bottom"/>
          </w:tcPr>
          <w:p>
            <w:pPr>
              <w:jc w:val="right"/>
              <w:ind w:right="100"/>
              <w:spacing w:after="0"/>
              <w:rPr>
                <w:sz w:val="20"/>
                <w:szCs w:val="20"/>
                <w:color w:val="auto"/>
              </w:rPr>
            </w:pPr>
            <w:r>
              <w:rPr>
                <w:rFonts w:ascii="Arial" w:cs="Arial" w:eastAsia="Arial" w:hAnsi="Arial"/>
                <w:sz w:val="20"/>
                <w:szCs w:val="20"/>
                <w:color w:val="auto"/>
                <w:w w:val="99"/>
              </w:rPr>
              <w:t>Vested . . . . . . . . . . . . . . . . . . . . . . . . . . . . . . . . . . . . . . . . . . . . .</w:t>
            </w:r>
          </w:p>
        </w:tc>
        <w:tc>
          <w:tcPr>
            <w:tcW w:w="1560" w:type="dxa"/>
            <w:vAlign w:val="bottom"/>
          </w:tcPr>
          <w:p>
            <w:pPr>
              <w:jc w:val="right"/>
              <w:spacing w:after="0"/>
              <w:rPr>
                <w:sz w:val="20"/>
                <w:szCs w:val="20"/>
                <w:color w:val="auto"/>
              </w:rPr>
            </w:pPr>
            <w:r>
              <w:rPr>
                <w:rFonts w:ascii="Arial" w:cs="Arial" w:eastAsia="Arial" w:hAnsi="Arial"/>
                <w:sz w:val="20"/>
                <w:szCs w:val="20"/>
                <w:color w:val="auto"/>
              </w:rPr>
              <w:t>—</w:t>
            </w:r>
          </w:p>
        </w:tc>
        <w:tc>
          <w:tcPr>
            <w:tcW w:w="4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40"/>
        </w:trPr>
        <w:tc>
          <w:tcPr>
            <w:tcW w:w="5800" w:type="dxa"/>
            <w:vAlign w:val="bottom"/>
          </w:tcPr>
          <w:p>
            <w:pPr>
              <w:jc w:val="right"/>
              <w:ind w:right="100"/>
              <w:spacing w:after="0"/>
              <w:rPr>
                <w:sz w:val="20"/>
                <w:szCs w:val="20"/>
                <w:color w:val="auto"/>
              </w:rPr>
            </w:pPr>
            <w:r>
              <w:rPr>
                <w:rFonts w:ascii="Arial" w:cs="Arial" w:eastAsia="Arial" w:hAnsi="Arial"/>
                <w:sz w:val="20"/>
                <w:szCs w:val="20"/>
                <w:color w:val="auto"/>
              </w:rPr>
              <w:t>Cancelled or Forfeited . . . . . . . . . . . . . . . . . . . . . . . . . . . . . . . .</w:t>
            </w:r>
          </w:p>
        </w:tc>
        <w:tc>
          <w:tcPr>
            <w:tcW w:w="1560" w:type="dxa"/>
            <w:vAlign w:val="bottom"/>
          </w:tcPr>
          <w:p>
            <w:pPr>
              <w:jc w:val="right"/>
              <w:spacing w:after="0"/>
              <w:rPr>
                <w:sz w:val="20"/>
                <w:szCs w:val="20"/>
                <w:color w:val="auto"/>
              </w:rPr>
            </w:pPr>
            <w:r>
              <w:rPr>
                <w:rFonts w:ascii="Arial" w:cs="Arial" w:eastAsia="Arial" w:hAnsi="Arial"/>
                <w:sz w:val="20"/>
                <w:szCs w:val="20"/>
                <w:color w:val="auto"/>
              </w:rPr>
              <w:t>(29)</w:t>
            </w:r>
          </w:p>
        </w:tc>
        <w:tc>
          <w:tcPr>
            <w:tcW w:w="4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24.78</w:t>
            </w:r>
          </w:p>
        </w:tc>
      </w:tr>
      <w:tr>
        <w:trPr>
          <w:trHeight w:val="30"/>
        </w:trPr>
        <w:tc>
          <w:tcPr>
            <w:tcW w:w="58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800" w:type="dxa"/>
            <w:vAlign w:val="bottom"/>
          </w:tcPr>
          <w:p>
            <w:pPr>
              <w:jc w:val="right"/>
              <w:ind w:right="100"/>
              <w:spacing w:after="0"/>
              <w:rPr>
                <w:sz w:val="20"/>
                <w:szCs w:val="20"/>
                <w:color w:val="auto"/>
              </w:rPr>
            </w:pPr>
            <w:r>
              <w:rPr>
                <w:rFonts w:ascii="Arial" w:cs="Arial" w:eastAsia="Arial" w:hAnsi="Arial"/>
                <w:sz w:val="20"/>
                <w:szCs w:val="20"/>
                <w:color w:val="auto"/>
                <w:w w:val="97"/>
              </w:rPr>
              <w:t>Unvested at December 31, 2022  . . . . . . . . . . . . . . . . . . . . . . . . .</w:t>
            </w:r>
          </w:p>
        </w:tc>
        <w:tc>
          <w:tcPr>
            <w:tcW w:w="1560" w:type="dxa"/>
            <w:vAlign w:val="bottom"/>
          </w:tcPr>
          <w:p>
            <w:pPr>
              <w:jc w:val="right"/>
              <w:spacing w:after="0"/>
              <w:rPr>
                <w:sz w:val="20"/>
                <w:szCs w:val="20"/>
                <w:color w:val="auto"/>
              </w:rPr>
            </w:pPr>
            <w:r>
              <w:rPr>
                <w:rFonts w:ascii="Arial" w:cs="Arial" w:eastAsia="Arial" w:hAnsi="Arial"/>
                <w:sz w:val="20"/>
                <w:szCs w:val="20"/>
                <w:color w:val="auto"/>
              </w:rPr>
              <w:t>1,121</w:t>
            </w:r>
          </w:p>
        </w:tc>
        <w:tc>
          <w:tcPr>
            <w:tcW w:w="4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25.64</w:t>
            </w:r>
          </w:p>
        </w:tc>
      </w:tr>
      <w:tr>
        <w:trPr>
          <w:trHeight w:val="30"/>
        </w:trPr>
        <w:tc>
          <w:tcPr>
            <w:tcW w:w="58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0"/>
        </w:trPr>
        <w:tc>
          <w:tcPr>
            <w:tcW w:w="58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320" w:firstLine="300"/>
        <w:spacing w:after="0" w:line="247" w:lineRule="auto"/>
        <w:rPr>
          <w:sz w:val="20"/>
          <w:szCs w:val="20"/>
          <w:color w:val="auto"/>
        </w:rPr>
      </w:pPr>
      <w:r>
        <w:rPr>
          <w:rFonts w:ascii="Arial" w:cs="Arial" w:eastAsia="Arial" w:hAnsi="Arial"/>
          <w:sz w:val="20"/>
          <w:szCs w:val="20"/>
          <w:color w:val="auto"/>
        </w:rPr>
        <w:t>Compensation expense was measured on the date of grant using the quoted market price of our common stock and is primarily recognized on a straight-line basis over the requisite service periods adjusted for actual forfeitures, if any.</w:t>
      </w:r>
    </w:p>
    <w:p>
      <w:pPr>
        <w:spacing w:after="0" w:line="210" w:lineRule="exact"/>
        <w:rPr>
          <w:sz w:val="20"/>
          <w:szCs w:val="20"/>
          <w:color w:val="auto"/>
        </w:rPr>
      </w:pPr>
    </w:p>
    <w:p>
      <w:pPr>
        <w:ind w:right="300" w:firstLine="300"/>
        <w:spacing w:after="0" w:line="248" w:lineRule="auto"/>
        <w:rPr>
          <w:sz w:val="20"/>
          <w:szCs w:val="20"/>
          <w:color w:val="auto"/>
        </w:rPr>
      </w:pPr>
      <w:r>
        <w:rPr>
          <w:rFonts w:ascii="Arial" w:cs="Arial" w:eastAsia="Arial" w:hAnsi="Arial"/>
          <w:sz w:val="20"/>
          <w:szCs w:val="20"/>
          <w:color w:val="auto"/>
        </w:rPr>
        <w:t>As of December 31, 2022, the unrecognized compensation expense for our unvested RSUs was approximately $10 million and is expected to be recognized over a weighted-average remaining service period of approximately one year.</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Performance Stock Units</w:t>
      </w:r>
    </w:p>
    <w:p>
      <w:pPr>
        <w:spacing w:after="0" w:line="214" w:lineRule="exact"/>
        <w:rPr>
          <w:sz w:val="20"/>
          <w:szCs w:val="20"/>
          <w:color w:val="auto"/>
        </w:rPr>
      </w:pPr>
    </w:p>
    <w:p>
      <w:pPr>
        <w:ind w:right="20" w:firstLine="300"/>
        <w:spacing w:after="0" w:line="250" w:lineRule="auto"/>
        <w:rPr>
          <w:sz w:val="20"/>
          <w:szCs w:val="20"/>
          <w:color w:val="auto"/>
        </w:rPr>
      </w:pPr>
      <w:r>
        <w:rPr>
          <w:rFonts w:ascii="Arial" w:cs="Arial" w:eastAsia="Arial" w:hAnsi="Arial"/>
          <w:sz w:val="20"/>
          <w:szCs w:val="20"/>
          <w:color w:val="auto"/>
        </w:rPr>
        <w:t>Executives were granted PSUs which are earned upon the attainment of specified 60-trading day volume weighted average prices for shares of our common stock generally during a three-year service period commencing on the grant date. Once units are earned, the earned units are not reduced for subsequent decreases in stock price. For the duration of the three-year period, a minimum of 0% and a maximum of 100% of the PSUs granted could be earned. The grant date fair value and associated equity compensation expense was measured using a Monte Carlo simulation model which runs a probabilistic assessment of the number of units that will be earned based on a projection of our stock price during the three-year service period. Although certain events may accelerate vesting, earned PSUs generally vest on the third anniversary of the grant date, and are settled in shares of our common stock at the three-year anniversary of the grant date. PSU grants made to certain executives in 2021 have been fully earned.</w:t>
      </w:r>
    </w:p>
    <w:p>
      <w:pPr>
        <w:spacing w:after="0" w:line="20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The following table sets forth PSU activity for the year ended December 31, 2022:</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ind w:right="220"/>
              <w:spacing w:after="0"/>
              <w:rPr>
                <w:sz w:val="20"/>
                <w:szCs w:val="20"/>
                <w:color w:val="auto"/>
              </w:rPr>
            </w:pPr>
            <w:r>
              <w:rPr>
                <w:rFonts w:ascii="Arial" w:cs="Arial" w:eastAsia="Arial" w:hAnsi="Arial"/>
                <w:sz w:val="20"/>
                <w:szCs w:val="20"/>
                <w:b w:val="1"/>
                <w:bCs w:val="1"/>
                <w:color w:val="auto"/>
              </w:rPr>
              <w:t>Weighted-</w:t>
            </w:r>
          </w:p>
        </w:tc>
      </w:tr>
      <w:tr>
        <w:trPr>
          <w:trHeight w:val="200"/>
        </w:trPr>
        <w:tc>
          <w:tcPr>
            <w:tcW w:w="54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line="200" w:lineRule="exact"/>
              <w:rPr>
                <w:sz w:val="20"/>
                <w:szCs w:val="20"/>
                <w:color w:val="auto"/>
              </w:rPr>
            </w:pPr>
            <w:r>
              <w:rPr>
                <w:rFonts w:ascii="Arial" w:cs="Arial" w:eastAsia="Arial" w:hAnsi="Arial"/>
                <w:sz w:val="20"/>
                <w:szCs w:val="20"/>
                <w:b w:val="1"/>
                <w:bCs w:val="1"/>
                <w:color w:val="auto"/>
                <w:w w:val="99"/>
              </w:rPr>
              <w:t>Average Grant-</w:t>
            </w:r>
          </w:p>
        </w:tc>
      </w:tr>
      <w:tr>
        <w:trPr>
          <w:trHeight w:val="248"/>
        </w:trPr>
        <w:tc>
          <w:tcPr>
            <w:tcW w:w="5480" w:type="dxa"/>
            <w:vAlign w:val="bottom"/>
          </w:tcPr>
          <w:p>
            <w:pPr>
              <w:spacing w:after="0"/>
              <w:rPr>
                <w:sz w:val="21"/>
                <w:szCs w:val="21"/>
                <w:color w:val="auto"/>
              </w:rPr>
            </w:pPr>
          </w:p>
        </w:tc>
        <w:tc>
          <w:tcPr>
            <w:tcW w:w="1780" w:type="dxa"/>
            <w:vAlign w:val="bottom"/>
            <w:tcBorders>
              <w:bottom w:val="single" w:sz="8" w:color="auto"/>
            </w:tcBorders>
          </w:tcPr>
          <w:p>
            <w:pPr>
              <w:jc w:val="right"/>
              <w:ind w:right="20"/>
              <w:spacing w:after="0"/>
              <w:rPr>
                <w:sz w:val="20"/>
                <w:szCs w:val="20"/>
                <w:color w:val="auto"/>
              </w:rPr>
            </w:pPr>
            <w:r>
              <w:rPr>
                <w:rFonts w:ascii="Arial" w:cs="Arial" w:eastAsia="Arial" w:hAnsi="Arial"/>
                <w:sz w:val="20"/>
                <w:szCs w:val="20"/>
                <w:b w:val="1"/>
                <w:bCs w:val="1"/>
                <w:color w:val="auto"/>
              </w:rPr>
              <w:t>Number of Units</w:t>
            </w:r>
          </w:p>
        </w:tc>
        <w:tc>
          <w:tcPr>
            <w:tcW w:w="200" w:type="dxa"/>
            <w:vAlign w:val="bottom"/>
          </w:tcPr>
          <w:p>
            <w:pPr>
              <w:spacing w:after="0"/>
              <w:rPr>
                <w:sz w:val="21"/>
                <w:szCs w:val="21"/>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Date Fair Value</w:t>
            </w:r>
          </w:p>
        </w:tc>
      </w:tr>
      <w:tr>
        <w:trPr>
          <w:trHeight w:val="282"/>
        </w:trPr>
        <w:tc>
          <w:tcPr>
            <w:tcW w:w="5480" w:type="dxa"/>
            <w:vAlign w:val="bottom"/>
          </w:tcPr>
          <w:p>
            <w:pPr>
              <w:spacing w:after="0"/>
              <w:rPr>
                <w:sz w:val="24"/>
                <w:szCs w:val="24"/>
                <w:color w:val="auto"/>
              </w:rPr>
            </w:pPr>
          </w:p>
        </w:tc>
        <w:tc>
          <w:tcPr>
            <w:tcW w:w="1780" w:type="dxa"/>
            <w:vAlign w:val="bottom"/>
          </w:tcPr>
          <w:p>
            <w:pPr>
              <w:jc w:val="right"/>
              <w:ind w:right="160"/>
              <w:spacing w:after="0"/>
              <w:rPr>
                <w:sz w:val="20"/>
                <w:szCs w:val="20"/>
                <w:color w:val="auto"/>
              </w:rPr>
            </w:pPr>
            <w:r>
              <w:rPr>
                <w:rFonts w:ascii="Arial" w:cs="Arial" w:eastAsia="Arial" w:hAnsi="Arial"/>
                <w:sz w:val="20"/>
                <w:szCs w:val="20"/>
                <w:color w:val="auto"/>
              </w:rPr>
              <w:t>(in thousands)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40"/>
        </w:trPr>
        <w:tc>
          <w:tcPr>
            <w:tcW w:w="5480" w:type="dxa"/>
            <w:vAlign w:val="bottom"/>
          </w:tcPr>
          <w:p>
            <w:pPr>
              <w:jc w:val="right"/>
              <w:ind w:right="100"/>
              <w:spacing w:after="0"/>
              <w:rPr>
                <w:sz w:val="20"/>
                <w:szCs w:val="20"/>
                <w:color w:val="auto"/>
              </w:rPr>
            </w:pPr>
            <w:r>
              <w:rPr>
                <w:rFonts w:ascii="Arial" w:cs="Arial" w:eastAsia="Arial" w:hAnsi="Arial"/>
                <w:sz w:val="20"/>
                <w:szCs w:val="20"/>
                <w:color w:val="auto"/>
                <w:w w:val="97"/>
              </w:rPr>
              <w:t>Unvested at December 31, 2021  . . . . . . . . . . . . . . . . . . . . . .</w:t>
            </w:r>
          </w:p>
        </w:tc>
        <w:tc>
          <w:tcPr>
            <w:tcW w:w="1780" w:type="dxa"/>
            <w:vAlign w:val="bottom"/>
          </w:tcPr>
          <w:p>
            <w:pPr>
              <w:jc w:val="right"/>
              <w:spacing w:after="0"/>
              <w:rPr>
                <w:sz w:val="20"/>
                <w:szCs w:val="20"/>
                <w:color w:val="auto"/>
              </w:rPr>
            </w:pPr>
            <w:r>
              <w:rPr>
                <w:rFonts w:ascii="Arial" w:cs="Arial" w:eastAsia="Arial" w:hAnsi="Arial"/>
                <w:sz w:val="20"/>
                <w:szCs w:val="20"/>
                <w:color w:val="auto"/>
              </w:rPr>
              <w:t>944</w:t>
            </w: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20.14</w:t>
            </w:r>
          </w:p>
        </w:tc>
      </w:tr>
      <w:tr>
        <w:trPr>
          <w:trHeight w:val="240"/>
        </w:trPr>
        <w:tc>
          <w:tcPr>
            <w:tcW w:w="5480" w:type="dxa"/>
            <w:vAlign w:val="bottom"/>
          </w:tcPr>
          <w:p>
            <w:pPr>
              <w:jc w:val="right"/>
              <w:ind w:right="100"/>
              <w:spacing w:after="0"/>
              <w:rPr>
                <w:sz w:val="20"/>
                <w:szCs w:val="20"/>
                <w:color w:val="auto"/>
              </w:rPr>
            </w:pPr>
            <w:r>
              <w:rPr>
                <w:rFonts w:ascii="Arial" w:cs="Arial" w:eastAsia="Arial" w:hAnsi="Arial"/>
                <w:sz w:val="20"/>
                <w:szCs w:val="20"/>
                <w:color w:val="auto"/>
                <w:w w:val="97"/>
              </w:rPr>
              <w:t>Granted . . . . . . . . . . . . . . . . . . . . . . . . . . . . . . . . . . . . . . . . . .</w:t>
            </w:r>
          </w:p>
        </w:tc>
        <w:tc>
          <w:tcPr>
            <w:tcW w:w="1780" w:type="dxa"/>
            <w:vAlign w:val="bottom"/>
          </w:tcPr>
          <w:p>
            <w:pPr>
              <w:jc w:val="right"/>
              <w:spacing w:after="0"/>
              <w:rPr>
                <w:sz w:val="20"/>
                <w:szCs w:val="20"/>
                <w:color w:val="auto"/>
              </w:rPr>
            </w:pPr>
            <w:r>
              <w:rPr>
                <w:rFonts w:ascii="Arial" w:cs="Arial" w:eastAsia="Arial" w:hAnsi="Arial"/>
                <w:sz w:val="20"/>
                <w:szCs w:val="20"/>
                <w:color w:val="auto"/>
              </w:rPr>
              <w:t>4</w:t>
            </w: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31.76</w:t>
            </w:r>
          </w:p>
        </w:tc>
      </w:tr>
      <w:tr>
        <w:trPr>
          <w:trHeight w:val="240"/>
        </w:trPr>
        <w:tc>
          <w:tcPr>
            <w:tcW w:w="5480" w:type="dxa"/>
            <w:vAlign w:val="bottom"/>
          </w:tcPr>
          <w:p>
            <w:pPr>
              <w:jc w:val="right"/>
              <w:ind w:right="100"/>
              <w:spacing w:after="0"/>
              <w:rPr>
                <w:sz w:val="20"/>
                <w:szCs w:val="20"/>
                <w:color w:val="auto"/>
              </w:rPr>
            </w:pPr>
            <w:r>
              <w:rPr>
                <w:rFonts w:ascii="Arial" w:cs="Arial" w:eastAsia="Arial" w:hAnsi="Arial"/>
                <w:sz w:val="20"/>
                <w:szCs w:val="20"/>
                <w:color w:val="auto"/>
                <w:w w:val="99"/>
              </w:rPr>
              <w:t>Cancelled or Forfeited . . . . . . . . . . . . . . . . . . . . . . . . . . . . . .</w:t>
            </w:r>
          </w:p>
        </w:tc>
        <w:tc>
          <w:tcPr>
            <w:tcW w:w="1780" w:type="dxa"/>
            <w:vAlign w:val="bottom"/>
          </w:tcPr>
          <w:p>
            <w:pPr>
              <w:jc w:val="right"/>
              <w:spacing w:after="0"/>
              <w:rPr>
                <w:sz w:val="20"/>
                <w:szCs w:val="20"/>
                <w:color w:val="auto"/>
              </w:rPr>
            </w:pPr>
            <w:r>
              <w:rPr>
                <w:rFonts w:ascii="Arial" w:cs="Arial" w:eastAsia="Arial" w:hAnsi="Arial"/>
                <w:sz w:val="20"/>
                <w:szCs w:val="20"/>
                <w:color w:val="auto"/>
              </w:rPr>
              <w:t>(1)</w:t>
            </w: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19.31</w:t>
            </w:r>
          </w:p>
        </w:tc>
      </w:tr>
      <w:tr>
        <w:trPr>
          <w:trHeight w:val="28"/>
        </w:trPr>
        <w:tc>
          <w:tcPr>
            <w:tcW w:w="548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2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r>
      <w:tr>
        <w:trPr>
          <w:trHeight w:val="272"/>
        </w:trPr>
        <w:tc>
          <w:tcPr>
            <w:tcW w:w="5480" w:type="dxa"/>
            <w:vAlign w:val="bottom"/>
          </w:tcPr>
          <w:p>
            <w:pPr>
              <w:jc w:val="right"/>
              <w:ind w:right="100"/>
              <w:spacing w:after="0"/>
              <w:rPr>
                <w:sz w:val="20"/>
                <w:szCs w:val="20"/>
                <w:color w:val="auto"/>
              </w:rPr>
            </w:pPr>
            <w:r>
              <w:rPr>
                <w:rFonts w:ascii="Arial" w:cs="Arial" w:eastAsia="Arial" w:hAnsi="Arial"/>
                <w:sz w:val="20"/>
                <w:szCs w:val="20"/>
                <w:color w:val="auto"/>
                <w:w w:val="97"/>
              </w:rPr>
              <w:t>Unvested at December 31, 2022  . . . . . . . . . . . . . . . . . . . . . .</w:t>
            </w:r>
          </w:p>
        </w:tc>
        <w:tc>
          <w:tcPr>
            <w:tcW w:w="1780" w:type="dxa"/>
            <w:vAlign w:val="bottom"/>
          </w:tcPr>
          <w:p>
            <w:pPr>
              <w:jc w:val="right"/>
              <w:spacing w:after="0"/>
              <w:rPr>
                <w:sz w:val="20"/>
                <w:szCs w:val="20"/>
                <w:color w:val="auto"/>
              </w:rPr>
            </w:pPr>
            <w:r>
              <w:rPr>
                <w:rFonts w:ascii="Arial" w:cs="Arial" w:eastAsia="Arial" w:hAnsi="Arial"/>
                <w:sz w:val="20"/>
                <w:szCs w:val="20"/>
                <w:color w:val="auto"/>
              </w:rPr>
              <w:t>947</w:t>
            </w: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20.19</w:t>
            </w:r>
          </w:p>
        </w:tc>
      </w:tr>
      <w:tr>
        <w:trPr>
          <w:trHeight w:val="28"/>
        </w:trPr>
        <w:tc>
          <w:tcPr>
            <w:tcW w:w="548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0"/>
        </w:trPr>
        <w:tc>
          <w:tcPr>
            <w:tcW w:w="54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310" w:right="138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130</w:t>
      </w:r>
    </w:p>
    <w:p>
      <w:pPr>
        <w:sectPr>
          <w:pgSz w:w="11880" w:h="15480" w:orient="portrait"/>
          <w:cols w:equalWidth="0" w:num="1">
            <w:col w:w="9120"/>
          </w:cols>
          <w:pgMar w:left="1380" w:top="1310" w:right="1380" w:bottom="661" w:gutter="0" w:footer="0" w:header="0"/>
          <w:type w:val="continuous"/>
        </w:sectPr>
      </w:pPr>
    </w:p>
    <w:bookmarkStart w:id="134" w:name="page135"/>
    <w:bookmarkEnd w:id="134"/>
    <w:p>
      <w:pPr>
        <w:ind w:right="340" w:firstLine="300"/>
        <w:spacing w:after="0" w:line="243" w:lineRule="auto"/>
        <w:rPr>
          <w:sz w:val="20"/>
          <w:szCs w:val="20"/>
          <w:color w:val="auto"/>
        </w:rPr>
      </w:pPr>
      <w:r>
        <w:rPr>
          <w:rFonts w:ascii="Arial" w:cs="Arial" w:eastAsia="Arial" w:hAnsi="Arial"/>
          <w:sz w:val="20"/>
          <w:szCs w:val="20"/>
          <w:color w:val="auto"/>
        </w:rPr>
        <w:t>The range of assumptions used in the valuation of PSUs granted during 2022 and 2021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19"/>
                <w:szCs w:val="19"/>
                <w:color w:val="auto"/>
              </w:rPr>
            </w:pPr>
          </w:p>
        </w:tc>
        <w:tc>
          <w:tcPr>
            <w:tcW w:w="3040" w:type="dxa"/>
            <w:vAlign w:val="bottom"/>
            <w:gridSpan w:val="3"/>
          </w:tcPr>
          <w:p>
            <w:pPr>
              <w:jc w:val="right"/>
              <w:ind w:right="920"/>
              <w:spacing w:after="0"/>
              <w:rPr>
                <w:sz w:val="20"/>
                <w:szCs w:val="20"/>
                <w:color w:val="auto"/>
              </w:rPr>
            </w:pPr>
            <w:r>
              <w:rPr>
                <w:rFonts w:ascii="Arial" w:cs="Arial" w:eastAsia="Arial" w:hAnsi="Arial"/>
                <w:sz w:val="20"/>
                <w:szCs w:val="20"/>
                <w:b w:val="1"/>
                <w:bCs w:val="1"/>
                <w:color w:val="auto"/>
              </w:rPr>
              <w:t>Successor</w:t>
            </w:r>
          </w:p>
        </w:tc>
      </w:tr>
      <w:tr>
        <w:trPr>
          <w:trHeight w:val="30"/>
        </w:trPr>
        <w:tc>
          <w:tcPr>
            <w:tcW w:w="60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6080" w:type="dxa"/>
            <w:vAlign w:val="bottom"/>
          </w:tcPr>
          <w:p>
            <w:pPr>
              <w:spacing w:after="0"/>
              <w:rPr>
                <w:sz w:val="20"/>
                <w:szCs w:val="20"/>
                <w:color w:val="auto"/>
              </w:rPr>
            </w:pPr>
          </w:p>
        </w:tc>
        <w:tc>
          <w:tcPr>
            <w:tcW w:w="1300" w:type="dxa"/>
            <w:vAlign w:val="bottom"/>
          </w:tcPr>
          <w:p>
            <w:pPr>
              <w:jc w:val="right"/>
              <w:ind w:right="320"/>
              <w:spacing w:after="0"/>
              <w:rPr>
                <w:sz w:val="20"/>
                <w:szCs w:val="20"/>
                <w:color w:val="auto"/>
              </w:rPr>
            </w:pPr>
            <w:r>
              <w:rPr>
                <w:rFonts w:ascii="Arial" w:cs="Arial" w:eastAsia="Arial" w:hAnsi="Arial"/>
                <w:sz w:val="20"/>
                <w:szCs w:val="20"/>
                <w:b w:val="1"/>
                <w:bCs w:val="1"/>
                <w:color w:val="auto"/>
              </w:rPr>
              <w:t>2022</w:t>
            </w:r>
          </w:p>
        </w:tc>
        <w:tc>
          <w:tcPr>
            <w:tcW w:w="200" w:type="dxa"/>
            <w:vAlign w:val="bottom"/>
          </w:tcPr>
          <w:p>
            <w:pPr>
              <w:spacing w:after="0"/>
              <w:rPr>
                <w:sz w:val="20"/>
                <w:szCs w:val="20"/>
                <w:color w:val="auto"/>
              </w:rPr>
            </w:pPr>
          </w:p>
        </w:tc>
        <w:tc>
          <w:tcPr>
            <w:tcW w:w="1540" w:type="dxa"/>
            <w:vAlign w:val="bottom"/>
          </w:tcPr>
          <w:p>
            <w:pPr>
              <w:jc w:val="right"/>
              <w:ind w:right="440"/>
              <w:spacing w:after="0"/>
              <w:rPr>
                <w:sz w:val="20"/>
                <w:szCs w:val="20"/>
                <w:color w:val="auto"/>
              </w:rPr>
            </w:pPr>
            <w:r>
              <w:rPr>
                <w:rFonts w:ascii="Arial" w:cs="Arial" w:eastAsia="Arial" w:hAnsi="Arial"/>
                <w:sz w:val="20"/>
                <w:szCs w:val="20"/>
                <w:b w:val="1"/>
                <w:bCs w:val="1"/>
                <w:color w:val="auto"/>
              </w:rPr>
              <w:t>2021</w:t>
            </w:r>
          </w:p>
        </w:tc>
      </w:tr>
      <w:tr>
        <w:trPr>
          <w:trHeight w:val="30"/>
        </w:trPr>
        <w:tc>
          <w:tcPr>
            <w:tcW w:w="60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86"/>
        </w:trPr>
        <w:tc>
          <w:tcPr>
            <w:tcW w:w="6080" w:type="dxa"/>
            <w:vAlign w:val="bottom"/>
          </w:tcPr>
          <w:p>
            <w:pPr>
              <w:spacing w:after="0" w:line="286" w:lineRule="exact"/>
              <w:rPr>
                <w:sz w:val="20"/>
                <w:szCs w:val="20"/>
                <w:color w:val="auto"/>
              </w:rPr>
            </w:pPr>
            <w:r>
              <w:rPr>
                <w:rFonts w:ascii="Arial" w:cs="Arial" w:eastAsia="Arial" w:hAnsi="Arial"/>
                <w:sz w:val="20"/>
                <w:szCs w:val="20"/>
                <w:color w:val="auto"/>
                <w:w w:val="98"/>
              </w:rPr>
              <w:t>Expected volatility</w:t>
            </w:r>
            <w:r>
              <w:rPr>
                <w:rFonts w:ascii="Arial" w:cs="Arial" w:eastAsia="Arial" w:hAnsi="Arial"/>
                <w:sz w:val="26"/>
                <w:szCs w:val="26"/>
                <w:color w:val="auto"/>
                <w:w w:val="98"/>
                <w:vertAlign w:val="superscript"/>
              </w:rPr>
              <w:t>(a)</w:t>
            </w:r>
            <w:r>
              <w:rPr>
                <w:rFonts w:ascii="Arial" w:cs="Arial" w:eastAsia="Arial" w:hAnsi="Arial"/>
                <w:sz w:val="20"/>
                <w:szCs w:val="20"/>
                <w:color w:val="auto"/>
                <w:w w:val="98"/>
              </w:rPr>
              <w:t xml:space="preserve">   . . . . . . . . . . . . . . . . . . . . . . . . . . . . . . . . . . . . . .</w:t>
            </w:r>
          </w:p>
        </w:tc>
        <w:tc>
          <w:tcPr>
            <w:tcW w:w="1500" w:type="dxa"/>
            <w:vAlign w:val="bottom"/>
            <w:gridSpan w:val="2"/>
          </w:tcPr>
          <w:p>
            <w:pPr>
              <w:jc w:val="right"/>
              <w:ind w:right="200"/>
              <w:spacing w:after="0"/>
              <w:rPr>
                <w:sz w:val="20"/>
                <w:szCs w:val="20"/>
                <w:color w:val="auto"/>
              </w:rPr>
            </w:pPr>
            <w:r>
              <w:rPr>
                <w:rFonts w:ascii="Arial" w:cs="Arial" w:eastAsia="Arial" w:hAnsi="Arial"/>
                <w:sz w:val="20"/>
                <w:szCs w:val="20"/>
                <w:color w:val="auto"/>
              </w:rPr>
              <w:t>60.00%</w:t>
            </w:r>
          </w:p>
        </w:tc>
        <w:tc>
          <w:tcPr>
            <w:tcW w:w="1540" w:type="dxa"/>
            <w:vAlign w:val="bottom"/>
          </w:tcPr>
          <w:p>
            <w:pPr>
              <w:jc w:val="right"/>
              <w:spacing w:after="0"/>
              <w:rPr>
                <w:sz w:val="20"/>
                <w:szCs w:val="20"/>
                <w:color w:val="auto"/>
              </w:rPr>
            </w:pPr>
            <w:r>
              <w:rPr>
                <w:rFonts w:ascii="Arial" w:cs="Arial" w:eastAsia="Arial" w:hAnsi="Arial"/>
                <w:sz w:val="20"/>
                <w:szCs w:val="20"/>
                <w:color w:val="auto"/>
                <w:w w:val="99"/>
              </w:rPr>
              <w:t>60.00% - 65.00%</w:t>
            </w:r>
          </w:p>
        </w:tc>
      </w:tr>
      <w:tr>
        <w:trPr>
          <w:trHeight w:val="240"/>
        </w:trPr>
        <w:tc>
          <w:tcPr>
            <w:tcW w:w="6080" w:type="dxa"/>
            <w:vAlign w:val="bottom"/>
          </w:tcPr>
          <w:p>
            <w:pPr>
              <w:spacing w:after="0" w:line="240" w:lineRule="exact"/>
              <w:rPr>
                <w:sz w:val="20"/>
                <w:szCs w:val="20"/>
                <w:color w:val="auto"/>
              </w:rPr>
            </w:pPr>
            <w:r>
              <w:rPr>
                <w:rFonts w:ascii="Arial" w:cs="Arial" w:eastAsia="Arial" w:hAnsi="Arial"/>
                <w:sz w:val="20"/>
                <w:szCs w:val="20"/>
                <w:color w:val="auto"/>
                <w:w w:val="98"/>
              </w:rPr>
              <w:t>Risk-free interest rate</w:t>
            </w:r>
            <w:r>
              <w:rPr>
                <w:rFonts w:ascii="Arial" w:cs="Arial" w:eastAsia="Arial" w:hAnsi="Arial"/>
                <w:sz w:val="26"/>
                <w:szCs w:val="26"/>
                <w:color w:val="auto"/>
                <w:w w:val="98"/>
                <w:vertAlign w:val="superscript"/>
              </w:rPr>
              <w:t>(b)</w:t>
            </w:r>
            <w:r>
              <w:rPr>
                <w:rFonts w:ascii="Arial" w:cs="Arial" w:eastAsia="Arial" w:hAnsi="Arial"/>
                <w:sz w:val="20"/>
                <w:szCs w:val="20"/>
                <w:color w:val="auto"/>
                <w:w w:val="98"/>
              </w:rPr>
              <w:t xml:space="preserve">   . . . . . . . . . . . . . . . . . . . . . . . . . . . . . . . . . . .</w:t>
            </w:r>
          </w:p>
        </w:tc>
        <w:tc>
          <w:tcPr>
            <w:tcW w:w="1300" w:type="dxa"/>
            <w:vAlign w:val="bottom"/>
          </w:tcPr>
          <w:p>
            <w:pPr>
              <w:jc w:val="right"/>
              <w:spacing w:after="0" w:line="224" w:lineRule="exact"/>
              <w:rPr>
                <w:sz w:val="20"/>
                <w:szCs w:val="20"/>
                <w:color w:val="auto"/>
              </w:rPr>
            </w:pPr>
            <w:r>
              <w:rPr>
                <w:rFonts w:ascii="Arial" w:cs="Arial" w:eastAsia="Arial" w:hAnsi="Arial"/>
                <w:sz w:val="20"/>
                <w:szCs w:val="20"/>
                <w:color w:val="auto"/>
                <w:w w:val="97"/>
              </w:rPr>
              <w:t>1.59% - 2.55%</w:t>
            </w:r>
          </w:p>
        </w:tc>
        <w:tc>
          <w:tcPr>
            <w:tcW w:w="200" w:type="dxa"/>
            <w:vAlign w:val="bottom"/>
          </w:tcPr>
          <w:p>
            <w:pPr>
              <w:spacing w:after="0"/>
              <w:rPr>
                <w:sz w:val="20"/>
                <w:szCs w:val="20"/>
                <w:color w:val="auto"/>
              </w:rPr>
            </w:pPr>
          </w:p>
        </w:tc>
        <w:tc>
          <w:tcPr>
            <w:tcW w:w="1540" w:type="dxa"/>
            <w:vAlign w:val="bottom"/>
          </w:tcPr>
          <w:p>
            <w:pPr>
              <w:jc w:val="right"/>
              <w:spacing w:after="0" w:line="224" w:lineRule="exact"/>
              <w:rPr>
                <w:sz w:val="20"/>
                <w:szCs w:val="20"/>
                <w:color w:val="auto"/>
              </w:rPr>
            </w:pPr>
            <w:r>
              <w:rPr>
                <w:rFonts w:ascii="Arial" w:cs="Arial" w:eastAsia="Arial" w:hAnsi="Arial"/>
                <w:sz w:val="20"/>
                <w:szCs w:val="20"/>
                <w:color w:val="auto"/>
              </w:rPr>
              <w:t>0.16% - 0.60%</w:t>
            </w:r>
          </w:p>
        </w:tc>
      </w:tr>
      <w:tr>
        <w:trPr>
          <w:trHeight w:val="240"/>
        </w:trPr>
        <w:tc>
          <w:tcPr>
            <w:tcW w:w="6080" w:type="dxa"/>
            <w:vAlign w:val="bottom"/>
          </w:tcPr>
          <w:p>
            <w:pPr>
              <w:spacing w:after="0" w:line="240" w:lineRule="exact"/>
              <w:rPr>
                <w:sz w:val="20"/>
                <w:szCs w:val="20"/>
                <w:color w:val="auto"/>
              </w:rPr>
            </w:pPr>
            <w:r>
              <w:rPr>
                <w:rFonts w:ascii="Arial" w:cs="Arial" w:eastAsia="Arial" w:hAnsi="Arial"/>
                <w:sz w:val="20"/>
                <w:szCs w:val="20"/>
                <w:color w:val="auto"/>
                <w:w w:val="98"/>
              </w:rPr>
              <w:t>Dividend yield</w:t>
            </w:r>
            <w:r>
              <w:rPr>
                <w:rFonts w:ascii="Arial" w:cs="Arial" w:eastAsia="Arial" w:hAnsi="Arial"/>
                <w:sz w:val="26"/>
                <w:szCs w:val="26"/>
                <w:color w:val="auto"/>
                <w:w w:val="98"/>
                <w:vertAlign w:val="superscript"/>
              </w:rPr>
              <w:t>(c)</w:t>
            </w:r>
            <w:r>
              <w:rPr>
                <w:rFonts w:ascii="Arial" w:cs="Arial" w:eastAsia="Arial" w:hAnsi="Arial"/>
                <w:sz w:val="20"/>
                <w:szCs w:val="20"/>
                <w:color w:val="auto"/>
                <w:w w:val="98"/>
              </w:rPr>
              <w:t xml:space="preserve">  . . . . . . . . . . . . . . . . . . . . . . . . . . . . . . . . . . . . . . . . . .</w:t>
            </w:r>
          </w:p>
        </w:tc>
        <w:tc>
          <w:tcPr>
            <w:tcW w:w="1500" w:type="dxa"/>
            <w:vAlign w:val="bottom"/>
            <w:gridSpan w:val="2"/>
          </w:tcPr>
          <w:p>
            <w:pPr>
              <w:jc w:val="right"/>
              <w:ind w:right="200"/>
              <w:spacing w:after="0" w:line="224" w:lineRule="exact"/>
              <w:rPr>
                <w:sz w:val="20"/>
                <w:szCs w:val="20"/>
                <w:color w:val="auto"/>
              </w:rPr>
            </w:pPr>
            <w:r>
              <w:rPr>
                <w:rFonts w:ascii="Arial" w:cs="Arial" w:eastAsia="Arial" w:hAnsi="Arial"/>
                <w:sz w:val="20"/>
                <w:szCs w:val="20"/>
                <w:color w:val="auto"/>
              </w:rPr>
              <w:t>— %</w:t>
            </w:r>
          </w:p>
        </w:tc>
        <w:tc>
          <w:tcPr>
            <w:tcW w:w="1540" w:type="dxa"/>
            <w:vAlign w:val="bottom"/>
          </w:tcPr>
          <w:p>
            <w:pPr>
              <w:jc w:val="right"/>
              <w:spacing w:after="0" w:line="224" w:lineRule="exact"/>
              <w:rPr>
                <w:sz w:val="20"/>
                <w:szCs w:val="20"/>
                <w:color w:val="auto"/>
              </w:rPr>
            </w:pPr>
            <w:r>
              <w:rPr>
                <w:rFonts w:ascii="Arial" w:cs="Arial" w:eastAsia="Arial" w:hAnsi="Arial"/>
                <w:sz w:val="20"/>
                <w:szCs w:val="20"/>
                <w:color w:val="auto"/>
              </w:rPr>
              <w:t>— %</w:t>
            </w:r>
          </w:p>
        </w:tc>
      </w:tr>
      <w:tr>
        <w:trPr>
          <w:trHeight w:val="224"/>
        </w:trPr>
        <w:tc>
          <w:tcPr>
            <w:tcW w:w="6080" w:type="dxa"/>
            <w:vAlign w:val="bottom"/>
          </w:tcPr>
          <w:p>
            <w:pPr>
              <w:spacing w:after="0" w:line="224" w:lineRule="exact"/>
              <w:rPr>
                <w:sz w:val="20"/>
                <w:szCs w:val="20"/>
                <w:color w:val="auto"/>
              </w:rPr>
            </w:pPr>
            <w:r>
              <w:rPr>
                <w:rFonts w:ascii="Arial" w:cs="Arial" w:eastAsia="Arial" w:hAnsi="Arial"/>
                <w:sz w:val="20"/>
                <w:szCs w:val="20"/>
                <w:color w:val="auto"/>
              </w:rPr>
              <w:t>Forecast period (in years)  . . . . . . . . . . . . . . . . . . . . . . . . . . . . . . . . .</w:t>
            </w:r>
          </w:p>
        </w:tc>
        <w:tc>
          <w:tcPr>
            <w:tcW w:w="1500" w:type="dxa"/>
            <w:vAlign w:val="bottom"/>
            <w:gridSpan w:val="2"/>
          </w:tcPr>
          <w:p>
            <w:pPr>
              <w:jc w:val="right"/>
              <w:ind w:right="200"/>
              <w:spacing w:after="0" w:line="224" w:lineRule="exact"/>
              <w:rPr>
                <w:sz w:val="20"/>
                <w:szCs w:val="20"/>
                <w:color w:val="auto"/>
              </w:rPr>
            </w:pPr>
            <w:r>
              <w:rPr>
                <w:rFonts w:ascii="Arial" w:cs="Arial" w:eastAsia="Arial" w:hAnsi="Arial"/>
                <w:sz w:val="20"/>
                <w:szCs w:val="20"/>
                <w:color w:val="auto"/>
              </w:rPr>
              <w:t>2 - 3</w:t>
            </w:r>
          </w:p>
        </w:tc>
        <w:tc>
          <w:tcPr>
            <w:tcW w:w="1540" w:type="dxa"/>
            <w:vAlign w:val="bottom"/>
          </w:tcPr>
          <w:p>
            <w:pPr>
              <w:jc w:val="right"/>
              <w:spacing w:after="0" w:line="224" w:lineRule="exact"/>
              <w:rPr>
                <w:sz w:val="20"/>
                <w:szCs w:val="20"/>
                <w:color w:val="auto"/>
              </w:rPr>
            </w:pPr>
            <w:r>
              <w:rPr>
                <w:rFonts w:ascii="Arial" w:cs="Arial" w:eastAsia="Arial" w:hAnsi="Arial"/>
                <w:sz w:val="20"/>
                <w:szCs w:val="20"/>
                <w:color w:val="auto"/>
              </w:rPr>
              <w:t>2 - 3</w:t>
            </w:r>
          </w:p>
        </w:tc>
      </w:tr>
    </w:tbl>
    <w:p>
      <w:pPr>
        <w:spacing w:after="0" w:line="133" w:lineRule="exact"/>
        <w:rPr>
          <w:sz w:val="20"/>
          <w:szCs w:val="20"/>
          <w:color w:val="auto"/>
        </w:rPr>
      </w:pPr>
    </w:p>
    <w:p>
      <w:pPr>
        <w:ind w:left="320" w:right="300" w:hanging="320"/>
        <w:spacing w:after="0" w:line="257" w:lineRule="auto"/>
        <w:tabs>
          <w:tab w:leader="none" w:pos="3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Expected volatility was calculated using the historic volatility of a peer group due to our limited trading history since our emergence from bankruptcy. For awards granted after June 2021, expected volatility included the historic volatility of our stock, excluding our first two trading months.</w:t>
      </w:r>
    </w:p>
    <w:p>
      <w:pPr>
        <w:spacing w:after="0" w:line="3" w:lineRule="exact"/>
        <w:rPr>
          <w:rFonts w:ascii="Arial" w:cs="Arial" w:eastAsia="Arial" w:hAnsi="Arial"/>
          <w:sz w:val="16"/>
          <w:szCs w:val="16"/>
          <w:color w:val="auto"/>
        </w:rPr>
      </w:pPr>
    </w:p>
    <w:p>
      <w:pPr>
        <w:ind w:left="320" w:hanging="320"/>
        <w:spacing w:after="0"/>
        <w:tabs>
          <w:tab w:leader="none" w:pos="3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the U.S. Treasury yield for a two- or three-year term at the grant date.</w:t>
      </w:r>
    </w:p>
    <w:p>
      <w:pPr>
        <w:spacing w:after="0" w:line="16" w:lineRule="exact"/>
        <w:rPr>
          <w:rFonts w:ascii="Arial" w:cs="Arial" w:eastAsia="Arial" w:hAnsi="Arial"/>
          <w:sz w:val="16"/>
          <w:szCs w:val="16"/>
          <w:color w:val="auto"/>
        </w:rPr>
      </w:pPr>
    </w:p>
    <w:p>
      <w:pPr>
        <w:ind w:left="320" w:hanging="320"/>
        <w:spacing w:after="0"/>
        <w:tabs>
          <w:tab w:leader="none" w:pos="3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 dividend adjusted stock price (assumed reinvestment of dividends during the performance period) was used.</w:t>
      </w:r>
    </w:p>
    <w:p>
      <w:pPr>
        <w:spacing w:after="0" w:line="218"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Compensation expense is recognized on a straight-line basis over the requisite service periods</w:t>
      </w:r>
    </w:p>
    <w:p>
      <w:pPr>
        <w:spacing w:after="0" w:line="16" w:lineRule="exact"/>
        <w:rPr>
          <w:sz w:val="20"/>
          <w:szCs w:val="20"/>
          <w:color w:val="auto"/>
        </w:rPr>
      </w:pPr>
    </w:p>
    <w:p>
      <w:pPr>
        <w:ind w:right="140"/>
        <w:spacing w:after="0" w:line="245" w:lineRule="auto"/>
        <w:rPr>
          <w:sz w:val="20"/>
          <w:szCs w:val="20"/>
          <w:color w:val="auto"/>
        </w:rPr>
      </w:pPr>
      <w:r>
        <w:rPr>
          <w:rFonts w:ascii="Arial" w:cs="Arial" w:eastAsia="Arial" w:hAnsi="Arial"/>
          <w:sz w:val="20"/>
          <w:szCs w:val="20"/>
          <w:color w:val="auto"/>
        </w:rPr>
        <w:t>adjusted for actual forfeitures, if any. Events that accelerate the vesting of an award have no effect on the requisite service period until such an event becomes probable.</w:t>
      </w:r>
    </w:p>
    <w:p>
      <w:pPr>
        <w:spacing w:after="0" w:line="210" w:lineRule="exact"/>
        <w:rPr>
          <w:sz w:val="20"/>
          <w:szCs w:val="20"/>
          <w:color w:val="auto"/>
        </w:rPr>
      </w:pPr>
    </w:p>
    <w:p>
      <w:pPr>
        <w:ind w:right="100" w:firstLine="300"/>
        <w:spacing w:after="0" w:line="248" w:lineRule="auto"/>
        <w:rPr>
          <w:sz w:val="20"/>
          <w:szCs w:val="20"/>
          <w:color w:val="auto"/>
        </w:rPr>
      </w:pPr>
      <w:r>
        <w:rPr>
          <w:rFonts w:ascii="Arial" w:cs="Arial" w:eastAsia="Arial" w:hAnsi="Arial"/>
          <w:sz w:val="20"/>
          <w:szCs w:val="20"/>
          <w:color w:val="auto"/>
        </w:rPr>
        <w:t>As of December 31, 2022, the unrecognized compensation expense for our unvested PSUs was approximately $7 million and is expected to be recognized over a weighted-average remaining service period of approximately one year.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Long-Term Cash Incentive Awards</w:t>
      </w:r>
    </w:p>
    <w:p>
      <w:pPr>
        <w:spacing w:after="0" w:line="215" w:lineRule="exact"/>
        <w:rPr>
          <w:sz w:val="20"/>
          <w:szCs w:val="20"/>
          <w:color w:val="auto"/>
        </w:rPr>
      </w:pPr>
    </w:p>
    <w:p>
      <w:pPr>
        <w:ind w:right="120" w:firstLine="300"/>
        <w:spacing w:after="0" w:line="249" w:lineRule="auto"/>
        <w:rPr>
          <w:sz w:val="20"/>
          <w:szCs w:val="20"/>
          <w:color w:val="auto"/>
        </w:rPr>
      </w:pPr>
      <w:r>
        <w:rPr>
          <w:rFonts w:ascii="Arial" w:cs="Arial" w:eastAsia="Arial" w:hAnsi="Arial"/>
          <w:sz w:val="20"/>
          <w:szCs w:val="20"/>
          <w:color w:val="auto"/>
        </w:rPr>
        <w:t>On June 30, 2022 and 2021, we granted performance cash-settled awards to approximately 500 non-executive employees where half of the award is variable with payouts ranging from 75% to 150% of the grant value. The variable portion of the award is determined based upon the attainment of specified 60-trading day volume weighted average prices for shares of our common stock preceding each vesting date. These awards vest ratably over a three-year service period, with one third of the grants vesting on each of the first three anniversaries of the grant date. The fair value of the awards is adjusted on a quarterly basis for the cumulative change in the value determined using a Monte Carlo simulation model which runs a probabilistic assessment of our stock price for each of the three-year service periods.</w:t>
      </w:r>
    </w:p>
    <w:p>
      <w:pPr>
        <w:spacing w:after="0" w:line="213" w:lineRule="exact"/>
        <w:rPr>
          <w:sz w:val="20"/>
          <w:szCs w:val="20"/>
          <w:color w:val="auto"/>
        </w:rPr>
      </w:pPr>
    </w:p>
    <w:p>
      <w:pPr>
        <w:ind w:right="600" w:firstLine="300"/>
        <w:spacing w:after="0" w:line="245" w:lineRule="auto"/>
        <w:rPr>
          <w:sz w:val="20"/>
          <w:szCs w:val="20"/>
          <w:color w:val="auto"/>
        </w:rPr>
      </w:pPr>
      <w:r>
        <w:rPr>
          <w:rFonts w:ascii="Arial" w:cs="Arial" w:eastAsia="Arial" w:hAnsi="Arial"/>
          <w:sz w:val="20"/>
          <w:szCs w:val="20"/>
          <w:color w:val="auto"/>
        </w:rPr>
        <w:t>The assumptions used in the valuation of our cash awards as of December 31, 2022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480" w:type="dxa"/>
            <w:vAlign w:val="bottom"/>
          </w:tcPr>
          <w:p>
            <w:pPr>
              <w:spacing w:after="0"/>
              <w:rPr>
                <w:sz w:val="21"/>
                <w:szCs w:val="21"/>
                <w:color w:val="auto"/>
              </w:rPr>
            </w:pPr>
          </w:p>
        </w:tc>
        <w:tc>
          <w:tcPr>
            <w:tcW w:w="1420" w:type="dxa"/>
            <w:vAlign w:val="bottom"/>
            <w:gridSpan w:val="2"/>
          </w:tcPr>
          <w:p>
            <w:pPr>
              <w:spacing w:after="0"/>
              <w:rPr>
                <w:sz w:val="20"/>
                <w:szCs w:val="20"/>
                <w:color w:val="auto"/>
              </w:rPr>
            </w:pPr>
            <w:r>
              <w:rPr>
                <w:rFonts w:ascii="Arial" w:cs="Arial" w:eastAsia="Arial" w:hAnsi="Arial"/>
                <w:sz w:val="20"/>
                <w:szCs w:val="20"/>
                <w:b w:val="1"/>
                <w:bCs w:val="1"/>
                <w:color w:val="auto"/>
              </w:rPr>
              <w:t>2022 Awards</w:t>
            </w:r>
          </w:p>
        </w:tc>
        <w:tc>
          <w:tcPr>
            <w:tcW w:w="1220" w:type="dxa"/>
            <w:vAlign w:val="bottom"/>
          </w:tcPr>
          <w:p>
            <w:pPr>
              <w:jc w:val="right"/>
              <w:spacing w:after="0"/>
              <w:rPr>
                <w:sz w:val="20"/>
                <w:szCs w:val="20"/>
                <w:color w:val="auto"/>
              </w:rPr>
            </w:pPr>
            <w:r>
              <w:rPr>
                <w:rFonts w:ascii="Arial" w:cs="Arial" w:eastAsia="Arial" w:hAnsi="Arial"/>
                <w:sz w:val="20"/>
                <w:szCs w:val="20"/>
                <w:b w:val="1"/>
                <w:bCs w:val="1"/>
                <w:color w:val="auto"/>
                <w:w w:val="98"/>
              </w:rPr>
              <w:t>2021 Awards</w:t>
            </w:r>
          </w:p>
        </w:tc>
      </w:tr>
      <w:tr>
        <w:trPr>
          <w:trHeight w:val="296"/>
        </w:trPr>
        <w:tc>
          <w:tcPr>
            <w:tcW w:w="6480" w:type="dxa"/>
            <w:vAlign w:val="bottom"/>
          </w:tcPr>
          <w:p>
            <w:pPr>
              <w:spacing w:after="0" w:line="296" w:lineRule="exact"/>
              <w:rPr>
                <w:sz w:val="20"/>
                <w:szCs w:val="20"/>
                <w:color w:val="auto"/>
              </w:rPr>
            </w:pPr>
            <w:r>
              <w:rPr>
                <w:rFonts w:ascii="Arial" w:cs="Arial" w:eastAsia="Arial" w:hAnsi="Arial"/>
                <w:sz w:val="20"/>
                <w:szCs w:val="20"/>
                <w:color w:val="auto"/>
                <w:w w:val="98"/>
              </w:rPr>
              <w:t>Expected volatility</w:t>
            </w:r>
            <w:r>
              <w:rPr>
                <w:rFonts w:ascii="Arial" w:cs="Arial" w:eastAsia="Arial" w:hAnsi="Arial"/>
                <w:sz w:val="26"/>
                <w:szCs w:val="26"/>
                <w:color w:val="auto"/>
                <w:w w:val="98"/>
                <w:vertAlign w:val="superscript"/>
              </w:rPr>
              <w:t>(a)</w:t>
            </w:r>
            <w:r>
              <w:rPr>
                <w:rFonts w:ascii="Arial" w:cs="Arial" w:eastAsia="Arial" w:hAnsi="Arial"/>
                <w:sz w:val="20"/>
                <w:szCs w:val="20"/>
                <w:color w:val="auto"/>
                <w:w w:val="98"/>
              </w:rPr>
              <w:t xml:space="preserve">  . . . . . . . . . . . . . . . . . . . . . . . . . . . . . . . . . . . . . . . . . .</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55%</w:t>
            </w:r>
          </w:p>
        </w:tc>
        <w:tc>
          <w:tcPr>
            <w:tcW w:w="200" w:type="dxa"/>
            <w:vAlign w:val="bottom"/>
          </w:tcPr>
          <w:p>
            <w:pPr>
              <w:spacing w:after="0"/>
              <w:rPr>
                <w:sz w:val="24"/>
                <w:szCs w:val="24"/>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46%</w:t>
            </w:r>
          </w:p>
        </w:tc>
      </w:tr>
      <w:tr>
        <w:trPr>
          <w:trHeight w:val="240"/>
        </w:trPr>
        <w:tc>
          <w:tcPr>
            <w:tcW w:w="6480" w:type="dxa"/>
            <w:vAlign w:val="bottom"/>
          </w:tcPr>
          <w:p>
            <w:pPr>
              <w:spacing w:after="0" w:line="240" w:lineRule="exact"/>
              <w:rPr>
                <w:sz w:val="20"/>
                <w:szCs w:val="20"/>
                <w:color w:val="auto"/>
              </w:rPr>
            </w:pPr>
            <w:r>
              <w:rPr>
                <w:rFonts w:ascii="Arial" w:cs="Arial" w:eastAsia="Arial" w:hAnsi="Arial"/>
                <w:sz w:val="20"/>
                <w:szCs w:val="20"/>
                <w:color w:val="auto"/>
                <w:w w:val="99"/>
              </w:rPr>
              <w:t>Risk-free interest rate</w:t>
            </w:r>
            <w:r>
              <w:rPr>
                <w:rFonts w:ascii="Arial" w:cs="Arial" w:eastAsia="Arial" w:hAnsi="Arial"/>
                <w:sz w:val="26"/>
                <w:szCs w:val="26"/>
                <w:color w:val="auto"/>
                <w:w w:val="99"/>
                <w:vertAlign w:val="superscript"/>
              </w:rPr>
              <w:t>(b)</w:t>
            </w:r>
            <w:r>
              <w:rPr>
                <w:rFonts w:ascii="Arial" w:cs="Arial" w:eastAsia="Arial" w:hAnsi="Arial"/>
                <w:sz w:val="20"/>
                <w:szCs w:val="20"/>
                <w:color w:val="auto"/>
                <w:w w:val="99"/>
              </w:rPr>
              <w:t xml:space="preserve">  . . . . . . . . . . . . . . . . . . . . . . . . . . . . . . . . . . . . . . .</w:t>
            </w:r>
          </w:p>
        </w:tc>
        <w:tc>
          <w:tcPr>
            <w:tcW w:w="1220" w:type="dxa"/>
            <w:vAlign w:val="bottom"/>
          </w:tcPr>
          <w:p>
            <w:pPr>
              <w:jc w:val="right"/>
              <w:spacing w:after="0" w:line="226" w:lineRule="exact"/>
              <w:rPr>
                <w:sz w:val="20"/>
                <w:szCs w:val="20"/>
                <w:color w:val="auto"/>
              </w:rPr>
            </w:pPr>
            <w:r>
              <w:rPr>
                <w:rFonts w:ascii="Arial" w:cs="Arial" w:eastAsia="Arial" w:hAnsi="Arial"/>
                <w:sz w:val="20"/>
                <w:szCs w:val="20"/>
                <w:color w:val="auto"/>
              </w:rPr>
              <w:t>4.32%</w:t>
            </w:r>
          </w:p>
        </w:tc>
        <w:tc>
          <w:tcPr>
            <w:tcW w:w="200" w:type="dxa"/>
            <w:vAlign w:val="bottom"/>
          </w:tcPr>
          <w:p>
            <w:pPr>
              <w:spacing w:after="0"/>
              <w:rPr>
                <w:sz w:val="20"/>
                <w:szCs w:val="20"/>
                <w:color w:val="auto"/>
              </w:rPr>
            </w:pPr>
          </w:p>
        </w:tc>
        <w:tc>
          <w:tcPr>
            <w:tcW w:w="1220" w:type="dxa"/>
            <w:vAlign w:val="bottom"/>
          </w:tcPr>
          <w:p>
            <w:pPr>
              <w:jc w:val="right"/>
              <w:spacing w:after="0" w:line="226" w:lineRule="exact"/>
              <w:rPr>
                <w:sz w:val="20"/>
                <w:szCs w:val="20"/>
                <w:color w:val="auto"/>
              </w:rPr>
            </w:pPr>
            <w:r>
              <w:rPr>
                <w:rFonts w:ascii="Arial" w:cs="Arial" w:eastAsia="Arial" w:hAnsi="Arial"/>
                <w:sz w:val="20"/>
                <w:szCs w:val="20"/>
                <w:color w:val="auto"/>
              </w:rPr>
              <w:t>4.57%</w:t>
            </w:r>
          </w:p>
        </w:tc>
      </w:tr>
      <w:tr>
        <w:trPr>
          <w:trHeight w:val="240"/>
        </w:trPr>
        <w:tc>
          <w:tcPr>
            <w:tcW w:w="6480" w:type="dxa"/>
            <w:vAlign w:val="bottom"/>
          </w:tcPr>
          <w:p>
            <w:pPr>
              <w:spacing w:after="0" w:line="240" w:lineRule="exact"/>
              <w:rPr>
                <w:sz w:val="20"/>
                <w:szCs w:val="20"/>
                <w:color w:val="auto"/>
              </w:rPr>
            </w:pPr>
            <w:r>
              <w:rPr>
                <w:rFonts w:ascii="Arial" w:cs="Arial" w:eastAsia="Arial" w:hAnsi="Arial"/>
                <w:sz w:val="20"/>
                <w:szCs w:val="20"/>
                <w:color w:val="auto"/>
                <w:w w:val="98"/>
              </w:rPr>
              <w:t>Dividend yield</w:t>
            </w:r>
            <w:r>
              <w:rPr>
                <w:rFonts w:ascii="Arial" w:cs="Arial" w:eastAsia="Arial" w:hAnsi="Arial"/>
                <w:sz w:val="26"/>
                <w:szCs w:val="26"/>
                <w:color w:val="auto"/>
                <w:w w:val="98"/>
                <w:vertAlign w:val="superscript"/>
              </w:rPr>
              <w:t>(c)</w:t>
            </w:r>
            <w:r>
              <w:rPr>
                <w:rFonts w:ascii="Arial" w:cs="Arial" w:eastAsia="Arial" w:hAnsi="Arial"/>
                <w:sz w:val="20"/>
                <w:szCs w:val="20"/>
                <w:color w:val="auto"/>
                <w:w w:val="98"/>
              </w:rPr>
              <w:t xml:space="preserve"> . . . . . . . . . . . . . . . . . . . . . . . . . . . . . . . . . . . . . . . . . . . . . .</w:t>
            </w:r>
          </w:p>
        </w:tc>
        <w:tc>
          <w:tcPr>
            <w:tcW w:w="1420" w:type="dxa"/>
            <w:vAlign w:val="bottom"/>
            <w:gridSpan w:val="2"/>
          </w:tcPr>
          <w:p>
            <w:pPr>
              <w:jc w:val="right"/>
              <w:ind w:right="200"/>
              <w:spacing w:after="0" w:line="226" w:lineRule="exact"/>
              <w:rPr>
                <w:sz w:val="20"/>
                <w:szCs w:val="20"/>
                <w:color w:val="auto"/>
              </w:rPr>
            </w:pPr>
            <w:r>
              <w:rPr>
                <w:rFonts w:ascii="Arial" w:cs="Arial" w:eastAsia="Arial" w:hAnsi="Arial"/>
                <w:sz w:val="20"/>
                <w:szCs w:val="20"/>
                <w:color w:val="auto"/>
              </w:rPr>
              <w:t>— %</w:t>
            </w:r>
          </w:p>
        </w:tc>
        <w:tc>
          <w:tcPr>
            <w:tcW w:w="1220" w:type="dxa"/>
            <w:vAlign w:val="bottom"/>
          </w:tcPr>
          <w:p>
            <w:pPr>
              <w:jc w:val="right"/>
              <w:spacing w:after="0" w:line="226" w:lineRule="exact"/>
              <w:rPr>
                <w:sz w:val="20"/>
                <w:szCs w:val="20"/>
                <w:color w:val="auto"/>
              </w:rPr>
            </w:pPr>
            <w:r>
              <w:rPr>
                <w:rFonts w:ascii="Arial" w:cs="Arial" w:eastAsia="Arial" w:hAnsi="Arial"/>
                <w:sz w:val="20"/>
                <w:szCs w:val="20"/>
                <w:color w:val="auto"/>
              </w:rPr>
              <w:t>— %</w:t>
            </w:r>
          </w:p>
        </w:tc>
      </w:tr>
      <w:tr>
        <w:trPr>
          <w:trHeight w:val="226"/>
        </w:trPr>
        <w:tc>
          <w:tcPr>
            <w:tcW w:w="6480" w:type="dxa"/>
            <w:vAlign w:val="bottom"/>
          </w:tcPr>
          <w:p>
            <w:pPr>
              <w:spacing w:after="0" w:line="226" w:lineRule="exact"/>
              <w:rPr>
                <w:sz w:val="20"/>
                <w:szCs w:val="20"/>
                <w:color w:val="auto"/>
              </w:rPr>
            </w:pPr>
            <w:r>
              <w:rPr>
                <w:rFonts w:ascii="Arial" w:cs="Arial" w:eastAsia="Arial" w:hAnsi="Arial"/>
                <w:sz w:val="20"/>
                <w:szCs w:val="20"/>
                <w:color w:val="auto"/>
              </w:rPr>
              <w:t>Forecast period (in years)  . . . . . . . . . . . . . . . . . . . . . . . . . . . . . . . . . . . . .</w:t>
            </w:r>
          </w:p>
        </w:tc>
        <w:tc>
          <w:tcPr>
            <w:tcW w:w="1220" w:type="dxa"/>
            <w:vAlign w:val="bottom"/>
          </w:tcPr>
          <w:p>
            <w:pPr>
              <w:jc w:val="right"/>
              <w:spacing w:after="0" w:line="226" w:lineRule="exact"/>
              <w:rPr>
                <w:sz w:val="20"/>
                <w:szCs w:val="20"/>
                <w:color w:val="auto"/>
              </w:rPr>
            </w:pPr>
            <w:r>
              <w:rPr>
                <w:rFonts w:ascii="Arial" w:cs="Arial" w:eastAsia="Arial" w:hAnsi="Arial"/>
                <w:sz w:val="20"/>
                <w:szCs w:val="20"/>
                <w:color w:val="auto"/>
              </w:rPr>
              <w:t>2.5</w:t>
            </w:r>
          </w:p>
        </w:tc>
        <w:tc>
          <w:tcPr>
            <w:tcW w:w="200" w:type="dxa"/>
            <w:vAlign w:val="bottom"/>
          </w:tcPr>
          <w:p>
            <w:pPr>
              <w:spacing w:after="0"/>
              <w:rPr>
                <w:sz w:val="19"/>
                <w:szCs w:val="19"/>
                <w:color w:val="auto"/>
              </w:rPr>
            </w:pPr>
          </w:p>
        </w:tc>
        <w:tc>
          <w:tcPr>
            <w:tcW w:w="1220" w:type="dxa"/>
            <w:vAlign w:val="bottom"/>
          </w:tcPr>
          <w:p>
            <w:pPr>
              <w:jc w:val="right"/>
              <w:spacing w:after="0" w:line="226" w:lineRule="exact"/>
              <w:rPr>
                <w:sz w:val="20"/>
                <w:szCs w:val="20"/>
                <w:color w:val="auto"/>
              </w:rPr>
            </w:pPr>
            <w:r>
              <w:rPr>
                <w:rFonts w:ascii="Arial" w:cs="Arial" w:eastAsia="Arial" w:hAnsi="Arial"/>
                <w:sz w:val="20"/>
                <w:szCs w:val="20"/>
                <w:color w:val="auto"/>
              </w:rPr>
              <w:t>1.5</w:t>
            </w:r>
          </w:p>
        </w:tc>
      </w:tr>
    </w:tbl>
    <w:p>
      <w:pPr>
        <w:spacing w:after="0" w:line="131" w:lineRule="exact"/>
        <w:rPr>
          <w:sz w:val="20"/>
          <w:szCs w:val="20"/>
          <w:color w:val="auto"/>
        </w:rPr>
      </w:pPr>
    </w:p>
    <w:p>
      <w:pPr>
        <w:ind w:left="320" w:right="80" w:hanging="320"/>
        <w:spacing w:after="0" w:line="257" w:lineRule="auto"/>
        <w:tabs>
          <w:tab w:leader="none" w:pos="3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Expected volatility for the 2022 awards was calculated using the historic volatility of a peer group which included our stock, excluding our first two trading months. Expected volatility for the 2021 awards was calculated using the historical volatility of our stock.</w:t>
      </w:r>
    </w:p>
    <w:p>
      <w:pPr>
        <w:spacing w:after="0" w:line="3" w:lineRule="exact"/>
        <w:rPr>
          <w:rFonts w:ascii="Arial" w:cs="Arial" w:eastAsia="Arial" w:hAnsi="Arial"/>
          <w:sz w:val="16"/>
          <w:szCs w:val="16"/>
          <w:color w:val="auto"/>
        </w:rPr>
      </w:pPr>
    </w:p>
    <w:p>
      <w:pPr>
        <w:ind w:left="320" w:hanging="320"/>
        <w:spacing w:after="0"/>
        <w:tabs>
          <w:tab w:leader="none" w:pos="3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the U.S. Treasury yield for the 2.5 and 1.5 year remaining terms.</w:t>
      </w:r>
    </w:p>
    <w:p>
      <w:pPr>
        <w:spacing w:after="0" w:line="16" w:lineRule="exact"/>
        <w:rPr>
          <w:rFonts w:ascii="Arial" w:cs="Arial" w:eastAsia="Arial" w:hAnsi="Arial"/>
          <w:sz w:val="16"/>
          <w:szCs w:val="16"/>
          <w:color w:val="auto"/>
        </w:rPr>
      </w:pPr>
    </w:p>
    <w:p>
      <w:pPr>
        <w:ind w:left="320" w:hanging="320"/>
        <w:spacing w:after="0"/>
        <w:tabs>
          <w:tab w:leader="none" w:pos="3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dividend adjusted stock price (assumed reinvestment of dividends during the performance period) was used.</w:t>
      </w:r>
    </w:p>
    <w:p>
      <w:pPr>
        <w:spacing w:after="0" w:line="224" w:lineRule="exact"/>
        <w:rPr>
          <w:sz w:val="20"/>
          <w:szCs w:val="20"/>
          <w:color w:val="auto"/>
        </w:rPr>
      </w:pPr>
    </w:p>
    <w:p>
      <w:pPr>
        <w:ind w:right="220" w:firstLine="300"/>
        <w:spacing w:after="0" w:line="248" w:lineRule="auto"/>
        <w:rPr>
          <w:sz w:val="20"/>
          <w:szCs w:val="20"/>
          <w:color w:val="auto"/>
        </w:rPr>
      </w:pPr>
      <w:r>
        <w:rPr>
          <w:rFonts w:ascii="Arial" w:cs="Arial" w:eastAsia="Arial" w:hAnsi="Arial"/>
          <w:sz w:val="20"/>
          <w:szCs w:val="20"/>
          <w:color w:val="auto"/>
        </w:rPr>
        <w:t>As of December 31, 2022, the unrecognized compensation expense for all of our unvested cash-settled awards was $16 million and is expected to be recognized over a weighted-average remaining service period of approximately 2.3 years. The value of awards forfeited during the year ended December 31, 2022 was approximately $2 million.</w:t>
      </w:r>
    </w:p>
    <w:p>
      <w:pPr>
        <w:sectPr>
          <w:pgSz w:w="11880" w:h="15480" w:orient="portrait"/>
          <w:cols w:equalWidth="0" w:num="1">
            <w:col w:w="9120"/>
          </w:cols>
          <w:pgMar w:left="1380" w:top="1316" w:right="1380" w:bottom="661" w:gutter="0" w:footer="0" w:header="0"/>
        </w:sect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131</w:t>
      </w:r>
    </w:p>
    <w:p>
      <w:pPr>
        <w:sectPr>
          <w:pgSz w:w="11880" w:h="15480" w:orient="portrait"/>
          <w:cols w:equalWidth="0" w:num="1">
            <w:col w:w="9120"/>
          </w:cols>
          <w:pgMar w:left="1380" w:top="1316" w:right="1380" w:bottom="661" w:gutter="0" w:footer="0" w:header="0"/>
          <w:type w:val="continuous"/>
        </w:sectPr>
      </w:pPr>
    </w:p>
    <w:bookmarkStart w:id="135" w:name="page136"/>
    <w:bookmarkEnd w:id="135"/>
    <w:p>
      <w:pPr>
        <w:spacing w:after="0"/>
        <w:rPr>
          <w:sz w:val="20"/>
          <w:szCs w:val="20"/>
          <w:color w:val="auto"/>
        </w:rPr>
      </w:pPr>
      <w:r>
        <w:rPr>
          <w:rFonts w:ascii="Arial" w:cs="Arial" w:eastAsia="Arial" w:hAnsi="Arial"/>
          <w:sz w:val="20"/>
          <w:szCs w:val="20"/>
          <w:b w:val="1"/>
          <w:bCs w:val="1"/>
          <w:i w:val="1"/>
          <w:iCs w:val="1"/>
          <w:color w:val="auto"/>
        </w:rPr>
        <w:t>Predecessor Stock-Based Compensation Plan</w:t>
      </w:r>
    </w:p>
    <w:p>
      <w:pPr>
        <w:spacing w:after="0" w:line="213" w:lineRule="exact"/>
        <w:rPr>
          <w:sz w:val="20"/>
          <w:szCs w:val="20"/>
          <w:color w:val="auto"/>
        </w:rPr>
      </w:pPr>
    </w:p>
    <w:p>
      <w:pPr>
        <w:ind w:right="420" w:firstLine="300"/>
        <w:spacing w:after="0" w:line="248" w:lineRule="auto"/>
        <w:rPr>
          <w:sz w:val="20"/>
          <w:szCs w:val="20"/>
          <w:color w:val="auto"/>
        </w:rPr>
      </w:pPr>
      <w:r>
        <w:rPr>
          <w:rFonts w:ascii="Arial" w:cs="Arial" w:eastAsia="Arial" w:hAnsi="Arial"/>
          <w:sz w:val="20"/>
          <w:szCs w:val="20"/>
          <w:color w:val="auto"/>
        </w:rPr>
        <w:t xml:space="preserve">As a result of our bankruptcy as described in </w:t>
      </w:r>
      <w:r>
        <w:rPr>
          <w:rFonts w:ascii="Arial" w:cs="Arial" w:eastAsia="Arial" w:hAnsi="Arial"/>
          <w:sz w:val="20"/>
          <w:szCs w:val="20"/>
          <w:i w:val="1"/>
          <w:iCs w:val="1"/>
          <w:color w:val="auto"/>
        </w:rPr>
        <w:t>Note 15 Chapter 11 Proceedings</w:t>
      </w:r>
      <w:r>
        <w:rPr>
          <w:rFonts w:ascii="Arial" w:cs="Arial" w:eastAsia="Arial" w:hAnsi="Arial"/>
          <w:sz w:val="20"/>
          <w:szCs w:val="20"/>
          <w:color w:val="auto"/>
        </w:rPr>
        <w:t>, the outstanding stock-based awards granted under our Amended and Restated California Resources Corporation Long-Term Incentive Plan (Amended LTIP) were cancelled on our Effective Date.</w:t>
      </w:r>
    </w:p>
    <w:p>
      <w:pPr>
        <w:spacing w:after="0" w:line="209"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auto"/>
        </w:rPr>
        <w:t>In 2019, our stockholders approved the Amended LTIP, which provided for the issuance of stock, incentive and non-qualified stock options, restricted stock awards, restricted stock units, stock appreciation rights, stock bonuses, performance-based awards and other awards to executives, employees and non-employee directors. Shares of our common stock were permitted to be withheld by us in satisfaction of tax withholding obligations arising upon the exercise of stock options or the vesting of restricted stock units. Further, shares of our common stock were permitted to be withheld by us in payment of the exercise price of employee stock options, which also counted against the authorized shares specified above. The maximum number of authorized shares of our common stock that were available for issuance pursuant to the Amended LTIP was 7,275,000 shares.</w:t>
      </w:r>
    </w:p>
    <w:p>
      <w:pPr>
        <w:spacing w:after="0" w:line="213" w:lineRule="exact"/>
        <w:rPr>
          <w:sz w:val="20"/>
          <w:szCs w:val="20"/>
          <w:color w:val="auto"/>
        </w:rPr>
      </w:pPr>
    </w:p>
    <w:p>
      <w:pPr>
        <w:ind w:right="140" w:firstLine="300"/>
        <w:spacing w:after="0" w:line="249" w:lineRule="auto"/>
        <w:rPr>
          <w:sz w:val="20"/>
          <w:szCs w:val="20"/>
          <w:color w:val="auto"/>
        </w:rPr>
      </w:pPr>
      <w:r>
        <w:rPr>
          <w:rFonts w:ascii="Arial" w:cs="Arial" w:eastAsia="Arial" w:hAnsi="Arial"/>
          <w:sz w:val="20"/>
          <w:szCs w:val="20"/>
          <w:color w:val="auto"/>
        </w:rPr>
        <w:t>In the second quarter of 2020, our then Board of Directors approved the following changes to awards previously granted during 2020: (i) the previously established target amounts under the 2020 variable compensation programs remained unchanged, but any unvested amounts under such programs were revised to only be eligible for cash settlement, and (ii) as a condition to receiving any award under our 2020 variable compensation programs, participants waived participation in our 2020 annual incentive program and forfeited all stock-based compensation awards previously granted in 2020. At the time of the amendments, there were no changes to any stock-based compensation awards granted prior to February 2020; however, as a result of our bankruptcy, the outstanding stock-based awards under our Amended LTIP were cancelled on our Effective Date.</w:t>
      </w:r>
    </w:p>
    <w:p>
      <w:pPr>
        <w:spacing w:after="0" w:line="213" w:lineRule="exact"/>
        <w:rPr>
          <w:sz w:val="20"/>
          <w:szCs w:val="20"/>
          <w:color w:val="auto"/>
        </w:rPr>
      </w:pPr>
    </w:p>
    <w:p>
      <w:pPr>
        <w:ind w:right="200" w:firstLine="300"/>
        <w:spacing w:after="0" w:line="248" w:lineRule="auto"/>
        <w:rPr>
          <w:sz w:val="20"/>
          <w:szCs w:val="20"/>
          <w:color w:val="auto"/>
        </w:rPr>
      </w:pPr>
      <w:r>
        <w:rPr>
          <w:rFonts w:ascii="Arial" w:cs="Arial" w:eastAsia="Arial" w:hAnsi="Arial"/>
          <w:sz w:val="20"/>
          <w:szCs w:val="20"/>
          <w:color w:val="auto"/>
        </w:rPr>
        <w:t>The cancellation of the stock-based compensation awards granted under the Amended LTIP prior to 2020 resulted in the recognition of all previously unrecognized compensation expense for equity-based awards under the Amended LTIP and the elimination of the liability related to cash-based awards under the Amended LTIP.</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Restricted Stock Units</w:t>
      </w:r>
    </w:p>
    <w:p>
      <w:pPr>
        <w:spacing w:after="0" w:line="214"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auto"/>
        </w:rPr>
        <w:t>As part of the Amended LTIP, executives and other employees were granted restricted stock units (RSUs). RSUs were service based and, depending on the terms of the awards, were settled in cash or stock at the time of vesting. The awards either (i) vested ratably over three years, with one third of the granted units becoming vested on the day before each of the first three anniversaries of the applicable date of grant, or (ii) cliff vested upon the third anniversary of the applicable date of grant. Our RSUs had nonforfeitable dividend rights, and any dividends or dividend equivalents declared during the vesting period were paid as declared.</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20"/>
          <w:szCs w:val="20"/>
          <w:color w:val="auto"/>
        </w:rPr>
        <w:t>For cash- and stock-settled RSUs, compensation value was initially measured on the date of grant</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using the quoted market price of our common stock. Compensation expense for cash-settled RSUs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was adjusted on a monthly basis for the cumulative change in the value of the underlying stock. For the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Predecessor period of 2020, the weighted-average fair value of each stock-settled RSU granted was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$6.20. Compensation expense for the stock-settled RSUs were recognized on a straight-line basis over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 requisite service periods, adjusted for actual forfeitures. All outstanding RSUs were cancelled for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no consideration as a result of our emergence from bankruptcy.</w:t>
      </w:r>
    </w:p>
    <w:p>
      <w:pPr>
        <w:sectPr>
          <w:pgSz w:w="11880" w:h="15480" w:orient="portrait"/>
          <w:cols w:equalWidth="0" w:num="1">
            <w:col w:w="9120"/>
          </w:cols>
          <w:pgMar w:left="1380" w:top="1311" w:right="138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132</w:t>
      </w:r>
    </w:p>
    <w:p>
      <w:pPr>
        <w:sectPr>
          <w:pgSz w:w="11880" w:h="15480" w:orient="portrait"/>
          <w:cols w:equalWidth="0" w:num="1">
            <w:col w:w="9120"/>
          </w:cols>
          <w:pgMar w:left="1380" w:top="1311" w:right="1380" w:bottom="661" w:gutter="0" w:footer="0" w:header="0"/>
          <w:type w:val="continuous"/>
        </w:sectPr>
      </w:pPr>
    </w:p>
    <w:bookmarkStart w:id="136" w:name="page137"/>
    <w:bookmarkEnd w:id="136"/>
    <w:p>
      <w:pPr>
        <w:spacing w:after="0"/>
        <w:rPr>
          <w:sz w:val="20"/>
          <w:szCs w:val="20"/>
          <w:color w:val="auto"/>
        </w:rPr>
      </w:pPr>
      <w:r>
        <w:rPr>
          <w:rFonts w:ascii="Arial" w:cs="Arial" w:eastAsia="Arial" w:hAnsi="Arial"/>
          <w:sz w:val="20"/>
          <w:szCs w:val="20"/>
          <w:i w:val="1"/>
          <w:iCs w:val="1"/>
          <w:u w:val="single" w:color="auto"/>
          <w:color w:val="auto"/>
        </w:rPr>
        <w:t>Performance Stock Units</w:t>
      </w:r>
    </w:p>
    <w:p>
      <w:pPr>
        <w:spacing w:after="0" w:line="216"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Our performance stock units (PSUs) were restricted stock unit awards with performance targets with payouts ranging from 0% to 200% of the target award. Up to the target amount of the PSUs were eligible to be settled in cash or stock, and any amount of the PSUs earned in excess of the target amounts of such PSUs were to be settled in cash. These awards accrued dividend equivalents as dividends are declared during the vesting period, which were paid upon certification for the number of earned PSUs. Compensation expense was adjusted quarterly, on a cumulative basis, for any changes in the number of share equivalents expected to be paid based on the relevant performance criteria. For the Predecessor period of 2020, the weighted-average fair value of each stock-settled PSU granted was $6.20. All outstanding PSUs were cancelled for no consideration as a result of our emergence from bankruptcy.</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Stock Options</w:t>
      </w:r>
    </w:p>
    <w:p>
      <w:pPr>
        <w:spacing w:after="0" w:line="216"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auto"/>
        </w:rPr>
        <w:t>We granted stock options to certain executives under our Amended LTIP. These options permitted the purchase of Predecessor common stock at exercise prices no less than the fair market value of the stock on the date the options were granted, with the majority of options being granted at 10% above fair market value. The options had terms of seven years and vested ratably over three years, with one third of the granted options becoming exercisable on the day before each of the first three anniversaries of the applicable date of grant, subject to certain restrictions including continued employment. For the Predecessor period of 2020, the weighted-average fair value of each option granted was $6.82. All outstanding stock options were cancelled for no consideration as a result of our emergence from bankruptcy.</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Employee Stock Purchase Plan</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Successor Employee Stock Purchase Plan</w:t>
      </w:r>
    </w:p>
    <w:p>
      <w:pPr>
        <w:spacing w:after="0" w:line="214" w:lineRule="exact"/>
        <w:rPr>
          <w:sz w:val="20"/>
          <w:szCs w:val="20"/>
          <w:color w:val="auto"/>
        </w:rPr>
      </w:pPr>
    </w:p>
    <w:p>
      <w:pPr>
        <w:ind w:right="100" w:firstLine="300"/>
        <w:spacing w:after="0" w:line="249" w:lineRule="auto"/>
        <w:rPr>
          <w:sz w:val="20"/>
          <w:szCs w:val="20"/>
          <w:color w:val="auto"/>
        </w:rPr>
      </w:pPr>
      <w:r>
        <w:rPr>
          <w:rFonts w:ascii="Arial" w:cs="Arial" w:eastAsia="Arial" w:hAnsi="Arial"/>
          <w:sz w:val="20"/>
          <w:szCs w:val="20"/>
          <w:color w:val="auto"/>
        </w:rPr>
        <w:t>In May 2022, our shareholders approved a new California Resources Corporation Employee Stock Purchase Plan (ESPP), which took effect in July 2022. The ESPP provides our employees with the ability to purchase shares of our common stock at a price equal to 85% of the closing price of a share of our common stock as of the first or last day of each fiscal quarter, whichever amount is less. The maximum number of shares of our common stock which may be issued pursuant to the ESPP is subject to certain annual limits and has a cumulative limit of 1,250,000 shares.</w:t>
      </w:r>
    </w:p>
    <w:p>
      <w:pPr>
        <w:spacing w:after="0" w:line="204" w:lineRule="exact"/>
        <w:rPr>
          <w:sz w:val="20"/>
          <w:szCs w:val="20"/>
          <w:color w:val="auto"/>
        </w:rPr>
      </w:pPr>
    </w:p>
    <w:p>
      <w:pPr>
        <w:ind w:left="300"/>
        <w:spacing w:after="0"/>
        <w:rPr>
          <w:sz w:val="20"/>
          <w:szCs w:val="20"/>
          <w:color w:val="auto"/>
        </w:rPr>
      </w:pPr>
      <w:r>
        <w:rPr>
          <w:rFonts w:ascii="Arial" w:cs="Arial" w:eastAsia="Arial" w:hAnsi="Arial"/>
          <w:sz w:val="20"/>
          <w:szCs w:val="20"/>
          <w:color w:val="auto"/>
        </w:rPr>
        <w:t>As of December 31, 2022, 16,480 shares were issued under our ESPP.</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Predecessor Employee Stock Purchase Plan</w:t>
      </w:r>
    </w:p>
    <w:p>
      <w:pPr>
        <w:spacing w:after="0" w:line="214" w:lineRule="exact"/>
        <w:rPr>
          <w:sz w:val="20"/>
          <w:szCs w:val="20"/>
          <w:color w:val="auto"/>
        </w:rPr>
      </w:pPr>
    </w:p>
    <w:p>
      <w:pPr>
        <w:ind w:right="80" w:firstLine="300"/>
        <w:spacing w:after="0" w:line="248" w:lineRule="auto"/>
        <w:rPr>
          <w:sz w:val="20"/>
          <w:szCs w:val="20"/>
          <w:color w:val="auto"/>
        </w:rPr>
      </w:pPr>
      <w:r>
        <w:rPr>
          <w:rFonts w:ascii="Arial" w:cs="Arial" w:eastAsia="Arial" w:hAnsi="Arial"/>
          <w:sz w:val="20"/>
          <w:szCs w:val="20"/>
          <w:color w:val="auto"/>
        </w:rPr>
        <w:t>On May 26, 2020, our California Resources Corporation 2014 Employee Stock Purchase Plan was terminated by our then Board of Directors. No additional Predecessor shares were issued under the plan after March 31, 2020.</w:t>
      </w:r>
    </w:p>
    <w:p>
      <w:pPr>
        <w:spacing w:after="0" w:line="203"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auto"/>
        </w:rPr>
        <w:t>NOTE 11</w:t>
        <w:tab/>
        <w:t>STOCKHOLDERS’ EQUITY</w:t>
      </w:r>
    </w:p>
    <w:p>
      <w:pPr>
        <w:spacing w:after="0" w:line="212" w:lineRule="exact"/>
        <w:rPr>
          <w:sz w:val="20"/>
          <w:szCs w:val="20"/>
          <w:color w:val="auto"/>
        </w:rPr>
      </w:pPr>
    </w:p>
    <w:p>
      <w:pPr>
        <w:ind w:right="400" w:firstLine="300"/>
        <w:spacing w:after="0" w:line="249" w:lineRule="auto"/>
        <w:rPr>
          <w:sz w:val="20"/>
          <w:szCs w:val="20"/>
          <w:color w:val="auto"/>
        </w:rPr>
      </w:pPr>
      <w:r>
        <w:rPr>
          <w:rFonts w:ascii="Arial" w:cs="Arial" w:eastAsia="Arial" w:hAnsi="Arial"/>
          <w:sz w:val="20"/>
          <w:szCs w:val="20"/>
          <w:color w:val="auto"/>
        </w:rPr>
        <w:t xml:space="preserve">As a result of our bankruptcy as described in </w:t>
      </w:r>
      <w:r>
        <w:rPr>
          <w:rFonts w:ascii="Arial" w:cs="Arial" w:eastAsia="Arial" w:hAnsi="Arial"/>
          <w:sz w:val="20"/>
          <w:szCs w:val="20"/>
          <w:i w:val="1"/>
          <w:iCs w:val="1"/>
          <w:color w:val="auto"/>
        </w:rPr>
        <w:t>Note 15 Chapter 11 Proceedings</w:t>
      </w:r>
      <w:r>
        <w:rPr>
          <w:rFonts w:ascii="Arial" w:cs="Arial" w:eastAsia="Arial" w:hAnsi="Arial"/>
          <w:sz w:val="20"/>
          <w:szCs w:val="20"/>
          <w:color w:val="auto"/>
        </w:rPr>
        <w:t>, all of our Predecessor common and preferred stock, including contracts on our equity were cancelled on the Effective Date pursuant to the Plan and 83,319,660 shares of new common stock were issued at emergence.</w:t>
      </w:r>
    </w:p>
    <w:p>
      <w:pPr>
        <w:sectPr>
          <w:pgSz w:w="11880" w:h="15480" w:orient="portrait"/>
          <w:cols w:equalWidth="0" w:num="1">
            <w:col w:w="9100"/>
          </w:cols>
          <w:pgMar w:left="1380" w:top="1310" w:right="140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133</w:t>
      </w:r>
    </w:p>
    <w:p>
      <w:pPr>
        <w:sectPr>
          <w:pgSz w:w="11880" w:h="15480" w:orient="portrait"/>
          <w:cols w:equalWidth="0" w:num="1">
            <w:col w:w="9100"/>
          </w:cols>
          <w:pgMar w:left="1380" w:top="1310" w:right="1400" w:bottom="661" w:gutter="0" w:footer="0" w:header="0"/>
          <w:type w:val="continuous"/>
        </w:sectPr>
      </w:pPr>
    </w:p>
    <w:bookmarkStart w:id="137" w:name="page138"/>
    <w:bookmarkEnd w:id="137"/>
    <w:p>
      <w:pPr>
        <w:ind w:left="300"/>
        <w:spacing w:after="0"/>
        <w:rPr>
          <w:sz w:val="20"/>
          <w:szCs w:val="20"/>
          <w:color w:val="auto"/>
        </w:rPr>
      </w:pPr>
      <w:r>
        <w:rPr>
          <w:rFonts w:ascii="Arial" w:cs="Arial" w:eastAsia="Arial" w:hAnsi="Arial"/>
          <w:sz w:val="20"/>
          <w:szCs w:val="20"/>
          <w:color w:val="auto"/>
        </w:rPr>
        <w:t>The following is a summary of changes in our common shares outstanding:</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Balance, December 31, 2020 . . . . . . . . . . . . . . . . . . . . . . . . . . . . . . . . . . . . . . . . . .</w:t>
      </w:r>
    </w:p>
    <w:p>
      <w:pPr>
        <w:spacing w:after="0" w:line="15" w:lineRule="exact"/>
        <w:rPr>
          <w:sz w:val="20"/>
          <w:szCs w:val="20"/>
          <w:color w:val="auto"/>
        </w:rPr>
      </w:pPr>
    </w:p>
    <w:p>
      <w:pPr>
        <w:jc w:val="right"/>
        <w:spacing w:after="0"/>
        <w:tabs>
          <w:tab w:leader="none" w:pos="3520" w:val="left"/>
        </w:tabs>
        <w:rPr>
          <w:sz w:val="20"/>
          <w:szCs w:val="20"/>
          <w:color w:val="auto"/>
        </w:rPr>
      </w:pPr>
      <w:r>
        <w:rPr>
          <w:rFonts w:ascii="Arial" w:cs="Arial" w:eastAsia="Arial" w:hAnsi="Arial"/>
          <w:sz w:val="20"/>
          <w:szCs w:val="20"/>
          <w:color w:val="auto"/>
        </w:rPr>
        <w:t>Shares issued for warrant exercises</w:t>
      </w:r>
      <w:r>
        <w:rPr>
          <w:sz w:val="20"/>
          <w:szCs w:val="20"/>
          <w:color w:val="auto"/>
        </w:rPr>
        <w:tab/>
      </w:r>
      <w:r>
        <w:rPr>
          <w:rFonts w:ascii="Arial" w:cs="Arial" w:eastAsia="Arial" w:hAnsi="Arial"/>
          <w:sz w:val="19"/>
          <w:szCs w:val="19"/>
          <w:color w:val="auto"/>
        </w:rPr>
        <w:t>. . . . . . . . . . . . . . . . . . . . . . . . . . . . . . . . . .</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Shares issued under stock-based compensation arrangements . . . . . . . . . . . .</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Treasury stock - shares repurchased . . . . . . . . . . . . . . . . . . . . . . . . . . . . . . . . . .</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color w:val="auto"/>
        </w:rPr>
        <w:t>Balance, December 31, 2021 . . . . . . . . . . . . . . . . . . . . . . . . . . . . . . . . . . . . . . . . . .</w:t>
      </w:r>
    </w:p>
    <w:p>
      <w:pPr>
        <w:spacing w:after="0" w:line="95" w:lineRule="exact"/>
        <w:rPr>
          <w:sz w:val="20"/>
          <w:szCs w:val="20"/>
          <w:color w:val="auto"/>
        </w:rPr>
      </w:pPr>
    </w:p>
    <w:p>
      <w:pPr>
        <w:ind w:left="200"/>
        <w:spacing w:after="0"/>
        <w:tabs>
          <w:tab w:leader="none" w:pos="3500" w:val="left"/>
        </w:tabs>
        <w:rPr>
          <w:sz w:val="20"/>
          <w:szCs w:val="20"/>
          <w:color w:val="auto"/>
        </w:rPr>
      </w:pPr>
      <w:r>
        <w:rPr>
          <w:rFonts w:ascii="Arial" w:cs="Arial" w:eastAsia="Arial" w:hAnsi="Arial"/>
          <w:sz w:val="20"/>
          <w:szCs w:val="20"/>
          <w:color w:val="auto"/>
        </w:rPr>
        <w:t>Shares issued for warrant exercises</w:t>
      </w:r>
      <w:r>
        <w:rPr>
          <w:sz w:val="20"/>
          <w:szCs w:val="20"/>
          <w:color w:val="auto"/>
        </w:rPr>
        <w:tab/>
      </w:r>
      <w:r>
        <w:rPr>
          <w:rFonts w:ascii="Arial" w:cs="Arial" w:eastAsia="Arial" w:hAnsi="Arial"/>
          <w:sz w:val="19"/>
          <w:szCs w:val="19"/>
          <w:color w:val="auto"/>
        </w:rPr>
        <w:t>. . . . . . . . . . . . . . . . . . . . . . . . . . . . . . . . . .</w:t>
      </w:r>
    </w:p>
    <w:p>
      <w:pPr>
        <w:spacing w:after="0" w:line="10" w:lineRule="exact"/>
        <w:rPr>
          <w:sz w:val="20"/>
          <w:szCs w:val="20"/>
          <w:color w:val="auto"/>
        </w:rPr>
      </w:pPr>
    </w:p>
    <w:p>
      <w:pPr>
        <w:ind w:left="200"/>
        <w:spacing w:after="0"/>
        <w:tabs>
          <w:tab w:leader="none" w:pos="2760" w:val="left"/>
        </w:tabs>
        <w:rPr>
          <w:sz w:val="20"/>
          <w:szCs w:val="20"/>
          <w:color w:val="auto"/>
        </w:rPr>
      </w:pPr>
      <w:r>
        <w:rPr>
          <w:rFonts w:ascii="Arial" w:cs="Arial" w:eastAsia="Arial" w:hAnsi="Arial"/>
          <w:sz w:val="20"/>
          <w:szCs w:val="20"/>
          <w:color w:val="auto"/>
        </w:rPr>
        <w:t>Shares issued under ESPP</w:t>
      </w:r>
      <w:r>
        <w:rPr>
          <w:sz w:val="20"/>
          <w:szCs w:val="20"/>
          <w:color w:val="auto"/>
        </w:rPr>
        <w:tab/>
      </w:r>
      <w:r>
        <w:rPr>
          <w:rFonts w:ascii="Arial" w:cs="Arial" w:eastAsia="Arial" w:hAnsi="Arial"/>
          <w:sz w:val="19"/>
          <w:szCs w:val="19"/>
          <w:color w:val="auto"/>
        </w:rPr>
        <w:t>. . . . . . . . . . . . . . . . . . . . . . . . . . . . . . . . . . . . . . . . .</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9"/>
          <w:szCs w:val="19"/>
          <w:color w:val="auto"/>
        </w:rPr>
        <w:t>Treasury stock - shares repurchased . . . . . . . . . . . . . . . . . . . . . . . . . . . . . . . . . .</w:t>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color w:val="auto"/>
        </w:rPr>
        <w:t>Balance, December 31, 2022 . . . . . . . . . . . . . . . . . . . . . . . . . . . . . . . . . . . . . . . . . .</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Share Repurchase Program</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Common Shares</w:t>
      </w:r>
    </w:p>
    <w:p>
      <w:pPr>
        <w:jc w:val="center"/>
        <w:ind w:right="140"/>
        <w:spacing w:after="0" w:line="208" w:lineRule="auto"/>
        <w:rPr>
          <w:sz w:val="20"/>
          <w:szCs w:val="20"/>
          <w:color w:val="auto"/>
        </w:rPr>
      </w:pPr>
      <w:r>
        <w:rPr>
          <w:rFonts w:ascii="Arial" w:cs="Arial" w:eastAsia="Arial" w:hAnsi="Arial"/>
          <w:sz w:val="20"/>
          <w:szCs w:val="20"/>
          <w:b w:val="1"/>
          <w:bCs w:val="1"/>
          <w:color w:val="auto"/>
        </w:rPr>
        <w:t>Outstanding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-82550</wp:posOffset>
                </wp:positionH>
                <wp:positionV relativeFrom="paragraph">
                  <wp:posOffset>19050</wp:posOffset>
                </wp:positionV>
                <wp:extent cx="117475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747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4999pt,1.5pt" to="86pt,1.5pt" o:allowincell="f" strokecolor="#000000" strokeweight="1pt"/>
            </w:pict>
          </mc:Fallback>
        </mc:AlternateContent>
      </w:r>
    </w:p>
    <w:p>
      <w:pPr>
        <w:spacing w:after="0" w:line="71" w:lineRule="exact"/>
        <w:rPr>
          <w:sz w:val="20"/>
          <w:szCs w:val="20"/>
          <w:color w:val="auto"/>
        </w:rPr>
      </w:pPr>
    </w:p>
    <w:p>
      <w:pPr>
        <w:jc w:val="right"/>
        <w:ind w:right="40"/>
        <w:spacing w:after="0"/>
        <w:rPr>
          <w:sz w:val="20"/>
          <w:szCs w:val="20"/>
          <w:color w:val="auto"/>
        </w:rPr>
      </w:pPr>
      <w:r>
        <w:rPr>
          <w:rFonts w:ascii="Arial" w:cs="Arial" w:eastAsia="Arial" w:hAnsi="Arial"/>
          <w:sz w:val="20"/>
          <w:szCs w:val="20"/>
          <w:color w:val="auto"/>
        </w:rPr>
        <w:t>83,319,660</w:t>
      </w:r>
    </w:p>
    <w:p>
      <w:pPr>
        <w:spacing w:after="0" w:line="10" w:lineRule="exact"/>
        <w:rPr>
          <w:sz w:val="20"/>
          <w:szCs w:val="20"/>
          <w:color w:val="auto"/>
        </w:rPr>
      </w:pPr>
    </w:p>
    <w:p>
      <w:pPr>
        <w:jc w:val="right"/>
        <w:ind w:right="40"/>
        <w:spacing w:after="0"/>
        <w:rPr>
          <w:sz w:val="20"/>
          <w:szCs w:val="20"/>
          <w:color w:val="auto"/>
        </w:rPr>
      </w:pPr>
      <w:r>
        <w:rPr>
          <w:rFonts w:ascii="Arial" w:cs="Arial" w:eastAsia="Arial" w:hAnsi="Arial"/>
          <w:sz w:val="20"/>
          <w:szCs w:val="20"/>
          <w:color w:val="auto"/>
        </w:rPr>
        <w:t>51,377</w:t>
      </w:r>
    </w:p>
    <w:p>
      <w:pPr>
        <w:spacing w:after="0" w:line="10" w:lineRule="exact"/>
        <w:rPr>
          <w:sz w:val="20"/>
          <w:szCs w:val="20"/>
          <w:color w:val="auto"/>
        </w:rPr>
      </w:pPr>
    </w:p>
    <w:p>
      <w:pPr>
        <w:jc w:val="right"/>
        <w:ind w:right="40"/>
        <w:spacing w:after="0"/>
        <w:rPr>
          <w:sz w:val="20"/>
          <w:szCs w:val="20"/>
          <w:color w:val="auto"/>
        </w:rPr>
      </w:pPr>
      <w:r>
        <w:rPr>
          <w:rFonts w:ascii="Arial" w:cs="Arial" w:eastAsia="Arial" w:hAnsi="Arial"/>
          <w:sz w:val="20"/>
          <w:szCs w:val="20"/>
          <w:color w:val="auto"/>
        </w:rPr>
        <w:t>18,173</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(4,089,988)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-82550</wp:posOffset>
                </wp:positionH>
                <wp:positionV relativeFrom="paragraph">
                  <wp:posOffset>22225</wp:posOffset>
                </wp:positionV>
                <wp:extent cx="117475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747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4999pt,1.75pt" to="86pt,1.75pt" o:allowincell="f" strokecolor="#000000" strokeweight="0.5pt"/>
            </w:pict>
          </mc:Fallback>
        </mc:AlternateContent>
      </w:r>
    </w:p>
    <w:p>
      <w:pPr>
        <w:spacing w:after="0" w:line="70" w:lineRule="exact"/>
        <w:rPr>
          <w:sz w:val="20"/>
          <w:szCs w:val="20"/>
          <w:color w:val="auto"/>
        </w:rPr>
      </w:pPr>
    </w:p>
    <w:p>
      <w:pPr>
        <w:ind w:left="680"/>
        <w:spacing w:after="0"/>
        <w:rPr>
          <w:sz w:val="20"/>
          <w:szCs w:val="20"/>
          <w:color w:val="auto"/>
        </w:rPr>
      </w:pPr>
      <w:r>
        <w:rPr>
          <w:rFonts w:ascii="Arial" w:cs="Arial" w:eastAsia="Arial" w:hAnsi="Arial"/>
          <w:sz w:val="20"/>
          <w:szCs w:val="20"/>
          <w:color w:val="auto"/>
        </w:rPr>
        <w:t>79,299,222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-82550</wp:posOffset>
                </wp:positionH>
                <wp:positionV relativeFrom="paragraph">
                  <wp:posOffset>22225</wp:posOffset>
                </wp:positionV>
                <wp:extent cx="117475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747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4999pt,1.75pt" to="86pt,1.75pt" o:allowincell="f" strokecolor="#000000" strokeweight="0.5pt"/>
            </w:pict>
          </mc:Fallback>
        </mc:AlternateContent>
      </w:r>
    </w:p>
    <w:p>
      <w:pPr>
        <w:spacing w:after="0" w:line="70" w:lineRule="exact"/>
        <w:rPr>
          <w:sz w:val="20"/>
          <w:szCs w:val="20"/>
          <w:color w:val="auto"/>
        </w:rPr>
      </w:pPr>
    </w:p>
    <w:p>
      <w:pPr>
        <w:jc w:val="right"/>
        <w:ind w:right="40"/>
        <w:spacing w:after="0"/>
        <w:rPr>
          <w:sz w:val="20"/>
          <w:szCs w:val="20"/>
          <w:color w:val="auto"/>
        </w:rPr>
      </w:pPr>
      <w:r>
        <w:rPr>
          <w:rFonts w:ascii="Arial" w:cs="Arial" w:eastAsia="Arial" w:hAnsi="Arial"/>
          <w:sz w:val="20"/>
          <w:szCs w:val="20"/>
          <w:color w:val="auto"/>
        </w:rPr>
        <w:t>312</w:t>
      </w:r>
    </w:p>
    <w:p>
      <w:pPr>
        <w:spacing w:after="0" w:line="10" w:lineRule="exact"/>
        <w:rPr>
          <w:sz w:val="20"/>
          <w:szCs w:val="20"/>
          <w:color w:val="auto"/>
        </w:rPr>
      </w:pPr>
    </w:p>
    <w:p>
      <w:pPr>
        <w:jc w:val="right"/>
        <w:ind w:right="40"/>
        <w:spacing w:after="0"/>
        <w:rPr>
          <w:sz w:val="20"/>
          <w:szCs w:val="20"/>
          <w:color w:val="auto"/>
        </w:rPr>
      </w:pPr>
      <w:r>
        <w:rPr>
          <w:rFonts w:ascii="Arial" w:cs="Arial" w:eastAsia="Arial" w:hAnsi="Arial"/>
          <w:sz w:val="20"/>
          <w:szCs w:val="20"/>
          <w:color w:val="auto"/>
        </w:rPr>
        <w:t>16,480</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(7,366,272)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-82550</wp:posOffset>
                </wp:positionH>
                <wp:positionV relativeFrom="paragraph">
                  <wp:posOffset>22225</wp:posOffset>
                </wp:positionV>
                <wp:extent cx="117475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747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4999pt,1.75pt" to="86pt,1.75pt" o:allowincell="f" strokecolor="#000000" strokeweight="0.5pt"/>
            </w:pict>
          </mc:Fallback>
        </mc:AlternateContent>
      </w:r>
    </w:p>
    <w:p>
      <w:pPr>
        <w:spacing w:after="0" w:line="70" w:lineRule="exact"/>
        <w:rPr>
          <w:sz w:val="20"/>
          <w:szCs w:val="20"/>
          <w:color w:val="auto"/>
        </w:rPr>
      </w:pPr>
    </w:p>
    <w:p>
      <w:pPr>
        <w:ind w:left="680"/>
        <w:spacing w:after="0"/>
        <w:rPr>
          <w:sz w:val="20"/>
          <w:szCs w:val="20"/>
          <w:color w:val="auto"/>
        </w:rPr>
      </w:pPr>
      <w:r>
        <w:rPr>
          <w:rFonts w:ascii="Arial" w:cs="Arial" w:eastAsia="Arial" w:hAnsi="Arial"/>
          <w:sz w:val="20"/>
          <w:szCs w:val="20"/>
          <w:color w:val="auto"/>
        </w:rPr>
        <w:t>71,949,742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-82550</wp:posOffset>
                </wp:positionH>
                <wp:positionV relativeFrom="paragraph">
                  <wp:posOffset>22225</wp:posOffset>
                </wp:positionV>
                <wp:extent cx="117475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747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4999pt,1.75pt" to="86pt,1.7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-82550</wp:posOffset>
                </wp:positionH>
                <wp:positionV relativeFrom="paragraph">
                  <wp:posOffset>47625</wp:posOffset>
                </wp:positionV>
                <wp:extent cx="117475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747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4999pt,3.75pt" to="86pt,3.75pt" o:allowincell="f" strokecolor="#000000" strokeweight="0.5pt"/>
            </w:pict>
          </mc:Fallback>
        </mc:AlternateContent>
      </w:r>
    </w:p>
    <w:p>
      <w:pPr>
        <w:spacing w:after="0" w:line="761" w:lineRule="exact"/>
        <w:rPr>
          <w:sz w:val="20"/>
          <w:szCs w:val="20"/>
          <w:color w:val="auto"/>
        </w:rPr>
      </w:pPr>
    </w:p>
    <w:p>
      <w:pPr>
        <w:sectPr>
          <w:pgSz w:w="11880" w:h="15480" w:orient="portrait"/>
          <w:cols w:equalWidth="0" w:num="2">
            <w:col w:w="7060" w:space="340"/>
            <w:col w:w="1720"/>
          </w:cols>
          <w:pgMar w:left="1380" w:top="1310" w:right="1380" w:bottom="661" w:gutter="0" w:footer="0" w:header="0"/>
        </w:sectPr>
      </w:pPr>
    </w:p>
    <w:p>
      <w:pPr>
        <w:spacing w:after="0" w:line="15"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Our Board of Directors has authorized a Share Repurchase Program to acquire up to $850 million of our common stock through December 31, 2023. The repurchases may be effected from time-to-time through open market purchases, privately negotiated transactions, Rule 10b5-1 plans, accelerated stock repurchases, derivative contracts or otherwise in compliance with Rule 10b-18, subject to market conditions. The Share Repurchase Program does not obligate us to repurchase any dollar amount or number of shares and our Board of Directors may modify, suspend, or discontinue authorization of the program at any time. The following is a summary of our share repurchases, held as treasury stock for the periods presented: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19"/>
                <w:szCs w:val="19"/>
                <w:color w:val="auto"/>
              </w:rPr>
            </w:pPr>
          </w:p>
        </w:tc>
        <w:tc>
          <w:tcPr>
            <w:tcW w:w="1940" w:type="dxa"/>
            <w:vAlign w:val="bottom"/>
            <w:gridSpan w:val="4"/>
          </w:tcPr>
          <w:p>
            <w:pPr>
              <w:jc w:val="center"/>
              <w:ind w:right="200"/>
              <w:spacing w:after="0"/>
              <w:rPr>
                <w:sz w:val="20"/>
                <w:szCs w:val="20"/>
                <w:color w:val="auto"/>
              </w:rPr>
            </w:pPr>
            <w:r>
              <w:rPr>
                <w:rFonts w:ascii="Arial" w:cs="Arial" w:eastAsia="Arial" w:hAnsi="Arial"/>
                <w:sz w:val="20"/>
                <w:szCs w:val="20"/>
                <w:b w:val="1"/>
                <w:bCs w:val="1"/>
                <w:color w:val="auto"/>
              </w:rPr>
              <w:t>Total Number of</w:t>
            </w:r>
          </w:p>
        </w:tc>
        <w:tc>
          <w:tcPr>
            <w:tcW w:w="1940" w:type="dxa"/>
            <w:vAlign w:val="bottom"/>
            <w:gridSpan w:val="4"/>
          </w:tcPr>
          <w:p>
            <w:pPr>
              <w:jc w:val="center"/>
              <w:ind w:right="180"/>
              <w:spacing w:after="0"/>
              <w:rPr>
                <w:sz w:val="20"/>
                <w:szCs w:val="20"/>
                <w:color w:val="auto"/>
              </w:rPr>
            </w:pPr>
            <w:r>
              <w:rPr>
                <w:rFonts w:ascii="Arial" w:cs="Arial" w:eastAsia="Arial" w:hAnsi="Arial"/>
                <w:sz w:val="20"/>
                <w:szCs w:val="20"/>
                <w:b w:val="1"/>
                <w:bCs w:val="1"/>
                <w:color w:val="auto"/>
                <w:w w:val="99"/>
              </w:rPr>
              <w:t>Dollar Value of</w:t>
            </w:r>
          </w:p>
        </w:tc>
        <w:tc>
          <w:tcPr>
            <w:tcW w:w="1820" w:type="dxa"/>
            <w:vAlign w:val="bottom"/>
            <w:gridSpan w:val="3"/>
          </w:tcPr>
          <w:p>
            <w:pPr>
              <w:jc w:val="center"/>
              <w:spacing w:after="0"/>
              <w:rPr>
                <w:sz w:val="20"/>
                <w:szCs w:val="20"/>
                <w:color w:val="auto"/>
              </w:rPr>
            </w:pPr>
            <w:r>
              <w:rPr>
                <w:rFonts w:ascii="Arial" w:cs="Arial" w:eastAsia="Arial" w:hAnsi="Arial"/>
                <w:sz w:val="20"/>
                <w:szCs w:val="20"/>
                <w:b w:val="1"/>
                <w:bCs w:val="1"/>
                <w:color w:val="auto"/>
              </w:rPr>
              <w:t>Average Price Paid</w:t>
            </w:r>
          </w:p>
        </w:tc>
      </w:tr>
      <w:tr>
        <w:trPr>
          <w:trHeight w:val="248"/>
        </w:trPr>
        <w:tc>
          <w:tcPr>
            <w:tcW w:w="3420" w:type="dxa"/>
            <w:vAlign w:val="bottom"/>
          </w:tcPr>
          <w:p>
            <w:pPr>
              <w:spacing w:after="0"/>
              <w:rPr>
                <w:sz w:val="21"/>
                <w:szCs w:val="21"/>
                <w:color w:val="auto"/>
              </w:rPr>
            </w:pPr>
          </w:p>
        </w:tc>
        <w:tc>
          <w:tcPr>
            <w:tcW w:w="1940" w:type="dxa"/>
            <w:vAlign w:val="bottom"/>
            <w:gridSpan w:val="4"/>
          </w:tcPr>
          <w:p>
            <w:pPr>
              <w:jc w:val="center"/>
              <w:ind w:right="200"/>
              <w:spacing w:after="0"/>
              <w:rPr>
                <w:sz w:val="20"/>
                <w:szCs w:val="20"/>
                <w:color w:val="auto"/>
              </w:rPr>
            </w:pPr>
            <w:r>
              <w:rPr>
                <w:rFonts w:ascii="Arial" w:cs="Arial" w:eastAsia="Arial" w:hAnsi="Arial"/>
                <w:sz w:val="20"/>
                <w:szCs w:val="20"/>
                <w:b w:val="1"/>
                <w:bCs w:val="1"/>
                <w:color w:val="auto"/>
                <w:w w:val="99"/>
              </w:rPr>
              <w:t>Shares Purchased</w:t>
            </w:r>
          </w:p>
        </w:tc>
        <w:tc>
          <w:tcPr>
            <w:tcW w:w="1940" w:type="dxa"/>
            <w:vAlign w:val="bottom"/>
            <w:gridSpan w:val="4"/>
          </w:tcPr>
          <w:p>
            <w:pPr>
              <w:jc w:val="center"/>
              <w:ind w:right="180"/>
              <w:spacing w:after="0"/>
              <w:rPr>
                <w:sz w:val="20"/>
                <w:szCs w:val="20"/>
                <w:color w:val="auto"/>
              </w:rPr>
            </w:pPr>
            <w:r>
              <w:rPr>
                <w:rFonts w:ascii="Arial" w:cs="Arial" w:eastAsia="Arial" w:hAnsi="Arial"/>
                <w:sz w:val="20"/>
                <w:szCs w:val="20"/>
                <w:b w:val="1"/>
                <w:bCs w:val="1"/>
                <w:color w:val="auto"/>
              </w:rPr>
              <w:t>Shares Purchased</w:t>
            </w:r>
          </w:p>
        </w:tc>
        <w:tc>
          <w:tcPr>
            <w:tcW w:w="1820" w:type="dxa"/>
            <w:vAlign w:val="bottom"/>
            <w:gridSpan w:val="3"/>
          </w:tcPr>
          <w:p>
            <w:pPr>
              <w:jc w:val="center"/>
              <w:spacing w:after="0"/>
              <w:rPr>
                <w:sz w:val="20"/>
                <w:szCs w:val="20"/>
                <w:color w:val="auto"/>
              </w:rPr>
            </w:pPr>
            <w:r>
              <w:rPr>
                <w:rFonts w:ascii="Arial" w:cs="Arial" w:eastAsia="Arial" w:hAnsi="Arial"/>
                <w:sz w:val="20"/>
                <w:szCs w:val="20"/>
                <w:b w:val="1"/>
                <w:bCs w:val="1"/>
                <w:color w:val="auto"/>
                <w:w w:val="99"/>
              </w:rPr>
              <w:t>per Share</w:t>
            </w:r>
          </w:p>
        </w:tc>
      </w:tr>
      <w:tr>
        <w:trPr>
          <w:trHeight w:val="216"/>
        </w:trPr>
        <w:tc>
          <w:tcPr>
            <w:tcW w:w="3420" w:type="dxa"/>
            <w:vAlign w:val="bottom"/>
          </w:tcPr>
          <w:p>
            <w:pPr>
              <w:spacing w:after="0"/>
              <w:rPr>
                <w:sz w:val="18"/>
                <w:szCs w:val="18"/>
                <w:color w:val="auto"/>
              </w:rPr>
            </w:pPr>
          </w:p>
        </w:tc>
        <w:tc>
          <w:tcPr>
            <w:tcW w:w="17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9"/>
              </w:rPr>
              <w:t>(number of shares)</w:t>
            </w:r>
          </w:p>
        </w:tc>
        <w:tc>
          <w:tcPr>
            <w:tcW w:w="200" w:type="dxa"/>
            <w:vAlign w:val="bottom"/>
          </w:tcPr>
          <w:p>
            <w:pPr>
              <w:spacing w:after="0"/>
              <w:rPr>
                <w:sz w:val="18"/>
                <w:szCs w:val="18"/>
                <w:color w:val="auto"/>
              </w:rPr>
            </w:pPr>
          </w:p>
        </w:tc>
        <w:tc>
          <w:tcPr>
            <w:tcW w:w="17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rPr>
              <w:t>(in millions)</w:t>
            </w:r>
          </w:p>
        </w:tc>
        <w:tc>
          <w:tcPr>
            <w:tcW w:w="200" w:type="dxa"/>
            <w:vAlign w:val="bottom"/>
          </w:tcPr>
          <w:p>
            <w:pPr>
              <w:spacing w:after="0"/>
              <w:rPr>
                <w:sz w:val="18"/>
                <w:szCs w:val="18"/>
                <w:color w:val="auto"/>
              </w:rPr>
            </w:pPr>
          </w:p>
        </w:tc>
        <w:tc>
          <w:tcPr>
            <w:tcW w:w="18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8"/>
              </w:rPr>
              <w:t>($ per share)</w:t>
            </w:r>
          </w:p>
        </w:tc>
      </w:tr>
      <w:tr>
        <w:trPr>
          <w:trHeight w:val="246"/>
        </w:trPr>
        <w:tc>
          <w:tcPr>
            <w:tcW w:w="3420" w:type="dxa"/>
            <w:vAlign w:val="bottom"/>
          </w:tcPr>
          <w:p>
            <w:pPr>
              <w:spacing w:after="0"/>
              <w:rPr>
                <w:sz w:val="20"/>
                <w:szCs w:val="20"/>
                <w:color w:val="auto"/>
              </w:rPr>
            </w:pPr>
            <w:r>
              <w:rPr>
                <w:rFonts w:ascii="Arial" w:cs="Arial" w:eastAsia="Arial" w:hAnsi="Arial"/>
                <w:sz w:val="20"/>
                <w:szCs w:val="20"/>
                <w:color w:val="auto"/>
              </w:rPr>
              <w:t>Year ended December 31, 2021 . . .</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4,089,988</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3"/>
          </w:tcPr>
          <w:p>
            <w:pPr>
              <w:jc w:val="center"/>
              <w:spacing w:after="0"/>
              <w:rPr>
                <w:sz w:val="20"/>
                <w:szCs w:val="20"/>
                <w:color w:val="auto"/>
              </w:rPr>
            </w:pPr>
            <w:r>
              <w:rPr>
                <w:rFonts w:ascii="Arial" w:cs="Arial" w:eastAsia="Arial" w:hAnsi="Arial"/>
                <w:sz w:val="20"/>
                <w:szCs w:val="20"/>
                <w:color w:val="auto"/>
                <w:w w:val="98"/>
              </w:rPr>
              <w:t>$148</w:t>
            </w:r>
          </w:p>
        </w:tc>
        <w:tc>
          <w:tcPr>
            <w:tcW w:w="200" w:type="dxa"/>
            <w:vAlign w:val="bottom"/>
          </w:tcPr>
          <w:p>
            <w:pPr>
              <w:spacing w:after="0"/>
              <w:rPr>
                <w:sz w:val="21"/>
                <w:szCs w:val="21"/>
                <w:color w:val="auto"/>
              </w:rPr>
            </w:pPr>
          </w:p>
        </w:tc>
        <w:tc>
          <w:tcPr>
            <w:tcW w:w="1820" w:type="dxa"/>
            <w:vAlign w:val="bottom"/>
            <w:gridSpan w:val="3"/>
          </w:tcPr>
          <w:p>
            <w:pPr>
              <w:jc w:val="center"/>
              <w:spacing w:after="0"/>
              <w:rPr>
                <w:sz w:val="20"/>
                <w:szCs w:val="20"/>
                <w:color w:val="auto"/>
              </w:rPr>
            </w:pPr>
            <w:r>
              <w:rPr>
                <w:rFonts w:ascii="Arial" w:cs="Arial" w:eastAsia="Arial" w:hAnsi="Arial"/>
                <w:sz w:val="20"/>
                <w:szCs w:val="20"/>
                <w:color w:val="auto"/>
              </w:rPr>
              <w:t>$36.08</w:t>
            </w:r>
          </w:p>
        </w:tc>
      </w:tr>
      <w:tr>
        <w:trPr>
          <w:trHeight w:val="240"/>
        </w:trPr>
        <w:tc>
          <w:tcPr>
            <w:tcW w:w="3420" w:type="dxa"/>
            <w:vAlign w:val="bottom"/>
          </w:tcPr>
          <w:p>
            <w:pPr>
              <w:spacing w:after="0"/>
              <w:rPr>
                <w:sz w:val="20"/>
                <w:szCs w:val="20"/>
                <w:color w:val="auto"/>
              </w:rPr>
            </w:pPr>
            <w:r>
              <w:rPr>
                <w:rFonts w:ascii="Arial" w:cs="Arial" w:eastAsia="Arial" w:hAnsi="Arial"/>
                <w:sz w:val="20"/>
                <w:szCs w:val="20"/>
                <w:color w:val="auto"/>
              </w:rPr>
              <w:t>Year ended December 31, 2022 . . .</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7,366,272</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3"/>
          </w:tcPr>
          <w:p>
            <w:pPr>
              <w:jc w:val="center"/>
              <w:spacing w:after="0"/>
              <w:rPr>
                <w:sz w:val="20"/>
                <w:szCs w:val="20"/>
                <w:color w:val="auto"/>
              </w:rPr>
            </w:pPr>
            <w:r>
              <w:rPr>
                <w:rFonts w:ascii="Arial" w:cs="Arial" w:eastAsia="Arial" w:hAnsi="Arial"/>
                <w:sz w:val="20"/>
                <w:szCs w:val="20"/>
                <w:color w:val="auto"/>
                <w:w w:val="98"/>
              </w:rPr>
              <w:t>$313</w:t>
            </w:r>
          </w:p>
        </w:tc>
        <w:tc>
          <w:tcPr>
            <w:tcW w:w="200" w:type="dxa"/>
            <w:vAlign w:val="bottom"/>
          </w:tcPr>
          <w:p>
            <w:pPr>
              <w:spacing w:after="0"/>
              <w:rPr>
                <w:sz w:val="20"/>
                <w:szCs w:val="20"/>
                <w:color w:val="auto"/>
              </w:rPr>
            </w:pPr>
          </w:p>
        </w:tc>
        <w:tc>
          <w:tcPr>
            <w:tcW w:w="1820" w:type="dxa"/>
            <w:vAlign w:val="bottom"/>
            <w:gridSpan w:val="3"/>
          </w:tcPr>
          <w:p>
            <w:pPr>
              <w:jc w:val="center"/>
              <w:spacing w:after="0"/>
              <w:rPr>
                <w:sz w:val="20"/>
                <w:szCs w:val="20"/>
                <w:color w:val="auto"/>
              </w:rPr>
            </w:pPr>
            <w:r>
              <w:rPr>
                <w:rFonts w:ascii="Arial" w:cs="Arial" w:eastAsia="Arial" w:hAnsi="Arial"/>
                <w:sz w:val="20"/>
                <w:szCs w:val="20"/>
                <w:color w:val="auto"/>
              </w:rPr>
              <w:t>$42.47</w:t>
            </w:r>
          </w:p>
        </w:tc>
      </w:tr>
      <w:tr>
        <w:trPr>
          <w:trHeight w:val="28"/>
        </w:trPr>
        <w:tc>
          <w:tcPr>
            <w:tcW w:w="3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r>
      <w:tr>
        <w:trPr>
          <w:trHeight w:val="272"/>
        </w:trPr>
        <w:tc>
          <w:tcPr>
            <w:tcW w:w="3420" w:type="dxa"/>
            <w:vAlign w:val="bottom"/>
          </w:tcPr>
          <w:p>
            <w:pPr>
              <w:spacing w:after="0"/>
              <w:rPr>
                <w:sz w:val="20"/>
                <w:szCs w:val="20"/>
                <w:color w:val="auto"/>
              </w:rPr>
            </w:pPr>
            <w:r>
              <w:rPr>
                <w:rFonts w:ascii="Arial" w:cs="Arial" w:eastAsia="Arial" w:hAnsi="Arial"/>
                <w:sz w:val="20"/>
                <w:szCs w:val="20"/>
                <w:color w:val="auto"/>
              </w:rPr>
              <w:t>Total . . . . . . . . . . . . . . . . . . . . . . . . . .</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11,456,260</w:t>
            </w: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40" w:type="dxa"/>
            <w:vAlign w:val="bottom"/>
            <w:gridSpan w:val="3"/>
          </w:tcPr>
          <w:p>
            <w:pPr>
              <w:jc w:val="center"/>
              <w:spacing w:after="0"/>
              <w:rPr>
                <w:sz w:val="20"/>
                <w:szCs w:val="20"/>
                <w:color w:val="auto"/>
              </w:rPr>
            </w:pPr>
            <w:r>
              <w:rPr>
                <w:rFonts w:ascii="Arial" w:cs="Arial" w:eastAsia="Arial" w:hAnsi="Arial"/>
                <w:sz w:val="20"/>
                <w:szCs w:val="20"/>
                <w:color w:val="auto"/>
                <w:w w:val="98"/>
              </w:rPr>
              <w:t>$461</w:t>
            </w:r>
          </w:p>
        </w:tc>
        <w:tc>
          <w:tcPr>
            <w:tcW w:w="200" w:type="dxa"/>
            <w:vAlign w:val="bottom"/>
          </w:tcPr>
          <w:p>
            <w:pPr>
              <w:spacing w:after="0"/>
              <w:rPr>
                <w:sz w:val="23"/>
                <w:szCs w:val="23"/>
                <w:color w:val="auto"/>
              </w:rPr>
            </w:pPr>
          </w:p>
        </w:tc>
        <w:tc>
          <w:tcPr>
            <w:tcW w:w="1820" w:type="dxa"/>
            <w:vAlign w:val="bottom"/>
            <w:gridSpan w:val="3"/>
          </w:tcPr>
          <w:p>
            <w:pPr>
              <w:jc w:val="center"/>
              <w:spacing w:after="0"/>
              <w:rPr>
                <w:sz w:val="20"/>
                <w:szCs w:val="20"/>
                <w:color w:val="auto"/>
              </w:rPr>
            </w:pPr>
            <w:r>
              <w:rPr>
                <w:rFonts w:ascii="Arial" w:cs="Arial" w:eastAsia="Arial" w:hAnsi="Arial"/>
                <w:sz w:val="20"/>
                <w:szCs w:val="20"/>
                <w:color w:val="auto"/>
              </w:rPr>
              <w:t>$40.19</w:t>
            </w:r>
          </w:p>
        </w:tc>
      </w:tr>
      <w:tr>
        <w:trPr>
          <w:trHeight w:val="28"/>
        </w:trPr>
        <w:tc>
          <w:tcPr>
            <w:tcW w:w="3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r>
      <w:tr>
        <w:trPr>
          <w:trHeight w:val="20"/>
        </w:trPr>
        <w:tc>
          <w:tcPr>
            <w:tcW w:w="3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54" w:lineRule="exact"/>
        <w:rPr>
          <w:sz w:val="20"/>
          <w:szCs w:val="20"/>
          <w:color w:val="auto"/>
        </w:rPr>
      </w:pPr>
    </w:p>
    <w:p>
      <w:pPr>
        <w:jc w:val="both"/>
        <w:ind w:right="20" w:firstLine="300"/>
        <w:spacing w:after="0" w:line="247" w:lineRule="auto"/>
        <w:rPr>
          <w:sz w:val="20"/>
          <w:szCs w:val="20"/>
          <w:color w:val="auto"/>
        </w:rPr>
      </w:pPr>
      <w:r>
        <w:rPr>
          <w:rFonts w:ascii="Arial" w:cs="Arial" w:eastAsia="Arial" w:hAnsi="Arial"/>
          <w:sz w:val="20"/>
          <w:szCs w:val="20"/>
          <w:color w:val="auto"/>
        </w:rPr>
        <w:t xml:space="preserve">See </w:t>
      </w:r>
      <w:r>
        <w:rPr>
          <w:rFonts w:ascii="Arial" w:cs="Arial" w:eastAsia="Arial" w:hAnsi="Arial"/>
          <w:sz w:val="20"/>
          <w:szCs w:val="20"/>
          <w:i w:val="1"/>
          <w:iCs w:val="1"/>
          <w:color w:val="auto"/>
        </w:rPr>
        <w:t>Note 17 Subsequent Events</w:t>
      </w:r>
      <w:r>
        <w:rPr>
          <w:rFonts w:ascii="Arial" w:cs="Arial" w:eastAsia="Arial" w:hAnsi="Arial"/>
          <w:sz w:val="20"/>
          <w:szCs w:val="20"/>
          <w:color w:val="auto"/>
        </w:rPr>
        <w:t xml:space="preserve"> for more or information on an increase and extension to our Share Repurchase Program.</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Dividends</w:t>
      </w:r>
    </w:p>
    <w:p>
      <w:pPr>
        <w:spacing w:after="0" w:line="215"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auto"/>
        </w:rPr>
        <w:t>Our Board of Directors declared a cash dividend of $0.17 per share of common stock for the fourth quarter of 2021 and each of the first three quarters of 2022. On November 2, 2022, our Board of Directors approved an increase in our dividend policy to an expected total annual dividend of $1.13 per share. Dividends are payable to shareholders in quarterly increments, subject to the quarterly approval of our Board of Directors. Our Board of Directors approved a quarterly cash dividend on November 2, 2022 in the amount of $0.2825 per share of common stock. For the years ended December 31, 2022 and 2021, we paid $59 million and $14 million in dividends, respectively. There were no cash dividends declared in the Predecessor or Successor period of 2020.</w:t>
      </w:r>
    </w:p>
    <w:p>
      <w:pPr>
        <w:spacing w:after="0" w:line="211" w:lineRule="exact"/>
        <w:rPr>
          <w:sz w:val="20"/>
          <w:szCs w:val="20"/>
          <w:color w:val="auto"/>
        </w:rPr>
      </w:pPr>
    </w:p>
    <w:p>
      <w:pPr>
        <w:jc w:val="both"/>
        <w:ind w:right="560" w:firstLine="300"/>
        <w:spacing w:after="0" w:line="266" w:lineRule="auto"/>
        <w:rPr>
          <w:sz w:val="20"/>
          <w:szCs w:val="20"/>
          <w:color w:val="auto"/>
        </w:rPr>
      </w:pPr>
      <w:r>
        <w:rPr>
          <w:rFonts w:ascii="Arial" w:cs="Arial" w:eastAsia="Arial" w:hAnsi="Arial"/>
          <w:sz w:val="19"/>
          <w:szCs w:val="19"/>
          <w:color w:val="auto"/>
        </w:rPr>
        <w:t xml:space="preserve">The actual declaration of future cash dividends, and the establishment of record and payment dates, is subject to final determination by our Board of Directors each quarter after reviewing our financial performance. See </w:t>
      </w:r>
      <w:r>
        <w:rPr>
          <w:rFonts w:ascii="Arial" w:cs="Arial" w:eastAsia="Arial" w:hAnsi="Arial"/>
          <w:sz w:val="19"/>
          <w:szCs w:val="19"/>
          <w:i w:val="1"/>
          <w:iCs w:val="1"/>
          <w:color w:val="auto"/>
        </w:rPr>
        <w:t>Note 17 Subsequent Events</w:t>
      </w:r>
      <w:r>
        <w:rPr>
          <w:rFonts w:ascii="Arial" w:cs="Arial" w:eastAsia="Arial" w:hAnsi="Arial"/>
          <w:sz w:val="19"/>
          <w:szCs w:val="19"/>
          <w:color w:val="auto"/>
        </w:rPr>
        <w:t xml:space="preserve"> for information on future cash dividends.</w:t>
      </w:r>
    </w:p>
    <w:p>
      <w:pPr>
        <w:sectPr>
          <w:pgSz w:w="11880" w:h="15480" w:orient="portrait"/>
          <w:cols w:equalWidth="0" w:num="1">
            <w:col w:w="9120"/>
          </w:cols>
          <w:pgMar w:left="1380" w:top="1310" w:right="1380" w:bottom="66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134</w:t>
      </w:r>
    </w:p>
    <w:p>
      <w:pPr>
        <w:sectPr>
          <w:pgSz w:w="11880" w:h="15480" w:orient="portrait"/>
          <w:cols w:equalWidth="0" w:num="1">
            <w:col w:w="9120"/>
          </w:cols>
          <w:pgMar w:left="1380" w:top="1310" w:right="1380" w:bottom="661" w:gutter="0" w:footer="0" w:header="0"/>
          <w:type w:val="continuous"/>
        </w:sectPr>
      </w:pPr>
    </w:p>
    <w:bookmarkStart w:id="138" w:name="page139"/>
    <w:bookmarkEnd w:id="138"/>
    <w:p>
      <w:pPr>
        <w:spacing w:after="0"/>
        <w:rPr>
          <w:sz w:val="20"/>
          <w:szCs w:val="20"/>
          <w:color w:val="auto"/>
        </w:rPr>
      </w:pPr>
      <w:r>
        <w:rPr>
          <w:rFonts w:ascii="Arial" w:cs="Arial" w:eastAsia="Arial" w:hAnsi="Arial"/>
          <w:sz w:val="20"/>
          <w:szCs w:val="20"/>
          <w:b w:val="1"/>
          <w:bCs w:val="1"/>
          <w:i w:val="1"/>
          <w:iCs w:val="1"/>
          <w:color w:val="auto"/>
        </w:rPr>
        <w:t>Noncontrolling Interests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BSP JV</w:t>
      </w:r>
    </w:p>
    <w:p>
      <w:pPr>
        <w:spacing w:after="0" w:line="201" w:lineRule="exact"/>
        <w:rPr>
          <w:sz w:val="20"/>
          <w:szCs w:val="20"/>
          <w:color w:val="auto"/>
        </w:rPr>
      </w:pPr>
    </w:p>
    <w:p>
      <w:pPr>
        <w:ind w:right="60" w:firstLine="300"/>
        <w:spacing w:after="0" w:line="264" w:lineRule="auto"/>
        <w:rPr>
          <w:sz w:val="20"/>
          <w:szCs w:val="20"/>
          <w:color w:val="auto"/>
        </w:rPr>
      </w:pPr>
      <w:r>
        <w:rPr>
          <w:rFonts w:ascii="Arial" w:cs="Arial" w:eastAsia="Arial" w:hAnsi="Arial"/>
          <w:sz w:val="19"/>
          <w:szCs w:val="19"/>
          <w:color w:val="auto"/>
        </w:rPr>
        <w:t>Our development joint venture with Benefit Street Partners (BSP JV) contemplated that BSP contributed funds to the development of our oil and natural gas properties in exchange for preferred interests in the BSP JV. In September 2021, BSP’s preferred interest was automatically redeemed in full under the terms of the joint venture agreement. Prior to the redemption, we made aggregate distributions to BSP of $50 million in 2021 which reduced noncontrolling interest on our consolidated balance sheet and was reported as a financing cash outflow on our consolidated statement of cash flows.</w:t>
      </w:r>
    </w:p>
    <w:p>
      <w:pPr>
        <w:spacing w:after="0" w:line="185" w:lineRule="exact"/>
        <w:rPr>
          <w:sz w:val="20"/>
          <w:szCs w:val="20"/>
          <w:color w:val="auto"/>
        </w:rPr>
      </w:pPr>
    </w:p>
    <w:p>
      <w:pPr>
        <w:ind w:right="200" w:firstLine="300"/>
        <w:spacing w:after="0" w:line="249" w:lineRule="auto"/>
        <w:rPr>
          <w:sz w:val="20"/>
          <w:szCs w:val="20"/>
          <w:color w:val="auto"/>
        </w:rPr>
      </w:pPr>
      <w:r>
        <w:rPr>
          <w:rFonts w:ascii="Arial" w:cs="Arial" w:eastAsia="Arial" w:hAnsi="Arial"/>
          <w:sz w:val="20"/>
          <w:szCs w:val="20"/>
          <w:color w:val="auto"/>
        </w:rPr>
        <w:t>BSP’s preferred interest was reported in equity on our consolidated balance sheets and BSP’s share of net income (loss) was reported in net income attributable to noncontrolling interests in our consolidated statements of operations for all periods prior to redemption. Upon redemption, we reallocated the remaining balance of $7 million in noncontrolling interest and increased our additional paid-in capital by the same amount.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Ares JV</w:t>
      </w:r>
    </w:p>
    <w:p>
      <w:pPr>
        <w:spacing w:after="0" w:line="197" w:lineRule="exact"/>
        <w:rPr>
          <w:sz w:val="20"/>
          <w:szCs w:val="20"/>
          <w:color w:val="auto"/>
        </w:rPr>
      </w:pPr>
    </w:p>
    <w:p>
      <w:pPr>
        <w:ind w:left="300"/>
        <w:spacing w:after="0"/>
        <w:rPr>
          <w:sz w:val="20"/>
          <w:szCs w:val="20"/>
          <w:color w:val="auto"/>
        </w:rPr>
      </w:pPr>
      <w:r>
        <w:rPr>
          <w:rFonts w:ascii="Arial" w:cs="Arial" w:eastAsia="Arial" w:hAnsi="Arial"/>
          <w:sz w:val="20"/>
          <w:szCs w:val="20"/>
          <w:color w:val="auto"/>
        </w:rPr>
        <w:t xml:space="preserve">See </w:t>
      </w:r>
      <w:r>
        <w:rPr>
          <w:rFonts w:ascii="Arial" w:cs="Arial" w:eastAsia="Arial" w:hAnsi="Arial"/>
          <w:sz w:val="20"/>
          <w:szCs w:val="20"/>
          <w:i w:val="1"/>
          <w:iCs w:val="1"/>
          <w:color w:val="auto"/>
        </w:rPr>
        <w:t>Note 15 Chapter 11 Proceedings</w:t>
      </w:r>
      <w:r>
        <w:rPr>
          <w:rFonts w:ascii="Arial" w:cs="Arial" w:eastAsia="Arial" w:hAnsi="Arial"/>
          <w:sz w:val="20"/>
          <w:szCs w:val="20"/>
          <w:color w:val="auto"/>
        </w:rPr>
        <w:t xml:space="preserve"> for information on our Ares JV and Settlement Agreement.</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Warrants</w:t>
      </w:r>
    </w:p>
    <w:p>
      <w:pPr>
        <w:spacing w:after="0" w:line="202" w:lineRule="exact"/>
        <w:rPr>
          <w:sz w:val="20"/>
          <w:szCs w:val="20"/>
          <w:color w:val="auto"/>
        </w:rPr>
      </w:pPr>
    </w:p>
    <w:p>
      <w:pPr>
        <w:ind w:right="200" w:firstLine="300"/>
        <w:spacing w:after="0" w:line="249" w:lineRule="auto"/>
        <w:rPr>
          <w:sz w:val="20"/>
          <w:szCs w:val="20"/>
          <w:color w:val="auto"/>
        </w:rPr>
      </w:pPr>
      <w:r>
        <w:rPr>
          <w:rFonts w:ascii="Arial" w:cs="Arial" w:eastAsia="Arial" w:hAnsi="Arial"/>
          <w:sz w:val="20"/>
          <w:szCs w:val="20"/>
          <w:color w:val="auto"/>
        </w:rPr>
        <w:t xml:space="preserve">On the Effective Date, we issued warrants exercisable for an aggregate 4,384,182 shares of Successor common stock. The warrants are exercisable at an exercise price of $36 per share until October 2024. The Warrant Agreement contains customary anti-dilution adjustments in the event of any stock split, reverse stock split, stock dividend, equity awards under our Management Incentive Plan or other distributions. The warrant holder may elect, in its sole discretion, to pay cash or to exercise on a cashless basis, pursuant to which the holder will not be required to pay cash for shares of common stock upon exercise of the warrant but will instead receive fewer shares. See </w:t>
      </w:r>
      <w:r>
        <w:rPr>
          <w:rFonts w:ascii="Arial" w:cs="Arial" w:eastAsia="Arial" w:hAnsi="Arial"/>
          <w:sz w:val="20"/>
          <w:szCs w:val="20"/>
          <w:i w:val="1"/>
          <w:iCs w:val="1"/>
          <w:color w:val="auto"/>
        </w:rPr>
        <w:t>Note 16</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Fresh Start Accounting </w:t>
      </w:r>
      <w:r>
        <w:rPr>
          <w:rFonts w:ascii="Arial" w:cs="Arial" w:eastAsia="Arial" w:hAnsi="Arial"/>
          <w:sz w:val="20"/>
          <w:szCs w:val="20"/>
          <w:color w:val="auto"/>
        </w:rPr>
        <w:t>for additional information.</w:t>
      </w:r>
    </w:p>
    <w:p>
      <w:pPr>
        <w:spacing w:after="0" w:line="198" w:lineRule="exact"/>
        <w:rPr>
          <w:sz w:val="20"/>
          <w:szCs w:val="20"/>
          <w:color w:val="auto"/>
        </w:rPr>
      </w:pPr>
    </w:p>
    <w:p>
      <w:pPr>
        <w:ind w:right="280" w:firstLine="300"/>
        <w:spacing w:after="0" w:line="245" w:lineRule="auto"/>
        <w:rPr>
          <w:sz w:val="20"/>
          <w:szCs w:val="20"/>
          <w:color w:val="auto"/>
        </w:rPr>
      </w:pPr>
      <w:r>
        <w:rPr>
          <w:rFonts w:ascii="Arial" w:cs="Arial" w:eastAsia="Arial" w:hAnsi="Arial"/>
          <w:sz w:val="20"/>
          <w:szCs w:val="20"/>
          <w:color w:val="auto"/>
        </w:rPr>
        <w:t>As of December 31, 2022, we had outstanding warrants exercisable into 4,295,434 shares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Accumulated Other Comprehensive Income (Loss)</w:t>
      </w:r>
    </w:p>
    <w:p>
      <w:pPr>
        <w:spacing w:after="0" w:line="202" w:lineRule="exact"/>
        <w:rPr>
          <w:sz w:val="20"/>
          <w:szCs w:val="20"/>
          <w:color w:val="auto"/>
        </w:rPr>
      </w:pPr>
    </w:p>
    <w:p>
      <w:pPr>
        <w:ind w:right="220" w:firstLine="300"/>
        <w:spacing w:after="0" w:line="248" w:lineRule="auto"/>
        <w:rPr>
          <w:sz w:val="20"/>
          <w:szCs w:val="20"/>
          <w:color w:val="auto"/>
        </w:rPr>
      </w:pPr>
      <w:r>
        <w:rPr>
          <w:rFonts w:ascii="Arial" w:cs="Arial" w:eastAsia="Arial" w:hAnsi="Arial"/>
          <w:sz w:val="20"/>
          <w:szCs w:val="20"/>
          <w:color w:val="auto"/>
        </w:rPr>
        <w:t>Accumulated other comprehensive income (loss) consists of unrealized gains (losses) associated with our pension and postretirement benefit plans. The components of Accumulated Other Comprehensive Income (Loss) at December 31, 2022 and 2021 consisted of the following: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241"/>
              <w:spacing w:after="0"/>
              <w:rPr>
                <w:sz w:val="20"/>
                <w:szCs w:val="20"/>
                <w:color w:val="auto"/>
              </w:rPr>
            </w:pPr>
            <w:r>
              <w:rPr>
                <w:rFonts w:ascii="Arial" w:cs="Arial" w:eastAsia="Arial" w:hAnsi="Arial"/>
                <w:sz w:val="20"/>
                <w:szCs w:val="20"/>
                <w:b w:val="1"/>
                <w:bCs w:val="1"/>
                <w:color w:val="auto"/>
              </w:rPr>
              <w:t>Total</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21"/>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44"/>
        </w:trPr>
        <w:tc>
          <w:tcPr>
            <w:tcW w:w="7960" w:type="dxa"/>
            <w:vAlign w:val="bottom"/>
          </w:tcPr>
          <w:p>
            <w:pPr>
              <w:spacing w:after="0"/>
              <w:rPr>
                <w:sz w:val="20"/>
                <w:szCs w:val="20"/>
                <w:color w:val="auto"/>
              </w:rPr>
            </w:pPr>
            <w:r>
              <w:rPr>
                <w:rFonts w:ascii="Arial" w:cs="Arial" w:eastAsia="Arial" w:hAnsi="Arial"/>
                <w:sz w:val="20"/>
                <w:szCs w:val="20"/>
                <w:b w:val="1"/>
                <w:bCs w:val="1"/>
                <w:color w:val="auto"/>
                <w:w w:val="98"/>
              </w:rPr>
              <w:t xml:space="preserve">December 31, 2020 </w:t>
            </w:r>
            <w:r>
              <w:rPr>
                <w:rFonts w:ascii="Arial" w:cs="Arial" w:eastAsia="Arial" w:hAnsi="Arial"/>
                <w:sz w:val="20"/>
                <w:szCs w:val="20"/>
                <w:color w:val="auto"/>
                <w:w w:val="98"/>
              </w:rPr>
              <w:t>. . . . . . . . . . . . . . . . . . . . . . . . . . . . . . . . . . . . . . . . . . . . . . . . . . . . . . . .</w:t>
            </w:r>
          </w:p>
        </w:tc>
        <w:tc>
          <w:tcPr>
            <w:tcW w:w="120" w:type="dxa"/>
            <w:vAlign w:val="bottom"/>
          </w:tcPr>
          <w:p>
            <w:pPr>
              <w:jc w:val="right"/>
              <w:spacing w:after="0"/>
              <w:rPr>
                <w:sz w:val="20"/>
                <w:szCs w:val="20"/>
                <w:color w:val="auto"/>
              </w:rPr>
            </w:pPr>
            <w:r>
              <w:rPr>
                <w:rFonts w:ascii="Arial" w:cs="Arial" w:eastAsia="Arial" w:hAnsi="Arial"/>
                <w:sz w:val="20"/>
                <w:szCs w:val="20"/>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(8)</w:t>
            </w:r>
          </w:p>
        </w:tc>
        <w:tc>
          <w:tcPr>
            <w:tcW w:w="0" w:type="dxa"/>
            <w:vAlign w:val="bottom"/>
          </w:tcPr>
          <w:p>
            <w:pPr>
              <w:spacing w:after="0"/>
              <w:rPr>
                <w:sz w:val="1"/>
                <w:szCs w:val="1"/>
                <w:color w:val="auto"/>
              </w:rPr>
            </w:pPr>
          </w:p>
        </w:tc>
      </w:tr>
      <w:tr>
        <w:trPr>
          <w:trHeight w:val="30"/>
        </w:trPr>
        <w:tc>
          <w:tcPr>
            <w:tcW w:w="7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0"/>
                <w:szCs w:val="20"/>
                <w:color w:val="auto"/>
              </w:rPr>
              <w:t>Other comprehensive income before taxes  . . . . . . . . . . . . . . . . . . . . . . . . . . . . . . . . . . . . .</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80</w:t>
            </w:r>
          </w:p>
        </w:tc>
        <w:tc>
          <w:tcPr>
            <w:tcW w:w="0" w:type="dxa"/>
            <w:vAlign w:val="bottom"/>
          </w:tcPr>
          <w:p>
            <w:pPr>
              <w:spacing w:after="0"/>
              <w:rPr>
                <w:sz w:val="1"/>
                <w:szCs w:val="1"/>
                <w:color w:val="auto"/>
              </w:rPr>
            </w:pPr>
          </w:p>
        </w:tc>
      </w:tr>
      <w:tr>
        <w:trPr>
          <w:trHeight w:val="240"/>
        </w:trPr>
        <w:tc>
          <w:tcPr>
            <w:tcW w:w="7960" w:type="dxa"/>
            <w:vAlign w:val="bottom"/>
          </w:tcPr>
          <w:p>
            <w:pPr>
              <w:spacing w:after="0"/>
              <w:rPr>
                <w:sz w:val="20"/>
                <w:szCs w:val="20"/>
                <w:color w:val="auto"/>
              </w:rPr>
            </w:pPr>
            <w:r>
              <w:rPr>
                <w:rFonts w:ascii="Arial" w:cs="Arial" w:eastAsia="Arial" w:hAnsi="Arial"/>
                <w:sz w:val="20"/>
                <w:szCs w:val="20"/>
                <w:color w:val="auto"/>
                <w:w w:val="98"/>
              </w:rPr>
              <w:t>Tax effects . . . . . . . . . . . . . . . . . . . . . . . . . . . . . . . . . . . . . . . . . . . . . . . . . . . . . . . . . . . . . . . .</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
        </w:trPr>
        <w:tc>
          <w:tcPr>
            <w:tcW w:w="7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0"/>
                <w:szCs w:val="20"/>
                <w:color w:val="auto"/>
                <w:w w:val="99"/>
              </w:rPr>
              <w:t>Other comprehensive income  . . . . . . . . . . . . . . . . . . . . . . . . . . . . . . . . . . . . . . . . . . . . . . . .</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80</w:t>
            </w:r>
          </w:p>
        </w:tc>
        <w:tc>
          <w:tcPr>
            <w:tcW w:w="0" w:type="dxa"/>
            <w:vAlign w:val="bottom"/>
          </w:tcPr>
          <w:p>
            <w:pPr>
              <w:spacing w:after="0"/>
              <w:rPr>
                <w:sz w:val="1"/>
                <w:szCs w:val="1"/>
                <w:color w:val="auto"/>
              </w:rPr>
            </w:pPr>
          </w:p>
        </w:tc>
      </w:tr>
      <w:tr>
        <w:trPr>
          <w:trHeight w:val="30"/>
        </w:trPr>
        <w:tc>
          <w:tcPr>
            <w:tcW w:w="7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0"/>
                <w:szCs w:val="20"/>
                <w:b w:val="1"/>
                <w:bCs w:val="1"/>
                <w:color w:val="auto"/>
                <w:w w:val="98"/>
              </w:rPr>
              <w:t xml:space="preserve">December 31, 2021 </w:t>
            </w:r>
            <w:r>
              <w:rPr>
                <w:rFonts w:ascii="Arial" w:cs="Arial" w:eastAsia="Arial" w:hAnsi="Arial"/>
                <w:sz w:val="20"/>
                <w:szCs w:val="20"/>
                <w:color w:val="auto"/>
                <w:w w:val="98"/>
              </w:rPr>
              <w:t>. . . . . . . . . . . . . . . . . . . . . . . . . . . . . . . . . . . . . . . . . . . . . . . . . . . . . . . .</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72</w:t>
            </w:r>
          </w:p>
        </w:tc>
        <w:tc>
          <w:tcPr>
            <w:tcW w:w="0" w:type="dxa"/>
            <w:vAlign w:val="bottom"/>
          </w:tcPr>
          <w:p>
            <w:pPr>
              <w:spacing w:after="0"/>
              <w:rPr>
                <w:sz w:val="1"/>
                <w:szCs w:val="1"/>
                <w:color w:val="auto"/>
              </w:rPr>
            </w:pPr>
          </w:p>
        </w:tc>
      </w:tr>
      <w:tr>
        <w:trPr>
          <w:trHeight w:val="30"/>
        </w:trPr>
        <w:tc>
          <w:tcPr>
            <w:tcW w:w="7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0"/>
                <w:szCs w:val="20"/>
                <w:color w:val="auto"/>
              </w:rPr>
              <w:t>Other comprehensive income before taxes  . . . . . . . . . . . . . . . . . . . . . . . . . . . . . . . . . . . . .</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40"/>
        </w:trPr>
        <w:tc>
          <w:tcPr>
            <w:tcW w:w="7960" w:type="dxa"/>
            <w:vAlign w:val="bottom"/>
          </w:tcPr>
          <w:p>
            <w:pPr>
              <w:spacing w:after="0"/>
              <w:rPr>
                <w:sz w:val="20"/>
                <w:szCs w:val="20"/>
                <w:color w:val="auto"/>
              </w:rPr>
            </w:pPr>
            <w:r>
              <w:rPr>
                <w:rFonts w:ascii="Arial" w:cs="Arial" w:eastAsia="Arial" w:hAnsi="Arial"/>
                <w:sz w:val="20"/>
                <w:szCs w:val="20"/>
                <w:color w:val="auto"/>
                <w:w w:val="98"/>
              </w:rPr>
              <w:t>Tax effects . . . . . . . . . . . . . . . . . . . . . . . . . . . . . . . . . . . . . . . . . . . . . . . . . . . . . . . . . . . . . . . .</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30"/>
        </w:trPr>
        <w:tc>
          <w:tcPr>
            <w:tcW w:w="7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0"/>
                <w:szCs w:val="20"/>
                <w:color w:val="auto"/>
                <w:w w:val="99"/>
              </w:rPr>
              <w:t>Other comprehensive income  . . . . . . . . . . . . . . . . . . . . . . . . . . . . . . . . . . . . . . . . . . . . . . . .</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30"/>
        </w:trPr>
        <w:tc>
          <w:tcPr>
            <w:tcW w:w="7960" w:type="dxa"/>
            <w:vAlign w:val="bottom"/>
            <w:vMerge w:val="restart"/>
          </w:tcPr>
          <w:p>
            <w:pPr>
              <w:spacing w:after="0"/>
              <w:rPr>
                <w:sz w:val="20"/>
                <w:szCs w:val="20"/>
                <w:color w:val="auto"/>
              </w:rPr>
            </w:pPr>
            <w:r>
              <w:rPr>
                <w:rFonts w:ascii="Arial" w:cs="Arial" w:eastAsia="Arial" w:hAnsi="Arial"/>
                <w:sz w:val="20"/>
                <w:szCs w:val="20"/>
                <w:b w:val="1"/>
                <w:bCs w:val="1"/>
                <w:color w:val="auto"/>
                <w:w w:val="98"/>
              </w:rPr>
              <w:t xml:space="preserve">December 31, 2022 </w:t>
            </w:r>
            <w:r>
              <w:rPr>
                <w:rFonts w:ascii="Arial" w:cs="Arial" w:eastAsia="Arial" w:hAnsi="Arial"/>
                <w:sz w:val="20"/>
                <w:szCs w:val="20"/>
                <w:color w:val="auto"/>
                <w:w w:val="98"/>
              </w:rPr>
              <w:t>. . . . . . . . . . . . . . . . . . . . . . . . . . . . . . . . . . . . . . . . . . . . . . . . . . . . . . . .</w:t>
            </w: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7960" w:type="dxa"/>
            <w:vAlign w:val="bottom"/>
            <w:vMerge w:val="continue"/>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81</w:t>
            </w:r>
          </w:p>
        </w:tc>
        <w:tc>
          <w:tcPr>
            <w:tcW w:w="0" w:type="dxa"/>
            <w:vAlign w:val="bottom"/>
          </w:tcPr>
          <w:p>
            <w:pPr>
              <w:spacing w:after="0"/>
              <w:rPr>
                <w:sz w:val="1"/>
                <w:szCs w:val="1"/>
                <w:color w:val="auto"/>
              </w:rPr>
            </w:pPr>
          </w:p>
        </w:tc>
      </w:tr>
      <w:tr>
        <w:trPr>
          <w:trHeight w:val="30"/>
        </w:trPr>
        <w:tc>
          <w:tcPr>
            <w:tcW w:w="7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311" w:right="1380" w:bottom="661" w:gutter="0" w:footer="0" w:header="0"/>
        </w:sectPr>
      </w:pPr>
    </w:p>
    <w:p>
      <w:pPr>
        <w:spacing w:after="0" w:line="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135</w:t>
      </w:r>
    </w:p>
    <w:p>
      <w:pPr>
        <w:sectPr>
          <w:pgSz w:w="11880" w:h="15480" w:orient="portrait"/>
          <w:cols w:equalWidth="0" w:num="1">
            <w:col w:w="9120"/>
          </w:cols>
          <w:pgMar w:left="1380" w:top="1311" w:right="1380" w:bottom="661" w:gutter="0" w:footer="0" w:header="0"/>
          <w:type w:val="continuous"/>
        </w:sectPr>
      </w:pPr>
    </w:p>
    <w:bookmarkStart w:id="139" w:name="page140"/>
    <w:bookmarkEnd w:id="139"/>
    <w:p>
      <w:pPr>
        <w:ind w:right="380" w:firstLine="300"/>
        <w:spacing w:after="0" w:line="247" w:lineRule="auto"/>
        <w:rPr>
          <w:sz w:val="20"/>
          <w:szCs w:val="20"/>
          <w:color w:val="auto"/>
        </w:rPr>
      </w:pPr>
      <w:r>
        <w:rPr>
          <w:rFonts w:ascii="Arial" w:cs="Arial" w:eastAsia="Arial" w:hAnsi="Arial"/>
          <w:sz w:val="20"/>
          <w:szCs w:val="20"/>
          <w:color w:val="auto"/>
        </w:rPr>
        <w:t xml:space="preserve">The elimination of Predecessor equity balances as part of fresh start accounting resulted in a reclassification of $23 million of accumulated other comprehensive loss to additional paid-in capital upon emergence from bankruptcy. See </w:t>
      </w:r>
      <w:r>
        <w:rPr>
          <w:rFonts w:ascii="Arial" w:cs="Arial" w:eastAsia="Arial" w:hAnsi="Arial"/>
          <w:sz w:val="20"/>
          <w:szCs w:val="20"/>
          <w:i w:val="1"/>
          <w:iCs w:val="1"/>
          <w:color w:val="auto"/>
        </w:rPr>
        <w:t>Note 16 Fresh Start Accounting</w:t>
      </w:r>
      <w:r>
        <w:rPr>
          <w:rFonts w:ascii="Arial" w:cs="Arial" w:eastAsia="Arial" w:hAnsi="Arial"/>
          <w:sz w:val="20"/>
          <w:szCs w:val="20"/>
          <w:color w:val="auto"/>
        </w:rPr>
        <w:t xml:space="preserve"> for additional information.</w:t>
      </w:r>
    </w:p>
    <w:p>
      <w:pPr>
        <w:spacing w:after="0" w:line="204"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NOTE 12</w:t>
      </w:r>
      <w:r>
        <w:rPr>
          <w:sz w:val="20"/>
          <w:szCs w:val="20"/>
          <w:color w:val="auto"/>
        </w:rPr>
        <w:tab/>
      </w:r>
      <w:r>
        <w:rPr>
          <w:rFonts w:ascii="Arial" w:cs="Arial" w:eastAsia="Arial" w:hAnsi="Arial"/>
          <w:sz w:val="19"/>
          <w:szCs w:val="19"/>
          <w:b w:val="1"/>
          <w:bCs w:val="1"/>
          <w:color w:val="auto"/>
        </w:rPr>
        <w:t>EARNINGS PER SHARE</w:t>
      </w:r>
    </w:p>
    <w:p>
      <w:pPr>
        <w:spacing w:after="0" w:line="216"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 xml:space="preserve">Basic and diluted earnings per share (EPS) were calculated using the treasury stock method for the Successor periods and the two-class method, which is required when there are participating securities, for the Predecessor periods. Certain of our restricted and performance stock unit awards outstanding prior to our emergence from bankruptcy were considered participating securities because they had non-forfeitable dividend rights at the same rate as our pre-emergence common stock. Our restricted and performance stock unit awards granted subsequent to our emergence from bankruptcy, as described in </w:t>
      </w:r>
      <w:r>
        <w:rPr>
          <w:rFonts w:ascii="Arial" w:cs="Arial" w:eastAsia="Arial" w:hAnsi="Arial"/>
          <w:sz w:val="20"/>
          <w:szCs w:val="20"/>
          <w:i w:val="1"/>
          <w:iCs w:val="1"/>
          <w:color w:val="auto"/>
        </w:rPr>
        <w:t>Note 10 Stock-Based Compensation</w:t>
      </w:r>
      <w:r>
        <w:rPr>
          <w:rFonts w:ascii="Arial" w:cs="Arial" w:eastAsia="Arial" w:hAnsi="Arial"/>
          <w:sz w:val="20"/>
          <w:szCs w:val="20"/>
          <w:color w:val="auto"/>
        </w:rPr>
        <w:t>, are not considered participating securities since the dividend rights on unvested shares are forfeitable.</w:t>
      </w:r>
    </w:p>
    <w:p>
      <w:pPr>
        <w:spacing w:after="0" w:line="211" w:lineRule="exact"/>
        <w:rPr>
          <w:sz w:val="20"/>
          <w:szCs w:val="20"/>
          <w:color w:val="auto"/>
        </w:rPr>
      </w:pPr>
    </w:p>
    <w:p>
      <w:pPr>
        <w:ind w:right="640" w:firstLine="300"/>
        <w:spacing w:after="0" w:line="248" w:lineRule="auto"/>
        <w:rPr>
          <w:sz w:val="20"/>
          <w:szCs w:val="20"/>
          <w:color w:val="auto"/>
        </w:rPr>
      </w:pPr>
      <w:r>
        <w:rPr>
          <w:rFonts w:ascii="Arial" w:cs="Arial" w:eastAsia="Arial" w:hAnsi="Arial"/>
          <w:sz w:val="20"/>
          <w:szCs w:val="20"/>
          <w:color w:val="auto"/>
        </w:rPr>
        <w:t>Under the two-class method, undistributed earnings allocated to participating securities are subtracted from net income attributable to common stock in determining net income available to common stockholders. In loss periods, no allocation is made to participating securities because participating securities do not share in losses.</w:t>
      </w:r>
    </w:p>
    <w:p>
      <w:pPr>
        <w:spacing w:after="0" w:line="209" w:lineRule="exact"/>
        <w:rPr>
          <w:sz w:val="20"/>
          <w:szCs w:val="20"/>
          <w:color w:val="auto"/>
        </w:rPr>
      </w:pPr>
    </w:p>
    <w:p>
      <w:pPr>
        <w:ind w:right="140" w:firstLine="300"/>
        <w:spacing w:after="0" w:line="249" w:lineRule="auto"/>
        <w:rPr>
          <w:sz w:val="20"/>
          <w:szCs w:val="20"/>
          <w:color w:val="auto"/>
        </w:rPr>
      </w:pPr>
      <w:r>
        <w:rPr>
          <w:rFonts w:ascii="Arial" w:cs="Arial" w:eastAsia="Arial" w:hAnsi="Arial"/>
          <w:sz w:val="20"/>
          <w:szCs w:val="20"/>
          <w:color w:val="auto"/>
        </w:rPr>
        <w:t>For basic EPS, the weighted-average number of common shares outstanding excludes underlying shares related to equity-settled awards and warrants. For diluted EPS, the basic shares outstanding are adjusted by adding potential common shares, if dilutive. Under the treasury stock method, we assume that proceeds from the exercise of options, warrants and similar instruments are used to purchase common stock at average market price of our stock each period. For PSUs, we use the</w:t>
      </w:r>
    </w:p>
    <w:p>
      <w:pPr>
        <w:spacing w:after="0" w:line="7" w:lineRule="exact"/>
        <w:rPr>
          <w:sz w:val="20"/>
          <w:szCs w:val="20"/>
          <w:color w:val="auto"/>
        </w:rPr>
      </w:pPr>
    </w:p>
    <w:p>
      <w:pPr>
        <w:ind w:right="240"/>
        <w:spacing w:after="0" w:line="248" w:lineRule="auto"/>
        <w:rPr>
          <w:sz w:val="20"/>
          <w:szCs w:val="20"/>
          <w:color w:val="auto"/>
        </w:rPr>
      </w:pPr>
      <w:r>
        <w:rPr>
          <w:rFonts w:ascii="Arial" w:cs="Arial" w:eastAsia="Arial" w:hAnsi="Arial"/>
          <w:sz w:val="20"/>
          <w:szCs w:val="20"/>
          <w:color w:val="auto"/>
        </w:rPr>
        <w:t>60-trading day volume weighted-average prices of our common stock to determine the percentage earned for each period and the number of potential common shares included in diluted EPS. An insignificant number of potential common shares were not earned, and therefore were not treated as issued in our diluted EPS calculation for the year ended December 31, 2022.</w:t>
      </w:r>
    </w:p>
    <w:p>
      <w:pPr>
        <w:sectPr>
          <w:pgSz w:w="11880" w:h="15480" w:orient="portrait"/>
          <w:cols w:equalWidth="0" w:num="1">
            <w:col w:w="9100"/>
          </w:cols>
          <w:pgMar w:left="1380" w:top="1316" w:right="140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136</w:t>
      </w:r>
    </w:p>
    <w:p>
      <w:pPr>
        <w:sectPr>
          <w:pgSz w:w="11880" w:h="15480" w:orient="portrait"/>
          <w:cols w:equalWidth="0" w:num="1">
            <w:col w:w="9100"/>
          </w:cols>
          <w:pgMar w:left="1380" w:top="1316" w:right="1400" w:bottom="661" w:gutter="0" w:footer="0" w:header="0"/>
          <w:type w:val="continuous"/>
        </w:sectPr>
      </w:pPr>
    </w:p>
    <w:bookmarkStart w:id="140" w:name="page141"/>
    <w:bookmarkEnd w:id="140"/>
    <w:p>
      <w:pPr>
        <w:ind w:left="300"/>
        <w:spacing w:after="0"/>
        <w:rPr>
          <w:sz w:val="20"/>
          <w:szCs w:val="20"/>
          <w:color w:val="auto"/>
        </w:rPr>
      </w:pPr>
      <w:r>
        <w:rPr>
          <w:rFonts w:ascii="Arial" w:cs="Arial" w:eastAsia="Arial" w:hAnsi="Arial"/>
          <w:sz w:val="20"/>
          <w:szCs w:val="20"/>
          <w:color w:val="auto"/>
        </w:rPr>
        <w:t>The following table presents the calculation of basic and diluted EPS.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Successor</w:t>
            </w: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193"/>
        </w:trPr>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40"/>
              <w:spacing w:after="0" w:line="193" w:lineRule="exact"/>
              <w:rPr>
                <w:sz w:val="20"/>
                <w:szCs w:val="20"/>
                <w:color w:val="auto"/>
              </w:rPr>
            </w:pPr>
            <w:r>
              <w:rPr>
                <w:rFonts w:ascii="Arial" w:cs="Arial" w:eastAsia="Arial" w:hAnsi="Arial"/>
                <w:sz w:val="18"/>
                <w:szCs w:val="18"/>
                <w:b w:val="1"/>
                <w:bCs w:val="1"/>
                <w:color w:val="auto"/>
              </w:rPr>
              <w:t>Year ended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40"/>
              <w:spacing w:after="0" w:line="193" w:lineRule="exact"/>
              <w:rPr>
                <w:sz w:val="20"/>
                <w:szCs w:val="20"/>
                <w:color w:val="auto"/>
              </w:rPr>
            </w:pPr>
            <w:r>
              <w:rPr>
                <w:rFonts w:ascii="Arial" w:cs="Arial" w:eastAsia="Arial" w:hAnsi="Arial"/>
                <w:sz w:val="18"/>
                <w:szCs w:val="18"/>
                <w:b w:val="1"/>
                <w:bCs w:val="1"/>
                <w:color w:val="auto"/>
              </w:rPr>
              <w:t>Year ended</w:t>
            </w:r>
          </w:p>
        </w:tc>
        <w:tc>
          <w:tcPr>
            <w:tcW w:w="172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November 1, 2020 -</w:t>
            </w:r>
          </w:p>
        </w:tc>
        <w:tc>
          <w:tcPr>
            <w:tcW w:w="20" w:type="dxa"/>
            <w:vAlign w:val="bottom"/>
            <w:shd w:val="clear" w:color="auto" w:fill="000000"/>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7"/>
              </w:rPr>
              <w:t>January 1, 2020 -</w:t>
            </w:r>
          </w:p>
        </w:tc>
        <w:tc>
          <w:tcPr>
            <w:tcW w:w="0" w:type="dxa"/>
            <w:vAlign w:val="bottom"/>
          </w:tcPr>
          <w:p>
            <w:pPr>
              <w:spacing w:after="0"/>
              <w:rPr>
                <w:sz w:val="1"/>
                <w:szCs w:val="1"/>
                <w:color w:val="auto"/>
              </w:rPr>
            </w:pPr>
          </w:p>
        </w:tc>
      </w:tr>
      <w:tr>
        <w:trPr>
          <w:trHeight w:val="167"/>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3"/>
          </w:tcPr>
          <w:p>
            <w:pPr>
              <w:jc w:val="center"/>
              <w:ind w:right="120"/>
              <w:spacing w:after="0" w:line="168" w:lineRule="exact"/>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40"/>
              <w:spacing w:after="0" w:line="168" w:lineRule="exact"/>
              <w:rPr>
                <w:sz w:val="20"/>
                <w:szCs w:val="20"/>
                <w:color w:val="auto"/>
              </w:rPr>
            </w:pPr>
            <w:r>
              <w:rPr>
                <w:rFonts w:ascii="Arial" w:cs="Arial" w:eastAsia="Arial" w:hAnsi="Arial"/>
                <w:sz w:val="18"/>
                <w:szCs w:val="18"/>
                <w:b w:val="1"/>
                <w:bCs w:val="1"/>
                <w:color w:val="auto"/>
              </w:rPr>
              <w:t>December 31,</w:t>
            </w:r>
          </w:p>
        </w:tc>
        <w:tc>
          <w:tcPr>
            <w:tcW w:w="1720" w:type="dxa"/>
            <w:vAlign w:val="bottom"/>
            <w:gridSpan w:val="5"/>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26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720" w:type="dxa"/>
            <w:vAlign w:val="bottom"/>
            <w:gridSpan w:val="5"/>
            <w:vMerge w:val="restart"/>
          </w:tcPr>
          <w:p>
            <w:pPr>
              <w:spacing w:after="0" w:line="203" w:lineRule="exact"/>
              <w:rPr>
                <w:sz w:val="20"/>
                <w:szCs w:val="20"/>
                <w:color w:val="auto"/>
              </w:rPr>
            </w:pPr>
            <w:r>
              <w:rPr>
                <w:rFonts w:ascii="Arial" w:cs="Arial" w:eastAsia="Arial" w:hAnsi="Arial"/>
                <w:sz w:val="18"/>
                <w:szCs w:val="18"/>
                <w:b w:val="1"/>
                <w:bCs w:val="1"/>
                <w:color w:val="auto"/>
              </w:rPr>
              <w:t>December 31, 2020</w:t>
            </w:r>
          </w:p>
        </w:tc>
        <w:tc>
          <w:tcPr>
            <w:tcW w:w="20" w:type="dxa"/>
            <w:vAlign w:val="bottom"/>
            <w:tcBorders>
              <w:bottom w:val="single" w:sz="8" w:color="auto"/>
            </w:tcBorders>
            <w:shd w:val="clear" w:color="auto" w:fill="000000"/>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2"/>
            <w:vMerge w:val="restart"/>
          </w:tcPr>
          <w:p>
            <w:pPr>
              <w:spacing w:after="0" w:line="203" w:lineRule="exact"/>
              <w:rPr>
                <w:sz w:val="20"/>
                <w:szCs w:val="20"/>
                <w:color w:val="auto"/>
              </w:rPr>
            </w:pPr>
            <w:r>
              <w:rPr>
                <w:rFonts w:ascii="Arial" w:cs="Arial" w:eastAsia="Arial" w:hAnsi="Arial"/>
                <w:sz w:val="18"/>
                <w:szCs w:val="18"/>
                <w:b w:val="1"/>
                <w:bCs w:val="1"/>
                <w:color w:val="auto"/>
                <w:w w:val="98"/>
              </w:rPr>
              <w:t>October 31, 2020</w:t>
            </w:r>
          </w:p>
        </w:tc>
        <w:tc>
          <w:tcPr>
            <w:tcW w:w="0" w:type="dxa"/>
            <w:vAlign w:val="bottom"/>
          </w:tcPr>
          <w:p>
            <w:pPr>
              <w:spacing w:after="0"/>
              <w:rPr>
                <w:sz w:val="1"/>
                <w:szCs w:val="1"/>
                <w:color w:val="auto"/>
              </w:rPr>
            </w:pPr>
          </w:p>
        </w:tc>
      </w:tr>
      <w:tr>
        <w:trPr>
          <w:trHeight w:val="123"/>
        </w:trPr>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9"/>
              </w:rPr>
              <w:t>2022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0"/>
                <w:szCs w:val="10"/>
                <w:color w:val="auto"/>
              </w:rPr>
            </w:pPr>
          </w:p>
        </w:tc>
        <w:tc>
          <w:tcPr>
            <w:tcW w:w="1720" w:type="dxa"/>
            <w:vAlign w:val="bottom"/>
            <w:gridSpan w:val="5"/>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2620" w:type="dxa"/>
            <w:vAlign w:val="bottom"/>
            <w:vMerge w:val="restart"/>
          </w:tcPr>
          <w:p>
            <w:pPr>
              <w:spacing w:after="0"/>
              <w:rPr>
                <w:sz w:val="20"/>
                <w:szCs w:val="20"/>
                <w:color w:val="auto"/>
              </w:rPr>
            </w:pPr>
            <w:r>
              <w:rPr>
                <w:rFonts w:ascii="Arial" w:cs="Arial" w:eastAsia="Arial" w:hAnsi="Arial"/>
                <w:sz w:val="18"/>
                <w:szCs w:val="18"/>
                <w:color w:val="auto"/>
              </w:rPr>
              <w:t>(in millions, except per share</w:t>
            </w: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620" w:type="dxa"/>
            <w:vAlign w:val="bottom"/>
          </w:tcPr>
          <w:p>
            <w:pPr>
              <w:spacing w:after="0" w:line="201" w:lineRule="exact"/>
              <w:rPr>
                <w:sz w:val="20"/>
                <w:szCs w:val="20"/>
                <w:color w:val="auto"/>
              </w:rPr>
            </w:pPr>
            <w:r>
              <w:rPr>
                <w:rFonts w:ascii="Arial" w:cs="Arial" w:eastAsia="Arial" w:hAnsi="Arial"/>
                <w:sz w:val="18"/>
                <w:szCs w:val="18"/>
                <w:color w:val="auto"/>
              </w:rPr>
              <w:t>amounts)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620" w:type="dxa"/>
            <w:vAlign w:val="bottom"/>
          </w:tcPr>
          <w:p>
            <w:pPr>
              <w:spacing w:after="0"/>
              <w:rPr>
                <w:sz w:val="20"/>
                <w:szCs w:val="20"/>
                <w:color w:val="auto"/>
              </w:rPr>
            </w:pPr>
            <w:r>
              <w:rPr>
                <w:rFonts w:ascii="Arial" w:cs="Arial" w:eastAsia="Arial" w:hAnsi="Arial"/>
                <w:sz w:val="18"/>
                <w:szCs w:val="18"/>
                <w:b w:val="1"/>
                <w:bCs w:val="1"/>
                <w:color w:val="auto"/>
              </w:rPr>
              <w:t>Numerator for Basic and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620" w:type="dxa"/>
            <w:vAlign w:val="bottom"/>
          </w:tcPr>
          <w:p>
            <w:pPr>
              <w:spacing w:after="0"/>
              <w:rPr>
                <w:sz w:val="20"/>
                <w:szCs w:val="20"/>
                <w:color w:val="auto"/>
              </w:rPr>
            </w:pPr>
            <w:r>
              <w:rPr>
                <w:rFonts w:ascii="Arial" w:cs="Arial" w:eastAsia="Arial" w:hAnsi="Arial"/>
                <w:sz w:val="18"/>
                <w:szCs w:val="18"/>
                <w:b w:val="1"/>
                <w:bCs w:val="1"/>
                <w:color w:val="auto"/>
              </w:rPr>
              <w:t>Diluted EPS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620" w:type="dxa"/>
            <w:vAlign w:val="bottom"/>
          </w:tcPr>
          <w:p>
            <w:pPr>
              <w:ind w:left="180"/>
              <w:spacing w:after="0"/>
              <w:rPr>
                <w:sz w:val="20"/>
                <w:szCs w:val="20"/>
                <w:color w:val="auto"/>
              </w:rPr>
            </w:pPr>
            <w:r>
              <w:rPr>
                <w:rFonts w:ascii="Arial" w:cs="Arial" w:eastAsia="Arial" w:hAnsi="Arial"/>
                <w:sz w:val="18"/>
                <w:szCs w:val="18"/>
                <w:color w:val="auto"/>
              </w:rPr>
              <w:t>Net income (loss)  . . . . . . . .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524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625</w:t>
            </w:r>
          </w:p>
        </w:tc>
        <w:tc>
          <w:tcPr>
            <w:tcW w:w="108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20"/>
        </w:trPr>
        <w:tc>
          <w:tcPr>
            <w:tcW w:w="2620" w:type="dxa"/>
            <w:vAlign w:val="bottom"/>
          </w:tcPr>
          <w:p>
            <w:pPr>
              <w:ind w:left="180"/>
              <w:spacing w:after="0"/>
              <w:rPr>
                <w:sz w:val="20"/>
                <w:szCs w:val="20"/>
                <w:color w:val="auto"/>
              </w:rPr>
            </w:pPr>
            <w:r>
              <w:rPr>
                <w:rFonts w:ascii="Arial" w:cs="Arial" w:eastAsia="Arial" w:hAnsi="Arial"/>
                <w:sz w:val="18"/>
                <w:szCs w:val="18"/>
                <w:color w:val="auto"/>
              </w:rPr>
              <w:t>Less: Net income attributable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620" w:type="dxa"/>
            <w:vAlign w:val="bottom"/>
          </w:tcPr>
          <w:p>
            <w:pPr>
              <w:ind w:left="180"/>
              <w:spacing w:after="0"/>
              <w:rPr>
                <w:sz w:val="20"/>
                <w:szCs w:val="20"/>
                <w:color w:val="auto"/>
              </w:rPr>
            </w:pPr>
            <w:r>
              <w:rPr>
                <w:rFonts w:ascii="Arial" w:cs="Arial" w:eastAsia="Arial" w:hAnsi="Arial"/>
                <w:sz w:val="18"/>
                <w:szCs w:val="18"/>
                <w:color w:val="auto"/>
              </w:rPr>
              <w:t>to noncontrolling interests . .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34"/>
        </w:trPr>
        <w:tc>
          <w:tcPr>
            <w:tcW w:w="2620" w:type="dxa"/>
            <w:vAlign w:val="bottom"/>
            <w:vMerge w:val="restart"/>
          </w:tcPr>
          <w:p>
            <w:pPr>
              <w:ind w:left="180"/>
              <w:spacing w:after="0"/>
              <w:rPr>
                <w:sz w:val="20"/>
                <w:szCs w:val="20"/>
                <w:color w:val="auto"/>
              </w:rPr>
            </w:pPr>
            <w:r>
              <w:rPr>
                <w:rFonts w:ascii="Arial" w:cs="Arial" w:eastAsia="Arial" w:hAnsi="Arial"/>
                <w:sz w:val="18"/>
                <w:szCs w:val="18"/>
                <w:color w:val="auto"/>
              </w:rPr>
              <w:t>Net income (loss) attributable</w:t>
            </w: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26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620" w:type="dxa"/>
            <w:vAlign w:val="bottom"/>
          </w:tcPr>
          <w:p>
            <w:pPr>
              <w:ind w:left="180"/>
              <w:spacing w:after="0"/>
              <w:rPr>
                <w:sz w:val="20"/>
                <w:szCs w:val="20"/>
                <w:color w:val="auto"/>
              </w:rPr>
            </w:pPr>
            <w:r>
              <w:rPr>
                <w:rFonts w:ascii="Arial" w:cs="Arial" w:eastAsia="Arial" w:hAnsi="Arial"/>
                <w:sz w:val="18"/>
                <w:szCs w:val="18"/>
                <w:color w:val="auto"/>
              </w:rPr>
              <w:t>to common stock . . . . . . . . .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612</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20"/>
        </w:trPr>
        <w:tc>
          <w:tcPr>
            <w:tcW w:w="2620" w:type="dxa"/>
            <w:vAlign w:val="bottom"/>
          </w:tcPr>
          <w:p>
            <w:pPr>
              <w:ind w:left="180"/>
              <w:spacing w:after="0"/>
              <w:rPr>
                <w:sz w:val="20"/>
                <w:szCs w:val="20"/>
                <w:color w:val="auto"/>
              </w:rPr>
            </w:pPr>
            <w:r>
              <w:rPr>
                <w:rFonts w:ascii="Arial" w:cs="Arial" w:eastAsia="Arial" w:hAnsi="Arial"/>
                <w:sz w:val="18"/>
                <w:szCs w:val="18"/>
                <w:color w:val="auto"/>
              </w:rPr>
              <w:t>Less: Net income allocated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620" w:type="dxa"/>
            <w:vAlign w:val="bottom"/>
          </w:tcPr>
          <w:p>
            <w:pPr>
              <w:ind w:left="180"/>
              <w:spacing w:after="0"/>
              <w:rPr>
                <w:sz w:val="20"/>
                <w:szCs w:val="20"/>
                <w:color w:val="auto"/>
              </w:rPr>
            </w:pPr>
            <w:r>
              <w:rPr>
                <w:rFonts w:ascii="Arial" w:cs="Arial" w:eastAsia="Arial" w:hAnsi="Arial"/>
                <w:sz w:val="18"/>
                <w:szCs w:val="18"/>
                <w:color w:val="auto"/>
              </w:rPr>
              <w:t>to participating securities  . .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0"/>
        </w:trPr>
        <w:tc>
          <w:tcPr>
            <w:tcW w:w="2620" w:type="dxa"/>
            <w:vAlign w:val="bottom"/>
          </w:tcPr>
          <w:p>
            <w:pPr>
              <w:ind w:left="180"/>
              <w:spacing w:after="0"/>
              <w:rPr>
                <w:sz w:val="20"/>
                <w:szCs w:val="20"/>
                <w:color w:val="auto"/>
              </w:rPr>
            </w:pPr>
            <w:r>
              <w:rPr>
                <w:rFonts w:ascii="Arial" w:cs="Arial" w:eastAsia="Arial" w:hAnsi="Arial"/>
                <w:sz w:val="18"/>
                <w:szCs w:val="18"/>
                <w:color w:val="auto"/>
              </w:rPr>
              <w:t>Modification of noncontrolling</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620" w:type="dxa"/>
            <w:vAlign w:val="bottom"/>
          </w:tcPr>
          <w:p>
            <w:pPr>
              <w:ind w:left="180"/>
              <w:spacing w:after="0" w:line="254" w:lineRule="exact"/>
              <w:rPr>
                <w:sz w:val="20"/>
                <w:szCs w:val="20"/>
                <w:color w:val="auto"/>
              </w:rPr>
            </w:pPr>
            <w:r>
              <w:rPr>
                <w:rFonts w:ascii="Arial" w:cs="Arial" w:eastAsia="Arial" w:hAnsi="Arial"/>
                <w:sz w:val="18"/>
                <w:szCs w:val="18"/>
                <w:color w:val="auto"/>
                <w:w w:val="97"/>
              </w:rPr>
              <w:t>interest</w:t>
            </w:r>
            <w:r>
              <w:rPr>
                <w:rFonts w:ascii="Arial" w:cs="Arial" w:eastAsia="Arial" w:hAnsi="Arial"/>
                <w:sz w:val="23"/>
                <w:szCs w:val="23"/>
                <w:color w:val="auto"/>
                <w:w w:val="97"/>
                <w:vertAlign w:val="superscript"/>
              </w:rPr>
              <w:t>(a)</w:t>
            </w:r>
            <w:r>
              <w:rPr>
                <w:rFonts w:ascii="Arial" w:cs="Arial" w:eastAsia="Arial" w:hAnsi="Arial"/>
                <w:sz w:val="18"/>
                <w:szCs w:val="18"/>
                <w:color w:val="auto"/>
                <w:w w:val="97"/>
              </w:rPr>
              <w:t xml:space="preserve">   . . . . . . . . . . . . . . . .</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6"/>
        </w:trPr>
        <w:tc>
          <w:tcPr>
            <w:tcW w:w="2620" w:type="dxa"/>
            <w:vAlign w:val="bottom"/>
          </w:tcPr>
          <w:p>
            <w:pPr>
              <w:ind w:left="180"/>
              <w:spacing w:after="0"/>
              <w:rPr>
                <w:sz w:val="20"/>
                <w:szCs w:val="20"/>
                <w:color w:val="auto"/>
              </w:rPr>
            </w:pPr>
            <w:r>
              <w:rPr>
                <w:rFonts w:ascii="Arial" w:cs="Arial" w:eastAsia="Arial" w:hAnsi="Arial"/>
                <w:sz w:val="18"/>
                <w:szCs w:val="18"/>
                <w:color w:val="auto"/>
              </w:rPr>
              <w:t>Net (loss) income available</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shd w:val="clear" w:color="auto" w:fill="000000"/>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620" w:type="dxa"/>
            <w:vAlign w:val="bottom"/>
          </w:tcPr>
          <w:p>
            <w:pPr>
              <w:ind w:left="180"/>
              <w:spacing w:after="0"/>
              <w:rPr>
                <w:sz w:val="20"/>
                <w:szCs w:val="20"/>
                <w:color w:val="auto"/>
              </w:rPr>
            </w:pPr>
            <w:r>
              <w:rPr>
                <w:rFonts w:ascii="Arial" w:cs="Arial" w:eastAsia="Arial" w:hAnsi="Arial"/>
                <w:sz w:val="18"/>
                <w:szCs w:val="18"/>
                <w:color w:val="auto"/>
              </w:rPr>
              <w:t>to common stockholders . . .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524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612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34"/>
        </w:trPr>
        <w:tc>
          <w:tcPr>
            <w:tcW w:w="2620" w:type="dxa"/>
            <w:vAlign w:val="bottom"/>
            <w:vMerge w:val="restart"/>
          </w:tcPr>
          <w:p>
            <w:pPr>
              <w:spacing w:after="0"/>
              <w:rPr>
                <w:sz w:val="20"/>
                <w:szCs w:val="20"/>
                <w:color w:val="auto"/>
              </w:rPr>
            </w:pPr>
            <w:r>
              <w:rPr>
                <w:rFonts w:ascii="Arial" w:cs="Arial" w:eastAsia="Arial" w:hAnsi="Arial"/>
                <w:sz w:val="18"/>
                <w:szCs w:val="18"/>
                <w:b w:val="1"/>
                <w:bCs w:val="1"/>
                <w:color w:val="auto"/>
              </w:rPr>
              <w:t>Denominator for Basic EPS</w:t>
            </w: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26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620" w:type="dxa"/>
            <w:vAlign w:val="bottom"/>
            <w:vMerge w:val="restart"/>
          </w:tcPr>
          <w:p>
            <w:pPr>
              <w:ind w:left="180"/>
              <w:spacing w:after="0"/>
              <w:rPr>
                <w:sz w:val="20"/>
                <w:szCs w:val="20"/>
                <w:color w:val="auto"/>
              </w:rPr>
            </w:pPr>
            <w:r>
              <w:rPr>
                <w:rFonts w:ascii="Arial" w:cs="Arial" w:eastAsia="Arial" w:hAnsi="Arial"/>
                <w:sz w:val="18"/>
                <w:szCs w:val="18"/>
                <w:color w:val="auto"/>
              </w:rPr>
              <w:t>Weighted-average common</w:t>
            </w: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26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620" w:type="dxa"/>
            <w:vAlign w:val="bottom"/>
          </w:tcPr>
          <w:p>
            <w:pPr>
              <w:ind w:left="180"/>
              <w:spacing w:after="0"/>
              <w:rPr>
                <w:sz w:val="20"/>
                <w:szCs w:val="20"/>
                <w:color w:val="auto"/>
              </w:rPr>
            </w:pPr>
            <w:r>
              <w:rPr>
                <w:rFonts w:ascii="Arial" w:cs="Arial" w:eastAsia="Arial" w:hAnsi="Arial"/>
                <w:sz w:val="18"/>
                <w:szCs w:val="18"/>
                <w:color w:val="auto"/>
              </w:rPr>
              <w:t>shares  . . . . . . . . . . . . . . . . .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82.0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83.3</w:t>
            </w:r>
          </w:p>
        </w:tc>
        <w:tc>
          <w:tcPr>
            <w:tcW w:w="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34"/>
        </w:trPr>
        <w:tc>
          <w:tcPr>
            <w:tcW w:w="2620" w:type="dxa"/>
            <w:vAlign w:val="bottom"/>
            <w:vMerge w:val="restart"/>
          </w:tcPr>
          <w:p>
            <w:pPr>
              <w:spacing w:after="0"/>
              <w:rPr>
                <w:sz w:val="20"/>
                <w:szCs w:val="20"/>
                <w:color w:val="auto"/>
              </w:rPr>
            </w:pPr>
            <w:r>
              <w:rPr>
                <w:rFonts w:ascii="Arial" w:cs="Arial" w:eastAsia="Arial" w:hAnsi="Arial"/>
                <w:sz w:val="18"/>
                <w:szCs w:val="18"/>
                <w:color w:val="auto"/>
              </w:rPr>
              <w:t>Potential dilutive common</w:t>
            </w: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26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620" w:type="dxa"/>
            <w:vAlign w:val="bottom"/>
          </w:tcPr>
          <w:p>
            <w:pPr>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620" w:type="dxa"/>
            <w:vAlign w:val="bottom"/>
          </w:tcPr>
          <w:p>
            <w:pPr>
              <w:ind w:left="360"/>
              <w:spacing w:after="0"/>
              <w:rPr>
                <w:sz w:val="20"/>
                <w:szCs w:val="20"/>
                <w:color w:val="auto"/>
              </w:rPr>
            </w:pPr>
            <w:r>
              <w:rPr>
                <w:rFonts w:ascii="Arial" w:cs="Arial" w:eastAsia="Arial" w:hAnsi="Arial"/>
                <w:sz w:val="18"/>
                <w:szCs w:val="18"/>
                <w:color w:val="auto"/>
              </w:rPr>
              <w:t>Restricted Stock Units . . .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0"/>
        </w:trPr>
        <w:tc>
          <w:tcPr>
            <w:tcW w:w="2620" w:type="dxa"/>
            <w:vAlign w:val="bottom"/>
          </w:tcPr>
          <w:p>
            <w:pPr>
              <w:ind w:left="360"/>
              <w:spacing w:after="0"/>
              <w:rPr>
                <w:sz w:val="20"/>
                <w:szCs w:val="20"/>
                <w:color w:val="auto"/>
              </w:rPr>
            </w:pPr>
            <w:r>
              <w:rPr>
                <w:rFonts w:ascii="Arial" w:cs="Arial" w:eastAsia="Arial" w:hAnsi="Arial"/>
                <w:sz w:val="18"/>
                <w:szCs w:val="18"/>
                <w:color w:val="auto"/>
              </w:rPr>
              <w:t>Performance Stock</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620" w:type="dxa"/>
            <w:vAlign w:val="bottom"/>
          </w:tcPr>
          <w:p>
            <w:pPr>
              <w:ind w:left="360"/>
              <w:spacing w:after="0"/>
              <w:rPr>
                <w:sz w:val="20"/>
                <w:szCs w:val="20"/>
                <w:color w:val="auto"/>
              </w:rPr>
            </w:pPr>
            <w:r>
              <w:rPr>
                <w:rFonts w:ascii="Arial" w:cs="Arial" w:eastAsia="Arial" w:hAnsi="Arial"/>
                <w:sz w:val="18"/>
                <w:szCs w:val="18"/>
                <w:color w:val="auto"/>
              </w:rPr>
              <w:t>Units . . . . . . . . . . . . . . . . .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2620" w:type="dxa"/>
            <w:vAlign w:val="bottom"/>
          </w:tcPr>
          <w:p>
            <w:pPr>
              <w:ind w:left="360"/>
              <w:spacing w:after="0"/>
              <w:rPr>
                <w:sz w:val="20"/>
                <w:szCs w:val="20"/>
                <w:color w:val="auto"/>
              </w:rPr>
            </w:pPr>
            <w:r>
              <w:rPr>
                <w:rFonts w:ascii="Arial" w:cs="Arial" w:eastAsia="Arial" w:hAnsi="Arial"/>
                <w:sz w:val="18"/>
                <w:szCs w:val="18"/>
                <w:color w:val="auto"/>
              </w:rPr>
              <w:t>Warrants . . . . . . . . . . . . . .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40"/>
        </w:trPr>
        <w:tc>
          <w:tcPr>
            <w:tcW w:w="2620" w:type="dxa"/>
            <w:vAlign w:val="bottom"/>
          </w:tcPr>
          <w:p>
            <w:pPr>
              <w:spacing w:after="0"/>
              <w:rPr>
                <w:sz w:val="20"/>
                <w:szCs w:val="20"/>
                <w:color w:val="auto"/>
              </w:rPr>
            </w:pPr>
            <w:r>
              <w:rPr>
                <w:rFonts w:ascii="Arial" w:cs="Arial" w:eastAsia="Arial" w:hAnsi="Arial"/>
                <w:sz w:val="18"/>
                <w:szCs w:val="18"/>
                <w:b w:val="1"/>
                <w:bCs w:val="1"/>
                <w:color w:val="auto"/>
              </w:rPr>
              <w:t>Denominator for Diluted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620" w:type="dxa"/>
            <w:vAlign w:val="bottom"/>
          </w:tcPr>
          <w:p>
            <w:pPr>
              <w:spacing w:after="0"/>
              <w:rPr>
                <w:sz w:val="20"/>
                <w:szCs w:val="20"/>
                <w:color w:val="auto"/>
              </w:rPr>
            </w:pPr>
            <w:r>
              <w:rPr>
                <w:rFonts w:ascii="Arial" w:cs="Arial" w:eastAsia="Arial" w:hAnsi="Arial"/>
                <w:sz w:val="18"/>
                <w:szCs w:val="18"/>
                <w:b w:val="1"/>
                <w:bCs w:val="1"/>
                <w:color w:val="auto"/>
              </w:rPr>
              <w:t>Earnings per Share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620" w:type="dxa"/>
            <w:vAlign w:val="bottom"/>
            <w:vMerge w:val="restart"/>
          </w:tcPr>
          <w:p>
            <w:pPr>
              <w:ind w:left="180"/>
              <w:spacing w:after="0"/>
              <w:rPr>
                <w:sz w:val="20"/>
                <w:szCs w:val="20"/>
                <w:color w:val="auto"/>
              </w:rPr>
            </w:pPr>
            <w:r>
              <w:rPr>
                <w:rFonts w:ascii="Arial" w:cs="Arial" w:eastAsia="Arial" w:hAnsi="Arial"/>
                <w:sz w:val="18"/>
                <w:szCs w:val="18"/>
                <w:color w:val="auto"/>
              </w:rPr>
              <w:t>Weighted-average shares -</w:t>
            </w: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26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620" w:type="dxa"/>
            <w:vAlign w:val="bottom"/>
          </w:tcPr>
          <w:p>
            <w:pPr>
              <w:ind w:left="180"/>
              <w:spacing w:after="0"/>
              <w:rPr>
                <w:sz w:val="20"/>
                <w:szCs w:val="20"/>
                <w:color w:val="auto"/>
              </w:rPr>
            </w:pPr>
            <w:r>
              <w:rPr>
                <w:rFonts w:ascii="Arial" w:cs="Arial" w:eastAsia="Arial" w:hAnsi="Arial"/>
                <w:sz w:val="18"/>
                <w:szCs w:val="18"/>
                <w:color w:val="auto"/>
                <w:w w:val="99"/>
              </w:rPr>
              <w:t>diluted . . . . . . . . . . . . . . . . . .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83.3</w:t>
            </w:r>
          </w:p>
        </w:tc>
        <w:tc>
          <w:tcPr>
            <w:tcW w:w="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34"/>
        </w:trPr>
        <w:tc>
          <w:tcPr>
            <w:tcW w:w="2620" w:type="dxa"/>
            <w:vAlign w:val="bottom"/>
            <w:vMerge w:val="restart"/>
          </w:tcPr>
          <w:p>
            <w:pPr>
              <w:spacing w:after="0"/>
              <w:rPr>
                <w:sz w:val="20"/>
                <w:szCs w:val="20"/>
                <w:color w:val="auto"/>
              </w:rPr>
            </w:pPr>
            <w:r>
              <w:rPr>
                <w:rFonts w:ascii="Arial" w:cs="Arial" w:eastAsia="Arial" w:hAnsi="Arial"/>
                <w:sz w:val="18"/>
                <w:szCs w:val="18"/>
                <w:b w:val="1"/>
                <w:bCs w:val="1"/>
                <w:color w:val="auto"/>
              </w:rPr>
              <w:t>EPS</w:t>
            </w: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6"/>
        </w:trPr>
        <w:tc>
          <w:tcPr>
            <w:tcW w:w="26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620" w:type="dxa"/>
            <w:vAlign w:val="bottom"/>
          </w:tcPr>
          <w:p>
            <w:pPr>
              <w:ind w:left="180"/>
              <w:spacing w:after="0"/>
              <w:rPr>
                <w:sz w:val="20"/>
                <w:szCs w:val="20"/>
                <w:color w:val="auto"/>
              </w:rPr>
            </w:pPr>
            <w:r>
              <w:rPr>
                <w:rFonts w:ascii="Arial" w:cs="Arial" w:eastAsia="Arial" w:hAnsi="Arial"/>
                <w:sz w:val="18"/>
                <w:szCs w:val="18"/>
                <w:color w:val="auto"/>
                <w:w w:val="99"/>
              </w:rPr>
              <w:t>Basic . . . . . . . . . . . . . . . . . . .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6.94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7.46</w:t>
            </w:r>
          </w:p>
        </w:tc>
        <w:tc>
          <w:tcPr>
            <w:tcW w:w="108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(1.48)</w:t>
            </w:r>
          </w:p>
        </w:tc>
        <w:tc>
          <w:tcPr>
            <w:tcW w:w="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40.59</w:t>
            </w:r>
          </w:p>
        </w:tc>
        <w:tc>
          <w:tcPr>
            <w:tcW w:w="0" w:type="dxa"/>
            <w:vAlign w:val="bottom"/>
          </w:tcPr>
          <w:p>
            <w:pPr>
              <w:spacing w:after="0"/>
              <w:rPr>
                <w:sz w:val="1"/>
                <w:szCs w:val="1"/>
                <w:color w:val="auto"/>
              </w:rPr>
            </w:pPr>
          </w:p>
        </w:tc>
      </w:tr>
      <w:tr>
        <w:trPr>
          <w:trHeight w:val="179"/>
        </w:trPr>
        <w:tc>
          <w:tcPr>
            <w:tcW w:w="2620" w:type="dxa"/>
            <w:vAlign w:val="bottom"/>
            <w:vMerge w:val="restart"/>
          </w:tcPr>
          <w:p>
            <w:pPr>
              <w:ind w:left="180"/>
              <w:spacing w:after="0"/>
              <w:rPr>
                <w:sz w:val="20"/>
                <w:szCs w:val="20"/>
                <w:color w:val="auto"/>
              </w:rPr>
            </w:pPr>
            <w:r>
              <w:rPr>
                <w:rFonts w:ascii="Arial" w:cs="Arial" w:eastAsia="Arial" w:hAnsi="Arial"/>
                <w:sz w:val="18"/>
                <w:szCs w:val="18"/>
                <w:color w:val="auto"/>
              </w:rPr>
              <w:t>Diluted  . . . . . . . . . . . . . . . . . .</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6.75</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7.37</w:t>
            </w:r>
          </w:p>
        </w:tc>
        <w:tc>
          <w:tcPr>
            <w:tcW w:w="1080" w:type="dxa"/>
            <w:vAlign w:val="bottom"/>
            <w:gridSpan w:val="2"/>
            <w:vMerge w:val="restart"/>
          </w:tcPr>
          <w:p>
            <w:pPr>
              <w:jc w:val="right"/>
              <w:ind w:right="900"/>
              <w:spacing w:after="0"/>
              <w:rPr>
                <w:sz w:val="20"/>
                <w:szCs w:val="20"/>
                <w:color w:val="auto"/>
              </w:rPr>
            </w:pPr>
            <w:r>
              <w:rPr>
                <w:rFonts w:ascii="Arial" w:cs="Arial" w:eastAsia="Arial" w:hAnsi="Arial"/>
                <w:sz w:val="18"/>
                <w:szCs w:val="18"/>
                <w:color w:val="auto"/>
              </w:rPr>
              <w:t>$</w:t>
            </w: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3"/>
              </w:rPr>
              <w:t>(1.48)</w:t>
            </w:r>
          </w:p>
        </w:tc>
        <w:tc>
          <w:tcPr>
            <w:tcW w:w="80" w:type="dxa"/>
            <w:vAlign w:val="bottom"/>
            <w:vMerge w:val="restart"/>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4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40.42</w:t>
            </w:r>
          </w:p>
        </w:tc>
        <w:tc>
          <w:tcPr>
            <w:tcW w:w="0" w:type="dxa"/>
            <w:vAlign w:val="bottom"/>
          </w:tcPr>
          <w:p>
            <w:pPr>
              <w:spacing w:after="0"/>
              <w:rPr>
                <w:sz w:val="1"/>
                <w:szCs w:val="1"/>
                <w:color w:val="auto"/>
              </w:rPr>
            </w:pPr>
          </w:p>
        </w:tc>
      </w:tr>
      <w:tr>
        <w:trPr>
          <w:trHeight w:val="41"/>
        </w:trPr>
        <w:tc>
          <w:tcPr>
            <w:tcW w:w="2620" w:type="dxa"/>
            <w:vAlign w:val="bottom"/>
            <w:vMerge w:val="continue"/>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1460" w:type="dxa"/>
            <w:vAlign w:val="bottom"/>
            <w:gridSpan w:val="2"/>
            <w:vMerge w:val="continue"/>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560" w:type="dxa"/>
            <w:vAlign w:val="bottom"/>
            <w:gridSpan w:val="2"/>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13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jc w:val="both"/>
        <w:ind w:right="40"/>
        <w:spacing w:after="0" w:line="287" w:lineRule="auto"/>
        <w:tabs>
          <w:tab w:leader="none" w:pos="239" w:val="left"/>
        </w:tabs>
        <w:numPr>
          <w:ilvl w:val="0"/>
          <w:numId w:val="57"/>
        </w:numPr>
        <w:rPr>
          <w:rFonts w:ascii="Arial" w:cs="Arial" w:eastAsia="Arial" w:hAnsi="Arial"/>
          <w:sz w:val="15"/>
          <w:szCs w:val="15"/>
          <w:color w:val="auto"/>
        </w:rPr>
      </w:pPr>
      <w:r>
        <w:rPr>
          <w:rFonts w:ascii="Arial" w:cs="Arial" w:eastAsia="Arial" w:hAnsi="Arial"/>
          <w:sz w:val="15"/>
          <w:szCs w:val="15"/>
          <w:color w:val="auto"/>
        </w:rPr>
        <w:t xml:space="preserve">Modification of noncontrolling interest relates to the deemed redemption of ECR’s noncontrolling interest in the Ares JV in the third quarter of 2020. For more information on the Ares JV and the Settlement Agreement, see </w:t>
      </w:r>
      <w:r>
        <w:rPr>
          <w:rFonts w:ascii="Arial" w:cs="Arial" w:eastAsia="Arial" w:hAnsi="Arial"/>
          <w:sz w:val="15"/>
          <w:szCs w:val="15"/>
          <w:i w:val="1"/>
          <w:iCs w:val="1"/>
          <w:color w:val="auto"/>
        </w:rPr>
        <w:t>Note 15 Chapter 11 Proceedings</w:t>
      </w:r>
      <w:r>
        <w:rPr>
          <w:rFonts w:ascii="Arial" w:cs="Arial" w:eastAsia="Arial" w:hAnsi="Arial"/>
          <w:sz w:val="15"/>
          <w:szCs w:val="15"/>
          <w:color w:val="auto"/>
        </w:rPr>
        <w:t>.</w:t>
      </w:r>
    </w:p>
    <w:p>
      <w:pPr>
        <w:sectPr>
          <w:pgSz w:w="11880" w:h="15480" w:orient="portrait"/>
          <w:cols w:equalWidth="0" w:num="1">
            <w:col w:w="9120"/>
          </w:cols>
          <w:pgMar w:left="1380" w:top="1310" w:right="138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137</w:t>
      </w:r>
    </w:p>
    <w:p>
      <w:pPr>
        <w:sectPr>
          <w:pgSz w:w="11880" w:h="15480" w:orient="portrait"/>
          <w:cols w:equalWidth="0" w:num="1">
            <w:col w:w="9120"/>
          </w:cols>
          <w:pgMar w:left="1380" w:top="1310" w:right="1380" w:bottom="661" w:gutter="0" w:footer="0" w:header="0"/>
          <w:type w:val="continuous"/>
        </w:sectPr>
      </w:pPr>
    </w:p>
    <w:bookmarkStart w:id="141" w:name="page142"/>
    <w:bookmarkEnd w:id="141"/>
    <w:p>
      <w:pPr>
        <w:ind w:right="520" w:firstLine="300"/>
        <w:spacing w:after="0" w:line="243" w:lineRule="auto"/>
        <w:rPr>
          <w:sz w:val="20"/>
          <w:szCs w:val="20"/>
          <w:color w:val="auto"/>
        </w:rPr>
      </w:pPr>
      <w:r>
        <w:rPr>
          <w:rFonts w:ascii="Arial" w:cs="Arial" w:eastAsia="Arial" w:hAnsi="Arial"/>
          <w:sz w:val="20"/>
          <w:szCs w:val="20"/>
          <w:color w:val="auto"/>
        </w:rPr>
        <w:t>The following table presents potentially dilutive weighted-average common shares which were excluded from the denominator for diluted earnings per share: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66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Successor</w:t>
            </w:r>
          </w:p>
        </w:tc>
        <w:tc>
          <w:tcPr>
            <w:tcW w:w="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193"/>
        </w:trPr>
        <w:tc>
          <w:tcPr>
            <w:tcW w:w="2660" w:type="dxa"/>
            <w:vAlign w:val="bottom"/>
          </w:tcPr>
          <w:p>
            <w:pPr>
              <w:spacing w:after="0"/>
              <w:rPr>
                <w:sz w:val="16"/>
                <w:szCs w:val="16"/>
                <w:color w:val="auto"/>
              </w:rPr>
            </w:pPr>
          </w:p>
        </w:tc>
        <w:tc>
          <w:tcPr>
            <w:tcW w:w="1520" w:type="dxa"/>
            <w:vAlign w:val="bottom"/>
          </w:tcPr>
          <w:p>
            <w:pPr>
              <w:jc w:val="center"/>
              <w:spacing w:after="0" w:line="193" w:lineRule="exact"/>
              <w:rPr>
                <w:sz w:val="20"/>
                <w:szCs w:val="20"/>
                <w:color w:val="auto"/>
              </w:rPr>
            </w:pPr>
            <w:r>
              <w:rPr>
                <w:rFonts w:ascii="Arial" w:cs="Arial" w:eastAsia="Arial" w:hAnsi="Arial"/>
                <w:sz w:val="18"/>
                <w:szCs w:val="18"/>
                <w:b w:val="1"/>
                <w:bCs w:val="1"/>
                <w:color w:val="auto"/>
                <w:w w:val="98"/>
              </w:rPr>
              <w:t>Year ended</w:t>
            </w:r>
          </w:p>
        </w:tc>
        <w:tc>
          <w:tcPr>
            <w:tcW w:w="80" w:type="dxa"/>
            <w:vAlign w:val="bottom"/>
          </w:tcPr>
          <w:p>
            <w:pPr>
              <w:spacing w:after="0"/>
              <w:rPr>
                <w:sz w:val="16"/>
                <w:szCs w:val="16"/>
                <w:color w:val="auto"/>
              </w:rPr>
            </w:pPr>
          </w:p>
        </w:tc>
        <w:tc>
          <w:tcPr>
            <w:tcW w:w="1540" w:type="dxa"/>
            <w:vAlign w:val="bottom"/>
          </w:tcPr>
          <w:p>
            <w:pPr>
              <w:jc w:val="center"/>
              <w:spacing w:after="0" w:line="193" w:lineRule="exact"/>
              <w:rPr>
                <w:sz w:val="20"/>
                <w:szCs w:val="20"/>
                <w:color w:val="auto"/>
              </w:rPr>
            </w:pPr>
            <w:r>
              <w:rPr>
                <w:rFonts w:ascii="Arial" w:cs="Arial" w:eastAsia="Arial" w:hAnsi="Arial"/>
                <w:sz w:val="18"/>
                <w:szCs w:val="18"/>
                <w:b w:val="1"/>
                <w:bCs w:val="1"/>
                <w:color w:val="auto"/>
              </w:rPr>
              <w:t>Year ended</w:t>
            </w:r>
          </w:p>
        </w:tc>
        <w:tc>
          <w:tcPr>
            <w:tcW w:w="80" w:type="dxa"/>
            <w:vAlign w:val="bottom"/>
          </w:tcPr>
          <w:p>
            <w:pPr>
              <w:spacing w:after="0"/>
              <w:rPr>
                <w:sz w:val="16"/>
                <w:szCs w:val="16"/>
                <w:color w:val="auto"/>
              </w:rPr>
            </w:pPr>
          </w:p>
        </w:tc>
        <w:tc>
          <w:tcPr>
            <w:tcW w:w="17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November 1, 2020 -</w:t>
            </w:r>
          </w:p>
        </w:tc>
        <w:tc>
          <w:tcPr>
            <w:tcW w:w="8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7"/>
              </w:rPr>
              <w:t>January 1, 2020 -</w:t>
            </w:r>
          </w:p>
        </w:tc>
        <w:tc>
          <w:tcPr>
            <w:tcW w:w="0" w:type="dxa"/>
            <w:vAlign w:val="bottom"/>
          </w:tcPr>
          <w:p>
            <w:pPr>
              <w:spacing w:after="0"/>
              <w:rPr>
                <w:sz w:val="1"/>
                <w:szCs w:val="1"/>
                <w:color w:val="auto"/>
              </w:rPr>
            </w:pPr>
          </w:p>
        </w:tc>
      </w:tr>
      <w:tr>
        <w:trPr>
          <w:trHeight w:val="167"/>
        </w:trPr>
        <w:tc>
          <w:tcPr>
            <w:tcW w:w="2660" w:type="dxa"/>
            <w:vAlign w:val="bottom"/>
          </w:tcPr>
          <w:p>
            <w:pPr>
              <w:spacing w:after="0"/>
              <w:rPr>
                <w:sz w:val="14"/>
                <w:szCs w:val="14"/>
                <w:color w:val="auto"/>
              </w:rPr>
            </w:pPr>
          </w:p>
        </w:tc>
        <w:tc>
          <w:tcPr>
            <w:tcW w:w="1520" w:type="dxa"/>
            <w:vAlign w:val="bottom"/>
          </w:tcPr>
          <w:p>
            <w:pPr>
              <w:jc w:val="center"/>
              <w:spacing w:after="0" w:line="168" w:lineRule="exact"/>
              <w:rPr>
                <w:sz w:val="20"/>
                <w:szCs w:val="20"/>
                <w:color w:val="auto"/>
              </w:rPr>
            </w:pPr>
            <w:r>
              <w:rPr>
                <w:rFonts w:ascii="Arial" w:cs="Arial" w:eastAsia="Arial" w:hAnsi="Arial"/>
                <w:sz w:val="18"/>
                <w:szCs w:val="18"/>
                <w:b w:val="1"/>
                <w:bCs w:val="1"/>
                <w:color w:val="auto"/>
                <w:w w:val="99"/>
              </w:rPr>
              <w:t>December 31,</w:t>
            </w:r>
          </w:p>
        </w:tc>
        <w:tc>
          <w:tcPr>
            <w:tcW w:w="80" w:type="dxa"/>
            <w:vAlign w:val="bottom"/>
          </w:tcPr>
          <w:p>
            <w:pPr>
              <w:spacing w:after="0"/>
              <w:rPr>
                <w:sz w:val="14"/>
                <w:szCs w:val="14"/>
                <w:color w:val="auto"/>
              </w:rPr>
            </w:pPr>
          </w:p>
        </w:tc>
        <w:tc>
          <w:tcPr>
            <w:tcW w:w="1540" w:type="dxa"/>
            <w:vAlign w:val="bottom"/>
          </w:tcPr>
          <w:p>
            <w:pPr>
              <w:jc w:val="center"/>
              <w:spacing w:after="0" w:line="168" w:lineRule="exact"/>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14"/>
                <w:szCs w:val="14"/>
                <w:color w:val="auto"/>
              </w:rPr>
            </w:pPr>
          </w:p>
        </w:tc>
        <w:tc>
          <w:tcPr>
            <w:tcW w:w="172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2660" w:type="dxa"/>
            <w:vAlign w:val="bottom"/>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80" w:type="dxa"/>
            <w:vAlign w:val="bottom"/>
            <w:vMerge w:val="restart"/>
          </w:tcPr>
          <w:p>
            <w:pPr>
              <w:spacing w:after="0"/>
              <w:rPr>
                <w:sz w:val="5"/>
                <w:szCs w:val="5"/>
                <w:color w:val="auto"/>
              </w:rPr>
            </w:pPr>
          </w:p>
        </w:tc>
        <w:tc>
          <w:tcPr>
            <w:tcW w:w="1720" w:type="dxa"/>
            <w:vAlign w:val="bottom"/>
            <w:tcBorders>
              <w:right w:val="single" w:sz="8" w:color="auto"/>
            </w:tcBorders>
            <w:gridSpan w:val="2"/>
            <w:vMerge w:val="restart"/>
          </w:tcPr>
          <w:p>
            <w:pPr>
              <w:spacing w:after="0" w:line="203" w:lineRule="exact"/>
              <w:rPr>
                <w:sz w:val="20"/>
                <w:szCs w:val="20"/>
                <w:color w:val="auto"/>
              </w:rPr>
            </w:pPr>
            <w:r>
              <w:rPr>
                <w:rFonts w:ascii="Arial" w:cs="Arial" w:eastAsia="Arial" w:hAnsi="Arial"/>
                <w:sz w:val="18"/>
                <w:szCs w:val="18"/>
                <w:b w:val="1"/>
                <w:bCs w:val="1"/>
                <w:color w:val="auto"/>
              </w:rPr>
              <w:t>December 31, 2020</w:t>
            </w:r>
          </w:p>
        </w:tc>
        <w:tc>
          <w:tcPr>
            <w:tcW w:w="80" w:type="dxa"/>
            <w:vAlign w:val="bottom"/>
          </w:tcPr>
          <w:p>
            <w:pPr>
              <w:spacing w:after="0"/>
              <w:rPr>
                <w:sz w:val="5"/>
                <w:szCs w:val="5"/>
                <w:color w:val="auto"/>
              </w:rPr>
            </w:pPr>
          </w:p>
        </w:tc>
        <w:tc>
          <w:tcPr>
            <w:tcW w:w="1440" w:type="dxa"/>
            <w:vAlign w:val="bottom"/>
            <w:vMerge w:val="restart"/>
          </w:tcPr>
          <w:p>
            <w:pPr>
              <w:jc w:val="right"/>
              <w:spacing w:after="0" w:line="203" w:lineRule="exact"/>
              <w:rPr>
                <w:sz w:val="20"/>
                <w:szCs w:val="20"/>
                <w:color w:val="auto"/>
              </w:rPr>
            </w:pPr>
            <w:r>
              <w:rPr>
                <w:rFonts w:ascii="Arial" w:cs="Arial" w:eastAsia="Arial" w:hAnsi="Arial"/>
                <w:sz w:val="18"/>
                <w:szCs w:val="18"/>
                <w:b w:val="1"/>
                <w:bCs w:val="1"/>
                <w:color w:val="auto"/>
                <w:w w:val="98"/>
              </w:rPr>
              <w:t>October 31, 2020</w:t>
            </w:r>
          </w:p>
        </w:tc>
        <w:tc>
          <w:tcPr>
            <w:tcW w:w="0" w:type="dxa"/>
            <w:vAlign w:val="bottom"/>
          </w:tcPr>
          <w:p>
            <w:pPr>
              <w:spacing w:after="0"/>
              <w:rPr>
                <w:sz w:val="1"/>
                <w:szCs w:val="1"/>
                <w:color w:val="auto"/>
              </w:rPr>
            </w:pPr>
          </w:p>
        </w:tc>
      </w:tr>
      <w:tr>
        <w:trPr>
          <w:trHeight w:val="123"/>
        </w:trPr>
        <w:tc>
          <w:tcPr>
            <w:tcW w:w="2660" w:type="dxa"/>
            <w:vAlign w:val="bottom"/>
          </w:tcPr>
          <w:p>
            <w:pPr>
              <w:spacing w:after="0"/>
              <w:rPr>
                <w:sz w:val="10"/>
                <w:szCs w:val="10"/>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2022</w:t>
            </w:r>
          </w:p>
        </w:tc>
        <w:tc>
          <w:tcPr>
            <w:tcW w:w="162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9"/>
              </w:rPr>
              <w:t>2021</w:t>
            </w:r>
          </w:p>
        </w:tc>
        <w:tc>
          <w:tcPr>
            <w:tcW w:w="80" w:type="dxa"/>
            <w:vAlign w:val="bottom"/>
            <w:vMerge w:val="continue"/>
          </w:tcPr>
          <w:p>
            <w:pPr>
              <w:spacing w:after="0"/>
              <w:rPr>
                <w:sz w:val="10"/>
                <w:szCs w:val="10"/>
                <w:color w:val="auto"/>
              </w:rPr>
            </w:pPr>
          </w:p>
        </w:tc>
        <w:tc>
          <w:tcPr>
            <w:tcW w:w="1720" w:type="dxa"/>
            <w:vAlign w:val="bottom"/>
            <w:tcBorders>
              <w:right w:val="single" w:sz="8" w:color="auto"/>
            </w:tcBorders>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66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2660" w:type="dxa"/>
            <w:vAlign w:val="bottom"/>
            <w:vMerge w:val="restart"/>
          </w:tcPr>
          <w:p>
            <w:pPr>
              <w:spacing w:after="0"/>
              <w:rPr>
                <w:sz w:val="20"/>
                <w:szCs w:val="20"/>
                <w:color w:val="auto"/>
              </w:rPr>
            </w:pPr>
            <w:r>
              <w:rPr>
                <w:rFonts w:ascii="Arial" w:cs="Arial" w:eastAsia="Arial" w:hAnsi="Arial"/>
                <w:sz w:val="18"/>
                <w:szCs w:val="18"/>
                <w:b w:val="1"/>
                <w:bCs w:val="1"/>
                <w:color w:val="auto"/>
              </w:rPr>
              <w:t>(in millions)</w:t>
            </w: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66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tcPr>
          <w:p>
            <w:pPr>
              <w:spacing w:after="0"/>
              <w:rPr>
                <w:sz w:val="20"/>
                <w:szCs w:val="20"/>
                <w:color w:val="auto"/>
              </w:rPr>
            </w:pPr>
            <w:r>
              <w:rPr>
                <w:rFonts w:ascii="Arial" w:cs="Arial" w:eastAsia="Arial" w:hAnsi="Arial"/>
                <w:sz w:val="18"/>
                <w:szCs w:val="18"/>
                <w:color w:val="auto"/>
              </w:rPr>
              <w:t>Shares issuable upon exercise</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tcPr>
          <w:p>
            <w:pPr>
              <w:spacing w:after="0"/>
              <w:rPr>
                <w:sz w:val="20"/>
                <w:szCs w:val="20"/>
                <w:color w:val="auto"/>
              </w:rPr>
            </w:pPr>
            <w:r>
              <w:rPr>
                <w:rFonts w:ascii="Arial" w:cs="Arial" w:eastAsia="Arial" w:hAnsi="Arial"/>
                <w:sz w:val="18"/>
                <w:szCs w:val="18"/>
                <w:color w:val="auto"/>
              </w:rPr>
              <w:t>of warrants which were issued</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tcPr>
          <w:p>
            <w:pPr>
              <w:spacing w:after="0"/>
              <w:rPr>
                <w:sz w:val="20"/>
                <w:szCs w:val="20"/>
                <w:color w:val="auto"/>
              </w:rPr>
            </w:pPr>
            <w:r>
              <w:rPr>
                <w:rFonts w:ascii="Arial" w:cs="Arial" w:eastAsia="Arial" w:hAnsi="Arial"/>
                <w:sz w:val="18"/>
                <w:szCs w:val="18"/>
                <w:color w:val="auto"/>
              </w:rPr>
              <w:t>at emergence from</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tcPr>
          <w:p>
            <w:pPr>
              <w:spacing w:after="0"/>
              <w:rPr>
                <w:sz w:val="20"/>
                <w:szCs w:val="20"/>
                <w:color w:val="auto"/>
              </w:rPr>
            </w:pPr>
            <w:r>
              <w:rPr>
                <w:rFonts w:ascii="Arial" w:cs="Arial" w:eastAsia="Arial" w:hAnsi="Arial"/>
                <w:sz w:val="18"/>
                <w:szCs w:val="18"/>
                <w:color w:val="auto"/>
              </w:rPr>
              <w:t>bankruptcy  . . . . . . . . . . . . . . . . .</w:t>
            </w:r>
          </w:p>
        </w:tc>
        <w:tc>
          <w:tcPr>
            <w:tcW w:w="1520" w:type="dxa"/>
            <w:vAlign w:val="bottom"/>
          </w:tcPr>
          <w:p>
            <w:pPr>
              <w:ind w:left="12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
              <w:spacing w:after="0"/>
              <w:rPr>
                <w:sz w:val="20"/>
                <w:szCs w:val="20"/>
                <w:color w:val="auto"/>
              </w:rPr>
            </w:pPr>
            <w:r>
              <w:rPr>
                <w:rFonts w:ascii="Arial" w:cs="Arial" w:eastAsia="Arial" w:hAnsi="Arial"/>
                <w:sz w:val="18"/>
                <w:szCs w:val="18"/>
                <w:color w:val="auto"/>
              </w:rPr>
              <w:t>4.4</w:t>
            </w:r>
          </w:p>
        </w:tc>
        <w:tc>
          <w:tcPr>
            <w:tcW w:w="1720" w:type="dxa"/>
            <w:vAlign w:val="bottom"/>
            <w:gridSpan w:val="2"/>
          </w:tcPr>
          <w:p>
            <w:pPr>
              <w:jc w:val="right"/>
              <w:ind w:right="70"/>
              <w:spacing w:after="0"/>
              <w:rPr>
                <w:sz w:val="20"/>
                <w:szCs w:val="20"/>
                <w:color w:val="auto"/>
              </w:rPr>
            </w:pPr>
            <w:r>
              <w:rPr>
                <w:rFonts w:ascii="Arial" w:cs="Arial" w:eastAsia="Arial" w:hAnsi="Arial"/>
                <w:sz w:val="18"/>
                <w:szCs w:val="18"/>
                <w:color w:val="auto"/>
              </w:rPr>
              <w:t>4.4</w:t>
            </w:r>
          </w:p>
        </w:tc>
        <w:tc>
          <w:tcPr>
            <w:tcW w:w="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660" w:type="dxa"/>
            <w:vAlign w:val="bottom"/>
          </w:tcPr>
          <w:p>
            <w:pPr>
              <w:spacing w:after="0"/>
              <w:rPr>
                <w:sz w:val="20"/>
                <w:szCs w:val="20"/>
                <w:color w:val="auto"/>
              </w:rPr>
            </w:pPr>
            <w:r>
              <w:rPr>
                <w:rFonts w:ascii="Arial" w:cs="Arial" w:eastAsia="Arial" w:hAnsi="Arial"/>
                <w:sz w:val="18"/>
                <w:szCs w:val="18"/>
                <w:color w:val="auto"/>
              </w:rPr>
              <w:t>Shares issuable upon exercise</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tcPr>
          <w:p>
            <w:pPr>
              <w:spacing w:after="0"/>
              <w:rPr>
                <w:sz w:val="20"/>
                <w:szCs w:val="20"/>
                <w:color w:val="auto"/>
              </w:rPr>
            </w:pPr>
            <w:r>
              <w:rPr>
                <w:rFonts w:ascii="Arial" w:cs="Arial" w:eastAsia="Arial" w:hAnsi="Arial"/>
                <w:sz w:val="18"/>
                <w:szCs w:val="18"/>
                <w:color w:val="auto"/>
              </w:rPr>
              <w:t>of warrants in connection with</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tcPr>
          <w:p>
            <w:pPr>
              <w:spacing w:after="0"/>
              <w:rPr>
                <w:sz w:val="20"/>
                <w:szCs w:val="20"/>
                <w:color w:val="auto"/>
              </w:rPr>
            </w:pPr>
            <w:r>
              <w:rPr>
                <w:rFonts w:ascii="Arial" w:cs="Arial" w:eastAsia="Arial" w:hAnsi="Arial"/>
                <w:sz w:val="18"/>
                <w:szCs w:val="18"/>
                <w:color w:val="auto"/>
              </w:rPr>
              <w:t>our Alpine JV  . . . . . . . . . . . . . . .</w:t>
            </w:r>
          </w:p>
        </w:tc>
        <w:tc>
          <w:tcPr>
            <w:tcW w:w="1520" w:type="dxa"/>
            <w:vAlign w:val="bottom"/>
          </w:tcPr>
          <w:p>
            <w:pPr>
              <w:ind w:left="1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660" w:type="dxa"/>
            <w:vAlign w:val="bottom"/>
          </w:tcPr>
          <w:p>
            <w:pPr>
              <w:spacing w:after="0"/>
              <w:rPr>
                <w:sz w:val="20"/>
                <w:szCs w:val="20"/>
                <w:color w:val="auto"/>
              </w:rPr>
            </w:pPr>
            <w:r>
              <w:rPr>
                <w:rFonts w:ascii="Arial" w:cs="Arial" w:eastAsia="Arial" w:hAnsi="Arial"/>
                <w:sz w:val="18"/>
                <w:szCs w:val="18"/>
                <w:color w:val="auto"/>
              </w:rPr>
              <w:t>Shares issuable upon settlement</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tcPr>
          <w:p>
            <w:pPr>
              <w:spacing w:after="0"/>
              <w:rPr>
                <w:sz w:val="20"/>
                <w:szCs w:val="20"/>
                <w:color w:val="auto"/>
              </w:rPr>
            </w:pPr>
            <w:r>
              <w:rPr>
                <w:rFonts w:ascii="Arial" w:cs="Arial" w:eastAsia="Arial" w:hAnsi="Arial"/>
                <w:sz w:val="18"/>
                <w:szCs w:val="18"/>
                <w:color w:val="auto"/>
                <w:w w:val="98"/>
              </w:rPr>
              <w:t>of RSUs . . . . . . . . . . . . . . . . . . . .</w:t>
            </w:r>
          </w:p>
        </w:tc>
        <w:tc>
          <w:tcPr>
            <w:tcW w:w="1520" w:type="dxa"/>
            <w:vAlign w:val="bottom"/>
          </w:tcPr>
          <w:p>
            <w:pPr>
              <w:ind w:left="1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0"/>
        </w:trPr>
        <w:tc>
          <w:tcPr>
            <w:tcW w:w="2660" w:type="dxa"/>
            <w:vAlign w:val="bottom"/>
          </w:tcPr>
          <w:p>
            <w:pPr>
              <w:spacing w:after="0"/>
              <w:rPr>
                <w:sz w:val="20"/>
                <w:szCs w:val="20"/>
                <w:color w:val="auto"/>
              </w:rPr>
            </w:pPr>
            <w:r>
              <w:rPr>
                <w:rFonts w:ascii="Arial" w:cs="Arial" w:eastAsia="Arial" w:hAnsi="Arial"/>
                <w:sz w:val="18"/>
                <w:szCs w:val="18"/>
                <w:color w:val="auto"/>
              </w:rPr>
              <w:t>Shares issuable upon</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tcPr>
          <w:p>
            <w:pPr>
              <w:spacing w:after="0"/>
              <w:rPr>
                <w:sz w:val="20"/>
                <w:szCs w:val="20"/>
                <w:color w:val="auto"/>
              </w:rPr>
            </w:pPr>
            <w:r>
              <w:rPr>
                <w:rFonts w:ascii="Arial" w:cs="Arial" w:eastAsia="Arial" w:hAnsi="Arial"/>
                <w:sz w:val="18"/>
                <w:szCs w:val="18"/>
                <w:color w:val="auto"/>
              </w:rPr>
              <w:t>settlement of PSUs  . . . . . . . . . .</w:t>
            </w:r>
          </w:p>
        </w:tc>
        <w:tc>
          <w:tcPr>
            <w:tcW w:w="1520" w:type="dxa"/>
            <w:vAlign w:val="bottom"/>
          </w:tcPr>
          <w:p>
            <w:pPr>
              <w:ind w:left="1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0"/>
        </w:trPr>
        <w:tc>
          <w:tcPr>
            <w:tcW w:w="2660" w:type="dxa"/>
            <w:vAlign w:val="bottom"/>
          </w:tcPr>
          <w:p>
            <w:pPr>
              <w:spacing w:after="0"/>
              <w:rPr>
                <w:sz w:val="20"/>
                <w:szCs w:val="20"/>
                <w:color w:val="auto"/>
              </w:rPr>
            </w:pPr>
            <w:r>
              <w:rPr>
                <w:rFonts w:ascii="Arial" w:cs="Arial" w:eastAsia="Arial" w:hAnsi="Arial"/>
                <w:sz w:val="18"/>
                <w:szCs w:val="18"/>
                <w:color w:val="auto"/>
              </w:rPr>
              <w:t>Shares issuable upon exercise</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tcPr>
          <w:p>
            <w:pPr>
              <w:spacing w:after="0"/>
              <w:rPr>
                <w:sz w:val="20"/>
                <w:szCs w:val="20"/>
                <w:color w:val="auto"/>
              </w:rPr>
            </w:pPr>
            <w:r>
              <w:rPr>
                <w:rFonts w:ascii="Arial" w:cs="Arial" w:eastAsia="Arial" w:hAnsi="Arial"/>
                <w:sz w:val="18"/>
                <w:szCs w:val="18"/>
                <w:color w:val="auto"/>
              </w:rPr>
              <w:t>of stock options  . . . . . . . . . . . . .</w:t>
            </w:r>
          </w:p>
        </w:tc>
        <w:tc>
          <w:tcPr>
            <w:tcW w:w="1520" w:type="dxa"/>
            <w:vAlign w:val="bottom"/>
          </w:tcPr>
          <w:p>
            <w:pPr>
              <w:ind w:left="1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4"/>
        </w:trPr>
        <w:tc>
          <w:tcPr>
            <w:tcW w:w="26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660" w:type="dxa"/>
            <w:vAlign w:val="bottom"/>
          </w:tcPr>
          <w:p>
            <w:pPr>
              <w:ind w:left="180"/>
              <w:spacing w:after="0"/>
              <w:rPr>
                <w:sz w:val="20"/>
                <w:szCs w:val="20"/>
                <w:color w:val="auto"/>
              </w:rPr>
            </w:pPr>
            <w:r>
              <w:rPr>
                <w:rFonts w:ascii="Arial" w:cs="Arial" w:eastAsia="Arial" w:hAnsi="Arial"/>
                <w:sz w:val="18"/>
                <w:szCs w:val="18"/>
                <w:color w:val="auto"/>
              </w:rPr>
              <w:t>Total antidilutive shares . . . . .</w:t>
            </w:r>
          </w:p>
        </w:tc>
        <w:tc>
          <w:tcPr>
            <w:tcW w:w="1520" w:type="dxa"/>
            <w:vAlign w:val="bottom"/>
          </w:tcPr>
          <w:p>
            <w:pPr>
              <w:ind w:left="12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
              <w:spacing w:after="0"/>
              <w:rPr>
                <w:sz w:val="20"/>
                <w:szCs w:val="20"/>
                <w:color w:val="auto"/>
              </w:rPr>
            </w:pPr>
            <w:r>
              <w:rPr>
                <w:rFonts w:ascii="Arial" w:cs="Arial" w:eastAsia="Arial" w:hAnsi="Arial"/>
                <w:sz w:val="18"/>
                <w:szCs w:val="18"/>
                <w:color w:val="auto"/>
              </w:rPr>
              <w:t>4.4</w:t>
            </w:r>
          </w:p>
        </w:tc>
        <w:tc>
          <w:tcPr>
            <w:tcW w:w="1720" w:type="dxa"/>
            <w:vAlign w:val="bottom"/>
            <w:gridSpan w:val="2"/>
          </w:tcPr>
          <w:p>
            <w:pPr>
              <w:jc w:val="right"/>
              <w:ind w:right="70"/>
              <w:spacing w:after="0"/>
              <w:rPr>
                <w:sz w:val="20"/>
                <w:szCs w:val="20"/>
                <w:color w:val="auto"/>
              </w:rPr>
            </w:pPr>
            <w:r>
              <w:rPr>
                <w:rFonts w:ascii="Arial" w:cs="Arial" w:eastAsia="Arial" w:hAnsi="Arial"/>
                <w:sz w:val="18"/>
                <w:szCs w:val="18"/>
                <w:color w:val="auto"/>
              </w:rPr>
              <w:t>4.4</w:t>
            </w:r>
          </w:p>
        </w:tc>
        <w:tc>
          <w:tcPr>
            <w:tcW w:w="80" w:type="dxa"/>
            <w:vAlign w:val="bottom"/>
            <w:tcBorders>
              <w:right w:val="single" w:sz="8" w:color="auto"/>
            </w:tcBorders>
          </w:tcPr>
          <w:p>
            <w:pPr>
              <w:spacing w:after="0"/>
              <w:rPr>
                <w:sz w:val="20"/>
                <w:szCs w:val="20"/>
                <w:color w:val="auto"/>
              </w:rPr>
            </w:pP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4"/>
        </w:trPr>
        <w:tc>
          <w:tcPr>
            <w:tcW w:w="26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NOTE 13</w:t>
      </w:r>
      <w:r>
        <w:rPr>
          <w:sz w:val="20"/>
          <w:szCs w:val="20"/>
          <w:color w:val="auto"/>
        </w:rPr>
        <w:tab/>
      </w:r>
      <w:r>
        <w:rPr>
          <w:rFonts w:ascii="Arial" w:cs="Arial" w:eastAsia="Arial" w:hAnsi="Arial"/>
          <w:sz w:val="19"/>
          <w:szCs w:val="19"/>
          <w:b w:val="1"/>
          <w:bCs w:val="1"/>
          <w:color w:val="auto"/>
        </w:rPr>
        <w:t>PENSION AND POSTRETIREMENT BENEFIT PLANS</w:t>
      </w:r>
    </w:p>
    <w:p>
      <w:pPr>
        <w:spacing w:after="0" w:line="214" w:lineRule="exact"/>
        <w:rPr>
          <w:sz w:val="20"/>
          <w:szCs w:val="20"/>
          <w:color w:val="auto"/>
        </w:rPr>
      </w:pPr>
    </w:p>
    <w:p>
      <w:pPr>
        <w:ind w:right="160" w:firstLine="300"/>
        <w:spacing w:after="0" w:line="245" w:lineRule="auto"/>
        <w:rPr>
          <w:sz w:val="20"/>
          <w:szCs w:val="20"/>
          <w:color w:val="auto"/>
        </w:rPr>
      </w:pPr>
      <w:r>
        <w:rPr>
          <w:rFonts w:ascii="Arial" w:cs="Arial" w:eastAsia="Arial" w:hAnsi="Arial"/>
          <w:sz w:val="20"/>
          <w:szCs w:val="20"/>
          <w:color w:val="auto"/>
        </w:rPr>
        <w:t>We have various qualified and non-qualified benefit plans for our salaried and union and nonunion hourly employees.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Defined Contribution Plans</w:t>
      </w:r>
    </w:p>
    <w:p>
      <w:pPr>
        <w:spacing w:after="0" w:line="215" w:lineRule="exact"/>
        <w:rPr>
          <w:sz w:val="20"/>
          <w:szCs w:val="20"/>
          <w:color w:val="auto"/>
        </w:rPr>
      </w:pPr>
    </w:p>
    <w:p>
      <w:pPr>
        <w:ind w:right="280" w:firstLine="300"/>
        <w:spacing w:after="0" w:line="248" w:lineRule="auto"/>
        <w:rPr>
          <w:sz w:val="20"/>
          <w:szCs w:val="20"/>
          <w:color w:val="auto"/>
        </w:rPr>
      </w:pPr>
      <w:r>
        <w:rPr>
          <w:rFonts w:ascii="Arial" w:cs="Arial" w:eastAsia="Arial" w:hAnsi="Arial"/>
          <w:sz w:val="20"/>
          <w:szCs w:val="20"/>
          <w:color w:val="auto"/>
        </w:rPr>
        <w:t>All of our employees are eligible to participate in our tax-qualified, defined contribution retirement plan that provides for periodic cash contributions by us based on annual cash compensation and employee deferrals.</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20"/>
          <w:szCs w:val="20"/>
          <w:color w:val="auto"/>
        </w:rPr>
        <w:t>Certain salaried employees participate in supplemental plans that restore benefits lost due to</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government limitations on qualified plans. As of December 31, 2022 and 2021, we recognized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$24 million and $30 million in other long-term liabilities for these supplemental plans, respectively.</w:t>
      </w:r>
    </w:p>
    <w:p>
      <w:pPr>
        <w:spacing w:after="0" w:line="214" w:lineRule="exact"/>
        <w:rPr>
          <w:sz w:val="20"/>
          <w:szCs w:val="20"/>
          <w:color w:val="auto"/>
        </w:rPr>
      </w:pPr>
    </w:p>
    <w:p>
      <w:pPr>
        <w:jc w:val="both"/>
        <w:ind w:right="280" w:firstLine="300"/>
        <w:spacing w:after="0" w:line="248" w:lineRule="auto"/>
        <w:rPr>
          <w:sz w:val="20"/>
          <w:szCs w:val="20"/>
          <w:color w:val="auto"/>
        </w:rPr>
      </w:pPr>
      <w:r>
        <w:rPr>
          <w:rFonts w:ascii="Arial" w:cs="Arial" w:eastAsia="Arial" w:hAnsi="Arial"/>
          <w:sz w:val="20"/>
          <w:szCs w:val="20"/>
          <w:color w:val="auto"/>
        </w:rPr>
        <w:t>We expensed $18 million in 2022, $19 million in 2021, $4 million in the Successor period of 2020 and $28 million in the Predecessor period of 2020 under the provisions of these defined contribution and supplemental plans.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Defined Benefit Plans</w:t>
      </w:r>
    </w:p>
    <w:p>
      <w:pPr>
        <w:spacing w:after="0" w:line="215" w:lineRule="exact"/>
        <w:rPr>
          <w:sz w:val="20"/>
          <w:szCs w:val="20"/>
          <w:color w:val="auto"/>
        </w:rPr>
      </w:pPr>
    </w:p>
    <w:p>
      <w:pPr>
        <w:ind w:right="180" w:firstLine="300"/>
        <w:spacing w:after="0" w:line="271" w:lineRule="auto"/>
        <w:rPr>
          <w:sz w:val="20"/>
          <w:szCs w:val="20"/>
          <w:color w:val="auto"/>
        </w:rPr>
      </w:pPr>
      <w:r>
        <w:rPr>
          <w:rFonts w:ascii="Arial" w:cs="Arial" w:eastAsia="Arial" w:hAnsi="Arial"/>
          <w:sz w:val="19"/>
          <w:szCs w:val="19"/>
          <w:color w:val="auto"/>
        </w:rPr>
        <w:t>Participation in defined benefit pension plans sponsored by us is limited. During 2022, approximately 60 employees accrued benefits under these plans, all of whom were union employees.</w:t>
      </w:r>
    </w:p>
    <w:p>
      <w:pPr>
        <w:spacing w:after="0" w:line="187" w:lineRule="exact"/>
        <w:rPr>
          <w:sz w:val="20"/>
          <w:szCs w:val="20"/>
          <w:color w:val="auto"/>
        </w:rPr>
      </w:pPr>
    </w:p>
    <w:p>
      <w:pPr>
        <w:ind w:right="160" w:firstLine="300"/>
        <w:spacing w:after="0" w:line="248" w:lineRule="auto"/>
        <w:rPr>
          <w:sz w:val="20"/>
          <w:szCs w:val="20"/>
          <w:color w:val="auto"/>
        </w:rPr>
      </w:pPr>
      <w:r>
        <w:rPr>
          <w:rFonts w:ascii="Arial" w:cs="Arial" w:eastAsia="Arial" w:hAnsi="Arial"/>
          <w:sz w:val="20"/>
          <w:szCs w:val="20"/>
          <w:color w:val="auto"/>
        </w:rPr>
        <w:t>Pension costs for the defined benefit pension plans, determined by independent actuarial valuations, are funded by us through payments to trust funds, which are administered by independent trustees.</w:t>
      </w:r>
    </w:p>
    <w:p>
      <w:pPr>
        <w:sectPr>
          <w:pgSz w:w="11880" w:h="15480" w:orient="portrait"/>
          <w:cols w:equalWidth="0" w:num="1">
            <w:col w:w="9120"/>
          </w:cols>
          <w:pgMar w:left="1380" w:top="1316" w:right="138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138</w:t>
      </w:r>
    </w:p>
    <w:p>
      <w:pPr>
        <w:sectPr>
          <w:pgSz w:w="11880" w:h="15480" w:orient="portrait"/>
          <w:cols w:equalWidth="0" w:num="1">
            <w:col w:w="9120"/>
          </w:cols>
          <w:pgMar w:left="1380" w:top="1316" w:right="1380" w:bottom="661" w:gutter="0" w:footer="0" w:header="0"/>
          <w:type w:val="continuous"/>
        </w:sectPr>
      </w:pPr>
    </w:p>
    <w:bookmarkStart w:id="142" w:name="page143"/>
    <w:bookmarkEnd w:id="142"/>
    <w:p>
      <w:pPr>
        <w:spacing w:after="0"/>
        <w:rPr>
          <w:sz w:val="20"/>
          <w:szCs w:val="20"/>
          <w:color w:val="auto"/>
        </w:rPr>
      </w:pPr>
      <w:r>
        <w:rPr>
          <w:rFonts w:ascii="Arial" w:cs="Arial" w:eastAsia="Arial" w:hAnsi="Arial"/>
          <w:sz w:val="20"/>
          <w:szCs w:val="20"/>
          <w:b w:val="1"/>
          <w:bCs w:val="1"/>
          <w:i w:val="1"/>
          <w:iCs w:val="1"/>
          <w:color w:val="auto"/>
        </w:rPr>
        <w:t>Postretirement Benefit Plans</w:t>
      </w:r>
    </w:p>
    <w:p>
      <w:pPr>
        <w:spacing w:after="0" w:line="215" w:lineRule="exact"/>
        <w:rPr>
          <w:sz w:val="20"/>
          <w:szCs w:val="20"/>
          <w:color w:val="auto"/>
        </w:rPr>
      </w:pPr>
    </w:p>
    <w:p>
      <w:pPr>
        <w:jc w:val="both"/>
        <w:ind w:right="180" w:firstLine="300"/>
        <w:spacing w:after="0" w:line="247" w:lineRule="auto"/>
        <w:rPr>
          <w:sz w:val="20"/>
          <w:szCs w:val="20"/>
          <w:color w:val="auto"/>
        </w:rPr>
      </w:pPr>
      <w:r>
        <w:rPr>
          <w:rFonts w:ascii="Arial" w:cs="Arial" w:eastAsia="Arial" w:hAnsi="Arial"/>
          <w:sz w:val="20"/>
          <w:szCs w:val="20"/>
          <w:color w:val="auto"/>
        </w:rPr>
        <w:t>We provide postretirement medical and dental benefits for our eligible former employees and their dependents. Our former employees are required to make monthly contributions for the coverage, but the benefits are primarily funded by us as claims are paid during the year.</w:t>
      </w:r>
    </w:p>
    <w:p>
      <w:pPr>
        <w:spacing w:after="0" w:line="210"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auto"/>
        </w:rPr>
        <w:t>In 2021, we adopted a postretirement benefit design change, which terminated the employer cost sharing for post age 65 retiree health benefits effective as of January 1, 2022. Our retiree health care benefits provided up to age 65 to current and future retirees who meet certain eligibility requirements were not affected by this change. As a result of this change, our postretirement medical benefit obligation was remeasured as of September 30, 2021. The remeasurement resulted in a decrease to the benefit obligation of $65 million with a corresponding increase to accumulated other comprehensive income. The benefit from the change in plan design will be recognized in our statement of operations over the average remaining years of future service for active employees as a component of other non-operating expenses, net.</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Obligations and Funded Status of our Defined Benefit Plans</w:t>
      </w:r>
    </w:p>
    <w:p>
      <w:pPr>
        <w:spacing w:after="0" w:line="215" w:lineRule="exact"/>
        <w:rPr>
          <w:sz w:val="20"/>
          <w:szCs w:val="20"/>
          <w:color w:val="auto"/>
        </w:rPr>
      </w:pPr>
    </w:p>
    <w:p>
      <w:pPr>
        <w:ind w:right="280" w:firstLine="300"/>
        <w:spacing w:after="0" w:line="245" w:lineRule="auto"/>
        <w:rPr>
          <w:sz w:val="20"/>
          <w:szCs w:val="20"/>
          <w:color w:val="auto"/>
        </w:rPr>
      </w:pPr>
      <w:r>
        <w:rPr>
          <w:rFonts w:ascii="Arial" w:cs="Arial" w:eastAsia="Arial" w:hAnsi="Arial"/>
          <w:sz w:val="20"/>
          <w:szCs w:val="20"/>
          <w:color w:val="auto"/>
        </w:rPr>
        <w:t>The following table shows the amounts recognized on our balance sheets related to pension and postretirement benefit plans, as well as plans that we or our subsidiaries sponsor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December 31, 2022</w:t>
            </w:r>
          </w:p>
        </w:tc>
        <w:tc>
          <w:tcPr>
            <w:tcW w:w="4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3"/>
          </w:tcPr>
          <w:p>
            <w:pPr>
              <w:ind w:left="400"/>
              <w:spacing w:after="0"/>
              <w:rPr>
                <w:sz w:val="20"/>
                <w:szCs w:val="20"/>
                <w:color w:val="auto"/>
              </w:rPr>
            </w:pPr>
            <w:r>
              <w:rPr>
                <w:rFonts w:ascii="Arial" w:cs="Arial" w:eastAsia="Arial" w:hAnsi="Arial"/>
                <w:sz w:val="20"/>
                <w:szCs w:val="20"/>
                <w:b w:val="1"/>
                <w:bCs w:val="1"/>
                <w:color w:val="auto"/>
              </w:rPr>
              <w:t>December 31, 2021</w:t>
            </w:r>
          </w:p>
        </w:tc>
        <w:tc>
          <w:tcPr>
            <w:tcW w:w="5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3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20"/>
                <w:szCs w:val="20"/>
                <w:b w:val="1"/>
                <w:bCs w:val="1"/>
                <w:color w:val="auto"/>
              </w:rPr>
              <w:t>Pension</w:t>
            </w:r>
          </w:p>
        </w:tc>
        <w:tc>
          <w:tcPr>
            <w:tcW w:w="80" w:type="dxa"/>
            <w:vAlign w:val="bottom"/>
          </w:tcPr>
          <w:p>
            <w:pPr>
              <w:spacing w:after="0"/>
              <w:rPr>
                <w:sz w:val="22"/>
                <w:szCs w:val="22"/>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Postretirement</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20"/>
                <w:szCs w:val="20"/>
                <w:b w:val="1"/>
                <w:bCs w:val="1"/>
                <w:color w:val="auto"/>
              </w:rPr>
              <w:t>Pension</w:t>
            </w:r>
          </w:p>
        </w:tc>
        <w:tc>
          <w:tcPr>
            <w:tcW w:w="80" w:type="dxa"/>
            <w:vAlign w:val="bottom"/>
          </w:tcPr>
          <w:p>
            <w:pPr>
              <w:spacing w:after="0"/>
              <w:rPr>
                <w:sz w:val="22"/>
                <w:szCs w:val="22"/>
                <w:color w:val="auto"/>
              </w:rPr>
            </w:pPr>
          </w:p>
        </w:tc>
        <w:tc>
          <w:tcPr>
            <w:tcW w:w="162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b w:val="1"/>
                <w:bCs w:val="1"/>
                <w:color w:val="auto"/>
              </w:rPr>
              <w:t>Postretirement</w:t>
            </w:r>
          </w:p>
        </w:tc>
        <w:tc>
          <w:tcPr>
            <w:tcW w:w="0" w:type="dxa"/>
            <w:vAlign w:val="bottom"/>
          </w:tcPr>
          <w:p>
            <w:pPr>
              <w:spacing w:after="0"/>
              <w:rPr>
                <w:sz w:val="1"/>
                <w:szCs w:val="1"/>
                <w:color w:val="auto"/>
              </w:rPr>
            </w:pPr>
          </w:p>
        </w:tc>
      </w:tr>
      <w:tr>
        <w:trPr>
          <w:trHeight w:val="282"/>
        </w:trPr>
        <w:tc>
          <w:tcPr>
            <w:tcW w:w="3320" w:type="dxa"/>
            <w:vAlign w:val="bottom"/>
          </w:tcPr>
          <w:p>
            <w:pPr>
              <w:spacing w:after="0"/>
              <w:rPr>
                <w:sz w:val="20"/>
                <w:szCs w:val="20"/>
                <w:color w:val="auto"/>
              </w:rPr>
            </w:pPr>
            <w:r>
              <w:rPr>
                <w:rFonts w:ascii="Arial" w:cs="Arial" w:eastAsia="Arial" w:hAnsi="Arial"/>
                <w:sz w:val="20"/>
                <w:szCs w:val="20"/>
                <w:color w:val="auto"/>
              </w:rPr>
              <w:t>Amounts recognized on the</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320" w:type="dxa"/>
            <w:vAlign w:val="bottom"/>
          </w:tcPr>
          <w:p>
            <w:pPr>
              <w:spacing w:after="0"/>
              <w:rPr>
                <w:sz w:val="20"/>
                <w:szCs w:val="20"/>
                <w:color w:val="auto"/>
              </w:rPr>
            </w:pPr>
            <w:r>
              <w:rPr>
                <w:rFonts w:ascii="Arial" w:cs="Arial" w:eastAsia="Arial" w:hAnsi="Arial"/>
                <w:sz w:val="20"/>
                <w:szCs w:val="20"/>
                <w:color w:val="auto"/>
              </w:rPr>
              <w:t>balance sheet</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320" w:type="dxa"/>
            <w:vAlign w:val="bottom"/>
          </w:tcPr>
          <w:p>
            <w:pPr>
              <w:ind w:left="200"/>
              <w:spacing w:after="0"/>
              <w:rPr>
                <w:sz w:val="20"/>
                <w:szCs w:val="20"/>
                <w:color w:val="auto"/>
              </w:rPr>
            </w:pPr>
            <w:r>
              <w:rPr>
                <w:rFonts w:ascii="Arial" w:cs="Arial" w:eastAsia="Arial" w:hAnsi="Arial"/>
                <w:sz w:val="20"/>
                <w:szCs w:val="20"/>
                <w:color w:val="auto"/>
              </w:rPr>
              <w:t>Other assets  . . . . . . . . . . . . . . . .</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w:t>
            </w:r>
          </w:p>
        </w:tc>
        <w:tc>
          <w:tcPr>
            <w:tcW w:w="1120" w:type="dxa"/>
            <w:vAlign w:val="bottom"/>
            <w:gridSpan w:val="2"/>
          </w:tcPr>
          <w:p>
            <w:pPr>
              <w:jc w:val="right"/>
              <w:ind w:right="700"/>
              <w:spacing w:after="0"/>
              <w:rPr>
                <w:sz w:val="20"/>
                <w:szCs w:val="20"/>
                <w:color w:val="auto"/>
              </w:rPr>
            </w:pPr>
            <w:r>
              <w:rPr>
                <w:rFonts w:ascii="Arial" w:cs="Arial" w:eastAsia="Arial" w:hAnsi="Arial"/>
                <w:sz w:val="20"/>
                <w:szCs w:val="20"/>
                <w:color w:val="auto"/>
              </w:rPr>
              <w:t>$</w:t>
            </w:r>
          </w:p>
        </w:tc>
        <w:tc>
          <w:tcPr>
            <w:tcW w:w="48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gridSpan w:val="2"/>
          </w:tcPr>
          <w:p>
            <w:pPr>
              <w:ind w:left="160"/>
              <w:spacing w:after="0"/>
              <w:rPr>
                <w:sz w:val="20"/>
                <w:szCs w:val="20"/>
                <w:color w:val="auto"/>
              </w:rPr>
            </w:pPr>
            <w:r>
              <w:rPr>
                <w:rFonts w:ascii="Arial" w:cs="Arial" w:eastAsia="Arial" w:hAnsi="Arial"/>
                <w:sz w:val="20"/>
                <w:szCs w:val="20"/>
                <w:color w:val="auto"/>
              </w:rPr>
              <w:t>$</w:t>
            </w:r>
          </w:p>
        </w:tc>
        <w:tc>
          <w:tcPr>
            <w:tcW w:w="5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3320" w:type="dxa"/>
            <w:vAlign w:val="bottom"/>
          </w:tcPr>
          <w:p>
            <w:pPr>
              <w:ind w:left="200"/>
              <w:spacing w:after="0"/>
              <w:rPr>
                <w:sz w:val="20"/>
                <w:szCs w:val="20"/>
                <w:color w:val="auto"/>
              </w:rPr>
            </w:pPr>
            <w:r>
              <w:rPr>
                <w:rFonts w:ascii="Arial" w:cs="Arial" w:eastAsia="Arial" w:hAnsi="Arial"/>
                <w:sz w:val="20"/>
                <w:szCs w:val="20"/>
                <w:color w:val="auto"/>
              </w:rPr>
              <w:t>Accrued liabilities  . . . . . . . . . . . .</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jc w:val="right"/>
              <w:ind w:right="20"/>
              <w:spacing w:after="0"/>
              <w:rPr>
                <w:sz w:val="20"/>
                <w:szCs w:val="20"/>
                <w:color w:val="auto"/>
              </w:rPr>
            </w:pPr>
            <w:r>
              <w:rPr>
                <w:rFonts w:ascii="Arial" w:cs="Arial" w:eastAsia="Arial" w:hAnsi="Arial"/>
                <w:sz w:val="20"/>
                <w:szCs w:val="20"/>
                <w:color w:val="auto"/>
              </w:rPr>
              <w:t>(4)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40"/>
        </w:trPr>
        <w:tc>
          <w:tcPr>
            <w:tcW w:w="3320" w:type="dxa"/>
            <w:vAlign w:val="bottom"/>
          </w:tcPr>
          <w:p>
            <w:pPr>
              <w:ind w:left="200"/>
              <w:spacing w:after="0"/>
              <w:rPr>
                <w:sz w:val="20"/>
                <w:szCs w:val="20"/>
                <w:color w:val="auto"/>
              </w:rPr>
            </w:pPr>
            <w:r>
              <w:rPr>
                <w:rFonts w:ascii="Arial" w:cs="Arial" w:eastAsia="Arial" w:hAnsi="Arial"/>
                <w:sz w:val="20"/>
                <w:szCs w:val="20"/>
                <w:color w:val="auto"/>
              </w:rPr>
              <w:t>Other long-term liabilities  . . . . . .</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jc w:val="right"/>
              <w:ind w:right="20"/>
              <w:spacing w:after="0"/>
              <w:rPr>
                <w:sz w:val="20"/>
                <w:szCs w:val="20"/>
                <w:color w:val="auto"/>
              </w:rPr>
            </w:pPr>
            <w:r>
              <w:rPr>
                <w:rFonts w:ascii="Arial" w:cs="Arial" w:eastAsia="Arial" w:hAnsi="Arial"/>
                <w:sz w:val="20"/>
                <w:szCs w:val="20"/>
                <w:color w:val="auto"/>
                <w:w w:val="95"/>
              </w:rPr>
              <w:t>(33)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(15)</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(44)</w:t>
            </w:r>
          </w:p>
        </w:tc>
        <w:tc>
          <w:tcPr>
            <w:tcW w:w="0" w:type="dxa"/>
            <w:vAlign w:val="bottom"/>
          </w:tcPr>
          <w:p>
            <w:pPr>
              <w:spacing w:after="0"/>
              <w:rPr>
                <w:sz w:val="1"/>
                <w:szCs w:val="1"/>
                <w:color w:val="auto"/>
              </w:rPr>
            </w:pPr>
          </w:p>
        </w:tc>
      </w:tr>
      <w:tr>
        <w:trPr>
          <w:trHeight w:val="28"/>
        </w:trPr>
        <w:tc>
          <w:tcPr>
            <w:tcW w:w="3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3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w:t>
            </w:r>
          </w:p>
        </w:tc>
        <w:tc>
          <w:tcPr>
            <w:tcW w:w="1120" w:type="dxa"/>
            <w:vAlign w:val="bottom"/>
            <w:gridSpan w:val="2"/>
          </w:tcPr>
          <w:p>
            <w:pPr>
              <w:jc w:val="right"/>
              <w:ind w:right="700"/>
              <w:spacing w:after="0"/>
              <w:rPr>
                <w:sz w:val="20"/>
                <w:szCs w:val="20"/>
                <w:color w:val="auto"/>
              </w:rPr>
            </w:pPr>
            <w:r>
              <w:rPr>
                <w:rFonts w:ascii="Arial" w:cs="Arial" w:eastAsia="Arial" w:hAnsi="Arial"/>
                <w:sz w:val="20"/>
                <w:szCs w:val="20"/>
                <w:color w:val="auto"/>
              </w:rPr>
              <w:t>$</w:t>
            </w:r>
          </w:p>
        </w:tc>
        <w:tc>
          <w:tcPr>
            <w:tcW w:w="480" w:type="dxa"/>
            <w:vAlign w:val="bottom"/>
          </w:tcPr>
          <w:p>
            <w:pPr>
              <w:jc w:val="right"/>
              <w:ind w:right="20"/>
              <w:spacing w:after="0"/>
              <w:rPr>
                <w:sz w:val="20"/>
                <w:szCs w:val="20"/>
                <w:color w:val="auto"/>
              </w:rPr>
            </w:pPr>
            <w:r>
              <w:rPr>
                <w:rFonts w:ascii="Arial" w:cs="Arial" w:eastAsia="Arial" w:hAnsi="Arial"/>
                <w:sz w:val="20"/>
                <w:szCs w:val="20"/>
                <w:color w:val="auto"/>
                <w:w w:val="95"/>
              </w:rPr>
              <w:t>(37)</w:t>
            </w:r>
          </w:p>
        </w:tc>
        <w:tc>
          <w:tcPr>
            <w:tcW w:w="2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(15)</w:t>
            </w:r>
          </w:p>
        </w:tc>
        <w:tc>
          <w:tcPr>
            <w:tcW w:w="1200" w:type="dxa"/>
            <w:vAlign w:val="bottom"/>
            <w:gridSpan w:val="2"/>
          </w:tcPr>
          <w:p>
            <w:pPr>
              <w:ind w:left="160"/>
              <w:spacing w:after="0"/>
              <w:rPr>
                <w:sz w:val="20"/>
                <w:szCs w:val="20"/>
                <w:color w:val="auto"/>
              </w:rPr>
            </w:pPr>
            <w:r>
              <w:rPr>
                <w:rFonts w:ascii="Arial" w:cs="Arial" w:eastAsia="Arial" w:hAnsi="Arial"/>
                <w:sz w:val="20"/>
                <w:szCs w:val="20"/>
                <w:color w:val="auto"/>
              </w:rPr>
              <w:t>$</w:t>
            </w:r>
          </w:p>
        </w:tc>
        <w:tc>
          <w:tcPr>
            <w:tcW w:w="500" w:type="dxa"/>
            <w:vAlign w:val="bottom"/>
          </w:tcPr>
          <w:p>
            <w:pPr>
              <w:jc w:val="right"/>
              <w:spacing w:after="0"/>
              <w:rPr>
                <w:sz w:val="20"/>
                <w:szCs w:val="20"/>
                <w:color w:val="auto"/>
              </w:rPr>
            </w:pPr>
            <w:r>
              <w:rPr>
                <w:rFonts w:ascii="Arial" w:cs="Arial" w:eastAsia="Arial" w:hAnsi="Arial"/>
                <w:sz w:val="20"/>
                <w:szCs w:val="20"/>
                <w:color w:val="auto"/>
              </w:rPr>
              <w:t>(48)</w:t>
            </w:r>
          </w:p>
        </w:tc>
        <w:tc>
          <w:tcPr>
            <w:tcW w:w="0" w:type="dxa"/>
            <w:vAlign w:val="bottom"/>
          </w:tcPr>
          <w:p>
            <w:pPr>
              <w:spacing w:after="0"/>
              <w:rPr>
                <w:sz w:val="1"/>
                <w:szCs w:val="1"/>
                <w:color w:val="auto"/>
              </w:rPr>
            </w:pPr>
          </w:p>
        </w:tc>
      </w:tr>
      <w:tr>
        <w:trPr>
          <w:trHeight w:val="28"/>
        </w:trPr>
        <w:tc>
          <w:tcPr>
            <w:tcW w:w="3320" w:type="dxa"/>
            <w:vAlign w:val="bottom"/>
            <w:vMerge w:val="restart"/>
          </w:tcPr>
          <w:p>
            <w:pPr>
              <w:spacing w:after="0"/>
              <w:rPr>
                <w:sz w:val="20"/>
                <w:szCs w:val="20"/>
                <w:color w:val="auto"/>
              </w:rPr>
            </w:pPr>
            <w:r>
              <w:rPr>
                <w:rFonts w:ascii="Arial" w:cs="Arial" w:eastAsia="Arial" w:hAnsi="Arial"/>
                <w:sz w:val="20"/>
                <w:szCs w:val="20"/>
                <w:color w:val="auto"/>
              </w:rPr>
              <w:t>Amounts recognized in</w:t>
            </w: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2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33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320" w:type="dxa"/>
            <w:vAlign w:val="bottom"/>
          </w:tcPr>
          <w:p>
            <w:pPr>
              <w:spacing w:after="0"/>
              <w:rPr>
                <w:sz w:val="20"/>
                <w:szCs w:val="20"/>
                <w:color w:val="auto"/>
              </w:rPr>
            </w:pPr>
            <w:r>
              <w:rPr>
                <w:rFonts w:ascii="Arial" w:cs="Arial" w:eastAsia="Arial" w:hAnsi="Arial"/>
                <w:sz w:val="20"/>
                <w:szCs w:val="20"/>
                <w:color w:val="auto"/>
              </w:rPr>
              <w:t>accumulated other comprehensive</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320" w:type="dxa"/>
            <w:vAlign w:val="bottom"/>
          </w:tcPr>
          <w:p>
            <w:pPr>
              <w:spacing w:after="0"/>
              <w:rPr>
                <w:sz w:val="20"/>
                <w:szCs w:val="20"/>
                <w:color w:val="auto"/>
              </w:rPr>
            </w:pPr>
            <w:r>
              <w:rPr>
                <w:rFonts w:ascii="Arial" w:cs="Arial" w:eastAsia="Arial" w:hAnsi="Arial"/>
                <w:sz w:val="20"/>
                <w:szCs w:val="20"/>
                <w:color w:val="auto"/>
              </w:rPr>
              <w:t>income (loss), net of tax . . . . . . . . .</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w:t>
            </w:r>
          </w:p>
        </w:tc>
        <w:tc>
          <w:tcPr>
            <w:tcW w:w="1120" w:type="dxa"/>
            <w:vAlign w:val="bottom"/>
            <w:gridSpan w:val="2"/>
          </w:tcPr>
          <w:p>
            <w:pPr>
              <w:jc w:val="right"/>
              <w:ind w:right="700"/>
              <w:spacing w:after="0"/>
              <w:rPr>
                <w:sz w:val="20"/>
                <w:szCs w:val="20"/>
                <w:color w:val="auto"/>
              </w:rPr>
            </w:pPr>
            <w:r>
              <w:rPr>
                <w:rFonts w:ascii="Arial" w:cs="Arial" w:eastAsia="Arial" w:hAnsi="Arial"/>
                <w:sz w:val="20"/>
                <w:szCs w:val="20"/>
                <w:color w:val="auto"/>
              </w:rPr>
              <w:t>$</w:t>
            </w:r>
          </w:p>
        </w:tc>
        <w:tc>
          <w:tcPr>
            <w:tcW w:w="480" w:type="dxa"/>
            <w:vAlign w:val="bottom"/>
          </w:tcPr>
          <w:p>
            <w:pPr>
              <w:jc w:val="right"/>
              <w:ind w:right="20"/>
              <w:spacing w:after="0"/>
              <w:rPr>
                <w:sz w:val="20"/>
                <w:szCs w:val="20"/>
                <w:color w:val="auto"/>
              </w:rPr>
            </w:pPr>
            <w:r>
              <w:rPr>
                <w:rFonts w:ascii="Arial" w:cs="Arial" w:eastAsia="Arial" w:hAnsi="Arial"/>
                <w:sz w:val="20"/>
                <w:szCs w:val="20"/>
                <w:color w:val="auto"/>
              </w:rPr>
              <w:t>79</w:t>
            </w:r>
          </w:p>
        </w:tc>
        <w:tc>
          <w:tcPr>
            <w:tcW w:w="2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(2)</w:t>
            </w:r>
          </w:p>
        </w:tc>
        <w:tc>
          <w:tcPr>
            <w:tcW w:w="1200" w:type="dxa"/>
            <w:vAlign w:val="bottom"/>
            <w:gridSpan w:val="2"/>
          </w:tcPr>
          <w:p>
            <w:pPr>
              <w:ind w:left="160"/>
              <w:spacing w:after="0"/>
              <w:rPr>
                <w:sz w:val="20"/>
                <w:szCs w:val="20"/>
                <w:color w:val="auto"/>
              </w:rPr>
            </w:pPr>
            <w:r>
              <w:rPr>
                <w:rFonts w:ascii="Arial" w:cs="Arial" w:eastAsia="Arial" w:hAnsi="Arial"/>
                <w:sz w:val="20"/>
                <w:szCs w:val="20"/>
                <w:color w:val="auto"/>
              </w:rPr>
              <w:t>$</w:t>
            </w:r>
          </w:p>
        </w:tc>
        <w:tc>
          <w:tcPr>
            <w:tcW w:w="500" w:type="dxa"/>
            <w:vAlign w:val="bottom"/>
          </w:tcPr>
          <w:p>
            <w:pPr>
              <w:jc w:val="right"/>
              <w:spacing w:after="0"/>
              <w:rPr>
                <w:sz w:val="20"/>
                <w:szCs w:val="20"/>
                <w:color w:val="auto"/>
              </w:rPr>
            </w:pPr>
            <w:r>
              <w:rPr>
                <w:rFonts w:ascii="Arial" w:cs="Arial" w:eastAsia="Arial" w:hAnsi="Arial"/>
                <w:sz w:val="20"/>
                <w:szCs w:val="20"/>
                <w:color w:val="auto"/>
              </w:rPr>
              <w:t>74</w:t>
            </w:r>
          </w:p>
        </w:tc>
        <w:tc>
          <w:tcPr>
            <w:tcW w:w="0" w:type="dxa"/>
            <w:vAlign w:val="bottom"/>
          </w:tcPr>
          <w:p>
            <w:pPr>
              <w:spacing w:after="0"/>
              <w:rPr>
                <w:sz w:val="1"/>
                <w:szCs w:val="1"/>
                <w:color w:val="auto"/>
              </w:rPr>
            </w:pPr>
          </w:p>
        </w:tc>
      </w:tr>
      <w:tr>
        <w:trPr>
          <w:trHeight w:val="28"/>
        </w:trPr>
        <w:tc>
          <w:tcPr>
            <w:tcW w:w="3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311" w:right="138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139</w:t>
      </w:r>
    </w:p>
    <w:p>
      <w:pPr>
        <w:sectPr>
          <w:pgSz w:w="11880" w:h="15480" w:orient="portrait"/>
          <w:cols w:equalWidth="0" w:num="1">
            <w:col w:w="9120"/>
          </w:cols>
          <w:pgMar w:left="1380" w:top="1311" w:right="1380" w:bottom="661" w:gutter="0" w:footer="0" w:header="0"/>
          <w:type w:val="continuous"/>
        </w:sectPr>
      </w:pPr>
    </w:p>
    <w:bookmarkStart w:id="143" w:name="page144"/>
    <w:bookmarkEnd w:id="143"/>
    <w:p>
      <w:pPr>
        <w:ind w:right="40" w:firstLine="300"/>
        <w:spacing w:after="0" w:line="243" w:lineRule="auto"/>
        <w:rPr>
          <w:sz w:val="20"/>
          <w:szCs w:val="20"/>
          <w:color w:val="auto"/>
        </w:rPr>
      </w:pPr>
      <w:r>
        <w:rPr>
          <w:rFonts w:ascii="Arial" w:cs="Arial" w:eastAsia="Arial" w:hAnsi="Arial"/>
          <w:sz w:val="20"/>
          <w:szCs w:val="20"/>
          <w:color w:val="auto"/>
        </w:rPr>
        <w:t>The following table shows the funding status of our pension and post-retirement benefit plans along with a reconciliation of our benefit obligations and changes in fair value of plan assets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ind w:right="65"/>
              <w:spacing w:after="0"/>
              <w:rPr>
                <w:sz w:val="20"/>
                <w:szCs w:val="20"/>
                <w:color w:val="auto"/>
              </w:rPr>
            </w:pPr>
            <w:r>
              <w:rPr>
                <w:rFonts w:ascii="Arial" w:cs="Arial" w:eastAsia="Arial" w:hAnsi="Arial"/>
                <w:sz w:val="19"/>
                <w:szCs w:val="19"/>
                <w:b w:val="1"/>
                <w:bCs w:val="1"/>
                <w:color w:val="auto"/>
                <w:w w:val="99"/>
              </w:rPr>
              <w:t>Year 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25"/>
              <w:spacing w:after="0"/>
              <w:rPr>
                <w:sz w:val="20"/>
                <w:szCs w:val="20"/>
                <w:color w:val="auto"/>
              </w:rPr>
            </w:pPr>
            <w:r>
              <w:rPr>
                <w:rFonts w:ascii="Arial" w:cs="Arial" w:eastAsia="Arial" w:hAnsi="Arial"/>
                <w:sz w:val="19"/>
                <w:szCs w:val="19"/>
                <w:b w:val="1"/>
                <w:bCs w:val="1"/>
                <w:color w:val="auto"/>
              </w:rPr>
              <w:t>Year ended</w:t>
            </w:r>
          </w:p>
        </w:tc>
        <w:tc>
          <w:tcPr>
            <w:tcW w:w="0" w:type="dxa"/>
            <w:vAlign w:val="bottom"/>
          </w:tcPr>
          <w:p>
            <w:pPr>
              <w:spacing w:after="0"/>
              <w:rPr>
                <w:sz w:val="1"/>
                <w:szCs w:val="1"/>
                <w:color w:val="auto"/>
              </w:rPr>
            </w:pPr>
          </w:p>
        </w:tc>
      </w:tr>
      <w:tr>
        <w:trPr>
          <w:trHeight w:val="215"/>
        </w:trPr>
        <w:tc>
          <w:tcPr>
            <w:tcW w:w="6140" w:type="dxa"/>
            <w:vAlign w:val="bottom"/>
          </w:tcPr>
          <w:p>
            <w:pPr>
              <w:spacing w:after="0"/>
              <w:rPr>
                <w:sz w:val="18"/>
                <w:szCs w:val="18"/>
                <w:color w:val="auto"/>
              </w:rPr>
            </w:pPr>
          </w:p>
        </w:tc>
        <w:tc>
          <w:tcPr>
            <w:tcW w:w="1420" w:type="dxa"/>
            <w:vAlign w:val="bottom"/>
            <w:gridSpan w:val="2"/>
          </w:tcPr>
          <w:p>
            <w:pPr>
              <w:jc w:val="center"/>
              <w:spacing w:after="0" w:line="214" w:lineRule="exact"/>
              <w:rPr>
                <w:sz w:val="20"/>
                <w:szCs w:val="20"/>
                <w:color w:val="auto"/>
              </w:rPr>
            </w:pPr>
            <w:r>
              <w:rPr>
                <w:rFonts w:ascii="Arial" w:cs="Arial" w:eastAsia="Arial" w:hAnsi="Arial"/>
                <w:sz w:val="19"/>
                <w:szCs w:val="19"/>
                <w:b w:val="1"/>
                <w:bCs w:val="1"/>
                <w:color w:val="auto"/>
              </w:rPr>
              <w:t>December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25"/>
              <w:spacing w:after="0" w:line="214" w:lineRule="exact"/>
              <w:rPr>
                <w:sz w:val="20"/>
                <w:szCs w:val="20"/>
                <w:color w:val="auto"/>
              </w:rPr>
            </w:pPr>
            <w:r>
              <w:rPr>
                <w:rFonts w:ascii="Arial" w:cs="Arial" w:eastAsia="Arial" w:hAnsi="Arial"/>
                <w:sz w:val="19"/>
                <w:szCs w:val="19"/>
                <w:b w:val="1"/>
                <w:bCs w:val="1"/>
                <w:color w:val="auto"/>
              </w:rPr>
              <w:t>December 31,</w:t>
            </w:r>
          </w:p>
        </w:tc>
        <w:tc>
          <w:tcPr>
            <w:tcW w:w="0" w:type="dxa"/>
            <w:vAlign w:val="bottom"/>
          </w:tcPr>
          <w:p>
            <w:pPr>
              <w:spacing w:after="0"/>
              <w:rPr>
                <w:sz w:val="1"/>
                <w:szCs w:val="1"/>
                <w:color w:val="auto"/>
              </w:rPr>
            </w:pPr>
          </w:p>
        </w:tc>
      </w:tr>
      <w:tr>
        <w:trPr>
          <w:trHeight w:val="22"/>
        </w:trPr>
        <w:tc>
          <w:tcPr>
            <w:tcW w:w="6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6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center"/>
              <w:ind w:right="65"/>
              <w:spacing w:after="0"/>
              <w:rPr>
                <w:sz w:val="20"/>
                <w:szCs w:val="20"/>
                <w:color w:val="auto"/>
              </w:rPr>
            </w:pPr>
            <w:r>
              <w:rPr>
                <w:rFonts w:ascii="Arial" w:cs="Arial" w:eastAsia="Arial" w:hAnsi="Arial"/>
                <w:sz w:val="19"/>
                <w:szCs w:val="19"/>
                <w:b w:val="1"/>
                <w:bCs w:val="1"/>
                <w:color w:val="auto"/>
                <w:w w:val="99"/>
              </w:rPr>
              <w:t>2022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ind w:right="25"/>
              <w:spacing w:after="0"/>
              <w:rPr>
                <w:sz w:val="20"/>
                <w:szCs w:val="20"/>
                <w:color w:val="auto"/>
              </w:rPr>
            </w:pPr>
            <w:r>
              <w:rPr>
                <w:rFonts w:ascii="Arial" w:cs="Arial" w:eastAsia="Arial" w:hAnsi="Arial"/>
                <w:sz w:val="19"/>
                <w:szCs w:val="19"/>
                <w:b w:val="1"/>
                <w:bCs w:val="1"/>
                <w:color w:val="auto"/>
              </w:rPr>
              <w:t>2021</w:t>
            </w:r>
          </w:p>
        </w:tc>
        <w:tc>
          <w:tcPr>
            <w:tcW w:w="0" w:type="dxa"/>
            <w:vAlign w:val="bottom"/>
          </w:tcPr>
          <w:p>
            <w:pPr>
              <w:spacing w:after="0"/>
              <w:rPr>
                <w:sz w:val="1"/>
                <w:szCs w:val="1"/>
                <w:color w:val="auto"/>
              </w:rPr>
            </w:pPr>
          </w:p>
        </w:tc>
      </w:tr>
      <w:tr>
        <w:trPr>
          <w:trHeight w:val="22"/>
        </w:trPr>
        <w:tc>
          <w:tcPr>
            <w:tcW w:w="6140" w:type="dxa"/>
            <w:vAlign w:val="bottom"/>
            <w:vMerge w:val="restart"/>
          </w:tcPr>
          <w:p>
            <w:pPr>
              <w:spacing w:after="0"/>
              <w:rPr>
                <w:sz w:val="20"/>
                <w:szCs w:val="20"/>
                <w:color w:val="auto"/>
              </w:rPr>
            </w:pPr>
            <w:r>
              <w:rPr>
                <w:rFonts w:ascii="Arial" w:cs="Arial" w:eastAsia="Arial" w:hAnsi="Arial"/>
                <w:sz w:val="19"/>
                <w:szCs w:val="19"/>
                <w:b w:val="1"/>
                <w:bCs w:val="1"/>
                <w:color w:val="auto"/>
              </w:rPr>
              <w:t>Pension</w:t>
            </w: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6140" w:type="dxa"/>
            <w:vAlign w:val="bottom"/>
            <w:vMerge w:val="continue"/>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9"/>
                <w:szCs w:val="19"/>
                <w:color w:val="auto"/>
              </w:rPr>
              <w:t>Changes in the benefit obligation</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9"/>
                <w:szCs w:val="19"/>
                <w:color w:val="auto"/>
              </w:rPr>
              <w:t>Benefit obligation - beginning of year . . . . . . . . . . . . . . . . . . . . . . . . . . . .</w:t>
            </w: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1260" w:type="dxa"/>
            <w:vAlign w:val="bottom"/>
          </w:tcPr>
          <w:p>
            <w:pPr>
              <w:jc w:val="right"/>
              <w:spacing w:after="0"/>
              <w:rPr>
                <w:sz w:val="20"/>
                <w:szCs w:val="20"/>
                <w:color w:val="auto"/>
              </w:rPr>
            </w:pPr>
            <w:r>
              <w:rPr>
                <w:rFonts w:ascii="Arial" w:cs="Arial" w:eastAsia="Arial" w:hAnsi="Arial"/>
                <w:sz w:val="19"/>
                <w:szCs w:val="19"/>
                <w:color w:val="auto"/>
              </w:rPr>
              <w:t>44</w:t>
            </w:r>
          </w:p>
        </w:tc>
        <w:tc>
          <w:tcPr>
            <w:tcW w:w="20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1360" w:type="dxa"/>
            <w:vAlign w:val="bottom"/>
          </w:tcPr>
          <w:p>
            <w:pPr>
              <w:jc w:val="right"/>
              <w:spacing w:after="0"/>
              <w:rPr>
                <w:sz w:val="20"/>
                <w:szCs w:val="20"/>
                <w:color w:val="auto"/>
              </w:rPr>
            </w:pPr>
            <w:r>
              <w:rPr>
                <w:rFonts w:ascii="Arial" w:cs="Arial" w:eastAsia="Arial" w:hAnsi="Arial"/>
                <w:sz w:val="19"/>
                <w:szCs w:val="19"/>
                <w:color w:val="auto"/>
              </w:rPr>
              <w:t>47</w:t>
            </w:r>
          </w:p>
        </w:tc>
        <w:tc>
          <w:tcPr>
            <w:tcW w:w="0" w:type="dxa"/>
            <w:vAlign w:val="bottom"/>
          </w:tcPr>
          <w:p>
            <w:pPr>
              <w:spacing w:after="0"/>
              <w:rPr>
                <w:sz w:val="1"/>
                <w:szCs w:val="1"/>
                <w:color w:val="auto"/>
              </w:rPr>
            </w:pPr>
          </w:p>
        </w:tc>
      </w:tr>
      <w:tr>
        <w:trPr>
          <w:trHeight w:val="230"/>
        </w:trPr>
        <w:tc>
          <w:tcPr>
            <w:tcW w:w="6140" w:type="dxa"/>
            <w:vAlign w:val="bottom"/>
          </w:tcPr>
          <w:p>
            <w:pPr>
              <w:jc w:val="right"/>
              <w:ind w:right="105"/>
              <w:spacing w:after="0"/>
              <w:rPr>
                <w:sz w:val="20"/>
                <w:szCs w:val="20"/>
                <w:color w:val="auto"/>
              </w:rPr>
            </w:pPr>
            <w:r>
              <w:rPr>
                <w:rFonts w:ascii="Arial" w:cs="Arial" w:eastAsia="Arial" w:hAnsi="Arial"/>
                <w:sz w:val="19"/>
                <w:szCs w:val="19"/>
                <w:color w:val="auto"/>
              </w:rPr>
              <w:t>Service cost - benefits earned during the period . . . . . . . . . . . . . . . . .</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30"/>
        </w:trPr>
        <w:tc>
          <w:tcPr>
            <w:tcW w:w="6140" w:type="dxa"/>
            <w:vAlign w:val="bottom"/>
          </w:tcPr>
          <w:p>
            <w:pPr>
              <w:jc w:val="right"/>
              <w:ind w:right="105"/>
              <w:spacing w:after="0"/>
              <w:rPr>
                <w:sz w:val="20"/>
                <w:szCs w:val="20"/>
                <w:color w:val="auto"/>
              </w:rPr>
            </w:pPr>
            <w:r>
              <w:rPr>
                <w:rFonts w:ascii="Arial" w:cs="Arial" w:eastAsia="Arial" w:hAnsi="Arial"/>
                <w:sz w:val="19"/>
                <w:szCs w:val="19"/>
                <w:color w:val="auto"/>
              </w:rPr>
              <w:t>Interest cost on projected benefit obligation . . . . . . . . . . . . . . . . . . . . .</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48"/>
        </w:trPr>
        <w:tc>
          <w:tcPr>
            <w:tcW w:w="6140" w:type="dxa"/>
            <w:vAlign w:val="bottom"/>
          </w:tcPr>
          <w:p>
            <w:pPr>
              <w:jc w:val="right"/>
              <w:ind w:right="105"/>
              <w:spacing w:after="0" w:line="248" w:lineRule="exact"/>
              <w:rPr>
                <w:sz w:val="20"/>
                <w:szCs w:val="20"/>
                <w:color w:val="auto"/>
              </w:rPr>
            </w:pPr>
            <w:r>
              <w:rPr>
                <w:rFonts w:ascii="Arial" w:cs="Arial" w:eastAsia="Arial" w:hAnsi="Arial"/>
                <w:sz w:val="19"/>
                <w:szCs w:val="19"/>
                <w:color w:val="auto"/>
                <w:w w:val="98"/>
              </w:rPr>
              <w:t>Actuarial (gain) loss</w:t>
            </w:r>
            <w:r>
              <w:rPr>
                <w:rFonts w:ascii="Arial" w:cs="Arial" w:eastAsia="Arial" w:hAnsi="Arial"/>
                <w:sz w:val="24"/>
                <w:szCs w:val="24"/>
                <w:color w:val="auto"/>
                <w:w w:val="98"/>
                <w:vertAlign w:val="superscript"/>
              </w:rPr>
              <w:t>(a)</w:t>
            </w:r>
            <w:r>
              <w:rPr>
                <w:rFonts w:ascii="Arial" w:cs="Arial" w:eastAsia="Arial" w:hAnsi="Arial"/>
                <w:sz w:val="19"/>
                <w:szCs w:val="19"/>
                <w:color w:val="auto"/>
                <w:w w:val="98"/>
              </w:rPr>
              <w:t xml:space="preserve">  . . . . . . . . . . . . . . . . . . . . . . . . . . . . . . . . . . . . . . .</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9"/>
                <w:szCs w:val="19"/>
                <w:color w:val="auto"/>
              </w:rPr>
              <w:t>(12)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12"/>
        </w:trPr>
        <w:tc>
          <w:tcPr>
            <w:tcW w:w="6140" w:type="dxa"/>
            <w:vAlign w:val="bottom"/>
          </w:tcPr>
          <w:p>
            <w:pPr>
              <w:jc w:val="right"/>
              <w:ind w:right="105"/>
              <w:spacing w:after="0" w:line="213" w:lineRule="exact"/>
              <w:rPr>
                <w:sz w:val="20"/>
                <w:szCs w:val="20"/>
                <w:color w:val="auto"/>
              </w:rPr>
            </w:pPr>
            <w:r>
              <w:rPr>
                <w:rFonts w:ascii="Arial" w:cs="Arial" w:eastAsia="Arial" w:hAnsi="Arial"/>
                <w:sz w:val="19"/>
                <w:szCs w:val="19"/>
                <w:color w:val="auto"/>
                <w:w w:val="99"/>
              </w:rPr>
              <w:t>Benefits paid . . . . . . . . . . . . . . . . . . . . . . . . . . . . . . . . . . . . . . . . . . . . . .</w:t>
            </w:r>
          </w:p>
        </w:tc>
        <w:tc>
          <w:tcPr>
            <w:tcW w:w="160" w:type="dxa"/>
            <w:vAlign w:val="bottom"/>
          </w:tcPr>
          <w:p>
            <w:pPr>
              <w:spacing w:after="0"/>
              <w:rPr>
                <w:sz w:val="18"/>
                <w:szCs w:val="18"/>
                <w:color w:val="auto"/>
              </w:rPr>
            </w:pPr>
          </w:p>
        </w:tc>
        <w:tc>
          <w:tcPr>
            <w:tcW w:w="1260" w:type="dxa"/>
            <w:vAlign w:val="bottom"/>
          </w:tcPr>
          <w:p>
            <w:pPr>
              <w:jc w:val="right"/>
              <w:spacing w:after="0" w:line="213" w:lineRule="exact"/>
              <w:rPr>
                <w:sz w:val="20"/>
                <w:szCs w:val="20"/>
                <w:color w:val="auto"/>
              </w:rPr>
            </w:pPr>
            <w:r>
              <w:rPr>
                <w:rFonts w:ascii="Arial" w:cs="Arial" w:eastAsia="Arial" w:hAnsi="Arial"/>
                <w:sz w:val="19"/>
                <w:szCs w:val="19"/>
                <w:color w:val="auto"/>
              </w:rPr>
              <w:t>(4)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line="213" w:lineRule="exact"/>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32"/>
        </w:trPr>
        <w:tc>
          <w:tcPr>
            <w:tcW w:w="6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140" w:type="dxa"/>
            <w:vAlign w:val="bottom"/>
          </w:tcPr>
          <w:p>
            <w:pPr>
              <w:jc w:val="right"/>
              <w:ind w:right="105"/>
              <w:spacing w:after="0"/>
              <w:rPr>
                <w:sz w:val="20"/>
                <w:szCs w:val="20"/>
                <w:color w:val="auto"/>
              </w:rPr>
            </w:pPr>
            <w:r>
              <w:rPr>
                <w:rFonts w:ascii="Arial" w:cs="Arial" w:eastAsia="Arial" w:hAnsi="Arial"/>
                <w:sz w:val="19"/>
                <w:szCs w:val="19"/>
                <w:color w:val="auto"/>
                <w:w w:val="97"/>
              </w:rPr>
              <w:t>Benefit obligation - end of year . . . . . . . . . . . . . . . . . . . . . . . . . . . . . . . . .</w:t>
            </w: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1260" w:type="dxa"/>
            <w:vAlign w:val="bottom"/>
          </w:tcPr>
          <w:p>
            <w:pPr>
              <w:jc w:val="right"/>
              <w:spacing w:after="0"/>
              <w:rPr>
                <w:sz w:val="20"/>
                <w:szCs w:val="20"/>
                <w:color w:val="auto"/>
              </w:rPr>
            </w:pPr>
            <w:r>
              <w:rPr>
                <w:rFonts w:ascii="Arial" w:cs="Arial" w:eastAsia="Arial" w:hAnsi="Arial"/>
                <w:sz w:val="19"/>
                <w:szCs w:val="19"/>
                <w:color w:val="auto"/>
              </w:rPr>
              <w:t>30</w:t>
            </w:r>
          </w:p>
        </w:tc>
        <w:tc>
          <w:tcPr>
            <w:tcW w:w="20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1360" w:type="dxa"/>
            <w:vAlign w:val="bottom"/>
          </w:tcPr>
          <w:p>
            <w:pPr>
              <w:jc w:val="right"/>
              <w:spacing w:after="0"/>
              <w:rPr>
                <w:sz w:val="20"/>
                <w:szCs w:val="20"/>
                <w:color w:val="auto"/>
              </w:rPr>
            </w:pPr>
            <w:r>
              <w:rPr>
                <w:rFonts w:ascii="Arial" w:cs="Arial" w:eastAsia="Arial" w:hAnsi="Arial"/>
                <w:sz w:val="19"/>
                <w:szCs w:val="19"/>
                <w:color w:val="auto"/>
              </w:rPr>
              <w:t>44</w:t>
            </w:r>
          </w:p>
        </w:tc>
        <w:tc>
          <w:tcPr>
            <w:tcW w:w="0" w:type="dxa"/>
            <w:vAlign w:val="bottom"/>
          </w:tcPr>
          <w:p>
            <w:pPr>
              <w:spacing w:after="0"/>
              <w:rPr>
                <w:sz w:val="1"/>
                <w:szCs w:val="1"/>
                <w:color w:val="auto"/>
              </w:rPr>
            </w:pPr>
          </w:p>
        </w:tc>
      </w:tr>
      <w:tr>
        <w:trPr>
          <w:trHeight w:val="32"/>
        </w:trPr>
        <w:tc>
          <w:tcPr>
            <w:tcW w:w="6140" w:type="dxa"/>
            <w:vAlign w:val="bottom"/>
            <w:vMerge w:val="restart"/>
          </w:tcPr>
          <w:p>
            <w:pPr>
              <w:spacing w:after="0"/>
              <w:rPr>
                <w:sz w:val="20"/>
                <w:szCs w:val="20"/>
                <w:color w:val="auto"/>
              </w:rPr>
            </w:pPr>
            <w:r>
              <w:rPr>
                <w:rFonts w:ascii="Arial" w:cs="Arial" w:eastAsia="Arial" w:hAnsi="Arial"/>
                <w:sz w:val="19"/>
                <w:szCs w:val="19"/>
                <w:color w:val="auto"/>
              </w:rPr>
              <w:t>Changes in plan assets</w:t>
            </w: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8"/>
        </w:trPr>
        <w:tc>
          <w:tcPr>
            <w:tcW w:w="61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140" w:type="dxa"/>
            <w:vAlign w:val="bottom"/>
          </w:tcPr>
          <w:p>
            <w:pPr>
              <w:jc w:val="right"/>
              <w:ind w:right="105"/>
              <w:spacing w:after="0"/>
              <w:rPr>
                <w:sz w:val="20"/>
                <w:szCs w:val="20"/>
                <w:color w:val="auto"/>
              </w:rPr>
            </w:pPr>
            <w:r>
              <w:rPr>
                <w:rFonts w:ascii="Arial" w:cs="Arial" w:eastAsia="Arial" w:hAnsi="Arial"/>
                <w:sz w:val="19"/>
                <w:szCs w:val="19"/>
                <w:color w:val="auto"/>
                <w:w w:val="98"/>
              </w:rPr>
              <w:t>Fair value of plan assets - beginning of year . . . . . . . . . . . . . . . . . . . . . .</w:t>
            </w: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1260" w:type="dxa"/>
            <w:vAlign w:val="bottom"/>
          </w:tcPr>
          <w:p>
            <w:pPr>
              <w:jc w:val="right"/>
              <w:spacing w:after="0"/>
              <w:rPr>
                <w:sz w:val="20"/>
                <w:szCs w:val="20"/>
                <w:color w:val="auto"/>
              </w:rPr>
            </w:pPr>
            <w:r>
              <w:rPr>
                <w:rFonts w:ascii="Arial" w:cs="Arial" w:eastAsia="Arial" w:hAnsi="Arial"/>
                <w:sz w:val="19"/>
                <w:szCs w:val="19"/>
                <w:color w:val="auto"/>
              </w:rPr>
              <w:t>29</w:t>
            </w:r>
          </w:p>
        </w:tc>
        <w:tc>
          <w:tcPr>
            <w:tcW w:w="20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1360" w:type="dxa"/>
            <w:vAlign w:val="bottom"/>
          </w:tcPr>
          <w:p>
            <w:pPr>
              <w:jc w:val="right"/>
              <w:spacing w:after="0"/>
              <w:rPr>
                <w:sz w:val="20"/>
                <w:szCs w:val="20"/>
                <w:color w:val="auto"/>
              </w:rPr>
            </w:pPr>
            <w:r>
              <w:rPr>
                <w:rFonts w:ascii="Arial" w:cs="Arial" w:eastAsia="Arial" w:hAnsi="Arial"/>
                <w:sz w:val="19"/>
                <w:szCs w:val="19"/>
                <w:color w:val="auto"/>
              </w:rPr>
              <w:t>32</w:t>
            </w:r>
          </w:p>
        </w:tc>
        <w:tc>
          <w:tcPr>
            <w:tcW w:w="0" w:type="dxa"/>
            <w:vAlign w:val="bottom"/>
          </w:tcPr>
          <w:p>
            <w:pPr>
              <w:spacing w:after="0"/>
              <w:rPr>
                <w:sz w:val="1"/>
                <w:szCs w:val="1"/>
                <w:color w:val="auto"/>
              </w:rPr>
            </w:pPr>
          </w:p>
        </w:tc>
      </w:tr>
      <w:tr>
        <w:trPr>
          <w:trHeight w:val="230"/>
        </w:trPr>
        <w:tc>
          <w:tcPr>
            <w:tcW w:w="6140" w:type="dxa"/>
            <w:vAlign w:val="bottom"/>
          </w:tcPr>
          <w:p>
            <w:pPr>
              <w:jc w:val="right"/>
              <w:ind w:right="105"/>
              <w:spacing w:after="0"/>
              <w:rPr>
                <w:sz w:val="20"/>
                <w:szCs w:val="20"/>
                <w:color w:val="auto"/>
              </w:rPr>
            </w:pPr>
            <w:r>
              <w:rPr>
                <w:rFonts w:ascii="Arial" w:cs="Arial" w:eastAsia="Arial" w:hAnsi="Arial"/>
                <w:sz w:val="19"/>
                <w:szCs w:val="19"/>
                <w:color w:val="auto"/>
              </w:rPr>
              <w:t>Actual return on plan assets  . . . . . . . . . . . . . . . . . . . . . . . . . . . . . . . . .</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9"/>
                <w:szCs w:val="19"/>
                <w:color w:val="auto"/>
              </w:rPr>
              <w:t>(5)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30"/>
        </w:trPr>
        <w:tc>
          <w:tcPr>
            <w:tcW w:w="6140" w:type="dxa"/>
            <w:vAlign w:val="bottom"/>
          </w:tcPr>
          <w:p>
            <w:pPr>
              <w:jc w:val="right"/>
              <w:ind w:right="105"/>
              <w:spacing w:after="0"/>
              <w:rPr>
                <w:sz w:val="20"/>
                <w:szCs w:val="20"/>
                <w:color w:val="auto"/>
              </w:rPr>
            </w:pPr>
            <w:r>
              <w:rPr>
                <w:rFonts w:ascii="Arial" w:cs="Arial" w:eastAsia="Arial" w:hAnsi="Arial"/>
                <w:sz w:val="19"/>
                <w:szCs w:val="19"/>
                <w:color w:val="auto"/>
                <w:w w:val="99"/>
              </w:rPr>
              <w:t>Employer contributions . . . . . . . . . . . . . . . . . . . . . . . . . . . . . . . . . . . . . .</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9"/>
                <w:szCs w:val="19"/>
                <w:color w:val="auto"/>
              </w:rPr>
              <w:t>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30"/>
        </w:trPr>
        <w:tc>
          <w:tcPr>
            <w:tcW w:w="6140" w:type="dxa"/>
            <w:vAlign w:val="bottom"/>
          </w:tcPr>
          <w:p>
            <w:pPr>
              <w:jc w:val="right"/>
              <w:ind w:right="105"/>
              <w:spacing w:after="0"/>
              <w:rPr>
                <w:sz w:val="20"/>
                <w:szCs w:val="20"/>
                <w:color w:val="auto"/>
              </w:rPr>
            </w:pPr>
            <w:r>
              <w:rPr>
                <w:rFonts w:ascii="Arial" w:cs="Arial" w:eastAsia="Arial" w:hAnsi="Arial"/>
                <w:sz w:val="19"/>
                <w:szCs w:val="19"/>
                <w:color w:val="auto"/>
                <w:w w:val="99"/>
              </w:rPr>
              <w:t>Benefits paid . . . . . . . . . . . . . . . . . . . . . . . . . . . . . . . . . . . . . . . . . . . . . .</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9"/>
                <w:szCs w:val="19"/>
                <w:color w:val="auto"/>
              </w:rPr>
              <w:t>(4)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32"/>
        </w:trPr>
        <w:tc>
          <w:tcPr>
            <w:tcW w:w="6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140" w:type="dxa"/>
            <w:vAlign w:val="bottom"/>
          </w:tcPr>
          <w:p>
            <w:pPr>
              <w:jc w:val="right"/>
              <w:ind w:right="105"/>
              <w:spacing w:after="0"/>
              <w:rPr>
                <w:sz w:val="20"/>
                <w:szCs w:val="20"/>
                <w:color w:val="auto"/>
              </w:rPr>
            </w:pPr>
            <w:r>
              <w:rPr>
                <w:rFonts w:ascii="Arial" w:cs="Arial" w:eastAsia="Arial" w:hAnsi="Arial"/>
                <w:sz w:val="19"/>
                <w:szCs w:val="19"/>
                <w:color w:val="auto"/>
                <w:w w:val="98"/>
              </w:rPr>
              <w:t>Fair value of plan assets - end of year . . . . . . . . . . . . . . . . . . . . . . . . . . .</w:t>
            </w: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1260" w:type="dxa"/>
            <w:vAlign w:val="bottom"/>
          </w:tcPr>
          <w:p>
            <w:pPr>
              <w:jc w:val="right"/>
              <w:spacing w:after="0"/>
              <w:rPr>
                <w:sz w:val="20"/>
                <w:szCs w:val="20"/>
                <w:color w:val="auto"/>
              </w:rPr>
            </w:pPr>
            <w:r>
              <w:rPr>
                <w:rFonts w:ascii="Arial" w:cs="Arial" w:eastAsia="Arial" w:hAnsi="Arial"/>
                <w:sz w:val="19"/>
                <w:szCs w:val="19"/>
                <w:color w:val="auto"/>
              </w:rPr>
              <w:t>32</w:t>
            </w:r>
          </w:p>
        </w:tc>
        <w:tc>
          <w:tcPr>
            <w:tcW w:w="20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1360" w:type="dxa"/>
            <w:vAlign w:val="bottom"/>
          </w:tcPr>
          <w:p>
            <w:pPr>
              <w:jc w:val="right"/>
              <w:spacing w:after="0"/>
              <w:rPr>
                <w:sz w:val="20"/>
                <w:szCs w:val="20"/>
                <w:color w:val="auto"/>
              </w:rPr>
            </w:pPr>
            <w:r>
              <w:rPr>
                <w:rFonts w:ascii="Arial" w:cs="Arial" w:eastAsia="Arial" w:hAnsi="Arial"/>
                <w:sz w:val="19"/>
                <w:szCs w:val="19"/>
                <w:color w:val="auto"/>
              </w:rPr>
              <w:t>29</w:t>
            </w:r>
          </w:p>
        </w:tc>
        <w:tc>
          <w:tcPr>
            <w:tcW w:w="0" w:type="dxa"/>
            <w:vAlign w:val="bottom"/>
          </w:tcPr>
          <w:p>
            <w:pPr>
              <w:spacing w:after="0"/>
              <w:rPr>
                <w:sz w:val="1"/>
                <w:szCs w:val="1"/>
                <w:color w:val="auto"/>
              </w:rPr>
            </w:pPr>
          </w:p>
        </w:tc>
      </w:tr>
      <w:tr>
        <w:trPr>
          <w:trHeight w:val="32"/>
        </w:trPr>
        <w:tc>
          <w:tcPr>
            <w:tcW w:w="6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0"/>
        </w:trPr>
        <w:tc>
          <w:tcPr>
            <w:tcW w:w="6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6140" w:type="dxa"/>
            <w:vAlign w:val="bottom"/>
          </w:tcPr>
          <w:p>
            <w:pPr>
              <w:jc w:val="right"/>
              <w:ind w:right="105"/>
              <w:spacing w:after="0"/>
              <w:rPr>
                <w:sz w:val="20"/>
                <w:szCs w:val="20"/>
                <w:color w:val="auto"/>
              </w:rPr>
            </w:pPr>
            <w:r>
              <w:rPr>
                <w:rFonts w:ascii="Arial" w:cs="Arial" w:eastAsia="Arial" w:hAnsi="Arial"/>
                <w:sz w:val="19"/>
                <w:szCs w:val="19"/>
                <w:color w:val="auto"/>
                <w:w w:val="97"/>
              </w:rPr>
              <w:t>Net benefit asset (liability) . . . . . . . . . . . . . . . . . . . . . . . . . . . . . . . . . . . . .</w:t>
            </w: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1260" w:type="dxa"/>
            <w:vAlign w:val="bottom"/>
          </w:tcPr>
          <w:p>
            <w:pPr>
              <w:jc w:val="right"/>
              <w:spacing w:after="0"/>
              <w:rPr>
                <w:sz w:val="20"/>
                <w:szCs w:val="20"/>
                <w:color w:val="auto"/>
              </w:rPr>
            </w:pPr>
            <w:r>
              <w:rPr>
                <w:rFonts w:ascii="Arial" w:cs="Arial" w:eastAsia="Arial" w:hAnsi="Arial"/>
                <w:sz w:val="19"/>
                <w:szCs w:val="19"/>
                <w:color w:val="auto"/>
              </w:rPr>
              <w:t>2</w:t>
            </w:r>
          </w:p>
        </w:tc>
        <w:tc>
          <w:tcPr>
            <w:tcW w:w="20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1360" w:type="dxa"/>
            <w:vAlign w:val="bottom"/>
          </w:tcPr>
          <w:p>
            <w:pPr>
              <w:jc w:val="right"/>
              <w:spacing w:after="0"/>
              <w:rPr>
                <w:sz w:val="20"/>
                <w:szCs w:val="20"/>
                <w:color w:val="auto"/>
              </w:rPr>
            </w:pPr>
            <w:r>
              <w:rPr>
                <w:rFonts w:ascii="Arial" w:cs="Arial" w:eastAsia="Arial" w:hAnsi="Arial"/>
                <w:sz w:val="19"/>
                <w:szCs w:val="19"/>
                <w:color w:val="auto"/>
              </w:rPr>
              <w:t>(15)</w:t>
            </w:r>
          </w:p>
        </w:tc>
        <w:tc>
          <w:tcPr>
            <w:tcW w:w="0" w:type="dxa"/>
            <w:vAlign w:val="bottom"/>
          </w:tcPr>
          <w:p>
            <w:pPr>
              <w:spacing w:after="0"/>
              <w:rPr>
                <w:sz w:val="1"/>
                <w:szCs w:val="1"/>
                <w:color w:val="auto"/>
              </w:rPr>
            </w:pPr>
          </w:p>
        </w:tc>
      </w:tr>
      <w:tr>
        <w:trPr>
          <w:trHeight w:val="32"/>
        </w:trPr>
        <w:tc>
          <w:tcPr>
            <w:tcW w:w="6140" w:type="dxa"/>
            <w:vAlign w:val="bottom"/>
            <w:vMerge w:val="restart"/>
          </w:tcPr>
          <w:p>
            <w:pPr>
              <w:spacing w:after="0"/>
              <w:rPr>
                <w:sz w:val="20"/>
                <w:szCs w:val="20"/>
                <w:color w:val="auto"/>
              </w:rPr>
            </w:pPr>
            <w:r>
              <w:rPr>
                <w:rFonts w:ascii="Arial" w:cs="Arial" w:eastAsia="Arial" w:hAnsi="Arial"/>
                <w:sz w:val="19"/>
                <w:szCs w:val="19"/>
                <w:b w:val="1"/>
                <w:bCs w:val="1"/>
                <w:color w:val="auto"/>
              </w:rPr>
              <w:t>Postretirement</w:t>
            </w: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4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61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9"/>
                <w:szCs w:val="19"/>
                <w:color w:val="auto"/>
              </w:rPr>
              <w:t>Changes in the benefit obligation (in millions)</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40" w:type="dxa"/>
            <w:vAlign w:val="bottom"/>
          </w:tcPr>
          <w:p>
            <w:pPr>
              <w:jc w:val="right"/>
              <w:ind w:right="105"/>
              <w:spacing w:after="0"/>
              <w:rPr>
                <w:sz w:val="20"/>
                <w:szCs w:val="20"/>
                <w:color w:val="auto"/>
              </w:rPr>
            </w:pPr>
            <w:r>
              <w:rPr>
                <w:rFonts w:ascii="Arial" w:cs="Arial" w:eastAsia="Arial" w:hAnsi="Arial"/>
                <w:sz w:val="19"/>
                <w:szCs w:val="19"/>
                <w:color w:val="auto"/>
                <w:w w:val="97"/>
              </w:rPr>
              <w:t>Benefit obligation - beginning of year . . . . . . . . . . . . . . . . . . . . . . . . . . . .</w:t>
            </w: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1260" w:type="dxa"/>
            <w:vAlign w:val="bottom"/>
          </w:tcPr>
          <w:p>
            <w:pPr>
              <w:jc w:val="right"/>
              <w:spacing w:after="0"/>
              <w:rPr>
                <w:sz w:val="20"/>
                <w:szCs w:val="20"/>
                <w:color w:val="auto"/>
              </w:rPr>
            </w:pPr>
            <w:r>
              <w:rPr>
                <w:rFonts w:ascii="Arial" w:cs="Arial" w:eastAsia="Arial" w:hAnsi="Arial"/>
                <w:sz w:val="19"/>
                <w:szCs w:val="19"/>
                <w:color w:val="auto"/>
              </w:rPr>
              <w:t>49</w:t>
            </w:r>
          </w:p>
        </w:tc>
        <w:tc>
          <w:tcPr>
            <w:tcW w:w="20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1360" w:type="dxa"/>
            <w:vAlign w:val="bottom"/>
          </w:tcPr>
          <w:p>
            <w:pPr>
              <w:jc w:val="right"/>
              <w:spacing w:after="0"/>
              <w:rPr>
                <w:sz w:val="20"/>
                <w:szCs w:val="20"/>
                <w:color w:val="auto"/>
              </w:rPr>
            </w:pPr>
            <w:r>
              <w:rPr>
                <w:rFonts w:ascii="Arial" w:cs="Arial" w:eastAsia="Arial" w:hAnsi="Arial"/>
                <w:sz w:val="19"/>
                <w:szCs w:val="19"/>
                <w:color w:val="auto"/>
              </w:rPr>
              <w:t>129</w:t>
            </w:r>
          </w:p>
        </w:tc>
        <w:tc>
          <w:tcPr>
            <w:tcW w:w="0" w:type="dxa"/>
            <w:vAlign w:val="bottom"/>
          </w:tcPr>
          <w:p>
            <w:pPr>
              <w:spacing w:after="0"/>
              <w:rPr>
                <w:sz w:val="1"/>
                <w:szCs w:val="1"/>
                <w:color w:val="auto"/>
              </w:rPr>
            </w:pPr>
          </w:p>
        </w:tc>
      </w:tr>
      <w:tr>
        <w:trPr>
          <w:trHeight w:val="230"/>
        </w:trPr>
        <w:tc>
          <w:tcPr>
            <w:tcW w:w="6140" w:type="dxa"/>
            <w:vAlign w:val="bottom"/>
          </w:tcPr>
          <w:p>
            <w:pPr>
              <w:jc w:val="right"/>
              <w:ind w:right="105"/>
              <w:spacing w:after="0"/>
              <w:rPr>
                <w:sz w:val="20"/>
                <w:szCs w:val="20"/>
                <w:color w:val="auto"/>
              </w:rPr>
            </w:pPr>
            <w:r>
              <w:rPr>
                <w:rFonts w:ascii="Arial" w:cs="Arial" w:eastAsia="Arial" w:hAnsi="Arial"/>
                <w:sz w:val="19"/>
                <w:szCs w:val="19"/>
                <w:color w:val="auto"/>
              </w:rPr>
              <w:t>Service cost - benefits earned during the period . . . . . . . . . . . . . . . . .</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9"/>
                <w:szCs w:val="19"/>
                <w:color w:val="auto"/>
              </w:rPr>
              <w:t>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9"/>
                <w:szCs w:val="19"/>
                <w:color w:val="auto"/>
              </w:rPr>
              <w:t>4</w:t>
            </w:r>
          </w:p>
        </w:tc>
        <w:tc>
          <w:tcPr>
            <w:tcW w:w="0" w:type="dxa"/>
            <w:vAlign w:val="bottom"/>
          </w:tcPr>
          <w:p>
            <w:pPr>
              <w:spacing w:after="0"/>
              <w:rPr>
                <w:sz w:val="1"/>
                <w:szCs w:val="1"/>
                <w:color w:val="auto"/>
              </w:rPr>
            </w:pPr>
          </w:p>
        </w:tc>
      </w:tr>
      <w:tr>
        <w:trPr>
          <w:trHeight w:val="230"/>
        </w:trPr>
        <w:tc>
          <w:tcPr>
            <w:tcW w:w="6140" w:type="dxa"/>
            <w:vAlign w:val="bottom"/>
          </w:tcPr>
          <w:p>
            <w:pPr>
              <w:jc w:val="right"/>
              <w:ind w:right="105"/>
              <w:spacing w:after="0"/>
              <w:rPr>
                <w:sz w:val="20"/>
                <w:szCs w:val="20"/>
                <w:color w:val="auto"/>
              </w:rPr>
            </w:pPr>
            <w:r>
              <w:rPr>
                <w:rFonts w:ascii="Arial" w:cs="Arial" w:eastAsia="Arial" w:hAnsi="Arial"/>
                <w:sz w:val="19"/>
                <w:szCs w:val="19"/>
                <w:color w:val="auto"/>
              </w:rPr>
              <w:t>Interest cost on projected benefit obligation . . . . . . . . . . . . . . . . . . . . .</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9"/>
                <w:szCs w:val="19"/>
                <w:color w:val="auto"/>
              </w:rPr>
              <w:t>3</w:t>
            </w:r>
          </w:p>
        </w:tc>
        <w:tc>
          <w:tcPr>
            <w:tcW w:w="0" w:type="dxa"/>
            <w:vAlign w:val="bottom"/>
          </w:tcPr>
          <w:p>
            <w:pPr>
              <w:spacing w:after="0"/>
              <w:rPr>
                <w:sz w:val="1"/>
                <w:szCs w:val="1"/>
                <w:color w:val="auto"/>
              </w:rPr>
            </w:pPr>
          </w:p>
        </w:tc>
      </w:tr>
      <w:tr>
        <w:trPr>
          <w:trHeight w:val="248"/>
        </w:trPr>
        <w:tc>
          <w:tcPr>
            <w:tcW w:w="6140" w:type="dxa"/>
            <w:vAlign w:val="bottom"/>
          </w:tcPr>
          <w:p>
            <w:pPr>
              <w:jc w:val="right"/>
              <w:ind w:right="105"/>
              <w:spacing w:after="0" w:line="248" w:lineRule="exact"/>
              <w:rPr>
                <w:sz w:val="20"/>
                <w:szCs w:val="20"/>
                <w:color w:val="auto"/>
              </w:rPr>
            </w:pPr>
            <w:r>
              <w:rPr>
                <w:rFonts w:ascii="Arial" w:cs="Arial" w:eastAsia="Arial" w:hAnsi="Arial"/>
                <w:sz w:val="19"/>
                <w:szCs w:val="19"/>
                <w:color w:val="auto"/>
                <w:w w:val="98"/>
              </w:rPr>
              <w:t>Actuarial (gain) loss</w:t>
            </w:r>
            <w:r>
              <w:rPr>
                <w:rFonts w:ascii="Arial" w:cs="Arial" w:eastAsia="Arial" w:hAnsi="Arial"/>
                <w:sz w:val="24"/>
                <w:szCs w:val="24"/>
                <w:color w:val="auto"/>
                <w:w w:val="98"/>
                <w:vertAlign w:val="superscript"/>
              </w:rPr>
              <w:t>(b)</w:t>
            </w:r>
            <w:r>
              <w:rPr>
                <w:rFonts w:ascii="Arial" w:cs="Arial" w:eastAsia="Arial" w:hAnsi="Arial"/>
                <w:sz w:val="19"/>
                <w:szCs w:val="19"/>
                <w:color w:val="auto"/>
                <w:w w:val="98"/>
              </w:rPr>
              <w:t xml:space="preserve">  . . . . . . . . . . . . . . . . . . . . . . . . . . . . . . . . . . . . . . .</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9"/>
                <w:szCs w:val="19"/>
                <w:color w:val="auto"/>
              </w:rPr>
              <w:t>(12)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9"/>
                <w:szCs w:val="19"/>
                <w:color w:val="auto"/>
              </w:rPr>
              <w:t>(17)</w:t>
            </w:r>
          </w:p>
        </w:tc>
        <w:tc>
          <w:tcPr>
            <w:tcW w:w="0" w:type="dxa"/>
            <w:vAlign w:val="bottom"/>
          </w:tcPr>
          <w:p>
            <w:pPr>
              <w:spacing w:after="0"/>
              <w:rPr>
                <w:sz w:val="1"/>
                <w:szCs w:val="1"/>
                <w:color w:val="auto"/>
              </w:rPr>
            </w:pPr>
          </w:p>
        </w:tc>
      </w:tr>
      <w:tr>
        <w:trPr>
          <w:trHeight w:val="212"/>
        </w:trPr>
        <w:tc>
          <w:tcPr>
            <w:tcW w:w="6140" w:type="dxa"/>
            <w:vAlign w:val="bottom"/>
          </w:tcPr>
          <w:p>
            <w:pPr>
              <w:jc w:val="right"/>
              <w:ind w:right="105"/>
              <w:spacing w:after="0" w:line="213" w:lineRule="exact"/>
              <w:rPr>
                <w:sz w:val="20"/>
                <w:szCs w:val="20"/>
                <w:color w:val="auto"/>
              </w:rPr>
            </w:pPr>
            <w:r>
              <w:rPr>
                <w:rFonts w:ascii="Arial" w:cs="Arial" w:eastAsia="Arial" w:hAnsi="Arial"/>
                <w:sz w:val="19"/>
                <w:szCs w:val="19"/>
                <w:color w:val="auto"/>
                <w:w w:val="99"/>
              </w:rPr>
              <w:t>Benefits paid . . . . . . . . . . . . . . . . . . . . . . . . . . . . . . . . . . . . . . . . . . . . . .</w:t>
            </w:r>
          </w:p>
        </w:tc>
        <w:tc>
          <w:tcPr>
            <w:tcW w:w="160" w:type="dxa"/>
            <w:vAlign w:val="bottom"/>
          </w:tcPr>
          <w:p>
            <w:pPr>
              <w:spacing w:after="0"/>
              <w:rPr>
                <w:sz w:val="18"/>
                <w:szCs w:val="18"/>
                <w:color w:val="auto"/>
              </w:rPr>
            </w:pPr>
          </w:p>
        </w:tc>
        <w:tc>
          <w:tcPr>
            <w:tcW w:w="1260" w:type="dxa"/>
            <w:vAlign w:val="bottom"/>
          </w:tcPr>
          <w:p>
            <w:pPr>
              <w:jc w:val="right"/>
              <w:spacing w:after="0" w:line="213" w:lineRule="exact"/>
              <w:rPr>
                <w:sz w:val="20"/>
                <w:szCs w:val="20"/>
                <w:color w:val="auto"/>
              </w:rPr>
            </w:pPr>
            <w:r>
              <w:rPr>
                <w:rFonts w:ascii="Arial" w:cs="Arial" w:eastAsia="Arial" w:hAnsi="Arial"/>
                <w:sz w:val="19"/>
                <w:szCs w:val="19"/>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line="213" w:lineRule="exact"/>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230"/>
        </w:trPr>
        <w:tc>
          <w:tcPr>
            <w:tcW w:w="6140" w:type="dxa"/>
            <w:vAlign w:val="bottom"/>
          </w:tcPr>
          <w:p>
            <w:pPr>
              <w:jc w:val="right"/>
              <w:ind w:right="105"/>
              <w:spacing w:after="0"/>
              <w:rPr>
                <w:sz w:val="20"/>
                <w:szCs w:val="20"/>
                <w:color w:val="auto"/>
              </w:rPr>
            </w:pPr>
            <w:r>
              <w:rPr>
                <w:rFonts w:ascii="Arial" w:cs="Arial" w:eastAsia="Arial" w:hAnsi="Arial"/>
                <w:sz w:val="19"/>
                <w:szCs w:val="19"/>
                <w:color w:val="auto"/>
                <w:w w:val="99"/>
              </w:rPr>
              <w:t>Plan amendment . . . . . . . . . . . . . . . . . . . . . . . . . . . . . . . . . . . . . . . . . . .</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9"/>
                <w:szCs w:val="19"/>
                <w:color w:val="auto"/>
              </w:rPr>
              <w:t>(65)</w:t>
            </w:r>
          </w:p>
        </w:tc>
        <w:tc>
          <w:tcPr>
            <w:tcW w:w="0" w:type="dxa"/>
            <w:vAlign w:val="bottom"/>
          </w:tcPr>
          <w:p>
            <w:pPr>
              <w:spacing w:after="0"/>
              <w:rPr>
                <w:sz w:val="1"/>
                <w:szCs w:val="1"/>
                <w:color w:val="auto"/>
              </w:rPr>
            </w:pPr>
          </w:p>
        </w:tc>
      </w:tr>
      <w:tr>
        <w:trPr>
          <w:trHeight w:val="32"/>
        </w:trPr>
        <w:tc>
          <w:tcPr>
            <w:tcW w:w="6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140" w:type="dxa"/>
            <w:vAlign w:val="bottom"/>
          </w:tcPr>
          <w:p>
            <w:pPr>
              <w:jc w:val="right"/>
              <w:ind w:right="105"/>
              <w:spacing w:after="0"/>
              <w:rPr>
                <w:sz w:val="20"/>
                <w:szCs w:val="20"/>
                <w:color w:val="auto"/>
              </w:rPr>
            </w:pPr>
            <w:r>
              <w:rPr>
                <w:rFonts w:ascii="Arial" w:cs="Arial" w:eastAsia="Arial" w:hAnsi="Arial"/>
                <w:sz w:val="19"/>
                <w:szCs w:val="19"/>
                <w:color w:val="auto"/>
                <w:w w:val="97"/>
              </w:rPr>
              <w:t>Benefit obligation - end of year . . . . . . . . . . . . . . . . . . . . . . . . . . . . . . . . .</w:t>
            </w: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1260" w:type="dxa"/>
            <w:vAlign w:val="bottom"/>
          </w:tcPr>
          <w:p>
            <w:pPr>
              <w:jc w:val="right"/>
              <w:spacing w:after="0"/>
              <w:rPr>
                <w:sz w:val="20"/>
                <w:szCs w:val="20"/>
                <w:color w:val="auto"/>
              </w:rPr>
            </w:pPr>
            <w:r>
              <w:rPr>
                <w:rFonts w:ascii="Arial" w:cs="Arial" w:eastAsia="Arial" w:hAnsi="Arial"/>
                <w:sz w:val="19"/>
                <w:szCs w:val="19"/>
                <w:color w:val="auto"/>
              </w:rPr>
              <w:t>38</w:t>
            </w:r>
          </w:p>
        </w:tc>
        <w:tc>
          <w:tcPr>
            <w:tcW w:w="20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1360" w:type="dxa"/>
            <w:vAlign w:val="bottom"/>
          </w:tcPr>
          <w:p>
            <w:pPr>
              <w:jc w:val="right"/>
              <w:spacing w:after="0"/>
              <w:rPr>
                <w:sz w:val="20"/>
                <w:szCs w:val="20"/>
                <w:color w:val="auto"/>
              </w:rPr>
            </w:pPr>
            <w:r>
              <w:rPr>
                <w:rFonts w:ascii="Arial" w:cs="Arial" w:eastAsia="Arial" w:hAnsi="Arial"/>
                <w:sz w:val="19"/>
                <w:szCs w:val="19"/>
                <w:color w:val="auto"/>
              </w:rPr>
              <w:t>49</w:t>
            </w:r>
          </w:p>
        </w:tc>
        <w:tc>
          <w:tcPr>
            <w:tcW w:w="0" w:type="dxa"/>
            <w:vAlign w:val="bottom"/>
          </w:tcPr>
          <w:p>
            <w:pPr>
              <w:spacing w:after="0"/>
              <w:rPr>
                <w:sz w:val="1"/>
                <w:szCs w:val="1"/>
                <w:color w:val="auto"/>
              </w:rPr>
            </w:pPr>
          </w:p>
        </w:tc>
      </w:tr>
      <w:tr>
        <w:trPr>
          <w:trHeight w:val="32"/>
        </w:trPr>
        <w:tc>
          <w:tcPr>
            <w:tcW w:w="6140" w:type="dxa"/>
            <w:vAlign w:val="bottom"/>
            <w:vMerge w:val="restart"/>
          </w:tcPr>
          <w:p>
            <w:pPr>
              <w:spacing w:after="0"/>
              <w:rPr>
                <w:sz w:val="20"/>
                <w:szCs w:val="20"/>
                <w:color w:val="auto"/>
              </w:rPr>
            </w:pPr>
            <w:r>
              <w:rPr>
                <w:rFonts w:ascii="Arial" w:cs="Arial" w:eastAsia="Arial" w:hAnsi="Arial"/>
                <w:sz w:val="18"/>
                <w:szCs w:val="18"/>
                <w:color w:val="auto"/>
              </w:rPr>
              <w:t>Changes in plan assets</w:t>
            </w: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61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6140" w:type="dxa"/>
            <w:vAlign w:val="bottom"/>
          </w:tcPr>
          <w:p>
            <w:pPr>
              <w:jc w:val="right"/>
              <w:ind w:right="105"/>
              <w:spacing w:after="0"/>
              <w:rPr>
                <w:sz w:val="20"/>
                <w:szCs w:val="20"/>
                <w:color w:val="auto"/>
              </w:rPr>
            </w:pPr>
            <w:r>
              <w:rPr>
                <w:rFonts w:ascii="Arial" w:cs="Arial" w:eastAsia="Arial" w:hAnsi="Arial"/>
                <w:sz w:val="19"/>
                <w:szCs w:val="19"/>
                <w:color w:val="auto"/>
                <w:w w:val="98"/>
              </w:rPr>
              <w:t>Fair value of plan assets - beginning of year . . . . . . . . . . . . . . . . . . . . . .</w:t>
            </w: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1260" w:type="dxa"/>
            <w:vAlign w:val="bottom"/>
          </w:tcPr>
          <w:p>
            <w:pPr>
              <w:jc w:val="right"/>
              <w:spacing w:after="0"/>
              <w:rPr>
                <w:sz w:val="20"/>
                <w:szCs w:val="20"/>
                <w:color w:val="auto"/>
              </w:rPr>
            </w:pPr>
            <w:r>
              <w:rPr>
                <w:rFonts w:ascii="Arial" w:cs="Arial" w:eastAsia="Arial" w:hAnsi="Arial"/>
                <w:sz w:val="19"/>
                <w:szCs w:val="19"/>
                <w:color w:val="auto"/>
              </w:rPr>
              <w:t>1</w:t>
            </w:r>
          </w:p>
        </w:tc>
        <w:tc>
          <w:tcPr>
            <w:tcW w:w="20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136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0"/>
        </w:trPr>
        <w:tc>
          <w:tcPr>
            <w:tcW w:w="6140" w:type="dxa"/>
            <w:vAlign w:val="bottom"/>
          </w:tcPr>
          <w:p>
            <w:pPr>
              <w:jc w:val="right"/>
              <w:ind w:right="105"/>
              <w:spacing w:after="0"/>
              <w:rPr>
                <w:sz w:val="20"/>
                <w:szCs w:val="20"/>
                <w:color w:val="auto"/>
              </w:rPr>
            </w:pPr>
            <w:r>
              <w:rPr>
                <w:rFonts w:ascii="Arial" w:cs="Arial" w:eastAsia="Arial" w:hAnsi="Arial"/>
                <w:sz w:val="19"/>
                <w:szCs w:val="19"/>
                <w:color w:val="auto"/>
                <w:w w:val="99"/>
              </w:rPr>
              <w:t>Employer contributions . . . . . . . . . . . . . . . . . . . . . . . . . . . . . . . . . . . . . .</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9"/>
                <w:szCs w:val="19"/>
                <w:color w:val="auto"/>
              </w:rPr>
              <w:t>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230"/>
        </w:trPr>
        <w:tc>
          <w:tcPr>
            <w:tcW w:w="6140" w:type="dxa"/>
            <w:vAlign w:val="bottom"/>
          </w:tcPr>
          <w:p>
            <w:pPr>
              <w:jc w:val="right"/>
              <w:ind w:right="105"/>
              <w:spacing w:after="0"/>
              <w:rPr>
                <w:sz w:val="20"/>
                <w:szCs w:val="20"/>
                <w:color w:val="auto"/>
              </w:rPr>
            </w:pPr>
            <w:r>
              <w:rPr>
                <w:rFonts w:ascii="Arial" w:cs="Arial" w:eastAsia="Arial" w:hAnsi="Arial"/>
                <w:sz w:val="19"/>
                <w:szCs w:val="19"/>
                <w:color w:val="auto"/>
                <w:w w:val="99"/>
              </w:rPr>
              <w:t>Benefits paid . . . . . . . . . . . . . . . . . . . . . . . . . . . . . . . . . . . . . . . . . . . . . .</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9"/>
                <w:szCs w:val="19"/>
                <w:color w:val="auto"/>
              </w:rPr>
              <w:t>(2)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32"/>
        </w:trPr>
        <w:tc>
          <w:tcPr>
            <w:tcW w:w="6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140" w:type="dxa"/>
            <w:vAlign w:val="bottom"/>
          </w:tcPr>
          <w:p>
            <w:pPr>
              <w:jc w:val="right"/>
              <w:ind w:right="105"/>
              <w:spacing w:after="0"/>
              <w:rPr>
                <w:sz w:val="20"/>
                <w:szCs w:val="20"/>
                <w:color w:val="auto"/>
              </w:rPr>
            </w:pPr>
            <w:r>
              <w:rPr>
                <w:rFonts w:ascii="Arial" w:cs="Arial" w:eastAsia="Arial" w:hAnsi="Arial"/>
                <w:sz w:val="19"/>
                <w:szCs w:val="19"/>
                <w:color w:val="auto"/>
                <w:w w:val="98"/>
              </w:rPr>
              <w:t>Fair value of plan assets - end of year . . . . . . . . . . . . . . . . . . . . . . . . . . .</w:t>
            </w: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1260" w:type="dxa"/>
            <w:vAlign w:val="bottom"/>
          </w:tcPr>
          <w:p>
            <w:pPr>
              <w:jc w:val="right"/>
              <w:spacing w:after="0"/>
              <w:rPr>
                <w:sz w:val="20"/>
                <w:szCs w:val="20"/>
                <w:color w:val="auto"/>
              </w:rPr>
            </w:pPr>
            <w:r>
              <w:rPr>
                <w:rFonts w:ascii="Arial" w:cs="Arial" w:eastAsia="Arial" w:hAnsi="Arial"/>
                <w:sz w:val="19"/>
                <w:szCs w:val="19"/>
                <w:color w:val="auto"/>
              </w:rPr>
              <w:t>1</w:t>
            </w:r>
          </w:p>
        </w:tc>
        <w:tc>
          <w:tcPr>
            <w:tcW w:w="20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1360" w:type="dxa"/>
            <w:vAlign w:val="bottom"/>
          </w:tcPr>
          <w:p>
            <w:pPr>
              <w:jc w:val="right"/>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32"/>
        </w:trPr>
        <w:tc>
          <w:tcPr>
            <w:tcW w:w="6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0"/>
        </w:trPr>
        <w:tc>
          <w:tcPr>
            <w:tcW w:w="6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6140" w:type="dxa"/>
            <w:vAlign w:val="bottom"/>
          </w:tcPr>
          <w:p>
            <w:pPr>
              <w:jc w:val="right"/>
              <w:ind w:right="105"/>
              <w:spacing w:after="0"/>
              <w:rPr>
                <w:sz w:val="20"/>
                <w:szCs w:val="20"/>
                <w:color w:val="auto"/>
              </w:rPr>
            </w:pPr>
            <w:r>
              <w:rPr>
                <w:rFonts w:ascii="Arial" w:cs="Arial" w:eastAsia="Arial" w:hAnsi="Arial"/>
                <w:sz w:val="19"/>
                <w:szCs w:val="19"/>
                <w:color w:val="auto"/>
                <w:w w:val="96"/>
              </w:rPr>
              <w:t>Net benefit liability  . . . . . . . . . . . . . . . . . . . . . . . . . . . . . . . . . . . . . . . . . . .</w:t>
            </w: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1260" w:type="dxa"/>
            <w:vAlign w:val="bottom"/>
          </w:tcPr>
          <w:p>
            <w:pPr>
              <w:jc w:val="right"/>
              <w:spacing w:after="0"/>
              <w:rPr>
                <w:sz w:val="20"/>
                <w:szCs w:val="20"/>
                <w:color w:val="auto"/>
              </w:rPr>
            </w:pPr>
            <w:r>
              <w:rPr>
                <w:rFonts w:ascii="Arial" w:cs="Arial" w:eastAsia="Arial" w:hAnsi="Arial"/>
                <w:sz w:val="19"/>
                <w:szCs w:val="19"/>
                <w:color w:val="auto"/>
              </w:rPr>
              <w:t>(37)</w:t>
            </w:r>
          </w:p>
        </w:tc>
        <w:tc>
          <w:tcPr>
            <w:tcW w:w="20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1360" w:type="dxa"/>
            <w:vAlign w:val="bottom"/>
          </w:tcPr>
          <w:p>
            <w:pPr>
              <w:jc w:val="right"/>
              <w:spacing w:after="0"/>
              <w:rPr>
                <w:sz w:val="20"/>
                <w:szCs w:val="20"/>
                <w:color w:val="auto"/>
              </w:rPr>
            </w:pPr>
            <w:r>
              <w:rPr>
                <w:rFonts w:ascii="Arial" w:cs="Arial" w:eastAsia="Arial" w:hAnsi="Arial"/>
                <w:sz w:val="19"/>
                <w:szCs w:val="19"/>
                <w:color w:val="auto"/>
              </w:rPr>
              <w:t>(48)</w:t>
            </w:r>
          </w:p>
        </w:tc>
        <w:tc>
          <w:tcPr>
            <w:tcW w:w="0" w:type="dxa"/>
            <w:vAlign w:val="bottom"/>
          </w:tcPr>
          <w:p>
            <w:pPr>
              <w:spacing w:after="0"/>
              <w:rPr>
                <w:sz w:val="1"/>
                <w:szCs w:val="1"/>
                <w:color w:val="auto"/>
              </w:rPr>
            </w:pPr>
          </w:p>
        </w:tc>
      </w:tr>
      <w:tr>
        <w:trPr>
          <w:trHeight w:val="32"/>
        </w:trPr>
        <w:tc>
          <w:tcPr>
            <w:tcW w:w="6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320" w:right="60" w:hanging="320"/>
        <w:spacing w:after="0" w:line="254" w:lineRule="auto"/>
        <w:tabs>
          <w:tab w:leader="none" w:pos="3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gain reflected in the changes in the pension benefit obligation for the year ended December 31, 2022 was primarily due to the increase in the discount rate from 2.79% to 5.19% and other valuation assumption changes.</w:t>
      </w:r>
    </w:p>
    <w:p>
      <w:pPr>
        <w:spacing w:after="0" w:line="10" w:lineRule="exact"/>
        <w:rPr>
          <w:rFonts w:ascii="Arial" w:cs="Arial" w:eastAsia="Arial" w:hAnsi="Arial"/>
          <w:sz w:val="16"/>
          <w:szCs w:val="16"/>
          <w:color w:val="auto"/>
        </w:rPr>
      </w:pPr>
    </w:p>
    <w:p>
      <w:pPr>
        <w:ind w:left="320" w:right="560" w:hanging="320"/>
        <w:spacing w:after="0" w:line="254" w:lineRule="auto"/>
        <w:tabs>
          <w:tab w:leader="none" w:pos="3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gain reflected in the changes in the postretirement benefit obligation for the year ended December 31, 2022 was primarily due to the increase in the discount rate from 2.75% to 5.20%.</w:t>
      </w:r>
    </w:p>
    <w:p>
      <w:pPr>
        <w:sectPr>
          <w:pgSz w:w="11880" w:h="15480" w:orient="portrait"/>
          <w:cols w:equalWidth="0" w:num="1">
            <w:col w:w="9120"/>
          </w:cols>
          <w:pgMar w:left="1380" w:top="1316" w:right="138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140</w:t>
      </w:r>
    </w:p>
    <w:p>
      <w:pPr>
        <w:sectPr>
          <w:pgSz w:w="11880" w:h="15480" w:orient="portrait"/>
          <w:cols w:equalWidth="0" w:num="1">
            <w:col w:w="9120"/>
          </w:cols>
          <w:pgMar w:left="1380" w:top="1316" w:right="1380" w:bottom="661" w:gutter="0" w:footer="0" w:header="0"/>
          <w:type w:val="continuous"/>
        </w:sectPr>
      </w:pPr>
    </w:p>
    <w:bookmarkStart w:id="144" w:name="page145"/>
    <w:bookmarkEnd w:id="144"/>
    <w:p>
      <w:pPr>
        <w:ind w:right="280" w:firstLine="300"/>
        <w:spacing w:after="0" w:line="243" w:lineRule="auto"/>
        <w:rPr>
          <w:sz w:val="20"/>
          <w:szCs w:val="20"/>
          <w:color w:val="auto"/>
        </w:rPr>
      </w:pPr>
      <w:r>
        <w:rPr>
          <w:rFonts w:ascii="Arial" w:cs="Arial" w:eastAsia="Arial" w:hAnsi="Arial"/>
          <w:sz w:val="20"/>
          <w:szCs w:val="20"/>
          <w:color w:val="auto"/>
        </w:rPr>
        <w:t>The following table sets for the details of our obligations and assets related to our defined benefit pension plans for the years ended December 31: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40"/>
              <w:spacing w:after="0"/>
              <w:rPr>
                <w:sz w:val="20"/>
                <w:szCs w:val="20"/>
                <w:color w:val="auto"/>
              </w:rPr>
            </w:pPr>
            <w:r>
              <w:rPr>
                <w:rFonts w:ascii="Arial" w:cs="Arial" w:eastAsia="Arial" w:hAnsi="Arial"/>
                <w:sz w:val="20"/>
                <w:szCs w:val="20"/>
                <w:b w:val="1"/>
                <w:bCs w:val="1"/>
                <w:color w:val="auto"/>
              </w:rPr>
              <w:t>2022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40"/>
              <w:spacing w:after="0"/>
              <w:rPr>
                <w:sz w:val="20"/>
                <w:szCs w:val="20"/>
                <w:color w:val="auto"/>
              </w:rPr>
            </w:pPr>
            <w:r>
              <w:rPr>
                <w:rFonts w:ascii="Arial" w:cs="Arial" w:eastAsia="Arial" w:hAnsi="Arial"/>
                <w:sz w:val="20"/>
                <w:szCs w:val="20"/>
                <w:b w:val="1"/>
                <w:bCs w:val="1"/>
                <w:color w:val="auto"/>
              </w:rPr>
              <w:t>2021</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6"/>
                <w:szCs w:val="16"/>
                <w:color w:val="auto"/>
              </w:rPr>
              <w:t>(in millions)</w:t>
            </w: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6660" w:type="dxa"/>
            <w:vAlign w:val="bottom"/>
          </w:tcPr>
          <w:p>
            <w:pPr>
              <w:spacing w:after="0"/>
              <w:rPr>
                <w:sz w:val="20"/>
                <w:szCs w:val="20"/>
                <w:color w:val="auto"/>
              </w:rPr>
            </w:pPr>
            <w:r>
              <w:rPr>
                <w:rFonts w:ascii="Arial" w:cs="Arial" w:eastAsia="Arial" w:hAnsi="Arial"/>
                <w:sz w:val="20"/>
                <w:szCs w:val="20"/>
                <w:color w:val="auto"/>
              </w:rPr>
              <w:t>Projected benefit obligation . . . . . . . . . . . . . . . . . . . . . . . . . . . . . . . . . . . . . .</w:t>
            </w:r>
          </w:p>
        </w:tc>
        <w:tc>
          <w:tcPr>
            <w:tcW w:w="220" w:type="dxa"/>
            <w:vAlign w:val="bottom"/>
          </w:tcPr>
          <w:p>
            <w:pPr>
              <w:jc w:val="right"/>
              <w:ind w:right="20"/>
              <w:spacing w:after="0"/>
              <w:rPr>
                <w:sz w:val="20"/>
                <w:szCs w:val="20"/>
                <w:color w:val="auto"/>
              </w:rPr>
            </w:pPr>
            <w:r>
              <w:rPr>
                <w:rFonts w:ascii="Arial" w:cs="Arial" w:eastAsia="Arial" w:hAnsi="Arial"/>
                <w:sz w:val="20"/>
                <w:szCs w:val="20"/>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20"/>
                <w:szCs w:val="20"/>
                <w:color w:val="auto"/>
              </w:rPr>
              <w:t>30</w:t>
            </w:r>
          </w:p>
        </w:tc>
        <w:tc>
          <w:tcPr>
            <w:tcW w:w="240" w:type="dxa"/>
            <w:vAlign w:val="bottom"/>
          </w:tcPr>
          <w:p>
            <w:pPr>
              <w:jc w:val="right"/>
              <w:ind w:right="20"/>
              <w:spacing w:after="0"/>
              <w:rPr>
                <w:sz w:val="20"/>
                <w:szCs w:val="20"/>
                <w:color w:val="auto"/>
              </w:rPr>
            </w:pPr>
            <w:r>
              <w:rPr>
                <w:rFonts w:ascii="Arial" w:cs="Arial" w:eastAsia="Arial" w:hAnsi="Arial"/>
                <w:sz w:val="20"/>
                <w:szCs w:val="20"/>
                <w:color w:val="auto"/>
                <w:w w:val="89"/>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44</w:t>
            </w:r>
          </w:p>
        </w:tc>
        <w:tc>
          <w:tcPr>
            <w:tcW w:w="0" w:type="dxa"/>
            <w:vAlign w:val="bottom"/>
          </w:tcPr>
          <w:p>
            <w:pPr>
              <w:spacing w:after="0"/>
              <w:rPr>
                <w:sz w:val="1"/>
                <w:szCs w:val="1"/>
                <w:color w:val="auto"/>
              </w:rPr>
            </w:pPr>
          </w:p>
        </w:tc>
      </w:tr>
      <w:tr>
        <w:trPr>
          <w:trHeight w:val="240"/>
        </w:trPr>
        <w:tc>
          <w:tcPr>
            <w:tcW w:w="6660" w:type="dxa"/>
            <w:vAlign w:val="bottom"/>
          </w:tcPr>
          <w:p>
            <w:pPr>
              <w:spacing w:after="0"/>
              <w:rPr>
                <w:sz w:val="20"/>
                <w:szCs w:val="20"/>
                <w:color w:val="auto"/>
              </w:rPr>
            </w:pPr>
            <w:r>
              <w:rPr>
                <w:rFonts w:ascii="Arial" w:cs="Arial" w:eastAsia="Arial" w:hAnsi="Arial"/>
                <w:sz w:val="20"/>
                <w:szCs w:val="20"/>
                <w:color w:val="auto"/>
              </w:rPr>
              <w:t>Accumulated benefit obligation . . . . . . . . . . . . . . . . . . . . . . . . . . . . . . . . . . .</w:t>
            </w:r>
          </w:p>
        </w:tc>
        <w:tc>
          <w:tcPr>
            <w:tcW w:w="220" w:type="dxa"/>
            <w:vAlign w:val="bottom"/>
          </w:tcPr>
          <w:p>
            <w:pPr>
              <w:jc w:val="right"/>
              <w:ind w:right="20"/>
              <w:spacing w:after="0"/>
              <w:rPr>
                <w:sz w:val="20"/>
                <w:szCs w:val="20"/>
                <w:color w:val="auto"/>
              </w:rPr>
            </w:pPr>
            <w:r>
              <w:rPr>
                <w:rFonts w:ascii="Arial" w:cs="Arial" w:eastAsia="Arial" w:hAnsi="Arial"/>
                <w:sz w:val="20"/>
                <w:szCs w:val="20"/>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20"/>
                <w:szCs w:val="20"/>
                <w:color w:val="auto"/>
              </w:rPr>
              <w:t>27</w:t>
            </w:r>
          </w:p>
        </w:tc>
        <w:tc>
          <w:tcPr>
            <w:tcW w:w="240" w:type="dxa"/>
            <w:vAlign w:val="bottom"/>
          </w:tcPr>
          <w:p>
            <w:pPr>
              <w:jc w:val="right"/>
              <w:ind w:right="20"/>
              <w:spacing w:after="0"/>
              <w:rPr>
                <w:sz w:val="20"/>
                <w:szCs w:val="20"/>
                <w:color w:val="auto"/>
              </w:rPr>
            </w:pPr>
            <w:r>
              <w:rPr>
                <w:rFonts w:ascii="Arial" w:cs="Arial" w:eastAsia="Arial" w:hAnsi="Arial"/>
                <w:sz w:val="20"/>
                <w:szCs w:val="20"/>
                <w:color w:val="auto"/>
                <w:w w:val="89"/>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39</w:t>
            </w:r>
          </w:p>
        </w:tc>
        <w:tc>
          <w:tcPr>
            <w:tcW w:w="0" w:type="dxa"/>
            <w:vAlign w:val="bottom"/>
          </w:tcPr>
          <w:p>
            <w:pPr>
              <w:spacing w:after="0"/>
              <w:rPr>
                <w:sz w:val="1"/>
                <w:szCs w:val="1"/>
                <w:color w:val="auto"/>
              </w:rPr>
            </w:pPr>
          </w:p>
        </w:tc>
      </w:tr>
      <w:tr>
        <w:trPr>
          <w:trHeight w:val="240"/>
        </w:trPr>
        <w:tc>
          <w:tcPr>
            <w:tcW w:w="6660" w:type="dxa"/>
            <w:vAlign w:val="bottom"/>
          </w:tcPr>
          <w:p>
            <w:pPr>
              <w:spacing w:after="0"/>
              <w:rPr>
                <w:sz w:val="20"/>
                <w:szCs w:val="20"/>
                <w:color w:val="auto"/>
              </w:rPr>
            </w:pPr>
            <w:r>
              <w:rPr>
                <w:rFonts w:ascii="Arial" w:cs="Arial" w:eastAsia="Arial" w:hAnsi="Arial"/>
                <w:sz w:val="20"/>
                <w:szCs w:val="20"/>
                <w:color w:val="auto"/>
              </w:rPr>
              <w:t>Fair value of plan assets . . . . . . . . . . . . . . . . . . . . . . . . . . . . . . . . . . . . . . . .</w:t>
            </w:r>
          </w:p>
        </w:tc>
        <w:tc>
          <w:tcPr>
            <w:tcW w:w="220" w:type="dxa"/>
            <w:vAlign w:val="bottom"/>
          </w:tcPr>
          <w:p>
            <w:pPr>
              <w:jc w:val="right"/>
              <w:ind w:right="20"/>
              <w:spacing w:after="0"/>
              <w:rPr>
                <w:sz w:val="20"/>
                <w:szCs w:val="20"/>
                <w:color w:val="auto"/>
              </w:rPr>
            </w:pPr>
            <w:r>
              <w:rPr>
                <w:rFonts w:ascii="Arial" w:cs="Arial" w:eastAsia="Arial" w:hAnsi="Arial"/>
                <w:sz w:val="20"/>
                <w:szCs w:val="20"/>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20"/>
                <w:szCs w:val="20"/>
                <w:color w:val="auto"/>
              </w:rPr>
              <w:t>32</w:t>
            </w:r>
          </w:p>
        </w:tc>
        <w:tc>
          <w:tcPr>
            <w:tcW w:w="240" w:type="dxa"/>
            <w:vAlign w:val="bottom"/>
          </w:tcPr>
          <w:p>
            <w:pPr>
              <w:jc w:val="right"/>
              <w:ind w:right="20"/>
              <w:spacing w:after="0"/>
              <w:rPr>
                <w:sz w:val="20"/>
                <w:szCs w:val="20"/>
                <w:color w:val="auto"/>
              </w:rPr>
            </w:pPr>
            <w:r>
              <w:rPr>
                <w:rFonts w:ascii="Arial" w:cs="Arial" w:eastAsia="Arial" w:hAnsi="Arial"/>
                <w:sz w:val="20"/>
                <w:szCs w:val="20"/>
                <w:color w:val="auto"/>
                <w:w w:val="89"/>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29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Components of Net Periodic Benefit Cost</w:t>
      </w:r>
    </w:p>
    <w:p>
      <w:pPr>
        <w:spacing w:after="0" w:line="205" w:lineRule="exact"/>
        <w:rPr>
          <w:sz w:val="20"/>
          <w:szCs w:val="20"/>
          <w:color w:val="auto"/>
        </w:rPr>
      </w:pPr>
    </w:p>
    <w:p>
      <w:pPr>
        <w:ind w:right="100" w:firstLine="300"/>
        <w:spacing w:after="0" w:line="248" w:lineRule="auto"/>
        <w:rPr>
          <w:sz w:val="20"/>
          <w:szCs w:val="20"/>
          <w:color w:val="auto"/>
        </w:rPr>
      </w:pPr>
      <w:r>
        <w:rPr>
          <w:rFonts w:ascii="Arial" w:cs="Arial" w:eastAsia="Arial" w:hAnsi="Arial"/>
          <w:sz w:val="20"/>
          <w:szCs w:val="20"/>
          <w:color w:val="auto"/>
        </w:rPr>
        <w:t>We record the service cost component of net periodic pension cost with other employee compensation and all other components, including settlement costs, are reported as other non-operating income (expenses), net on our consolidated statements of operations. The following table set forth the components of our net periodic pension and postretirement benefit costs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4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20"/>
                <w:szCs w:val="20"/>
                <w:b w:val="1"/>
                <w:bCs w:val="1"/>
                <w:color w:val="auto"/>
              </w:rPr>
              <w:t>Successor</w:t>
            </w:r>
          </w:p>
        </w:tc>
        <w:tc>
          <w:tcPr>
            <w:tcW w:w="8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b w:val="1"/>
                <w:bCs w:val="1"/>
                <w:color w:val="auto"/>
              </w:rPr>
              <w:t>Predecessor</w:t>
            </w:r>
          </w:p>
        </w:tc>
        <w:tc>
          <w:tcPr>
            <w:tcW w:w="0" w:type="dxa"/>
            <w:vAlign w:val="bottom"/>
          </w:tcPr>
          <w:p>
            <w:pPr>
              <w:spacing w:after="0"/>
              <w:rPr>
                <w:sz w:val="1"/>
                <w:szCs w:val="1"/>
                <w:color w:val="auto"/>
              </w:rPr>
            </w:pPr>
          </w:p>
        </w:tc>
      </w:tr>
      <w:tr>
        <w:trPr>
          <w:trHeight w:val="212"/>
        </w:trPr>
        <w:tc>
          <w:tcPr>
            <w:tcW w:w="2460" w:type="dxa"/>
            <w:vAlign w:val="bottom"/>
          </w:tcPr>
          <w:p>
            <w:pPr>
              <w:spacing w:after="0"/>
              <w:rPr>
                <w:sz w:val="18"/>
                <w:szCs w:val="18"/>
                <w:color w:val="auto"/>
              </w:rPr>
            </w:pPr>
          </w:p>
        </w:tc>
        <w:tc>
          <w:tcPr>
            <w:tcW w:w="1440" w:type="dxa"/>
            <w:vAlign w:val="bottom"/>
            <w:gridSpan w:val="2"/>
          </w:tcPr>
          <w:p>
            <w:pPr>
              <w:jc w:val="right"/>
              <w:ind w:right="80"/>
              <w:spacing w:after="0" w:line="212" w:lineRule="exact"/>
              <w:rPr>
                <w:sz w:val="20"/>
                <w:szCs w:val="20"/>
                <w:color w:val="auto"/>
              </w:rPr>
            </w:pPr>
            <w:r>
              <w:rPr>
                <w:rFonts w:ascii="Arial" w:cs="Arial" w:eastAsia="Arial" w:hAnsi="Arial"/>
                <w:sz w:val="20"/>
                <w:szCs w:val="20"/>
                <w:b w:val="1"/>
                <w:bCs w:val="1"/>
                <w:color w:val="auto"/>
              </w:rPr>
              <w:t>Year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20"/>
              <w:spacing w:after="0" w:line="212" w:lineRule="exact"/>
              <w:rPr>
                <w:sz w:val="20"/>
                <w:szCs w:val="20"/>
                <w:color w:val="auto"/>
              </w:rPr>
            </w:pPr>
            <w:r>
              <w:rPr>
                <w:rFonts w:ascii="Arial" w:cs="Arial" w:eastAsia="Arial" w:hAnsi="Arial"/>
                <w:sz w:val="20"/>
                <w:szCs w:val="20"/>
                <w:b w:val="1"/>
                <w:bCs w:val="1"/>
                <w:color w:val="auto"/>
              </w:rPr>
              <w:t>Year ended</w:t>
            </w:r>
          </w:p>
        </w:tc>
        <w:tc>
          <w:tcPr>
            <w:tcW w:w="192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20"/>
                <w:szCs w:val="20"/>
                <w:b w:val="1"/>
                <w:bCs w:val="1"/>
                <w:color w:val="auto"/>
              </w:rPr>
              <w:t>November 1, 2020 -</w:t>
            </w:r>
          </w:p>
        </w:tc>
        <w:tc>
          <w:tcPr>
            <w:tcW w:w="60" w:type="dxa"/>
            <w:vAlign w:val="bottom"/>
          </w:tcPr>
          <w:p>
            <w:pPr>
              <w:spacing w:after="0"/>
              <w:rPr>
                <w:sz w:val="18"/>
                <w:szCs w:val="18"/>
                <w:color w:val="auto"/>
              </w:rPr>
            </w:pPr>
          </w:p>
        </w:tc>
        <w:tc>
          <w:tcPr>
            <w:tcW w:w="162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auto"/>
                <w:w w:val="99"/>
              </w:rPr>
              <w:t>January 1, 2020 -</w:t>
            </w: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1440" w:type="dxa"/>
            <w:vAlign w:val="bottom"/>
            <w:gridSpan w:val="2"/>
          </w:tcPr>
          <w:p>
            <w:pPr>
              <w:ind w:left="80"/>
              <w:spacing w:after="0" w:line="187" w:lineRule="exact"/>
              <w:rPr>
                <w:sz w:val="20"/>
                <w:szCs w:val="20"/>
                <w:color w:val="auto"/>
              </w:rPr>
            </w:pPr>
            <w:r>
              <w:rPr>
                <w:rFonts w:ascii="Arial" w:cs="Arial" w:eastAsia="Arial" w:hAnsi="Arial"/>
                <w:sz w:val="20"/>
                <w:szCs w:val="20"/>
                <w:b w:val="1"/>
                <w:bCs w:val="1"/>
                <w:color w:val="auto"/>
              </w:rPr>
              <w:t>December 31,</w:t>
            </w:r>
          </w:p>
        </w:tc>
        <w:tc>
          <w:tcPr>
            <w:tcW w:w="80" w:type="dxa"/>
            <w:vAlign w:val="bottom"/>
          </w:tcPr>
          <w:p>
            <w:pPr>
              <w:spacing w:after="0"/>
              <w:rPr>
                <w:sz w:val="16"/>
                <w:szCs w:val="16"/>
                <w:color w:val="auto"/>
              </w:rPr>
            </w:pPr>
          </w:p>
        </w:tc>
        <w:tc>
          <w:tcPr>
            <w:tcW w:w="1540" w:type="dxa"/>
            <w:vAlign w:val="bottom"/>
            <w:gridSpan w:val="3"/>
          </w:tcPr>
          <w:p>
            <w:pPr>
              <w:jc w:val="center"/>
              <w:ind w:right="80"/>
              <w:spacing w:after="0" w:line="187" w:lineRule="exact"/>
              <w:rPr>
                <w:sz w:val="20"/>
                <w:szCs w:val="20"/>
                <w:color w:val="auto"/>
              </w:rPr>
            </w:pPr>
            <w:r>
              <w:rPr>
                <w:rFonts w:ascii="Arial" w:cs="Arial" w:eastAsia="Arial" w:hAnsi="Arial"/>
                <w:sz w:val="20"/>
                <w:szCs w:val="20"/>
                <w:b w:val="1"/>
                <w:bCs w:val="1"/>
                <w:color w:val="auto"/>
                <w:w w:val="99"/>
              </w:rPr>
              <w:t>December 31,</w:t>
            </w:r>
          </w:p>
        </w:tc>
        <w:tc>
          <w:tcPr>
            <w:tcW w:w="1920" w:type="dxa"/>
            <w:vAlign w:val="bottom"/>
            <w:tcBorders>
              <w:right w:val="single" w:sz="8" w:color="auto"/>
            </w:tcBorders>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46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92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20"/>
                <w:szCs w:val="20"/>
                <w:b w:val="1"/>
                <w:bCs w:val="1"/>
                <w:color w:val="auto"/>
              </w:rPr>
              <w:t>December 31, 2020</w:t>
            </w:r>
          </w:p>
        </w:tc>
        <w:tc>
          <w:tcPr>
            <w:tcW w:w="60" w:type="dxa"/>
            <w:vAlign w:val="bottom"/>
          </w:tcPr>
          <w:p>
            <w:pPr>
              <w:spacing w:after="0"/>
              <w:rPr>
                <w:sz w:val="5"/>
                <w:szCs w:val="5"/>
                <w:color w:val="auto"/>
              </w:rPr>
            </w:pPr>
          </w:p>
        </w:tc>
        <w:tc>
          <w:tcPr>
            <w:tcW w:w="162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auto"/>
                <w:w w:val="99"/>
              </w:rPr>
              <w:t>October 31, 2020</w:t>
            </w:r>
          </w:p>
        </w:tc>
        <w:tc>
          <w:tcPr>
            <w:tcW w:w="0" w:type="dxa"/>
            <w:vAlign w:val="bottom"/>
          </w:tcPr>
          <w:p>
            <w:pPr>
              <w:spacing w:after="0"/>
              <w:rPr>
                <w:sz w:val="1"/>
                <w:szCs w:val="1"/>
                <w:color w:val="auto"/>
              </w:rPr>
            </w:pPr>
          </w:p>
        </w:tc>
      </w:tr>
      <w:tr>
        <w:trPr>
          <w:trHeight w:val="150"/>
        </w:trPr>
        <w:tc>
          <w:tcPr>
            <w:tcW w:w="2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vMerge w:val="restart"/>
          </w:tcPr>
          <w:p>
            <w:pPr>
              <w:jc w:val="right"/>
              <w:ind w:right="400"/>
              <w:spacing w:after="0"/>
              <w:rPr>
                <w:sz w:val="20"/>
                <w:szCs w:val="20"/>
                <w:color w:val="auto"/>
              </w:rPr>
            </w:pPr>
            <w:r>
              <w:rPr>
                <w:rFonts w:ascii="Arial" w:cs="Arial" w:eastAsia="Arial" w:hAnsi="Arial"/>
                <w:sz w:val="20"/>
                <w:szCs w:val="20"/>
                <w:b w:val="1"/>
                <w:bCs w:val="1"/>
                <w:color w:val="auto"/>
              </w:rPr>
              <w:t>2022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vMerge w:val="restart"/>
          </w:tcPr>
          <w:p>
            <w:pPr>
              <w:jc w:val="center"/>
              <w:ind w:right="40"/>
              <w:spacing w:after="0"/>
              <w:rPr>
                <w:sz w:val="20"/>
                <w:szCs w:val="20"/>
                <w:color w:val="auto"/>
              </w:rPr>
            </w:pPr>
            <w:r>
              <w:rPr>
                <w:rFonts w:ascii="Arial" w:cs="Arial" w:eastAsia="Arial" w:hAnsi="Arial"/>
                <w:sz w:val="20"/>
                <w:szCs w:val="20"/>
                <w:b w:val="1"/>
                <w:bCs w:val="1"/>
                <w:color w:val="auto"/>
                <w:w w:val="98"/>
              </w:rPr>
              <w:t>2021</w:t>
            </w:r>
          </w:p>
        </w:tc>
        <w:tc>
          <w:tcPr>
            <w:tcW w:w="80" w:type="dxa"/>
            <w:vAlign w:val="bottom"/>
          </w:tcPr>
          <w:p>
            <w:pPr>
              <w:spacing w:after="0"/>
              <w:rPr>
                <w:sz w:val="13"/>
                <w:szCs w:val="13"/>
                <w:color w:val="auto"/>
              </w:rPr>
            </w:pPr>
          </w:p>
        </w:tc>
        <w:tc>
          <w:tcPr>
            <w:tcW w:w="1920" w:type="dxa"/>
            <w:vAlign w:val="bottom"/>
            <w:tcBorders>
              <w:right w:val="single" w:sz="8" w:color="auto"/>
            </w:tcBorders>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4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2460" w:type="dxa"/>
            <w:vAlign w:val="bottom"/>
          </w:tcPr>
          <w:p>
            <w:pPr>
              <w:spacing w:after="0"/>
              <w:rPr>
                <w:sz w:val="20"/>
                <w:szCs w:val="20"/>
                <w:color w:val="auto"/>
              </w:rPr>
            </w:pPr>
            <w:r>
              <w:rPr>
                <w:rFonts w:ascii="Arial" w:cs="Arial" w:eastAsia="Arial" w:hAnsi="Arial"/>
                <w:sz w:val="20"/>
                <w:szCs w:val="20"/>
                <w:b w:val="1"/>
                <w:bCs w:val="1"/>
                <w:color w:val="auto"/>
              </w:rPr>
              <w:t>Pension</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460" w:type="dxa"/>
            <w:vAlign w:val="bottom"/>
          </w:tcPr>
          <w:p>
            <w:pPr>
              <w:spacing w:after="0"/>
              <w:rPr>
                <w:sz w:val="20"/>
                <w:szCs w:val="20"/>
                <w:color w:val="auto"/>
              </w:rPr>
            </w:pPr>
            <w:r>
              <w:rPr>
                <w:rFonts w:ascii="Arial" w:cs="Arial" w:eastAsia="Arial" w:hAnsi="Arial"/>
                <w:sz w:val="20"/>
                <w:szCs w:val="20"/>
                <w:color w:val="auto"/>
              </w:rPr>
              <w:t>Net periodic benefit costs</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460" w:type="dxa"/>
            <w:vAlign w:val="bottom"/>
          </w:tcPr>
          <w:p>
            <w:pPr>
              <w:ind w:left="200"/>
              <w:spacing w:after="0"/>
              <w:rPr>
                <w:sz w:val="20"/>
                <w:szCs w:val="20"/>
                <w:color w:val="auto"/>
              </w:rPr>
            </w:pPr>
            <w:r>
              <w:rPr>
                <w:rFonts w:ascii="Arial" w:cs="Arial" w:eastAsia="Arial" w:hAnsi="Arial"/>
                <w:sz w:val="20"/>
                <w:szCs w:val="20"/>
                <w:color w:val="auto"/>
              </w:rPr>
              <w:t>Service cost - benefits</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460" w:type="dxa"/>
            <w:vAlign w:val="bottom"/>
          </w:tcPr>
          <w:p>
            <w:pPr>
              <w:ind w:left="200"/>
              <w:spacing w:after="0"/>
              <w:rPr>
                <w:sz w:val="20"/>
                <w:szCs w:val="20"/>
                <w:color w:val="auto"/>
              </w:rPr>
            </w:pPr>
            <w:r>
              <w:rPr>
                <w:rFonts w:ascii="Arial" w:cs="Arial" w:eastAsia="Arial" w:hAnsi="Arial"/>
                <w:sz w:val="20"/>
                <w:szCs w:val="20"/>
                <w:color w:val="auto"/>
              </w:rPr>
              <w:t>earned during the</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460" w:type="dxa"/>
            <w:vAlign w:val="bottom"/>
          </w:tcPr>
          <w:p>
            <w:pPr>
              <w:ind w:left="200"/>
              <w:spacing w:after="0"/>
              <w:rPr>
                <w:sz w:val="20"/>
                <w:szCs w:val="20"/>
                <w:color w:val="auto"/>
              </w:rPr>
            </w:pPr>
            <w:r>
              <w:rPr>
                <w:rFonts w:ascii="Arial" w:cs="Arial" w:eastAsia="Arial" w:hAnsi="Arial"/>
                <w:sz w:val="20"/>
                <w:szCs w:val="20"/>
                <w:color w:val="auto"/>
              </w:rPr>
              <w:t>period . . . . . . . . . . . . . . .</w:t>
            </w:r>
          </w:p>
        </w:tc>
        <w:tc>
          <w:tcPr>
            <w:tcW w:w="360" w:type="dxa"/>
            <w:vAlign w:val="bottom"/>
          </w:tcPr>
          <w:p>
            <w:pPr>
              <w:ind w:left="10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0"/>
                <w:szCs w:val="20"/>
                <w:color w:val="auto"/>
              </w:rPr>
            </w:pPr>
          </w:p>
        </w:tc>
        <w:tc>
          <w:tcPr>
            <w:tcW w:w="880" w:type="dxa"/>
            <w:vAlign w:val="bottom"/>
          </w:tcPr>
          <w:p>
            <w:pPr>
              <w:jc w:val="right"/>
              <w:ind w:right="520"/>
              <w:spacing w:after="0"/>
              <w:rPr>
                <w:sz w:val="20"/>
                <w:szCs w:val="20"/>
                <w:color w:val="auto"/>
              </w:rPr>
            </w:pPr>
            <w:r>
              <w:rPr>
                <w:rFonts w:ascii="Arial" w:cs="Arial" w:eastAsia="Arial" w:hAnsi="Arial"/>
                <w:sz w:val="20"/>
                <w:szCs w:val="20"/>
                <w:color w:val="auto"/>
              </w:rPr>
              <w:t>$</w:t>
            </w:r>
          </w:p>
        </w:tc>
        <w:tc>
          <w:tcPr>
            <w:tcW w:w="10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20"/>
                <w:szCs w:val="20"/>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840" w:type="dxa"/>
            <w:vAlign w:val="bottom"/>
          </w:tcPr>
          <w:p>
            <w:pPr>
              <w:jc w:val="right"/>
              <w:ind w:right="140"/>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40"/>
        </w:trPr>
        <w:tc>
          <w:tcPr>
            <w:tcW w:w="2460" w:type="dxa"/>
            <w:vAlign w:val="bottom"/>
          </w:tcPr>
          <w:p>
            <w:pPr>
              <w:ind w:left="200"/>
              <w:spacing w:after="0"/>
              <w:rPr>
                <w:sz w:val="20"/>
                <w:szCs w:val="20"/>
                <w:color w:val="auto"/>
              </w:rPr>
            </w:pPr>
            <w:r>
              <w:rPr>
                <w:rFonts w:ascii="Arial" w:cs="Arial" w:eastAsia="Arial" w:hAnsi="Arial"/>
                <w:sz w:val="20"/>
                <w:szCs w:val="20"/>
                <w:color w:val="auto"/>
              </w:rPr>
              <w:t>Interest cost on</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460" w:type="dxa"/>
            <w:vAlign w:val="bottom"/>
          </w:tcPr>
          <w:p>
            <w:pPr>
              <w:ind w:left="200"/>
              <w:spacing w:after="0"/>
              <w:rPr>
                <w:sz w:val="20"/>
                <w:szCs w:val="20"/>
                <w:color w:val="auto"/>
              </w:rPr>
            </w:pPr>
            <w:r>
              <w:rPr>
                <w:rFonts w:ascii="Arial" w:cs="Arial" w:eastAsia="Arial" w:hAnsi="Arial"/>
                <w:sz w:val="20"/>
                <w:szCs w:val="20"/>
                <w:color w:val="auto"/>
              </w:rPr>
              <w:t>projected benefit</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460" w:type="dxa"/>
            <w:vAlign w:val="bottom"/>
          </w:tcPr>
          <w:p>
            <w:pPr>
              <w:ind w:left="200"/>
              <w:spacing w:after="0"/>
              <w:rPr>
                <w:sz w:val="20"/>
                <w:szCs w:val="20"/>
                <w:color w:val="auto"/>
              </w:rPr>
            </w:pPr>
            <w:r>
              <w:rPr>
                <w:rFonts w:ascii="Arial" w:cs="Arial" w:eastAsia="Arial" w:hAnsi="Arial"/>
                <w:sz w:val="20"/>
                <w:szCs w:val="20"/>
                <w:color w:val="auto"/>
              </w:rPr>
              <w:t>obligation . . . . . . . . . . . .</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jc w:val="right"/>
              <w:ind w:right="140"/>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40"/>
        </w:trPr>
        <w:tc>
          <w:tcPr>
            <w:tcW w:w="2460" w:type="dxa"/>
            <w:vAlign w:val="bottom"/>
          </w:tcPr>
          <w:p>
            <w:pPr>
              <w:ind w:left="200"/>
              <w:spacing w:after="0"/>
              <w:rPr>
                <w:sz w:val="20"/>
                <w:szCs w:val="20"/>
                <w:color w:val="auto"/>
              </w:rPr>
            </w:pPr>
            <w:r>
              <w:rPr>
                <w:rFonts w:ascii="Arial" w:cs="Arial" w:eastAsia="Arial" w:hAnsi="Arial"/>
                <w:sz w:val="20"/>
                <w:szCs w:val="20"/>
                <w:color w:val="auto"/>
              </w:rPr>
              <w:t>Expected return on plan</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460" w:type="dxa"/>
            <w:vAlign w:val="bottom"/>
          </w:tcPr>
          <w:p>
            <w:pPr>
              <w:ind w:left="200"/>
              <w:spacing w:after="0"/>
              <w:rPr>
                <w:sz w:val="20"/>
                <w:szCs w:val="20"/>
                <w:color w:val="auto"/>
              </w:rPr>
            </w:pPr>
            <w:r>
              <w:rPr>
                <w:rFonts w:ascii="Arial" w:cs="Arial" w:eastAsia="Arial" w:hAnsi="Arial"/>
                <w:sz w:val="20"/>
                <w:szCs w:val="20"/>
                <w:color w:val="auto"/>
                <w:w w:val="99"/>
              </w:rPr>
              <w:t>assets . . . . . . . . . . . . . . .</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20"/>
                <w:szCs w:val="20"/>
                <w:color w:val="auto"/>
              </w:rPr>
              <w:t>(1)</w:t>
            </w:r>
          </w:p>
        </w:tc>
        <w:tc>
          <w:tcPr>
            <w:tcW w:w="880" w:type="dxa"/>
            <w:vAlign w:val="bottom"/>
          </w:tcPr>
          <w:p>
            <w:pPr>
              <w:spacing w:after="0"/>
              <w:rPr>
                <w:sz w:val="20"/>
                <w:szCs w:val="20"/>
                <w:color w:val="auto"/>
              </w:rPr>
            </w:pPr>
          </w:p>
        </w:tc>
        <w:tc>
          <w:tcPr>
            <w:tcW w:w="10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jc w:val="right"/>
              <w:ind w:right="80"/>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40"/>
        </w:trPr>
        <w:tc>
          <w:tcPr>
            <w:tcW w:w="2460" w:type="dxa"/>
            <w:vAlign w:val="bottom"/>
          </w:tcPr>
          <w:p>
            <w:pPr>
              <w:ind w:left="200"/>
              <w:spacing w:after="0"/>
              <w:rPr>
                <w:sz w:val="20"/>
                <w:szCs w:val="20"/>
                <w:color w:val="auto"/>
              </w:rPr>
            </w:pPr>
            <w:r>
              <w:rPr>
                <w:rFonts w:ascii="Arial" w:cs="Arial" w:eastAsia="Arial" w:hAnsi="Arial"/>
                <w:sz w:val="20"/>
                <w:szCs w:val="20"/>
                <w:color w:val="auto"/>
              </w:rPr>
              <w:t>Amortization of net</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460" w:type="dxa"/>
            <w:vAlign w:val="bottom"/>
          </w:tcPr>
          <w:p>
            <w:pPr>
              <w:ind w:left="200"/>
              <w:spacing w:after="0"/>
              <w:rPr>
                <w:sz w:val="20"/>
                <w:szCs w:val="20"/>
                <w:color w:val="auto"/>
              </w:rPr>
            </w:pPr>
            <w:r>
              <w:rPr>
                <w:rFonts w:ascii="Arial" w:cs="Arial" w:eastAsia="Arial" w:hAnsi="Arial"/>
                <w:sz w:val="20"/>
                <w:szCs w:val="20"/>
                <w:color w:val="auto"/>
              </w:rPr>
              <w:t>actuarial loss . . . . . . . . .</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880" w:type="dxa"/>
            <w:vAlign w:val="bottom"/>
          </w:tcPr>
          <w:p>
            <w:pPr>
              <w:spacing w:after="0"/>
              <w:rPr>
                <w:sz w:val="20"/>
                <w:szCs w:val="20"/>
                <w:color w:val="auto"/>
              </w:rPr>
            </w:pPr>
          </w:p>
        </w:tc>
        <w:tc>
          <w:tcPr>
            <w:tcW w:w="10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jc w:val="right"/>
              <w:ind w:right="140"/>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40"/>
        </w:trPr>
        <w:tc>
          <w:tcPr>
            <w:tcW w:w="2460" w:type="dxa"/>
            <w:vAlign w:val="bottom"/>
          </w:tcPr>
          <w:p>
            <w:pPr>
              <w:ind w:left="200"/>
              <w:spacing w:after="0"/>
              <w:rPr>
                <w:sz w:val="20"/>
                <w:szCs w:val="20"/>
                <w:color w:val="auto"/>
              </w:rPr>
            </w:pPr>
            <w:r>
              <w:rPr>
                <w:rFonts w:ascii="Arial" w:cs="Arial" w:eastAsia="Arial" w:hAnsi="Arial"/>
                <w:sz w:val="20"/>
                <w:szCs w:val="20"/>
                <w:color w:val="auto"/>
              </w:rPr>
              <w:t>Settlement costs . . . . . .</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880" w:type="dxa"/>
            <w:vAlign w:val="bottom"/>
          </w:tcPr>
          <w:p>
            <w:pPr>
              <w:spacing w:after="0"/>
              <w:rPr>
                <w:sz w:val="20"/>
                <w:szCs w:val="20"/>
                <w:color w:val="auto"/>
              </w:rPr>
            </w:pPr>
          </w:p>
        </w:tc>
        <w:tc>
          <w:tcPr>
            <w:tcW w:w="10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jc w:val="right"/>
              <w:ind w:right="140"/>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8"/>
        </w:trPr>
        <w:tc>
          <w:tcPr>
            <w:tcW w:w="2460" w:type="dxa"/>
            <w:vAlign w:val="bottom"/>
            <w:vMerge w:val="restart"/>
          </w:tcPr>
          <w:p>
            <w:pPr>
              <w:ind w:left="200"/>
              <w:spacing w:after="0"/>
              <w:rPr>
                <w:sz w:val="20"/>
                <w:szCs w:val="20"/>
                <w:color w:val="auto"/>
              </w:rPr>
            </w:pPr>
            <w:r>
              <w:rPr>
                <w:rFonts w:ascii="Arial" w:cs="Arial" w:eastAsia="Arial" w:hAnsi="Arial"/>
                <w:sz w:val="20"/>
                <w:szCs w:val="20"/>
                <w:color w:val="auto"/>
              </w:rPr>
              <w:t>Net periodic benefit</w:t>
            </w: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460" w:type="dxa"/>
            <w:vAlign w:val="bottom"/>
            <w:vMerge w:val="continue"/>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460" w:type="dxa"/>
            <w:vAlign w:val="bottom"/>
          </w:tcPr>
          <w:p>
            <w:pPr>
              <w:ind w:left="200"/>
              <w:spacing w:after="0"/>
              <w:rPr>
                <w:sz w:val="20"/>
                <w:szCs w:val="20"/>
                <w:color w:val="auto"/>
              </w:rPr>
            </w:pPr>
            <w:r>
              <w:rPr>
                <w:rFonts w:ascii="Arial" w:cs="Arial" w:eastAsia="Arial" w:hAnsi="Arial"/>
                <w:sz w:val="20"/>
                <w:szCs w:val="20"/>
                <w:color w:val="auto"/>
                <w:w w:val="99"/>
              </w:rPr>
              <w:t>costs . . . . . . . . . . . . . . . .</w:t>
            </w:r>
          </w:p>
        </w:tc>
        <w:tc>
          <w:tcPr>
            <w:tcW w:w="360" w:type="dxa"/>
            <w:vAlign w:val="bottom"/>
          </w:tcPr>
          <w:p>
            <w:pPr>
              <w:ind w:left="10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0"/>
                <w:szCs w:val="20"/>
                <w:color w:val="auto"/>
              </w:rPr>
            </w:pPr>
          </w:p>
        </w:tc>
        <w:tc>
          <w:tcPr>
            <w:tcW w:w="880" w:type="dxa"/>
            <w:vAlign w:val="bottom"/>
          </w:tcPr>
          <w:p>
            <w:pPr>
              <w:jc w:val="right"/>
              <w:ind w:right="520"/>
              <w:spacing w:after="0"/>
              <w:rPr>
                <w:sz w:val="20"/>
                <w:szCs w:val="20"/>
                <w:color w:val="auto"/>
              </w:rPr>
            </w:pPr>
            <w:r>
              <w:rPr>
                <w:rFonts w:ascii="Arial" w:cs="Arial" w:eastAsia="Arial" w:hAnsi="Arial"/>
                <w:sz w:val="20"/>
                <w:szCs w:val="20"/>
                <w:color w:val="auto"/>
              </w:rPr>
              <w:t>$</w:t>
            </w:r>
          </w:p>
        </w:tc>
        <w:tc>
          <w:tcPr>
            <w:tcW w:w="10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20"/>
                <w:szCs w:val="20"/>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840" w:type="dxa"/>
            <w:vAlign w:val="bottom"/>
          </w:tcPr>
          <w:p>
            <w:pPr>
              <w:jc w:val="right"/>
              <w:ind w:right="140"/>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8"/>
        </w:trPr>
        <w:tc>
          <w:tcPr>
            <w:tcW w:w="2460" w:type="dxa"/>
            <w:vAlign w:val="bottom"/>
            <w:vMerge w:val="restart"/>
          </w:tcPr>
          <w:p>
            <w:pPr>
              <w:spacing w:after="0"/>
              <w:rPr>
                <w:sz w:val="20"/>
                <w:szCs w:val="20"/>
                <w:color w:val="auto"/>
              </w:rPr>
            </w:pPr>
            <w:r>
              <w:rPr>
                <w:rFonts w:ascii="Arial" w:cs="Arial" w:eastAsia="Arial" w:hAnsi="Arial"/>
                <w:sz w:val="20"/>
                <w:szCs w:val="20"/>
                <w:b w:val="1"/>
                <w:bCs w:val="1"/>
                <w:color w:val="auto"/>
              </w:rPr>
              <w:t>Postretirement</w:t>
            </w: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6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24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460" w:type="dxa"/>
            <w:vAlign w:val="bottom"/>
          </w:tcPr>
          <w:p>
            <w:pPr>
              <w:spacing w:after="0"/>
              <w:rPr>
                <w:sz w:val="20"/>
                <w:szCs w:val="20"/>
                <w:color w:val="auto"/>
              </w:rPr>
            </w:pPr>
            <w:r>
              <w:rPr>
                <w:rFonts w:ascii="Arial" w:cs="Arial" w:eastAsia="Arial" w:hAnsi="Arial"/>
                <w:sz w:val="20"/>
                <w:szCs w:val="20"/>
                <w:color w:val="auto"/>
              </w:rPr>
              <w:t>Net periodic benefit costs</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460" w:type="dxa"/>
            <w:vAlign w:val="bottom"/>
          </w:tcPr>
          <w:p>
            <w:pPr>
              <w:ind w:left="200"/>
              <w:spacing w:after="0"/>
              <w:rPr>
                <w:sz w:val="20"/>
                <w:szCs w:val="20"/>
                <w:color w:val="auto"/>
              </w:rPr>
            </w:pPr>
            <w:r>
              <w:rPr>
                <w:rFonts w:ascii="Arial" w:cs="Arial" w:eastAsia="Arial" w:hAnsi="Arial"/>
                <w:sz w:val="20"/>
                <w:szCs w:val="20"/>
                <w:color w:val="auto"/>
              </w:rPr>
              <w:t>Service cost - benefits</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460" w:type="dxa"/>
            <w:vAlign w:val="bottom"/>
          </w:tcPr>
          <w:p>
            <w:pPr>
              <w:ind w:left="200"/>
              <w:spacing w:after="0"/>
              <w:rPr>
                <w:sz w:val="20"/>
                <w:szCs w:val="20"/>
                <w:color w:val="auto"/>
              </w:rPr>
            </w:pPr>
            <w:r>
              <w:rPr>
                <w:rFonts w:ascii="Arial" w:cs="Arial" w:eastAsia="Arial" w:hAnsi="Arial"/>
                <w:sz w:val="20"/>
                <w:szCs w:val="20"/>
                <w:color w:val="auto"/>
              </w:rPr>
              <w:t>earned during the</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460" w:type="dxa"/>
            <w:vAlign w:val="bottom"/>
          </w:tcPr>
          <w:p>
            <w:pPr>
              <w:ind w:left="200"/>
              <w:spacing w:after="0"/>
              <w:rPr>
                <w:sz w:val="20"/>
                <w:szCs w:val="20"/>
                <w:color w:val="auto"/>
              </w:rPr>
            </w:pPr>
            <w:r>
              <w:rPr>
                <w:rFonts w:ascii="Arial" w:cs="Arial" w:eastAsia="Arial" w:hAnsi="Arial"/>
                <w:sz w:val="20"/>
                <w:szCs w:val="20"/>
                <w:color w:val="auto"/>
              </w:rPr>
              <w:t>period . . . . . . . . . . . . . . .</w:t>
            </w:r>
          </w:p>
        </w:tc>
        <w:tc>
          <w:tcPr>
            <w:tcW w:w="360" w:type="dxa"/>
            <w:vAlign w:val="bottom"/>
          </w:tcPr>
          <w:p>
            <w:pPr>
              <w:ind w:left="10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2</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4</w:t>
            </w:r>
          </w:p>
        </w:tc>
        <w:tc>
          <w:tcPr>
            <w:tcW w:w="80" w:type="dxa"/>
            <w:vAlign w:val="bottom"/>
          </w:tcPr>
          <w:p>
            <w:pPr>
              <w:spacing w:after="0"/>
              <w:rPr>
                <w:sz w:val="20"/>
                <w:szCs w:val="20"/>
                <w:color w:val="auto"/>
              </w:rPr>
            </w:pPr>
          </w:p>
        </w:tc>
        <w:tc>
          <w:tcPr>
            <w:tcW w:w="880" w:type="dxa"/>
            <w:vAlign w:val="bottom"/>
          </w:tcPr>
          <w:p>
            <w:pPr>
              <w:jc w:val="right"/>
              <w:ind w:right="520"/>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40"/>
              <w:spacing w:after="0"/>
              <w:rPr>
                <w:sz w:val="20"/>
                <w:szCs w:val="20"/>
                <w:color w:val="auto"/>
              </w:rPr>
            </w:pPr>
            <w:r>
              <w:rPr>
                <w:rFonts w:ascii="Arial" w:cs="Arial" w:eastAsia="Arial" w:hAnsi="Arial"/>
                <w:sz w:val="20"/>
                <w:szCs w:val="20"/>
                <w:color w:val="auto"/>
              </w:rPr>
              <w:t>1</w:t>
            </w:r>
          </w:p>
        </w:tc>
        <w:tc>
          <w:tcPr>
            <w:tcW w:w="100" w:type="dxa"/>
            <w:vAlign w:val="bottom"/>
            <w:tcBorders>
              <w:right w:val="single" w:sz="8" w:color="auto"/>
            </w:tcBorders>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840" w:type="dxa"/>
            <w:vAlign w:val="bottom"/>
          </w:tcPr>
          <w:p>
            <w:pPr>
              <w:jc w:val="right"/>
              <w:ind w:right="140"/>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40"/>
        </w:trPr>
        <w:tc>
          <w:tcPr>
            <w:tcW w:w="2460" w:type="dxa"/>
            <w:vAlign w:val="bottom"/>
          </w:tcPr>
          <w:p>
            <w:pPr>
              <w:ind w:left="200"/>
              <w:spacing w:after="0"/>
              <w:rPr>
                <w:sz w:val="20"/>
                <w:szCs w:val="20"/>
                <w:color w:val="auto"/>
              </w:rPr>
            </w:pPr>
            <w:r>
              <w:rPr>
                <w:rFonts w:ascii="Arial" w:cs="Arial" w:eastAsia="Arial" w:hAnsi="Arial"/>
                <w:sz w:val="20"/>
                <w:szCs w:val="20"/>
                <w:color w:val="auto"/>
              </w:rPr>
              <w:t>Interest cost on</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460" w:type="dxa"/>
            <w:vAlign w:val="bottom"/>
          </w:tcPr>
          <w:p>
            <w:pPr>
              <w:ind w:left="200"/>
              <w:spacing w:after="0"/>
              <w:rPr>
                <w:sz w:val="20"/>
                <w:szCs w:val="20"/>
                <w:color w:val="auto"/>
              </w:rPr>
            </w:pPr>
            <w:r>
              <w:rPr>
                <w:rFonts w:ascii="Arial" w:cs="Arial" w:eastAsia="Arial" w:hAnsi="Arial"/>
                <w:sz w:val="20"/>
                <w:szCs w:val="20"/>
                <w:color w:val="auto"/>
              </w:rPr>
              <w:t>projected benefit</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460" w:type="dxa"/>
            <w:vAlign w:val="bottom"/>
          </w:tcPr>
          <w:p>
            <w:pPr>
              <w:ind w:left="200"/>
              <w:spacing w:after="0"/>
              <w:rPr>
                <w:sz w:val="20"/>
                <w:szCs w:val="20"/>
                <w:color w:val="auto"/>
              </w:rPr>
            </w:pPr>
            <w:r>
              <w:rPr>
                <w:rFonts w:ascii="Arial" w:cs="Arial" w:eastAsia="Arial" w:hAnsi="Arial"/>
                <w:sz w:val="20"/>
                <w:szCs w:val="20"/>
                <w:color w:val="auto"/>
              </w:rPr>
              <w:t>obligation . . . . . . . . . . . .</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jc w:val="right"/>
              <w:ind w:right="140"/>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40"/>
        </w:trPr>
        <w:tc>
          <w:tcPr>
            <w:tcW w:w="2460" w:type="dxa"/>
            <w:vAlign w:val="bottom"/>
          </w:tcPr>
          <w:p>
            <w:pPr>
              <w:ind w:left="200"/>
              <w:spacing w:after="0"/>
              <w:rPr>
                <w:sz w:val="20"/>
                <w:szCs w:val="20"/>
                <w:color w:val="auto"/>
              </w:rPr>
            </w:pPr>
            <w:r>
              <w:rPr>
                <w:rFonts w:ascii="Arial" w:cs="Arial" w:eastAsia="Arial" w:hAnsi="Arial"/>
                <w:sz w:val="20"/>
                <w:szCs w:val="20"/>
                <w:color w:val="auto"/>
              </w:rPr>
              <w:t>Amortization of prior</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460" w:type="dxa"/>
            <w:vAlign w:val="bottom"/>
          </w:tcPr>
          <w:p>
            <w:pPr>
              <w:ind w:left="200"/>
              <w:spacing w:after="0"/>
              <w:rPr>
                <w:sz w:val="20"/>
                <w:szCs w:val="20"/>
                <w:color w:val="auto"/>
              </w:rPr>
            </w:pPr>
            <w:r>
              <w:rPr>
                <w:rFonts w:ascii="Arial" w:cs="Arial" w:eastAsia="Arial" w:hAnsi="Arial"/>
                <w:sz w:val="20"/>
                <w:szCs w:val="20"/>
                <w:color w:val="auto"/>
              </w:rPr>
              <w:t>service cost credit . . . . .</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20"/>
                <w:szCs w:val="20"/>
                <w:color w:val="auto"/>
              </w:rPr>
              <w:t>(1)</w:t>
            </w:r>
          </w:p>
        </w:tc>
        <w:tc>
          <w:tcPr>
            <w:tcW w:w="880" w:type="dxa"/>
            <w:vAlign w:val="bottom"/>
          </w:tcPr>
          <w:p>
            <w:pPr>
              <w:spacing w:after="0"/>
              <w:rPr>
                <w:sz w:val="20"/>
                <w:szCs w:val="20"/>
                <w:color w:val="auto"/>
              </w:rPr>
            </w:pPr>
          </w:p>
        </w:tc>
        <w:tc>
          <w:tcPr>
            <w:tcW w:w="10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2460" w:type="dxa"/>
            <w:vAlign w:val="bottom"/>
          </w:tcPr>
          <w:p>
            <w:pPr>
              <w:ind w:left="200"/>
              <w:spacing w:after="0"/>
              <w:rPr>
                <w:sz w:val="20"/>
                <w:szCs w:val="20"/>
                <w:color w:val="auto"/>
              </w:rPr>
            </w:pPr>
            <w:r>
              <w:rPr>
                <w:rFonts w:ascii="Arial" w:cs="Arial" w:eastAsia="Arial" w:hAnsi="Arial"/>
                <w:sz w:val="20"/>
                <w:szCs w:val="20"/>
                <w:color w:val="auto"/>
              </w:rPr>
              <w:t>Amortization of net</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460" w:type="dxa"/>
            <w:vAlign w:val="bottom"/>
          </w:tcPr>
          <w:p>
            <w:pPr>
              <w:ind w:left="200"/>
              <w:spacing w:after="0"/>
              <w:rPr>
                <w:sz w:val="20"/>
                <w:szCs w:val="20"/>
                <w:color w:val="auto"/>
              </w:rPr>
            </w:pPr>
            <w:r>
              <w:rPr>
                <w:rFonts w:ascii="Arial" w:cs="Arial" w:eastAsia="Arial" w:hAnsi="Arial"/>
                <w:sz w:val="20"/>
                <w:szCs w:val="20"/>
                <w:color w:val="auto"/>
              </w:rPr>
              <w:t>actuarial gain/loss . . . . .</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880" w:type="dxa"/>
            <w:vAlign w:val="bottom"/>
          </w:tcPr>
          <w:p>
            <w:pPr>
              <w:spacing w:after="0"/>
              <w:rPr>
                <w:sz w:val="20"/>
                <w:szCs w:val="20"/>
                <w:color w:val="auto"/>
              </w:rPr>
            </w:pPr>
          </w:p>
        </w:tc>
        <w:tc>
          <w:tcPr>
            <w:tcW w:w="10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8"/>
        </w:trPr>
        <w:tc>
          <w:tcPr>
            <w:tcW w:w="2460" w:type="dxa"/>
            <w:vAlign w:val="bottom"/>
          </w:tcPr>
          <w:p>
            <w:pPr>
              <w:ind w:left="200"/>
              <w:spacing w:after="0"/>
              <w:rPr>
                <w:sz w:val="20"/>
                <w:szCs w:val="20"/>
                <w:color w:val="auto"/>
              </w:rPr>
            </w:pPr>
            <w:r>
              <w:rPr>
                <w:rFonts w:ascii="Arial" w:cs="Arial" w:eastAsia="Arial" w:hAnsi="Arial"/>
                <w:sz w:val="20"/>
                <w:szCs w:val="20"/>
                <w:color w:val="auto"/>
              </w:rPr>
              <w:t>Settlement costs . . . . . .</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880" w:type="dxa"/>
            <w:vAlign w:val="bottom"/>
          </w:tcPr>
          <w:p>
            <w:pPr>
              <w:spacing w:after="0"/>
              <w:rPr>
                <w:sz w:val="20"/>
                <w:szCs w:val="20"/>
                <w:color w:val="auto"/>
              </w:rPr>
            </w:pPr>
          </w:p>
        </w:tc>
        <w:tc>
          <w:tcPr>
            <w:tcW w:w="10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jc w:val="right"/>
              <w:ind w:right="140"/>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30"/>
        </w:trPr>
        <w:tc>
          <w:tcPr>
            <w:tcW w:w="2460" w:type="dxa"/>
            <w:vAlign w:val="bottom"/>
            <w:vMerge w:val="restart"/>
          </w:tcPr>
          <w:p>
            <w:pPr>
              <w:ind w:left="200"/>
              <w:spacing w:after="0"/>
              <w:rPr>
                <w:sz w:val="20"/>
                <w:szCs w:val="20"/>
                <w:color w:val="auto"/>
              </w:rPr>
            </w:pPr>
            <w:r>
              <w:rPr>
                <w:rFonts w:ascii="Arial" w:cs="Arial" w:eastAsia="Arial" w:hAnsi="Arial"/>
                <w:sz w:val="20"/>
                <w:szCs w:val="20"/>
                <w:color w:val="auto"/>
              </w:rPr>
              <w:t>Net periodic benefit</w:t>
            </w: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2460" w:type="dxa"/>
            <w:vAlign w:val="bottom"/>
            <w:vMerge w:val="continue"/>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460" w:type="dxa"/>
            <w:vAlign w:val="bottom"/>
          </w:tcPr>
          <w:p>
            <w:pPr>
              <w:ind w:left="200"/>
              <w:spacing w:after="0"/>
              <w:rPr>
                <w:sz w:val="20"/>
                <w:szCs w:val="20"/>
                <w:color w:val="auto"/>
              </w:rPr>
            </w:pPr>
            <w:r>
              <w:rPr>
                <w:rFonts w:ascii="Arial" w:cs="Arial" w:eastAsia="Arial" w:hAnsi="Arial"/>
                <w:sz w:val="20"/>
                <w:szCs w:val="20"/>
                <w:color w:val="auto"/>
                <w:w w:val="99"/>
              </w:rPr>
              <w:t>costs . . . . . . . . . . . . . . . .</w:t>
            </w:r>
          </w:p>
        </w:tc>
        <w:tc>
          <w:tcPr>
            <w:tcW w:w="360" w:type="dxa"/>
            <w:vAlign w:val="bottom"/>
          </w:tcPr>
          <w:p>
            <w:pPr>
              <w:ind w:left="10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(2)</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6</w:t>
            </w:r>
          </w:p>
        </w:tc>
        <w:tc>
          <w:tcPr>
            <w:tcW w:w="80" w:type="dxa"/>
            <w:vAlign w:val="bottom"/>
          </w:tcPr>
          <w:p>
            <w:pPr>
              <w:spacing w:after="0"/>
              <w:rPr>
                <w:sz w:val="20"/>
                <w:szCs w:val="20"/>
                <w:color w:val="auto"/>
              </w:rPr>
            </w:pPr>
          </w:p>
        </w:tc>
        <w:tc>
          <w:tcPr>
            <w:tcW w:w="880" w:type="dxa"/>
            <w:vAlign w:val="bottom"/>
          </w:tcPr>
          <w:p>
            <w:pPr>
              <w:jc w:val="right"/>
              <w:ind w:right="520"/>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40"/>
              <w:spacing w:after="0"/>
              <w:rPr>
                <w:sz w:val="20"/>
                <w:szCs w:val="20"/>
                <w:color w:val="auto"/>
              </w:rPr>
            </w:pPr>
            <w:r>
              <w:rPr>
                <w:rFonts w:ascii="Arial" w:cs="Arial" w:eastAsia="Arial" w:hAnsi="Arial"/>
                <w:sz w:val="20"/>
                <w:szCs w:val="20"/>
                <w:color w:val="auto"/>
              </w:rPr>
              <w:t>1</w:t>
            </w:r>
          </w:p>
        </w:tc>
        <w:tc>
          <w:tcPr>
            <w:tcW w:w="100" w:type="dxa"/>
            <w:vAlign w:val="bottom"/>
            <w:tcBorders>
              <w:right w:val="single" w:sz="8" w:color="auto"/>
            </w:tcBorders>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840" w:type="dxa"/>
            <w:vAlign w:val="bottom"/>
          </w:tcPr>
          <w:p>
            <w:pPr>
              <w:jc w:val="right"/>
              <w:ind w:right="140"/>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30"/>
        </w:trPr>
        <w:tc>
          <w:tcPr>
            <w:tcW w:w="2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316" w:right="1380" w:bottom="661" w:gutter="0" w:footer="0" w:header="0"/>
        </w:sectPr>
      </w:pPr>
    </w:p>
    <w:p>
      <w:pPr>
        <w:spacing w:after="0" w:line="9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141</w:t>
      </w:r>
    </w:p>
    <w:p>
      <w:pPr>
        <w:sectPr>
          <w:pgSz w:w="11880" w:h="15480" w:orient="portrait"/>
          <w:cols w:equalWidth="0" w:num="1">
            <w:col w:w="9120"/>
          </w:cols>
          <w:pgMar w:left="1380" w:top="1316" w:right="1380" w:bottom="661" w:gutter="0" w:footer="0" w:header="0"/>
          <w:type w:val="continuous"/>
        </w:sectPr>
      </w:pPr>
    </w:p>
    <w:bookmarkStart w:id="145" w:name="page146"/>
    <w:bookmarkEnd w:id="145"/>
    <w:p>
      <w:pPr>
        <w:ind w:right="260" w:firstLine="300"/>
        <w:spacing w:after="0" w:line="247" w:lineRule="auto"/>
        <w:rPr>
          <w:sz w:val="20"/>
          <w:szCs w:val="20"/>
          <w:color w:val="auto"/>
        </w:rPr>
      </w:pPr>
      <w:r>
        <w:rPr>
          <w:rFonts w:ascii="Arial" w:cs="Arial" w:eastAsia="Arial" w:hAnsi="Arial"/>
          <w:sz w:val="20"/>
          <w:szCs w:val="20"/>
          <w:color w:val="auto"/>
        </w:rPr>
        <w:t>Components of accumulated other comprehensive income (loss) (AOCI) are presented net of tax. The following table presents the changes in plan assets and benefit obligations recognized in other comprehensive (loss) income attributable to common stock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3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b w:val="1"/>
                <w:bCs w:val="1"/>
                <w:color w:val="auto"/>
              </w:rPr>
              <w:t>Successor</w:t>
            </w: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60"/>
              <w:spacing w:after="0"/>
              <w:rPr>
                <w:sz w:val="20"/>
                <w:szCs w:val="20"/>
                <w:color w:val="auto"/>
              </w:rPr>
            </w:pPr>
            <w:r>
              <w:rPr>
                <w:rFonts w:ascii="Arial" w:cs="Arial" w:eastAsia="Arial" w:hAnsi="Arial"/>
                <w:sz w:val="20"/>
                <w:szCs w:val="20"/>
                <w:b w:val="1"/>
                <w:bCs w:val="1"/>
                <w:color w:val="auto"/>
              </w:rPr>
              <w:t>Predecessor</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20"/>
                <w:szCs w:val="20"/>
                <w:b w:val="1"/>
                <w:bCs w:val="1"/>
                <w:color w:val="auto"/>
              </w:rPr>
              <w:t>Year ended</w:t>
            </w:r>
          </w:p>
        </w:tc>
        <w:tc>
          <w:tcPr>
            <w:tcW w:w="12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20"/>
                <w:szCs w:val="20"/>
                <w:b w:val="1"/>
                <w:bCs w:val="1"/>
                <w:color w:val="auto"/>
              </w:rPr>
              <w:t>Year ended</w:t>
            </w:r>
          </w:p>
        </w:tc>
        <w:tc>
          <w:tcPr>
            <w:tcW w:w="1960" w:type="dxa"/>
            <w:vAlign w:val="bottom"/>
            <w:tcBorders>
              <w:right w:val="single" w:sz="8" w:color="auto"/>
            </w:tcBorders>
            <w:gridSpan w:val="6"/>
          </w:tcPr>
          <w:p>
            <w:pPr>
              <w:ind w:left="40"/>
              <w:spacing w:after="0"/>
              <w:rPr>
                <w:sz w:val="20"/>
                <w:szCs w:val="20"/>
                <w:color w:val="auto"/>
              </w:rPr>
            </w:pPr>
            <w:r>
              <w:rPr>
                <w:rFonts w:ascii="Arial" w:cs="Arial" w:eastAsia="Arial" w:hAnsi="Arial"/>
                <w:sz w:val="20"/>
                <w:szCs w:val="20"/>
                <w:b w:val="1"/>
                <w:bCs w:val="1"/>
                <w:color w:val="auto"/>
              </w:rPr>
              <w:t>November 1, 2020 -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560" w:type="dxa"/>
            <w:vAlign w:val="bottom"/>
            <w:gridSpan w:val="3"/>
          </w:tcPr>
          <w:p>
            <w:pPr>
              <w:ind w:left="20"/>
              <w:spacing w:after="0" w:line="200" w:lineRule="exact"/>
              <w:rPr>
                <w:sz w:val="20"/>
                <w:szCs w:val="20"/>
                <w:color w:val="auto"/>
              </w:rPr>
            </w:pPr>
            <w:r>
              <w:rPr>
                <w:rFonts w:ascii="Arial" w:cs="Arial" w:eastAsia="Arial" w:hAnsi="Arial"/>
                <w:sz w:val="20"/>
                <w:szCs w:val="20"/>
                <w:b w:val="1"/>
                <w:bCs w:val="1"/>
                <w:color w:val="auto"/>
              </w:rPr>
              <w:t>December 31,</w:t>
            </w:r>
          </w:p>
        </w:tc>
        <w:tc>
          <w:tcPr>
            <w:tcW w:w="1480" w:type="dxa"/>
            <w:vAlign w:val="bottom"/>
            <w:gridSpan w:val="3"/>
          </w:tcPr>
          <w:p>
            <w:pPr>
              <w:jc w:val="center"/>
              <w:ind w:right="100"/>
              <w:spacing w:after="0" w:line="200" w:lineRule="exact"/>
              <w:rPr>
                <w:sz w:val="20"/>
                <w:szCs w:val="20"/>
                <w:color w:val="auto"/>
              </w:rPr>
            </w:pPr>
            <w:r>
              <w:rPr>
                <w:rFonts w:ascii="Arial" w:cs="Arial" w:eastAsia="Arial" w:hAnsi="Arial"/>
                <w:sz w:val="20"/>
                <w:szCs w:val="20"/>
                <w:b w:val="1"/>
                <w:bCs w:val="1"/>
                <w:color w:val="auto"/>
                <w:w w:val="99"/>
              </w:rPr>
              <w:t>December 31,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Borders>
              <w:right w:val="single" w:sz="8" w:color="auto"/>
            </w:tcBorders>
            <w:gridSpan w:val="3"/>
          </w:tcPr>
          <w:p>
            <w:pPr>
              <w:jc w:val="center"/>
              <w:ind w:right="300"/>
              <w:spacing w:after="0" w:line="200" w:lineRule="exact"/>
              <w:rPr>
                <w:sz w:val="20"/>
                <w:szCs w:val="20"/>
                <w:color w:val="auto"/>
              </w:rPr>
            </w:pPr>
            <w:r>
              <w:rPr>
                <w:rFonts w:ascii="Arial" w:cs="Arial" w:eastAsia="Arial" w:hAnsi="Arial"/>
                <w:sz w:val="20"/>
                <w:szCs w:val="20"/>
                <w:b w:val="1"/>
                <w:bCs w:val="1"/>
                <w:color w:val="auto"/>
                <w:w w:val="99"/>
              </w:rPr>
              <w:t>December 31,</w:t>
            </w:r>
          </w:p>
        </w:tc>
        <w:tc>
          <w:tcPr>
            <w:tcW w:w="120" w:type="dxa"/>
            <w:vAlign w:val="bottom"/>
          </w:tcPr>
          <w:p>
            <w:pPr>
              <w:spacing w:after="0"/>
              <w:rPr>
                <w:sz w:val="17"/>
                <w:szCs w:val="17"/>
                <w:color w:val="auto"/>
              </w:rPr>
            </w:pPr>
          </w:p>
        </w:tc>
        <w:tc>
          <w:tcPr>
            <w:tcW w:w="1680" w:type="dxa"/>
            <w:vAlign w:val="bottom"/>
            <w:gridSpan w:val="5"/>
          </w:tcPr>
          <w:p>
            <w:pPr>
              <w:spacing w:after="0" w:line="200" w:lineRule="exact"/>
              <w:rPr>
                <w:sz w:val="20"/>
                <w:szCs w:val="20"/>
                <w:color w:val="auto"/>
              </w:rPr>
            </w:pPr>
            <w:r>
              <w:rPr>
                <w:rFonts w:ascii="Arial" w:cs="Arial" w:eastAsia="Arial" w:hAnsi="Arial"/>
                <w:sz w:val="20"/>
                <w:szCs w:val="20"/>
                <w:b w:val="1"/>
                <w:bCs w:val="1"/>
                <w:color w:val="auto"/>
              </w:rPr>
              <w:t>January 1, 2020 -</w:t>
            </w:r>
          </w:p>
        </w:tc>
        <w:tc>
          <w:tcPr>
            <w:tcW w:w="0" w:type="dxa"/>
            <w:vAlign w:val="bottom"/>
          </w:tcPr>
          <w:p>
            <w:pPr>
              <w:spacing w:after="0"/>
              <w:rPr>
                <w:sz w:val="1"/>
                <w:szCs w:val="1"/>
                <w:color w:val="auto"/>
              </w:rPr>
            </w:pPr>
          </w:p>
        </w:tc>
      </w:tr>
      <w:tr>
        <w:trPr>
          <w:trHeight w:val="60"/>
        </w:trPr>
        <w:tc>
          <w:tcPr>
            <w:tcW w:w="23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60" w:type="dxa"/>
            <w:vAlign w:val="bottom"/>
            <w:vMerge w:val="restart"/>
          </w:tcPr>
          <w:p>
            <w:pPr>
              <w:jc w:val="right"/>
              <w:ind w:right="520"/>
              <w:spacing w:after="0" w:line="228" w:lineRule="exact"/>
              <w:rPr>
                <w:sz w:val="20"/>
                <w:szCs w:val="20"/>
                <w:color w:val="auto"/>
              </w:rPr>
            </w:pPr>
            <w:r>
              <w:rPr>
                <w:rFonts w:ascii="Arial" w:cs="Arial" w:eastAsia="Arial" w:hAnsi="Arial"/>
                <w:sz w:val="20"/>
                <w:szCs w:val="20"/>
                <w:b w:val="1"/>
                <w:bCs w:val="1"/>
                <w:color w:val="auto"/>
              </w:rPr>
              <w:t>2020</w:t>
            </w:r>
          </w:p>
        </w:tc>
        <w:tc>
          <w:tcPr>
            <w:tcW w:w="6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80" w:type="dxa"/>
            <w:vAlign w:val="bottom"/>
            <w:gridSpan w:val="5"/>
            <w:vMerge w:val="restart"/>
          </w:tcPr>
          <w:p>
            <w:pPr>
              <w:ind w:left="20"/>
              <w:spacing w:after="0" w:line="228" w:lineRule="exact"/>
              <w:rPr>
                <w:sz w:val="20"/>
                <w:szCs w:val="20"/>
                <w:color w:val="auto"/>
              </w:rPr>
            </w:pPr>
            <w:r>
              <w:rPr>
                <w:rFonts w:ascii="Arial" w:cs="Arial" w:eastAsia="Arial" w:hAnsi="Arial"/>
                <w:sz w:val="20"/>
                <w:szCs w:val="20"/>
                <w:b w:val="1"/>
                <w:bCs w:val="1"/>
                <w:color w:val="auto"/>
              </w:rPr>
              <w:t>October 31, 2020</w:t>
            </w: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restart"/>
          </w:tcPr>
          <w:p>
            <w:pPr>
              <w:jc w:val="right"/>
              <w:ind w:right="360"/>
              <w:spacing w:after="0"/>
              <w:rPr>
                <w:sz w:val="20"/>
                <w:szCs w:val="20"/>
                <w:color w:val="auto"/>
              </w:rPr>
            </w:pPr>
            <w:r>
              <w:rPr>
                <w:rFonts w:ascii="Arial" w:cs="Arial" w:eastAsia="Arial" w:hAnsi="Arial"/>
                <w:sz w:val="20"/>
                <w:szCs w:val="20"/>
                <w:b w:val="1"/>
                <w:bCs w:val="1"/>
                <w:color w:val="auto"/>
              </w:rPr>
              <w:t>2022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restart"/>
          </w:tcPr>
          <w:p>
            <w:pPr>
              <w:jc w:val="center"/>
              <w:ind w:right="20"/>
              <w:spacing w:after="0"/>
              <w:rPr>
                <w:sz w:val="20"/>
                <w:szCs w:val="20"/>
                <w:color w:val="auto"/>
              </w:rPr>
            </w:pPr>
            <w:r>
              <w:rPr>
                <w:rFonts w:ascii="Arial" w:cs="Arial" w:eastAsia="Arial" w:hAnsi="Arial"/>
                <w:sz w:val="20"/>
                <w:szCs w:val="20"/>
                <w:b w:val="1"/>
                <w:bCs w:val="1"/>
                <w:color w:val="auto"/>
              </w:rPr>
              <w:t>2021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2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380" w:type="dxa"/>
            <w:vAlign w:val="bottom"/>
            <w:vMerge w:val="restart"/>
          </w:tcPr>
          <w:p>
            <w:pPr>
              <w:spacing w:after="0"/>
              <w:rPr>
                <w:sz w:val="20"/>
                <w:szCs w:val="20"/>
                <w:color w:val="auto"/>
              </w:rPr>
            </w:pPr>
            <w:r>
              <w:rPr>
                <w:rFonts w:ascii="Arial" w:cs="Arial" w:eastAsia="Arial" w:hAnsi="Arial"/>
                <w:sz w:val="20"/>
                <w:szCs w:val="20"/>
                <w:b w:val="1"/>
                <w:bCs w:val="1"/>
                <w:color w:val="auto"/>
              </w:rPr>
              <w:t>Pension</w:t>
            </w: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2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380" w:type="dxa"/>
            <w:vAlign w:val="bottom"/>
          </w:tcPr>
          <w:p>
            <w:pPr>
              <w:ind w:left="200"/>
              <w:spacing w:after="0"/>
              <w:rPr>
                <w:sz w:val="20"/>
                <w:szCs w:val="20"/>
                <w:color w:val="auto"/>
              </w:rPr>
            </w:pPr>
            <w:r>
              <w:rPr>
                <w:rFonts w:ascii="Arial" w:cs="Arial" w:eastAsia="Arial" w:hAnsi="Arial"/>
                <w:sz w:val="20"/>
                <w:szCs w:val="20"/>
                <w:color w:val="auto"/>
              </w:rPr>
              <w:t>Net actuarial gain</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380" w:type="dxa"/>
            <w:vAlign w:val="bottom"/>
          </w:tcPr>
          <w:p>
            <w:pPr>
              <w:jc w:val="right"/>
              <w:ind w:right="100"/>
              <w:spacing w:after="0"/>
              <w:rPr>
                <w:sz w:val="20"/>
                <w:szCs w:val="20"/>
                <w:color w:val="auto"/>
              </w:rPr>
            </w:pPr>
            <w:r>
              <w:rPr>
                <w:rFonts w:ascii="Arial" w:cs="Arial" w:eastAsia="Arial" w:hAnsi="Arial"/>
                <w:sz w:val="20"/>
                <w:szCs w:val="20"/>
                <w:color w:val="auto"/>
              </w:rPr>
              <w:t>(loss) . . . . . . . . . . . .</w:t>
            </w:r>
          </w:p>
        </w:tc>
        <w:tc>
          <w:tcPr>
            <w:tcW w:w="120" w:type="dxa"/>
            <w:vAlign w:val="bottom"/>
          </w:tcPr>
          <w:p>
            <w:pPr>
              <w:spacing w:after="0"/>
              <w:rPr>
                <w:sz w:val="20"/>
                <w:szCs w:val="20"/>
                <w:color w:val="auto"/>
              </w:rPr>
            </w:pPr>
            <w:r>
              <w:rPr>
                <w:rFonts w:ascii="Arial" w:cs="Arial" w:eastAsia="Arial" w:hAnsi="Arial"/>
                <w:sz w:val="20"/>
                <w:szCs w:val="20"/>
                <w:color w:val="auto"/>
                <w:w w:val="89"/>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4</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60" w:type="dxa"/>
            <w:vAlign w:val="bottom"/>
            <w:gridSpan w:val="2"/>
          </w:tcPr>
          <w:p>
            <w:pPr>
              <w:jc w:val="right"/>
              <w:ind w:right="20"/>
              <w:spacing w:after="0"/>
              <w:rPr>
                <w:sz w:val="20"/>
                <w:szCs w:val="20"/>
                <w:color w:val="auto"/>
              </w:rPr>
            </w:pPr>
            <w:r>
              <w:rPr>
                <w:rFonts w:ascii="Arial" w:cs="Arial" w:eastAsia="Arial" w:hAnsi="Arial"/>
                <w:sz w:val="20"/>
                <w:szCs w:val="20"/>
                <w:color w:val="auto"/>
              </w:rPr>
              <w:t>(1)</w:t>
            </w:r>
          </w:p>
        </w:tc>
        <w:tc>
          <w:tcPr>
            <w:tcW w:w="240" w:type="dxa"/>
            <w:vAlign w:val="bottom"/>
            <w:gridSpan w:val="3"/>
          </w:tcPr>
          <w:p>
            <w:pPr>
              <w:ind w:left="60"/>
              <w:spacing w:after="0"/>
              <w:rPr>
                <w:sz w:val="20"/>
                <w:szCs w:val="20"/>
                <w:color w:val="auto"/>
              </w:rPr>
            </w:pPr>
            <w:r>
              <w:rPr>
                <w:rFonts w:ascii="Arial" w:cs="Arial" w:eastAsia="Arial" w:hAnsi="Arial"/>
                <w:sz w:val="20"/>
                <w:szCs w:val="20"/>
                <w:color w:val="auto"/>
              </w:rPr>
              <w:t>$</w:t>
            </w:r>
          </w:p>
        </w:tc>
        <w:tc>
          <w:tcPr>
            <w:tcW w:w="1720" w:type="dxa"/>
            <w:vAlign w:val="bottom"/>
            <w:tcBorders>
              <w:right w:val="single" w:sz="8" w:color="auto"/>
            </w:tcBorders>
            <w:gridSpan w:val="3"/>
          </w:tcPr>
          <w:p>
            <w:pPr>
              <w:jc w:val="right"/>
              <w:ind w:right="40"/>
              <w:spacing w:after="0"/>
              <w:rPr>
                <w:sz w:val="20"/>
                <w:szCs w:val="20"/>
                <w:color w:val="auto"/>
              </w:rPr>
            </w:pPr>
            <w:r>
              <w:rPr>
                <w:rFonts w:ascii="Arial" w:cs="Arial" w:eastAsia="Arial" w:hAnsi="Arial"/>
                <w:sz w:val="20"/>
                <w:szCs w:val="20"/>
                <w:color w:val="auto"/>
              </w:rPr>
              <w:t>(1)</w:t>
            </w:r>
          </w:p>
        </w:tc>
        <w:tc>
          <w:tcPr>
            <w:tcW w:w="280" w:type="dxa"/>
            <w:vAlign w:val="bottom"/>
            <w:gridSpan w:val="3"/>
          </w:tcPr>
          <w:p>
            <w:pPr>
              <w:ind w:left="140"/>
              <w:spacing w:after="0"/>
              <w:rPr>
                <w:sz w:val="20"/>
                <w:szCs w:val="20"/>
                <w:color w:val="auto"/>
              </w:rPr>
            </w:pPr>
            <w:r>
              <w:rPr>
                <w:rFonts w:ascii="Arial" w:cs="Arial" w:eastAsia="Arial" w:hAnsi="Arial"/>
                <w:sz w:val="20"/>
                <w:szCs w:val="20"/>
                <w:color w:val="auto"/>
              </w:rPr>
              <w:t>$</w:t>
            </w:r>
          </w:p>
        </w:tc>
        <w:tc>
          <w:tcPr>
            <w:tcW w:w="1520" w:type="dxa"/>
            <w:vAlign w:val="bottom"/>
            <w:gridSpan w:val="3"/>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40"/>
        </w:trPr>
        <w:tc>
          <w:tcPr>
            <w:tcW w:w="2380" w:type="dxa"/>
            <w:vAlign w:val="bottom"/>
          </w:tcPr>
          <w:p>
            <w:pPr>
              <w:jc w:val="right"/>
              <w:ind w:right="100"/>
              <w:spacing w:after="0"/>
              <w:rPr>
                <w:sz w:val="20"/>
                <w:szCs w:val="20"/>
                <w:color w:val="auto"/>
              </w:rPr>
            </w:pPr>
            <w:r>
              <w:rPr>
                <w:rFonts w:ascii="Arial" w:cs="Arial" w:eastAsia="Arial" w:hAnsi="Arial"/>
                <w:sz w:val="20"/>
                <w:szCs w:val="20"/>
                <w:color w:val="auto"/>
              </w:rPr>
              <w:t>Settlement costs  . . . .</w:t>
            </w:r>
          </w:p>
        </w:tc>
        <w:tc>
          <w:tcPr>
            <w:tcW w:w="12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Borders>
              <w:right w:val="single" w:sz="8" w:color="auto"/>
            </w:tcBorders>
            <w:gridSpan w:val="3"/>
          </w:tcPr>
          <w:p>
            <w:pPr>
              <w:jc w:val="right"/>
              <w:ind w:right="10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20"/>
                <w:szCs w:val="20"/>
                <w:color w:val="auto"/>
              </w:rPr>
              <w:t>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380" w:type="dxa"/>
            <w:vAlign w:val="bottom"/>
          </w:tcPr>
          <w:p>
            <w:pPr>
              <w:ind w:left="200"/>
              <w:spacing w:after="0"/>
              <w:rPr>
                <w:sz w:val="20"/>
                <w:szCs w:val="20"/>
                <w:color w:val="auto"/>
              </w:rPr>
            </w:pPr>
            <w:r>
              <w:rPr>
                <w:rFonts w:ascii="Arial" w:cs="Arial" w:eastAsia="Arial" w:hAnsi="Arial"/>
                <w:sz w:val="20"/>
                <w:szCs w:val="20"/>
                <w:color w:val="auto"/>
              </w:rPr>
              <w:t>Amortization of net</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380" w:type="dxa"/>
            <w:vAlign w:val="bottom"/>
          </w:tcPr>
          <w:p>
            <w:pPr>
              <w:ind w:left="400"/>
              <w:spacing w:after="0"/>
              <w:rPr>
                <w:sz w:val="20"/>
                <w:szCs w:val="20"/>
                <w:color w:val="auto"/>
              </w:rPr>
            </w:pPr>
            <w:r>
              <w:rPr>
                <w:rFonts w:ascii="Arial" w:cs="Arial" w:eastAsia="Arial" w:hAnsi="Arial"/>
                <w:sz w:val="20"/>
                <w:szCs w:val="20"/>
                <w:color w:val="auto"/>
              </w:rPr>
              <w:t>actuarial</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380" w:type="dxa"/>
            <w:vAlign w:val="bottom"/>
          </w:tcPr>
          <w:p>
            <w:pPr>
              <w:jc w:val="right"/>
              <w:ind w:right="100"/>
              <w:spacing w:after="0"/>
              <w:rPr>
                <w:sz w:val="20"/>
                <w:szCs w:val="20"/>
                <w:color w:val="auto"/>
              </w:rPr>
            </w:pPr>
            <w:r>
              <w:rPr>
                <w:rFonts w:ascii="Arial" w:cs="Arial" w:eastAsia="Arial" w:hAnsi="Arial"/>
                <w:sz w:val="20"/>
                <w:szCs w:val="20"/>
                <w:color w:val="auto"/>
              </w:rPr>
              <w:t>gain/loss . . . . . . . . .</w:t>
            </w:r>
          </w:p>
        </w:tc>
        <w:tc>
          <w:tcPr>
            <w:tcW w:w="12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Borders>
              <w:right w:val="single" w:sz="8" w:color="auto"/>
            </w:tcBorders>
            <w:gridSpan w:val="3"/>
          </w:tcPr>
          <w:p>
            <w:pPr>
              <w:jc w:val="right"/>
              <w:ind w:right="10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20"/>
                <w:szCs w:val="20"/>
                <w:color w:val="auto"/>
              </w:rPr>
              <w:t>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2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4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380" w:type="dxa"/>
            <w:vAlign w:val="bottom"/>
          </w:tcPr>
          <w:p>
            <w:pPr>
              <w:jc w:val="right"/>
              <w:ind w:right="100"/>
              <w:spacing w:after="0"/>
              <w:rPr>
                <w:sz w:val="20"/>
                <w:szCs w:val="20"/>
                <w:color w:val="auto"/>
              </w:rPr>
            </w:pPr>
            <w:r>
              <w:rPr>
                <w:rFonts w:ascii="Arial" w:cs="Arial" w:eastAsia="Arial" w:hAnsi="Arial"/>
                <w:sz w:val="20"/>
                <w:szCs w:val="20"/>
                <w:color w:val="auto"/>
                <w:w w:val="97"/>
              </w:rPr>
              <w:t>Total . . . . . . . . . . . . . . . .</w:t>
            </w:r>
          </w:p>
        </w:tc>
        <w:tc>
          <w:tcPr>
            <w:tcW w:w="120" w:type="dxa"/>
            <w:vAlign w:val="bottom"/>
          </w:tcPr>
          <w:p>
            <w:pPr>
              <w:spacing w:after="0"/>
              <w:rPr>
                <w:sz w:val="20"/>
                <w:szCs w:val="20"/>
                <w:color w:val="auto"/>
              </w:rPr>
            </w:pPr>
            <w:r>
              <w:rPr>
                <w:rFonts w:ascii="Arial" w:cs="Arial" w:eastAsia="Arial" w:hAnsi="Arial"/>
                <w:sz w:val="20"/>
                <w:szCs w:val="20"/>
                <w:color w:val="auto"/>
                <w:w w:val="89"/>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4</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60" w:type="dxa"/>
            <w:vAlign w:val="bottom"/>
            <w:gridSpan w:val="2"/>
          </w:tcPr>
          <w:p>
            <w:pPr>
              <w:jc w:val="right"/>
              <w:ind w:right="20"/>
              <w:spacing w:after="0"/>
              <w:rPr>
                <w:sz w:val="20"/>
                <w:szCs w:val="20"/>
                <w:color w:val="auto"/>
              </w:rPr>
            </w:pPr>
            <w:r>
              <w:rPr>
                <w:rFonts w:ascii="Arial" w:cs="Arial" w:eastAsia="Arial" w:hAnsi="Arial"/>
                <w:sz w:val="20"/>
                <w:szCs w:val="20"/>
                <w:color w:val="auto"/>
              </w:rPr>
              <w:t>(1)</w:t>
            </w:r>
          </w:p>
        </w:tc>
        <w:tc>
          <w:tcPr>
            <w:tcW w:w="240" w:type="dxa"/>
            <w:vAlign w:val="bottom"/>
            <w:gridSpan w:val="3"/>
          </w:tcPr>
          <w:p>
            <w:pPr>
              <w:ind w:left="60"/>
              <w:spacing w:after="0"/>
              <w:rPr>
                <w:sz w:val="20"/>
                <w:szCs w:val="20"/>
                <w:color w:val="auto"/>
              </w:rPr>
            </w:pPr>
            <w:r>
              <w:rPr>
                <w:rFonts w:ascii="Arial" w:cs="Arial" w:eastAsia="Arial" w:hAnsi="Arial"/>
                <w:sz w:val="20"/>
                <w:szCs w:val="20"/>
                <w:color w:val="auto"/>
              </w:rPr>
              <w:t>$</w:t>
            </w:r>
          </w:p>
        </w:tc>
        <w:tc>
          <w:tcPr>
            <w:tcW w:w="1720" w:type="dxa"/>
            <w:vAlign w:val="bottom"/>
            <w:tcBorders>
              <w:right w:val="single" w:sz="8" w:color="auto"/>
            </w:tcBorders>
            <w:gridSpan w:val="3"/>
          </w:tcPr>
          <w:p>
            <w:pPr>
              <w:jc w:val="right"/>
              <w:ind w:right="40"/>
              <w:spacing w:after="0"/>
              <w:rPr>
                <w:sz w:val="20"/>
                <w:szCs w:val="20"/>
                <w:color w:val="auto"/>
              </w:rPr>
            </w:pPr>
            <w:r>
              <w:rPr>
                <w:rFonts w:ascii="Arial" w:cs="Arial" w:eastAsia="Arial" w:hAnsi="Arial"/>
                <w:sz w:val="20"/>
                <w:szCs w:val="20"/>
                <w:color w:val="auto"/>
              </w:rPr>
              <w:t>(1)</w:t>
            </w:r>
          </w:p>
        </w:tc>
        <w:tc>
          <w:tcPr>
            <w:tcW w:w="280" w:type="dxa"/>
            <w:vAlign w:val="bottom"/>
            <w:gridSpan w:val="3"/>
          </w:tcPr>
          <w:p>
            <w:pPr>
              <w:ind w:left="140"/>
              <w:spacing w:after="0"/>
              <w:rPr>
                <w:sz w:val="20"/>
                <w:szCs w:val="20"/>
                <w:color w:val="auto"/>
              </w:rPr>
            </w:pPr>
            <w:r>
              <w:rPr>
                <w:rFonts w:ascii="Arial" w:cs="Arial" w:eastAsia="Arial" w:hAnsi="Arial"/>
                <w:sz w:val="20"/>
                <w:szCs w:val="20"/>
                <w:color w:val="auto"/>
              </w:rPr>
              <w:t>$</w:t>
            </w:r>
          </w:p>
        </w:tc>
        <w:tc>
          <w:tcPr>
            <w:tcW w:w="1480" w:type="dxa"/>
            <w:vAlign w:val="bottom"/>
            <w:gridSpan w:val="2"/>
          </w:tcPr>
          <w:p>
            <w:pPr>
              <w:jc w:val="right"/>
              <w:ind w:right="20"/>
              <w:spacing w:after="0"/>
              <w:rPr>
                <w:sz w:val="20"/>
                <w:szCs w:val="20"/>
                <w:color w:val="auto"/>
              </w:rPr>
            </w:pPr>
            <w:r>
              <w:rPr>
                <w:rFonts w:ascii="Arial" w:cs="Arial" w:eastAsia="Arial" w:hAnsi="Arial"/>
                <w:sz w:val="20"/>
                <w:szCs w:val="20"/>
                <w:color w:val="auto"/>
              </w:rPr>
              <w:t>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2380" w:type="dxa"/>
            <w:vAlign w:val="bottom"/>
            <w:vMerge w:val="restart"/>
          </w:tcPr>
          <w:p>
            <w:pPr>
              <w:spacing w:after="0"/>
              <w:rPr>
                <w:sz w:val="20"/>
                <w:szCs w:val="20"/>
                <w:color w:val="auto"/>
              </w:rPr>
            </w:pPr>
            <w:r>
              <w:rPr>
                <w:rFonts w:ascii="Arial" w:cs="Arial" w:eastAsia="Arial" w:hAnsi="Arial"/>
                <w:sz w:val="20"/>
                <w:szCs w:val="20"/>
                <w:b w:val="1"/>
                <w:bCs w:val="1"/>
                <w:color w:val="auto"/>
              </w:rPr>
              <w:t>Postretirement</w:t>
            </w: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8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2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380" w:type="dxa"/>
            <w:vAlign w:val="bottom"/>
          </w:tcPr>
          <w:p>
            <w:pPr>
              <w:ind w:left="200"/>
              <w:spacing w:after="0"/>
              <w:rPr>
                <w:sz w:val="20"/>
                <w:szCs w:val="20"/>
                <w:color w:val="auto"/>
              </w:rPr>
            </w:pPr>
            <w:r>
              <w:rPr>
                <w:rFonts w:ascii="Arial" w:cs="Arial" w:eastAsia="Arial" w:hAnsi="Arial"/>
                <w:sz w:val="20"/>
                <w:szCs w:val="20"/>
                <w:color w:val="auto"/>
              </w:rPr>
              <w:t>Net actuarial gain</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380" w:type="dxa"/>
            <w:vAlign w:val="bottom"/>
          </w:tcPr>
          <w:p>
            <w:pPr>
              <w:jc w:val="right"/>
              <w:ind w:right="100"/>
              <w:spacing w:after="0"/>
              <w:rPr>
                <w:sz w:val="20"/>
                <w:szCs w:val="20"/>
                <w:color w:val="auto"/>
              </w:rPr>
            </w:pPr>
            <w:r>
              <w:rPr>
                <w:rFonts w:ascii="Arial" w:cs="Arial" w:eastAsia="Arial" w:hAnsi="Arial"/>
                <w:sz w:val="20"/>
                <w:szCs w:val="20"/>
                <w:color w:val="auto"/>
              </w:rPr>
              <w:t>(loss) . . . . . . . . . . . .</w:t>
            </w:r>
          </w:p>
        </w:tc>
        <w:tc>
          <w:tcPr>
            <w:tcW w:w="120" w:type="dxa"/>
            <w:vAlign w:val="bottom"/>
          </w:tcPr>
          <w:p>
            <w:pPr>
              <w:spacing w:after="0"/>
              <w:rPr>
                <w:sz w:val="20"/>
                <w:szCs w:val="20"/>
                <w:color w:val="auto"/>
              </w:rPr>
            </w:pPr>
            <w:r>
              <w:rPr>
                <w:rFonts w:ascii="Arial" w:cs="Arial" w:eastAsia="Arial" w:hAnsi="Arial"/>
                <w:sz w:val="20"/>
                <w:szCs w:val="20"/>
                <w:color w:val="auto"/>
                <w:w w:val="89"/>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9</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60" w:type="dxa"/>
            <w:vAlign w:val="bottom"/>
            <w:gridSpan w:val="2"/>
          </w:tcPr>
          <w:p>
            <w:pPr>
              <w:jc w:val="right"/>
              <w:ind w:right="100"/>
              <w:spacing w:after="0"/>
              <w:rPr>
                <w:sz w:val="20"/>
                <w:szCs w:val="20"/>
                <w:color w:val="auto"/>
              </w:rPr>
            </w:pPr>
            <w:r>
              <w:rPr>
                <w:rFonts w:ascii="Arial" w:cs="Arial" w:eastAsia="Arial" w:hAnsi="Arial"/>
                <w:sz w:val="20"/>
                <w:szCs w:val="20"/>
                <w:color w:val="auto"/>
              </w:rPr>
              <w:t>17</w:t>
            </w:r>
          </w:p>
        </w:tc>
        <w:tc>
          <w:tcPr>
            <w:tcW w:w="240" w:type="dxa"/>
            <w:vAlign w:val="bottom"/>
            <w:gridSpan w:val="3"/>
          </w:tcPr>
          <w:p>
            <w:pPr>
              <w:ind w:left="60"/>
              <w:spacing w:after="0"/>
              <w:rPr>
                <w:sz w:val="20"/>
                <w:szCs w:val="20"/>
                <w:color w:val="auto"/>
              </w:rPr>
            </w:pPr>
            <w:r>
              <w:rPr>
                <w:rFonts w:ascii="Arial" w:cs="Arial" w:eastAsia="Arial" w:hAnsi="Arial"/>
                <w:sz w:val="20"/>
                <w:szCs w:val="20"/>
                <w:color w:val="auto"/>
              </w:rPr>
              <w:t>$</w:t>
            </w:r>
          </w:p>
        </w:tc>
        <w:tc>
          <w:tcPr>
            <w:tcW w:w="1720" w:type="dxa"/>
            <w:vAlign w:val="bottom"/>
            <w:tcBorders>
              <w:right w:val="single" w:sz="8" w:color="auto"/>
            </w:tcBorders>
            <w:gridSpan w:val="3"/>
          </w:tcPr>
          <w:p>
            <w:pPr>
              <w:jc w:val="right"/>
              <w:ind w:right="40"/>
              <w:spacing w:after="0"/>
              <w:rPr>
                <w:sz w:val="20"/>
                <w:szCs w:val="20"/>
                <w:color w:val="auto"/>
              </w:rPr>
            </w:pPr>
            <w:r>
              <w:rPr>
                <w:rFonts w:ascii="Arial" w:cs="Arial" w:eastAsia="Arial" w:hAnsi="Arial"/>
                <w:sz w:val="20"/>
                <w:szCs w:val="20"/>
                <w:color w:val="auto"/>
              </w:rPr>
              <w:t>(7)</w:t>
            </w:r>
          </w:p>
        </w:tc>
        <w:tc>
          <w:tcPr>
            <w:tcW w:w="280" w:type="dxa"/>
            <w:vAlign w:val="bottom"/>
            <w:gridSpan w:val="3"/>
          </w:tcPr>
          <w:p>
            <w:pPr>
              <w:ind w:left="140"/>
              <w:spacing w:after="0"/>
              <w:rPr>
                <w:sz w:val="20"/>
                <w:szCs w:val="20"/>
                <w:color w:val="auto"/>
              </w:rPr>
            </w:pPr>
            <w:r>
              <w:rPr>
                <w:rFonts w:ascii="Arial" w:cs="Arial" w:eastAsia="Arial" w:hAnsi="Arial"/>
                <w:sz w:val="20"/>
                <w:szCs w:val="20"/>
                <w:color w:val="auto"/>
              </w:rPr>
              <w:t>$</w:t>
            </w:r>
          </w:p>
        </w:tc>
        <w:tc>
          <w:tcPr>
            <w:tcW w:w="1520" w:type="dxa"/>
            <w:vAlign w:val="bottom"/>
            <w:gridSpan w:val="3"/>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40"/>
        </w:trPr>
        <w:tc>
          <w:tcPr>
            <w:tcW w:w="2380" w:type="dxa"/>
            <w:vAlign w:val="bottom"/>
          </w:tcPr>
          <w:p>
            <w:pPr>
              <w:ind w:left="200"/>
              <w:spacing w:after="0"/>
              <w:rPr>
                <w:sz w:val="20"/>
                <w:szCs w:val="20"/>
                <w:color w:val="auto"/>
              </w:rPr>
            </w:pPr>
            <w:r>
              <w:rPr>
                <w:rFonts w:ascii="Arial" w:cs="Arial" w:eastAsia="Arial" w:hAnsi="Arial"/>
                <w:sz w:val="20"/>
                <w:szCs w:val="20"/>
                <w:color w:val="auto"/>
              </w:rPr>
              <w:t>Net prior service</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380" w:type="dxa"/>
            <w:vAlign w:val="bottom"/>
          </w:tcPr>
          <w:p>
            <w:pPr>
              <w:jc w:val="right"/>
              <w:ind w:right="100"/>
              <w:spacing w:after="0"/>
              <w:rPr>
                <w:sz w:val="20"/>
                <w:szCs w:val="20"/>
                <w:color w:val="auto"/>
              </w:rPr>
            </w:pPr>
            <w:r>
              <w:rPr>
                <w:rFonts w:ascii="Arial" w:cs="Arial" w:eastAsia="Arial" w:hAnsi="Arial"/>
                <w:sz w:val="20"/>
                <w:szCs w:val="20"/>
                <w:color w:val="auto"/>
              </w:rPr>
              <w:t>credit . . . . . . . . . . . .</w:t>
            </w:r>
          </w:p>
        </w:tc>
        <w:tc>
          <w:tcPr>
            <w:tcW w:w="12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20"/>
                <w:szCs w:val="20"/>
                <w:color w:val="auto"/>
              </w:rPr>
              <w:t>65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Borders>
              <w:right w:val="single" w:sz="8" w:color="auto"/>
            </w:tcBorders>
            <w:gridSpan w:val="3"/>
          </w:tcPr>
          <w:p>
            <w:pPr>
              <w:jc w:val="right"/>
              <w:ind w:right="10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3"/>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2380" w:type="dxa"/>
            <w:vAlign w:val="bottom"/>
          </w:tcPr>
          <w:p>
            <w:pPr>
              <w:jc w:val="right"/>
              <w:ind w:right="100"/>
              <w:spacing w:after="0"/>
              <w:rPr>
                <w:sz w:val="20"/>
                <w:szCs w:val="20"/>
                <w:color w:val="auto"/>
              </w:rPr>
            </w:pPr>
            <w:r>
              <w:rPr>
                <w:rFonts w:ascii="Arial" w:cs="Arial" w:eastAsia="Arial" w:hAnsi="Arial"/>
                <w:sz w:val="20"/>
                <w:szCs w:val="20"/>
                <w:color w:val="auto"/>
              </w:rPr>
              <w:t>Settlement costs  . . . .</w:t>
            </w:r>
          </w:p>
        </w:tc>
        <w:tc>
          <w:tcPr>
            <w:tcW w:w="12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Borders>
              <w:right w:val="single" w:sz="8" w:color="auto"/>
            </w:tcBorders>
            <w:gridSpan w:val="3"/>
          </w:tcPr>
          <w:p>
            <w:pPr>
              <w:jc w:val="right"/>
              <w:ind w:right="10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20"/>
                <w:szCs w:val="20"/>
                <w:color w:val="auto"/>
              </w:rPr>
              <w:t>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380" w:type="dxa"/>
            <w:vAlign w:val="bottom"/>
          </w:tcPr>
          <w:p>
            <w:pPr>
              <w:ind w:left="200"/>
              <w:spacing w:after="0"/>
              <w:rPr>
                <w:sz w:val="20"/>
                <w:szCs w:val="20"/>
                <w:color w:val="auto"/>
              </w:rPr>
            </w:pPr>
            <w:r>
              <w:rPr>
                <w:rFonts w:ascii="Arial" w:cs="Arial" w:eastAsia="Arial" w:hAnsi="Arial"/>
                <w:sz w:val="20"/>
                <w:szCs w:val="20"/>
                <w:color w:val="auto"/>
              </w:rPr>
              <w:t>Amortization of prior</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380" w:type="dxa"/>
            <w:vAlign w:val="bottom"/>
          </w:tcPr>
          <w:p>
            <w:pPr>
              <w:ind w:left="400"/>
              <w:spacing w:after="0"/>
              <w:rPr>
                <w:sz w:val="20"/>
                <w:szCs w:val="20"/>
                <w:color w:val="auto"/>
              </w:rPr>
            </w:pPr>
            <w:r>
              <w:rPr>
                <w:rFonts w:ascii="Arial" w:cs="Arial" w:eastAsia="Arial" w:hAnsi="Arial"/>
                <w:sz w:val="20"/>
                <w:szCs w:val="20"/>
                <w:color w:val="auto"/>
              </w:rPr>
              <w:t>service cost</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380" w:type="dxa"/>
            <w:vAlign w:val="bottom"/>
          </w:tcPr>
          <w:p>
            <w:pPr>
              <w:jc w:val="right"/>
              <w:ind w:right="100"/>
              <w:spacing w:after="0"/>
              <w:rPr>
                <w:sz w:val="20"/>
                <w:szCs w:val="20"/>
                <w:color w:val="auto"/>
              </w:rPr>
            </w:pPr>
            <w:r>
              <w:rPr>
                <w:rFonts w:ascii="Arial" w:cs="Arial" w:eastAsia="Arial" w:hAnsi="Arial"/>
                <w:sz w:val="20"/>
                <w:szCs w:val="20"/>
                <w:color w:val="auto"/>
              </w:rPr>
              <w:t>credit . . . . . . . . . . . .</w:t>
            </w:r>
          </w:p>
        </w:tc>
        <w:tc>
          <w:tcPr>
            <w:tcW w:w="1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20"/>
                <w:szCs w:val="20"/>
                <w:color w:val="auto"/>
              </w:rPr>
              <w:t>(4)</w:t>
            </w:r>
          </w:p>
        </w:tc>
        <w:tc>
          <w:tcPr>
            <w:tcW w:w="12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Borders>
              <w:right w:val="single" w:sz="8" w:color="auto"/>
            </w:tcBorders>
            <w:gridSpan w:val="3"/>
          </w:tcPr>
          <w:p>
            <w:pPr>
              <w:jc w:val="right"/>
              <w:ind w:right="10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3"/>
          </w:tcPr>
          <w:p>
            <w:pPr>
              <w:jc w:val="right"/>
              <w:ind w:righ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
        </w:trPr>
        <w:tc>
          <w:tcPr>
            <w:tcW w:w="2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4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380" w:type="dxa"/>
            <w:vAlign w:val="bottom"/>
          </w:tcPr>
          <w:p>
            <w:pPr>
              <w:jc w:val="right"/>
              <w:ind w:right="100"/>
              <w:spacing w:after="0"/>
              <w:rPr>
                <w:sz w:val="20"/>
                <w:szCs w:val="20"/>
                <w:color w:val="auto"/>
              </w:rPr>
            </w:pPr>
            <w:r>
              <w:rPr>
                <w:rFonts w:ascii="Arial" w:cs="Arial" w:eastAsia="Arial" w:hAnsi="Arial"/>
                <w:sz w:val="20"/>
                <w:szCs w:val="20"/>
                <w:color w:val="auto"/>
                <w:w w:val="97"/>
              </w:rPr>
              <w:t>Total . . . . . . . . . . . . . . . .</w:t>
            </w:r>
          </w:p>
        </w:tc>
        <w:tc>
          <w:tcPr>
            <w:tcW w:w="120" w:type="dxa"/>
            <w:vAlign w:val="bottom"/>
          </w:tcPr>
          <w:p>
            <w:pPr>
              <w:spacing w:after="0"/>
              <w:rPr>
                <w:sz w:val="20"/>
                <w:szCs w:val="20"/>
                <w:color w:val="auto"/>
              </w:rPr>
            </w:pPr>
            <w:r>
              <w:rPr>
                <w:rFonts w:ascii="Arial" w:cs="Arial" w:eastAsia="Arial" w:hAnsi="Arial"/>
                <w:sz w:val="20"/>
                <w:szCs w:val="20"/>
                <w:color w:val="auto"/>
                <w:w w:val="89"/>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5</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60" w:type="dxa"/>
            <w:vAlign w:val="bottom"/>
            <w:gridSpan w:val="2"/>
          </w:tcPr>
          <w:p>
            <w:pPr>
              <w:jc w:val="right"/>
              <w:ind w:right="100"/>
              <w:spacing w:after="0"/>
              <w:rPr>
                <w:sz w:val="20"/>
                <w:szCs w:val="20"/>
                <w:color w:val="auto"/>
              </w:rPr>
            </w:pPr>
            <w:r>
              <w:rPr>
                <w:rFonts w:ascii="Arial" w:cs="Arial" w:eastAsia="Arial" w:hAnsi="Arial"/>
                <w:sz w:val="20"/>
                <w:szCs w:val="20"/>
                <w:color w:val="auto"/>
              </w:rPr>
              <w:t>81</w:t>
            </w:r>
          </w:p>
        </w:tc>
        <w:tc>
          <w:tcPr>
            <w:tcW w:w="240" w:type="dxa"/>
            <w:vAlign w:val="bottom"/>
            <w:gridSpan w:val="3"/>
          </w:tcPr>
          <w:p>
            <w:pPr>
              <w:ind w:left="60"/>
              <w:spacing w:after="0"/>
              <w:rPr>
                <w:sz w:val="20"/>
                <w:szCs w:val="20"/>
                <w:color w:val="auto"/>
              </w:rPr>
            </w:pPr>
            <w:r>
              <w:rPr>
                <w:rFonts w:ascii="Arial" w:cs="Arial" w:eastAsia="Arial" w:hAnsi="Arial"/>
                <w:sz w:val="20"/>
                <w:szCs w:val="20"/>
                <w:color w:val="auto"/>
              </w:rPr>
              <w:t>$</w:t>
            </w:r>
          </w:p>
        </w:tc>
        <w:tc>
          <w:tcPr>
            <w:tcW w:w="1720" w:type="dxa"/>
            <w:vAlign w:val="bottom"/>
            <w:tcBorders>
              <w:right w:val="single" w:sz="8" w:color="auto"/>
            </w:tcBorders>
            <w:gridSpan w:val="3"/>
          </w:tcPr>
          <w:p>
            <w:pPr>
              <w:jc w:val="right"/>
              <w:ind w:right="40"/>
              <w:spacing w:after="0"/>
              <w:rPr>
                <w:sz w:val="20"/>
                <w:szCs w:val="20"/>
                <w:color w:val="auto"/>
              </w:rPr>
            </w:pPr>
            <w:r>
              <w:rPr>
                <w:rFonts w:ascii="Arial" w:cs="Arial" w:eastAsia="Arial" w:hAnsi="Arial"/>
                <w:sz w:val="20"/>
                <w:szCs w:val="20"/>
                <w:color w:val="auto"/>
              </w:rPr>
              <w:t>(7)</w:t>
            </w:r>
          </w:p>
        </w:tc>
        <w:tc>
          <w:tcPr>
            <w:tcW w:w="280" w:type="dxa"/>
            <w:vAlign w:val="bottom"/>
            <w:gridSpan w:val="3"/>
          </w:tcPr>
          <w:p>
            <w:pPr>
              <w:ind w:left="140"/>
              <w:spacing w:after="0"/>
              <w:rPr>
                <w:sz w:val="20"/>
                <w:szCs w:val="20"/>
                <w:color w:val="auto"/>
              </w:rPr>
            </w:pPr>
            <w:r>
              <w:rPr>
                <w:rFonts w:ascii="Arial" w:cs="Arial" w:eastAsia="Arial" w:hAnsi="Arial"/>
                <w:sz w:val="20"/>
                <w:szCs w:val="20"/>
                <w:color w:val="auto"/>
              </w:rPr>
              <w:t>$</w:t>
            </w:r>
          </w:p>
        </w:tc>
        <w:tc>
          <w:tcPr>
            <w:tcW w:w="1520" w:type="dxa"/>
            <w:vAlign w:val="bottom"/>
            <w:gridSpan w:val="3"/>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8"/>
        </w:trPr>
        <w:tc>
          <w:tcPr>
            <w:tcW w:w="2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00" w:firstLine="300"/>
        <w:spacing w:after="0" w:line="245" w:lineRule="auto"/>
        <w:rPr>
          <w:sz w:val="20"/>
          <w:szCs w:val="20"/>
          <w:color w:val="auto"/>
        </w:rPr>
      </w:pPr>
      <w:r>
        <w:rPr>
          <w:rFonts w:ascii="Arial" w:cs="Arial" w:eastAsia="Arial" w:hAnsi="Arial"/>
          <w:sz w:val="20"/>
          <w:szCs w:val="20"/>
          <w:color w:val="auto"/>
        </w:rPr>
        <w:t>Settlement costs related to our pension and postretirement plans in the Predecessor period of 2020 were associated with early retirements.</w:t>
      </w:r>
    </w:p>
    <w:p>
      <w:pPr>
        <w:spacing w:after="0" w:line="210" w:lineRule="exact"/>
        <w:rPr>
          <w:sz w:val="20"/>
          <w:szCs w:val="20"/>
          <w:color w:val="auto"/>
        </w:rPr>
      </w:pPr>
    </w:p>
    <w:p>
      <w:pPr>
        <w:ind w:right="440" w:firstLine="300"/>
        <w:spacing w:after="0" w:line="245" w:lineRule="auto"/>
        <w:rPr>
          <w:sz w:val="20"/>
          <w:szCs w:val="20"/>
          <w:color w:val="auto"/>
        </w:rPr>
      </w:pPr>
      <w:r>
        <w:rPr>
          <w:rFonts w:ascii="Arial" w:cs="Arial" w:eastAsia="Arial" w:hAnsi="Arial"/>
          <w:sz w:val="20"/>
          <w:szCs w:val="20"/>
          <w:color w:val="auto"/>
        </w:rPr>
        <w:t>The following tables sets forth the valuation assumptions, on a weighted-average basis, used to determine our benefit obligations and net periodic benefit cost: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19"/>
                <w:szCs w:val="19"/>
                <w:color w:val="auto"/>
              </w:rPr>
            </w:pPr>
          </w:p>
        </w:tc>
        <w:tc>
          <w:tcPr>
            <w:tcW w:w="1300" w:type="dxa"/>
            <w:vAlign w:val="bottom"/>
          </w:tcPr>
          <w:p>
            <w:pPr>
              <w:ind w:left="120"/>
              <w:spacing w:after="0"/>
              <w:rPr>
                <w:sz w:val="20"/>
                <w:szCs w:val="20"/>
                <w:color w:val="auto"/>
              </w:rPr>
            </w:pPr>
            <w:r>
              <w:rPr>
                <w:rFonts w:ascii="Arial" w:cs="Arial" w:eastAsia="Arial" w:hAnsi="Arial"/>
                <w:sz w:val="20"/>
                <w:szCs w:val="20"/>
                <w:b w:val="1"/>
                <w:bCs w:val="1"/>
                <w:color w:val="auto"/>
              </w:rPr>
              <w:t>Year ended</w:t>
            </w:r>
          </w:p>
        </w:tc>
        <w:tc>
          <w:tcPr>
            <w:tcW w:w="2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20"/>
                <w:szCs w:val="20"/>
                <w:b w:val="1"/>
                <w:bCs w:val="1"/>
                <w:color w:val="auto"/>
                <w:w w:val="98"/>
              </w:rPr>
              <w:t>Year ended</w:t>
            </w:r>
          </w:p>
        </w:tc>
      </w:tr>
      <w:tr>
        <w:trPr>
          <w:trHeight w:val="248"/>
        </w:trPr>
        <w:tc>
          <w:tcPr>
            <w:tcW w:w="6320" w:type="dxa"/>
            <w:vAlign w:val="bottom"/>
          </w:tcPr>
          <w:p>
            <w:pPr>
              <w:spacing w:after="0"/>
              <w:rPr>
                <w:sz w:val="21"/>
                <w:szCs w:val="21"/>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98"/>
              </w:rPr>
              <w:t>December 31,</w:t>
            </w:r>
          </w:p>
        </w:tc>
        <w:tc>
          <w:tcPr>
            <w:tcW w:w="200" w:type="dxa"/>
            <w:vAlign w:val="bottom"/>
          </w:tcPr>
          <w:p>
            <w:pPr>
              <w:spacing w:after="0"/>
              <w:rPr>
                <w:sz w:val="21"/>
                <w:szCs w:val="21"/>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December 31,</w:t>
            </w:r>
          </w:p>
        </w:tc>
      </w:tr>
      <w:tr>
        <w:trPr>
          <w:trHeight w:val="260"/>
        </w:trPr>
        <w:tc>
          <w:tcPr>
            <w:tcW w:w="6320" w:type="dxa"/>
            <w:vAlign w:val="bottom"/>
          </w:tcPr>
          <w:p>
            <w:pPr>
              <w:spacing w:after="0"/>
              <w:rPr>
                <w:sz w:val="22"/>
                <w:szCs w:val="22"/>
                <w:color w:val="auto"/>
              </w:rPr>
            </w:pPr>
          </w:p>
        </w:tc>
        <w:tc>
          <w:tcPr>
            <w:tcW w:w="1300" w:type="dxa"/>
            <w:vAlign w:val="bottom"/>
          </w:tcPr>
          <w:p>
            <w:pPr>
              <w:ind w:left="420"/>
              <w:spacing w:after="0"/>
              <w:rPr>
                <w:sz w:val="20"/>
                <w:szCs w:val="20"/>
                <w:color w:val="auto"/>
              </w:rPr>
            </w:pPr>
            <w:r>
              <w:rPr>
                <w:rFonts w:ascii="Arial" w:cs="Arial" w:eastAsia="Arial" w:hAnsi="Arial"/>
                <w:sz w:val="20"/>
                <w:szCs w:val="20"/>
                <w:b w:val="1"/>
                <w:bCs w:val="1"/>
                <w:color w:val="auto"/>
              </w:rPr>
              <w:t>2022</w:t>
            </w:r>
          </w:p>
        </w:tc>
        <w:tc>
          <w:tcPr>
            <w:tcW w:w="1500" w:type="dxa"/>
            <w:vAlign w:val="bottom"/>
            <w:gridSpan w:val="2"/>
          </w:tcPr>
          <w:p>
            <w:pPr>
              <w:ind w:left="620"/>
              <w:spacing w:after="0"/>
              <w:rPr>
                <w:sz w:val="20"/>
                <w:szCs w:val="20"/>
                <w:color w:val="auto"/>
              </w:rPr>
            </w:pPr>
            <w:r>
              <w:rPr>
                <w:rFonts w:ascii="Arial" w:cs="Arial" w:eastAsia="Arial" w:hAnsi="Arial"/>
                <w:sz w:val="20"/>
                <w:szCs w:val="20"/>
                <w:b w:val="1"/>
                <w:bCs w:val="1"/>
                <w:color w:val="auto"/>
              </w:rPr>
              <w:t>2021</w:t>
            </w:r>
          </w:p>
        </w:tc>
      </w:tr>
      <w:tr>
        <w:trPr>
          <w:trHeight w:val="282"/>
        </w:trPr>
        <w:tc>
          <w:tcPr>
            <w:tcW w:w="6320" w:type="dxa"/>
            <w:vAlign w:val="bottom"/>
          </w:tcPr>
          <w:p>
            <w:pPr>
              <w:spacing w:after="0"/>
              <w:rPr>
                <w:sz w:val="20"/>
                <w:szCs w:val="20"/>
                <w:color w:val="auto"/>
              </w:rPr>
            </w:pPr>
            <w:r>
              <w:rPr>
                <w:rFonts w:ascii="Arial" w:cs="Arial" w:eastAsia="Arial" w:hAnsi="Arial"/>
                <w:sz w:val="20"/>
                <w:szCs w:val="20"/>
                <w:b w:val="1"/>
                <w:bCs w:val="1"/>
                <w:color w:val="auto"/>
              </w:rPr>
              <w:t>Pension</w:t>
            </w:r>
          </w:p>
        </w:tc>
        <w:tc>
          <w:tcPr>
            <w:tcW w:w="13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40"/>
        </w:trPr>
        <w:tc>
          <w:tcPr>
            <w:tcW w:w="6320" w:type="dxa"/>
            <w:vAlign w:val="bottom"/>
          </w:tcPr>
          <w:p>
            <w:pPr>
              <w:spacing w:after="0"/>
              <w:rPr>
                <w:sz w:val="20"/>
                <w:szCs w:val="20"/>
                <w:color w:val="auto"/>
              </w:rPr>
            </w:pPr>
            <w:r>
              <w:rPr>
                <w:rFonts w:ascii="Arial" w:cs="Arial" w:eastAsia="Arial" w:hAnsi="Arial"/>
                <w:sz w:val="20"/>
                <w:szCs w:val="20"/>
                <w:i w:val="1"/>
                <w:iCs w:val="1"/>
                <w:color w:val="auto"/>
              </w:rPr>
              <w:t>Benefit Obligation Assumptions</w:t>
            </w: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0"/>
        </w:trPr>
        <w:tc>
          <w:tcPr>
            <w:tcW w:w="6320" w:type="dxa"/>
            <w:vAlign w:val="bottom"/>
          </w:tcPr>
          <w:p>
            <w:pPr>
              <w:ind w:left="200"/>
              <w:spacing w:after="0"/>
              <w:rPr>
                <w:sz w:val="20"/>
                <w:szCs w:val="20"/>
                <w:color w:val="auto"/>
              </w:rPr>
            </w:pPr>
            <w:r>
              <w:rPr>
                <w:rFonts w:ascii="Arial" w:cs="Arial" w:eastAsia="Arial" w:hAnsi="Arial"/>
                <w:sz w:val="20"/>
                <w:szCs w:val="20"/>
                <w:color w:val="auto"/>
                <w:w w:val="99"/>
              </w:rPr>
              <w:t>Discount rate  . . . . . . . . . . . . . . . . . . . . . . . . . . . . . . . . . . . . . . . . . . . .</w:t>
            </w:r>
          </w:p>
        </w:tc>
        <w:tc>
          <w:tcPr>
            <w:tcW w:w="1300" w:type="dxa"/>
            <w:vAlign w:val="bottom"/>
          </w:tcPr>
          <w:p>
            <w:pPr>
              <w:ind w:left="460"/>
              <w:spacing w:after="0"/>
              <w:rPr>
                <w:sz w:val="20"/>
                <w:szCs w:val="20"/>
                <w:color w:val="auto"/>
              </w:rPr>
            </w:pPr>
            <w:r>
              <w:rPr>
                <w:rFonts w:ascii="Arial" w:cs="Arial" w:eastAsia="Arial" w:hAnsi="Arial"/>
                <w:sz w:val="20"/>
                <w:szCs w:val="20"/>
                <w:color w:val="auto"/>
              </w:rPr>
              <w:t>5.19%</w:t>
            </w:r>
          </w:p>
        </w:tc>
        <w:tc>
          <w:tcPr>
            <w:tcW w:w="1500" w:type="dxa"/>
            <w:vAlign w:val="bottom"/>
            <w:gridSpan w:val="2"/>
          </w:tcPr>
          <w:p>
            <w:pPr>
              <w:ind w:left="660"/>
              <w:spacing w:after="0"/>
              <w:rPr>
                <w:sz w:val="20"/>
                <w:szCs w:val="20"/>
                <w:color w:val="auto"/>
              </w:rPr>
            </w:pPr>
            <w:r>
              <w:rPr>
                <w:rFonts w:ascii="Arial" w:cs="Arial" w:eastAsia="Arial" w:hAnsi="Arial"/>
                <w:sz w:val="20"/>
                <w:szCs w:val="20"/>
                <w:color w:val="auto"/>
              </w:rPr>
              <w:t>2.79%</w:t>
            </w:r>
          </w:p>
        </w:tc>
      </w:tr>
      <w:tr>
        <w:trPr>
          <w:trHeight w:val="240"/>
        </w:trPr>
        <w:tc>
          <w:tcPr>
            <w:tcW w:w="6320" w:type="dxa"/>
            <w:vAlign w:val="bottom"/>
          </w:tcPr>
          <w:p>
            <w:pPr>
              <w:ind w:left="200"/>
              <w:spacing w:after="0"/>
              <w:rPr>
                <w:sz w:val="20"/>
                <w:szCs w:val="20"/>
                <w:color w:val="auto"/>
              </w:rPr>
            </w:pPr>
            <w:r>
              <w:rPr>
                <w:rFonts w:ascii="Arial" w:cs="Arial" w:eastAsia="Arial" w:hAnsi="Arial"/>
                <w:sz w:val="20"/>
                <w:szCs w:val="20"/>
                <w:color w:val="auto"/>
              </w:rPr>
              <w:t>Rate of compensation increase  . . . . . . . . . . . . . . . . . . . . . . . . . . . . .</w:t>
            </w:r>
          </w:p>
        </w:tc>
        <w:tc>
          <w:tcPr>
            <w:tcW w:w="1300" w:type="dxa"/>
            <w:vAlign w:val="bottom"/>
          </w:tcPr>
          <w:p>
            <w:pPr>
              <w:ind w:left="460"/>
              <w:spacing w:after="0"/>
              <w:rPr>
                <w:sz w:val="20"/>
                <w:szCs w:val="20"/>
                <w:color w:val="auto"/>
              </w:rPr>
            </w:pPr>
            <w:r>
              <w:rPr>
                <w:rFonts w:ascii="Arial" w:cs="Arial" w:eastAsia="Arial" w:hAnsi="Arial"/>
                <w:sz w:val="20"/>
                <w:szCs w:val="20"/>
                <w:color w:val="auto"/>
              </w:rPr>
              <w:t>4.00%</w:t>
            </w:r>
          </w:p>
        </w:tc>
        <w:tc>
          <w:tcPr>
            <w:tcW w:w="1500" w:type="dxa"/>
            <w:vAlign w:val="bottom"/>
            <w:gridSpan w:val="2"/>
          </w:tcPr>
          <w:p>
            <w:pPr>
              <w:ind w:left="660"/>
              <w:spacing w:after="0"/>
              <w:rPr>
                <w:sz w:val="20"/>
                <w:szCs w:val="20"/>
                <w:color w:val="auto"/>
              </w:rPr>
            </w:pPr>
            <w:r>
              <w:rPr>
                <w:rFonts w:ascii="Arial" w:cs="Arial" w:eastAsia="Arial" w:hAnsi="Arial"/>
                <w:sz w:val="20"/>
                <w:szCs w:val="20"/>
                <w:color w:val="auto"/>
              </w:rPr>
              <w:t>4.00%</w:t>
            </w:r>
          </w:p>
        </w:tc>
      </w:tr>
      <w:tr>
        <w:trPr>
          <w:trHeight w:val="240"/>
        </w:trPr>
        <w:tc>
          <w:tcPr>
            <w:tcW w:w="6320" w:type="dxa"/>
            <w:vAlign w:val="bottom"/>
          </w:tcPr>
          <w:p>
            <w:pPr>
              <w:spacing w:after="0"/>
              <w:rPr>
                <w:sz w:val="20"/>
                <w:szCs w:val="20"/>
                <w:color w:val="auto"/>
              </w:rPr>
            </w:pPr>
            <w:r>
              <w:rPr>
                <w:rFonts w:ascii="Arial" w:cs="Arial" w:eastAsia="Arial" w:hAnsi="Arial"/>
                <w:sz w:val="20"/>
                <w:szCs w:val="20"/>
                <w:i w:val="1"/>
                <w:iCs w:val="1"/>
                <w:color w:val="auto"/>
              </w:rPr>
              <w:t>Net Periodic Benefit Cost Assumptions</w:t>
            </w: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0"/>
        </w:trPr>
        <w:tc>
          <w:tcPr>
            <w:tcW w:w="6320" w:type="dxa"/>
            <w:vAlign w:val="bottom"/>
          </w:tcPr>
          <w:p>
            <w:pPr>
              <w:ind w:left="200"/>
              <w:spacing w:after="0"/>
              <w:rPr>
                <w:sz w:val="20"/>
                <w:szCs w:val="20"/>
                <w:color w:val="auto"/>
              </w:rPr>
            </w:pPr>
            <w:r>
              <w:rPr>
                <w:rFonts w:ascii="Arial" w:cs="Arial" w:eastAsia="Arial" w:hAnsi="Arial"/>
                <w:sz w:val="20"/>
                <w:szCs w:val="20"/>
                <w:color w:val="auto"/>
                <w:w w:val="99"/>
              </w:rPr>
              <w:t>Discount rate  . . . . . . . . . . . . . . . . . . . . . . . . . . . . . . . . . . . . . . . . . . . .</w:t>
            </w:r>
          </w:p>
        </w:tc>
        <w:tc>
          <w:tcPr>
            <w:tcW w:w="1300" w:type="dxa"/>
            <w:vAlign w:val="bottom"/>
          </w:tcPr>
          <w:p>
            <w:pPr>
              <w:ind w:left="460"/>
              <w:spacing w:after="0"/>
              <w:rPr>
                <w:sz w:val="20"/>
                <w:szCs w:val="20"/>
                <w:color w:val="auto"/>
              </w:rPr>
            </w:pPr>
            <w:r>
              <w:rPr>
                <w:rFonts w:ascii="Arial" w:cs="Arial" w:eastAsia="Arial" w:hAnsi="Arial"/>
                <w:sz w:val="20"/>
                <w:szCs w:val="20"/>
                <w:color w:val="auto"/>
              </w:rPr>
              <w:t>2.79%</w:t>
            </w:r>
          </w:p>
        </w:tc>
        <w:tc>
          <w:tcPr>
            <w:tcW w:w="1500" w:type="dxa"/>
            <w:vAlign w:val="bottom"/>
            <w:gridSpan w:val="2"/>
          </w:tcPr>
          <w:p>
            <w:pPr>
              <w:ind w:left="660"/>
              <w:spacing w:after="0"/>
              <w:rPr>
                <w:sz w:val="20"/>
                <w:szCs w:val="20"/>
                <w:color w:val="auto"/>
              </w:rPr>
            </w:pPr>
            <w:r>
              <w:rPr>
                <w:rFonts w:ascii="Arial" w:cs="Arial" w:eastAsia="Arial" w:hAnsi="Arial"/>
                <w:sz w:val="20"/>
                <w:szCs w:val="20"/>
                <w:color w:val="auto"/>
              </w:rPr>
              <w:t>2.42%</w:t>
            </w:r>
          </w:p>
        </w:tc>
      </w:tr>
      <w:tr>
        <w:trPr>
          <w:trHeight w:val="240"/>
        </w:trPr>
        <w:tc>
          <w:tcPr>
            <w:tcW w:w="6320" w:type="dxa"/>
            <w:vAlign w:val="bottom"/>
          </w:tcPr>
          <w:p>
            <w:pPr>
              <w:ind w:left="200"/>
              <w:spacing w:after="0"/>
              <w:rPr>
                <w:sz w:val="20"/>
                <w:szCs w:val="20"/>
                <w:color w:val="auto"/>
              </w:rPr>
            </w:pPr>
            <w:r>
              <w:rPr>
                <w:rFonts w:ascii="Arial" w:cs="Arial" w:eastAsia="Arial" w:hAnsi="Arial"/>
                <w:sz w:val="20"/>
                <w:szCs w:val="20"/>
                <w:color w:val="auto"/>
              </w:rPr>
              <w:t>Assumed long-term rate of return on assets . . . . . . . . . . . . . . . . . . .</w:t>
            </w:r>
          </w:p>
        </w:tc>
        <w:tc>
          <w:tcPr>
            <w:tcW w:w="1300" w:type="dxa"/>
            <w:vAlign w:val="bottom"/>
          </w:tcPr>
          <w:p>
            <w:pPr>
              <w:ind w:left="460"/>
              <w:spacing w:after="0"/>
              <w:rPr>
                <w:sz w:val="20"/>
                <w:szCs w:val="20"/>
                <w:color w:val="auto"/>
              </w:rPr>
            </w:pPr>
            <w:r>
              <w:rPr>
                <w:rFonts w:ascii="Arial" w:cs="Arial" w:eastAsia="Arial" w:hAnsi="Arial"/>
                <w:sz w:val="20"/>
                <w:szCs w:val="20"/>
                <w:color w:val="auto"/>
              </w:rPr>
              <w:t>5.50%</w:t>
            </w:r>
          </w:p>
        </w:tc>
        <w:tc>
          <w:tcPr>
            <w:tcW w:w="1500" w:type="dxa"/>
            <w:vAlign w:val="bottom"/>
            <w:gridSpan w:val="2"/>
          </w:tcPr>
          <w:p>
            <w:pPr>
              <w:ind w:left="660"/>
              <w:spacing w:after="0"/>
              <w:rPr>
                <w:sz w:val="20"/>
                <w:szCs w:val="20"/>
                <w:color w:val="auto"/>
              </w:rPr>
            </w:pPr>
            <w:r>
              <w:rPr>
                <w:rFonts w:ascii="Arial" w:cs="Arial" w:eastAsia="Arial" w:hAnsi="Arial"/>
                <w:sz w:val="20"/>
                <w:szCs w:val="20"/>
                <w:color w:val="auto"/>
              </w:rPr>
              <w:t>6.25%</w:t>
            </w:r>
          </w:p>
        </w:tc>
      </w:tr>
      <w:tr>
        <w:trPr>
          <w:trHeight w:val="240"/>
        </w:trPr>
        <w:tc>
          <w:tcPr>
            <w:tcW w:w="6320" w:type="dxa"/>
            <w:vAlign w:val="bottom"/>
          </w:tcPr>
          <w:p>
            <w:pPr>
              <w:ind w:left="200"/>
              <w:spacing w:after="0"/>
              <w:rPr>
                <w:sz w:val="20"/>
                <w:szCs w:val="20"/>
                <w:color w:val="auto"/>
              </w:rPr>
            </w:pPr>
            <w:r>
              <w:rPr>
                <w:rFonts w:ascii="Arial" w:cs="Arial" w:eastAsia="Arial" w:hAnsi="Arial"/>
                <w:sz w:val="20"/>
                <w:szCs w:val="20"/>
                <w:color w:val="auto"/>
              </w:rPr>
              <w:t>Rate of compensation increase  . . . . . . . . . . . . . . . . . . . . . . . . . . . . .</w:t>
            </w:r>
          </w:p>
        </w:tc>
        <w:tc>
          <w:tcPr>
            <w:tcW w:w="1300" w:type="dxa"/>
            <w:vAlign w:val="bottom"/>
          </w:tcPr>
          <w:p>
            <w:pPr>
              <w:ind w:left="460"/>
              <w:spacing w:after="0"/>
              <w:rPr>
                <w:sz w:val="20"/>
                <w:szCs w:val="20"/>
                <w:color w:val="auto"/>
              </w:rPr>
            </w:pPr>
            <w:r>
              <w:rPr>
                <w:rFonts w:ascii="Arial" w:cs="Arial" w:eastAsia="Arial" w:hAnsi="Arial"/>
                <w:sz w:val="20"/>
                <w:szCs w:val="20"/>
                <w:color w:val="auto"/>
              </w:rPr>
              <w:t>4.00%</w:t>
            </w:r>
          </w:p>
        </w:tc>
        <w:tc>
          <w:tcPr>
            <w:tcW w:w="1500" w:type="dxa"/>
            <w:vAlign w:val="bottom"/>
            <w:gridSpan w:val="2"/>
          </w:tcPr>
          <w:p>
            <w:pPr>
              <w:ind w:left="660"/>
              <w:spacing w:after="0"/>
              <w:rPr>
                <w:sz w:val="20"/>
                <w:szCs w:val="20"/>
                <w:color w:val="auto"/>
              </w:rPr>
            </w:pPr>
            <w:r>
              <w:rPr>
                <w:rFonts w:ascii="Arial" w:cs="Arial" w:eastAsia="Arial" w:hAnsi="Arial"/>
                <w:sz w:val="20"/>
                <w:szCs w:val="20"/>
                <w:color w:val="auto"/>
              </w:rPr>
              <w:t>4.00%</w:t>
            </w:r>
          </w:p>
        </w:tc>
      </w:tr>
    </w:tbl>
    <w:p>
      <w:pPr>
        <w:spacing w:after="0" w:line="200" w:lineRule="exact"/>
        <w:rPr>
          <w:sz w:val="20"/>
          <w:szCs w:val="20"/>
          <w:color w:val="auto"/>
        </w:rPr>
      </w:pPr>
    </w:p>
    <w:p>
      <w:pPr>
        <w:sectPr>
          <w:pgSz w:w="11880" w:h="15480" w:orient="portrait"/>
          <w:cols w:equalWidth="0" w:num="1">
            <w:col w:w="9180"/>
          </w:cols>
          <w:pgMar w:left="1380" w:top="1316" w:right="132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142</w:t>
      </w:r>
    </w:p>
    <w:p>
      <w:pPr>
        <w:sectPr>
          <w:pgSz w:w="11880" w:h="15480" w:orient="portrait"/>
          <w:cols w:equalWidth="0" w:num="1">
            <w:col w:w="9180"/>
          </w:cols>
          <w:pgMar w:left="1380" w:top="1316" w:right="1320" w:bottom="661" w:gutter="0" w:footer="0" w:header="0"/>
          <w:type w:val="continuous"/>
        </w:sectPr>
      </w:pPr>
    </w:p>
    <w:bookmarkStart w:id="146" w:name="page147"/>
    <w:bookmarkEnd w:id="146"/>
    <w:tbl>
      <w:tblPr>
        <w:tblLayout w:type="fixed"/>
        <w:tblInd w:w="0" w:type="dxa"/>
        <w:tblCellMar>
          <w:top w:w="0" w:type="dxa"/>
          <w:left w:w="0" w:type="dxa"/>
          <w:bottom w:w="0" w:type="dxa"/>
          <w:right w:w="0" w:type="dxa"/>
        </w:tblCellMar>
      </w:tblPr>
      <w:tr>
        <w:trPr>
          <w:trHeight w:val="230"/>
        </w:trPr>
        <w:tc>
          <w:tcPr>
            <w:tcW w:w="4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jc w:val="right"/>
              <w:ind w:right="160"/>
              <w:spacing w:after="0"/>
              <w:rPr>
                <w:sz w:val="20"/>
                <w:szCs w:val="20"/>
                <w:color w:val="auto"/>
              </w:rPr>
            </w:pPr>
            <w:r>
              <w:rPr>
                <w:rFonts w:ascii="Arial" w:cs="Arial" w:eastAsia="Arial" w:hAnsi="Arial"/>
                <w:sz w:val="20"/>
                <w:szCs w:val="20"/>
                <w:b w:val="1"/>
                <w:bCs w:val="1"/>
                <w:color w:val="auto"/>
              </w:rPr>
              <w:t>October 1,</w:t>
            </w:r>
          </w:p>
        </w:tc>
        <w:tc>
          <w:tcPr>
            <w:tcW w:w="80" w:type="dxa"/>
            <w:vAlign w:val="bottom"/>
          </w:tcPr>
          <w:p>
            <w:pPr>
              <w:spacing w:after="0"/>
              <w:rPr>
                <w:sz w:val="19"/>
                <w:szCs w:val="19"/>
                <w:color w:val="auto"/>
              </w:rPr>
            </w:pPr>
          </w:p>
        </w:tc>
        <w:tc>
          <w:tcPr>
            <w:tcW w:w="1560" w:type="dxa"/>
            <w:vAlign w:val="bottom"/>
          </w:tcPr>
          <w:p>
            <w:pPr>
              <w:jc w:val="right"/>
              <w:ind w:right="180"/>
              <w:spacing w:after="0"/>
              <w:rPr>
                <w:sz w:val="20"/>
                <w:szCs w:val="20"/>
                <w:color w:val="auto"/>
              </w:rPr>
            </w:pPr>
            <w:r>
              <w:rPr>
                <w:rFonts w:ascii="Arial" w:cs="Arial" w:eastAsia="Arial" w:hAnsi="Arial"/>
                <w:sz w:val="20"/>
                <w:szCs w:val="20"/>
                <w:b w:val="1"/>
                <w:bCs w:val="1"/>
                <w:color w:val="auto"/>
              </w:rPr>
              <w:t>January 1,</w:t>
            </w:r>
          </w:p>
        </w:tc>
      </w:tr>
      <w:tr>
        <w:trPr>
          <w:trHeight w:val="200"/>
        </w:trPr>
        <w:tc>
          <w:tcPr>
            <w:tcW w:w="4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80" w:type="dxa"/>
            <w:vAlign w:val="bottom"/>
            <w:gridSpan w:val="2"/>
          </w:tcPr>
          <w:p>
            <w:pPr>
              <w:jc w:val="right"/>
              <w:ind w:right="380"/>
              <w:spacing w:after="0" w:line="200" w:lineRule="exact"/>
              <w:rPr>
                <w:sz w:val="20"/>
                <w:szCs w:val="20"/>
                <w:color w:val="auto"/>
              </w:rPr>
            </w:pPr>
            <w:r>
              <w:rPr>
                <w:rFonts w:ascii="Arial" w:cs="Arial" w:eastAsia="Arial" w:hAnsi="Arial"/>
                <w:sz w:val="20"/>
                <w:szCs w:val="20"/>
                <w:b w:val="1"/>
                <w:bCs w:val="1"/>
                <w:color w:val="auto"/>
              </w:rPr>
              <w:t>2021 -</w:t>
            </w:r>
          </w:p>
        </w:tc>
        <w:tc>
          <w:tcPr>
            <w:tcW w:w="1640" w:type="dxa"/>
            <w:vAlign w:val="bottom"/>
            <w:gridSpan w:val="2"/>
          </w:tcPr>
          <w:p>
            <w:pPr>
              <w:jc w:val="right"/>
              <w:ind w:right="400"/>
              <w:spacing w:after="0" w:line="200" w:lineRule="exact"/>
              <w:rPr>
                <w:sz w:val="20"/>
                <w:szCs w:val="20"/>
                <w:color w:val="auto"/>
              </w:rPr>
            </w:pPr>
            <w:r>
              <w:rPr>
                <w:rFonts w:ascii="Arial" w:cs="Arial" w:eastAsia="Arial" w:hAnsi="Arial"/>
                <w:sz w:val="20"/>
                <w:szCs w:val="20"/>
                <w:b w:val="1"/>
                <w:bCs w:val="1"/>
                <w:color w:val="auto"/>
              </w:rPr>
              <w:t>2021 -</w:t>
            </w:r>
          </w:p>
        </w:tc>
      </w:tr>
      <w:tr>
        <w:trPr>
          <w:trHeight w:val="200"/>
        </w:trPr>
        <w:tc>
          <w:tcPr>
            <w:tcW w:w="4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jc w:val="right"/>
              <w:spacing w:after="0" w:line="200" w:lineRule="exact"/>
              <w:rPr>
                <w:sz w:val="20"/>
                <w:szCs w:val="20"/>
                <w:color w:val="auto"/>
              </w:rPr>
            </w:pPr>
            <w:r>
              <w:rPr>
                <w:rFonts w:ascii="Arial" w:cs="Arial" w:eastAsia="Arial" w:hAnsi="Arial"/>
                <w:sz w:val="20"/>
                <w:szCs w:val="20"/>
                <w:b w:val="1"/>
                <w:bCs w:val="1"/>
                <w:color w:val="auto"/>
              </w:rPr>
              <w:t>December 31,</w:t>
            </w:r>
          </w:p>
        </w:tc>
        <w:tc>
          <w:tcPr>
            <w:tcW w:w="80" w:type="dxa"/>
            <w:vAlign w:val="bottom"/>
          </w:tcPr>
          <w:p>
            <w:pPr>
              <w:spacing w:after="0"/>
              <w:rPr>
                <w:sz w:val="17"/>
                <w:szCs w:val="17"/>
                <w:color w:val="auto"/>
              </w:rPr>
            </w:pPr>
          </w:p>
        </w:tc>
        <w:tc>
          <w:tcPr>
            <w:tcW w:w="1560" w:type="dxa"/>
            <w:vAlign w:val="bottom"/>
          </w:tcPr>
          <w:p>
            <w:pPr>
              <w:jc w:val="right"/>
              <w:spacing w:after="0" w:line="200" w:lineRule="exact"/>
              <w:rPr>
                <w:sz w:val="20"/>
                <w:szCs w:val="20"/>
                <w:color w:val="auto"/>
              </w:rPr>
            </w:pPr>
            <w:r>
              <w:rPr>
                <w:rFonts w:ascii="Arial" w:cs="Arial" w:eastAsia="Arial" w:hAnsi="Arial"/>
                <w:sz w:val="20"/>
                <w:szCs w:val="20"/>
                <w:b w:val="1"/>
                <w:bCs w:val="1"/>
                <w:color w:val="auto"/>
              </w:rPr>
              <w:t>September 30,</w:t>
            </w:r>
          </w:p>
        </w:tc>
      </w:tr>
      <w:tr>
        <w:trPr>
          <w:trHeight w:val="228"/>
        </w:trPr>
        <w:tc>
          <w:tcPr>
            <w:tcW w:w="5320" w:type="dxa"/>
            <w:vAlign w:val="bottom"/>
            <w:gridSpan w:val="2"/>
          </w:tcPr>
          <w:p>
            <w:pPr>
              <w:ind w:left="4880"/>
              <w:spacing w:after="0" w:line="228" w:lineRule="exact"/>
              <w:rPr>
                <w:sz w:val="20"/>
                <w:szCs w:val="20"/>
                <w:color w:val="auto"/>
              </w:rPr>
            </w:pPr>
            <w:r>
              <w:rPr>
                <w:rFonts w:ascii="Arial" w:cs="Arial" w:eastAsia="Arial" w:hAnsi="Arial"/>
                <w:sz w:val="20"/>
                <w:szCs w:val="20"/>
                <w:b w:val="1"/>
                <w:bCs w:val="1"/>
                <w:color w:val="auto"/>
                <w:w w:val="94"/>
              </w:rPr>
              <w:t>2022</w:t>
            </w:r>
          </w:p>
        </w:tc>
        <w:tc>
          <w:tcPr>
            <w:tcW w:w="580" w:type="dxa"/>
            <w:vAlign w:val="bottom"/>
          </w:tcPr>
          <w:p>
            <w:pPr>
              <w:spacing w:after="0"/>
              <w:rPr>
                <w:sz w:val="19"/>
                <w:szCs w:val="19"/>
                <w:color w:val="auto"/>
              </w:rPr>
            </w:pPr>
          </w:p>
        </w:tc>
        <w:tc>
          <w:tcPr>
            <w:tcW w:w="1580" w:type="dxa"/>
            <w:vAlign w:val="bottom"/>
            <w:gridSpan w:val="2"/>
          </w:tcPr>
          <w:p>
            <w:pPr>
              <w:jc w:val="right"/>
              <w:ind w:right="440"/>
              <w:spacing w:after="0" w:line="228" w:lineRule="exact"/>
              <w:rPr>
                <w:sz w:val="20"/>
                <w:szCs w:val="20"/>
                <w:color w:val="auto"/>
              </w:rPr>
            </w:pPr>
            <w:r>
              <w:rPr>
                <w:rFonts w:ascii="Arial" w:cs="Arial" w:eastAsia="Arial" w:hAnsi="Arial"/>
                <w:sz w:val="20"/>
                <w:szCs w:val="20"/>
                <w:b w:val="1"/>
                <w:bCs w:val="1"/>
                <w:color w:val="auto"/>
              </w:rPr>
              <w:t>2021</w:t>
            </w:r>
          </w:p>
        </w:tc>
        <w:tc>
          <w:tcPr>
            <w:tcW w:w="1640" w:type="dxa"/>
            <w:vAlign w:val="bottom"/>
            <w:gridSpan w:val="2"/>
          </w:tcPr>
          <w:p>
            <w:pPr>
              <w:jc w:val="right"/>
              <w:ind w:right="460"/>
              <w:spacing w:after="0" w:line="228" w:lineRule="exact"/>
              <w:rPr>
                <w:sz w:val="20"/>
                <w:szCs w:val="20"/>
                <w:color w:val="auto"/>
              </w:rPr>
            </w:pPr>
            <w:r>
              <w:rPr>
                <w:rFonts w:ascii="Arial" w:cs="Arial" w:eastAsia="Arial" w:hAnsi="Arial"/>
                <w:sz w:val="20"/>
                <w:szCs w:val="20"/>
                <w:b w:val="1"/>
                <w:bCs w:val="1"/>
                <w:color w:val="auto"/>
              </w:rPr>
              <w:t>2021</w:t>
            </w:r>
          </w:p>
        </w:tc>
      </w:tr>
      <w:tr>
        <w:trPr>
          <w:trHeight w:val="20"/>
        </w:trPr>
        <w:tc>
          <w:tcPr>
            <w:tcW w:w="4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94"/>
        </w:trPr>
        <w:tc>
          <w:tcPr>
            <w:tcW w:w="5320" w:type="dxa"/>
            <w:vAlign w:val="bottom"/>
            <w:gridSpan w:val="2"/>
          </w:tcPr>
          <w:p>
            <w:pPr>
              <w:spacing w:after="0" w:line="295" w:lineRule="exact"/>
              <w:rPr>
                <w:sz w:val="20"/>
                <w:szCs w:val="20"/>
                <w:color w:val="auto"/>
              </w:rPr>
            </w:pPr>
            <w:r>
              <w:rPr>
                <w:rFonts w:ascii="Arial" w:cs="Arial" w:eastAsia="Arial" w:hAnsi="Arial"/>
                <w:sz w:val="20"/>
                <w:szCs w:val="20"/>
                <w:b w:val="1"/>
                <w:bCs w:val="1"/>
                <w:color w:val="auto"/>
              </w:rPr>
              <w:t>Postretirement</w:t>
            </w:r>
            <w:r>
              <w:rPr>
                <w:rFonts w:ascii="Arial" w:cs="Arial" w:eastAsia="Arial" w:hAnsi="Arial"/>
                <w:sz w:val="26"/>
                <w:szCs w:val="26"/>
                <w:b w:val="1"/>
                <w:bCs w:val="1"/>
                <w:color w:val="auto"/>
                <w:vertAlign w:val="superscript"/>
              </w:rPr>
              <w:t>(a)</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6"/>
        </w:trPr>
        <w:tc>
          <w:tcPr>
            <w:tcW w:w="5320" w:type="dxa"/>
            <w:vAlign w:val="bottom"/>
            <w:gridSpan w:val="2"/>
          </w:tcPr>
          <w:p>
            <w:pPr>
              <w:spacing w:after="0" w:line="226" w:lineRule="exact"/>
              <w:rPr>
                <w:sz w:val="20"/>
                <w:szCs w:val="20"/>
                <w:color w:val="auto"/>
              </w:rPr>
            </w:pPr>
            <w:r>
              <w:rPr>
                <w:rFonts w:ascii="Arial" w:cs="Arial" w:eastAsia="Arial" w:hAnsi="Arial"/>
                <w:sz w:val="20"/>
                <w:szCs w:val="20"/>
                <w:i w:val="1"/>
                <w:iCs w:val="1"/>
                <w:color w:val="auto"/>
              </w:rPr>
              <w:t>Benefit Obligation Assumptions</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40"/>
        </w:trPr>
        <w:tc>
          <w:tcPr>
            <w:tcW w:w="5320" w:type="dxa"/>
            <w:vAlign w:val="bottom"/>
            <w:gridSpan w:val="2"/>
          </w:tcPr>
          <w:p>
            <w:pPr>
              <w:ind w:left="200"/>
              <w:spacing w:after="0"/>
              <w:rPr>
                <w:sz w:val="20"/>
                <w:szCs w:val="20"/>
                <w:color w:val="auto"/>
              </w:rPr>
            </w:pPr>
            <w:r>
              <w:rPr>
                <w:rFonts w:ascii="Arial" w:cs="Arial" w:eastAsia="Arial" w:hAnsi="Arial"/>
                <w:sz w:val="20"/>
                <w:szCs w:val="20"/>
                <w:color w:val="auto"/>
              </w:rPr>
              <w:t>Discount rate  . . . . . . . . . . . . . . . . . . . . . . . . . .</w:t>
            </w:r>
          </w:p>
        </w:tc>
        <w:tc>
          <w:tcPr>
            <w:tcW w:w="580" w:type="dxa"/>
            <w:vAlign w:val="bottom"/>
          </w:tcPr>
          <w:p>
            <w:pPr>
              <w:jc w:val="right"/>
              <w:spacing w:after="0"/>
              <w:rPr>
                <w:sz w:val="20"/>
                <w:szCs w:val="20"/>
                <w:color w:val="auto"/>
              </w:rPr>
            </w:pPr>
            <w:r>
              <w:rPr>
                <w:rFonts w:ascii="Arial" w:cs="Arial" w:eastAsia="Arial" w:hAnsi="Arial"/>
                <w:sz w:val="20"/>
                <w:szCs w:val="20"/>
                <w:color w:val="auto"/>
                <w:w w:val="98"/>
              </w:rPr>
              <w:t>5.20%</w:t>
            </w:r>
          </w:p>
        </w:tc>
        <w:tc>
          <w:tcPr>
            <w:tcW w:w="1580" w:type="dxa"/>
            <w:vAlign w:val="bottom"/>
            <w:gridSpan w:val="2"/>
          </w:tcPr>
          <w:p>
            <w:pPr>
              <w:jc w:val="right"/>
              <w:spacing w:after="0"/>
              <w:rPr>
                <w:sz w:val="20"/>
                <w:szCs w:val="20"/>
                <w:color w:val="auto"/>
              </w:rPr>
            </w:pPr>
            <w:r>
              <w:rPr>
                <w:rFonts w:ascii="Arial" w:cs="Arial" w:eastAsia="Arial" w:hAnsi="Arial"/>
                <w:sz w:val="20"/>
                <w:szCs w:val="20"/>
                <w:color w:val="auto"/>
              </w:rPr>
              <w:t>2.75%</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2.69%</w:t>
            </w:r>
          </w:p>
        </w:tc>
      </w:tr>
      <w:tr>
        <w:trPr>
          <w:trHeight w:val="240"/>
        </w:trPr>
        <w:tc>
          <w:tcPr>
            <w:tcW w:w="5320" w:type="dxa"/>
            <w:vAlign w:val="bottom"/>
            <w:gridSpan w:val="2"/>
          </w:tcPr>
          <w:p>
            <w:pPr>
              <w:spacing w:after="0"/>
              <w:rPr>
                <w:sz w:val="20"/>
                <w:szCs w:val="20"/>
                <w:color w:val="auto"/>
              </w:rPr>
            </w:pPr>
            <w:r>
              <w:rPr>
                <w:rFonts w:ascii="Arial" w:cs="Arial" w:eastAsia="Arial" w:hAnsi="Arial"/>
                <w:sz w:val="20"/>
                <w:szCs w:val="20"/>
                <w:i w:val="1"/>
                <w:iCs w:val="1"/>
                <w:color w:val="auto"/>
              </w:rPr>
              <w:t>Net Periodic Benefit Cost Assumptions</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40"/>
        </w:trPr>
        <w:tc>
          <w:tcPr>
            <w:tcW w:w="5320" w:type="dxa"/>
            <w:vAlign w:val="bottom"/>
            <w:gridSpan w:val="2"/>
          </w:tcPr>
          <w:p>
            <w:pPr>
              <w:ind w:left="200"/>
              <w:spacing w:after="0"/>
              <w:rPr>
                <w:sz w:val="20"/>
                <w:szCs w:val="20"/>
                <w:color w:val="auto"/>
              </w:rPr>
            </w:pPr>
            <w:r>
              <w:rPr>
                <w:rFonts w:ascii="Arial" w:cs="Arial" w:eastAsia="Arial" w:hAnsi="Arial"/>
                <w:sz w:val="20"/>
                <w:szCs w:val="20"/>
                <w:color w:val="auto"/>
              </w:rPr>
              <w:t>Discount rate  . . . . . . . . . . . . . . . . . . . . . . . . . .</w:t>
            </w:r>
          </w:p>
        </w:tc>
        <w:tc>
          <w:tcPr>
            <w:tcW w:w="580" w:type="dxa"/>
            <w:vAlign w:val="bottom"/>
          </w:tcPr>
          <w:p>
            <w:pPr>
              <w:jc w:val="right"/>
              <w:spacing w:after="0"/>
              <w:rPr>
                <w:sz w:val="20"/>
                <w:szCs w:val="20"/>
                <w:color w:val="auto"/>
              </w:rPr>
            </w:pPr>
            <w:r>
              <w:rPr>
                <w:rFonts w:ascii="Arial" w:cs="Arial" w:eastAsia="Arial" w:hAnsi="Arial"/>
                <w:sz w:val="20"/>
                <w:szCs w:val="20"/>
                <w:color w:val="auto"/>
                <w:w w:val="98"/>
              </w:rPr>
              <w:t>2.75%</w:t>
            </w:r>
          </w:p>
        </w:tc>
        <w:tc>
          <w:tcPr>
            <w:tcW w:w="1580" w:type="dxa"/>
            <w:vAlign w:val="bottom"/>
            <w:gridSpan w:val="2"/>
          </w:tcPr>
          <w:p>
            <w:pPr>
              <w:jc w:val="right"/>
              <w:spacing w:after="0"/>
              <w:rPr>
                <w:sz w:val="20"/>
                <w:szCs w:val="20"/>
                <w:color w:val="auto"/>
              </w:rPr>
            </w:pPr>
            <w:r>
              <w:rPr>
                <w:rFonts w:ascii="Arial" w:cs="Arial" w:eastAsia="Arial" w:hAnsi="Arial"/>
                <w:sz w:val="20"/>
                <w:szCs w:val="20"/>
                <w:color w:val="auto"/>
              </w:rPr>
              <w:t>2.69%</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2.92%</w:t>
            </w:r>
          </w:p>
        </w:tc>
      </w:tr>
    </w:tbl>
    <w:p>
      <w:pPr>
        <w:spacing w:after="0" w:line="48"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5"/>
          <w:szCs w:val="15"/>
          <w:color w:val="auto"/>
        </w:rPr>
        <w:t>Our plan design change on September 30, 2021 resulted in a remeasurement of our postretirement benefit obligations.</w:t>
      </w:r>
    </w:p>
    <w:p>
      <w:pPr>
        <w:spacing w:after="0" w:line="224" w:lineRule="exact"/>
        <w:rPr>
          <w:sz w:val="20"/>
          <w:szCs w:val="20"/>
          <w:color w:val="auto"/>
        </w:rPr>
      </w:pPr>
    </w:p>
    <w:p>
      <w:pPr>
        <w:ind w:right="140" w:firstLine="300"/>
        <w:spacing w:after="0" w:line="249" w:lineRule="auto"/>
        <w:rPr>
          <w:sz w:val="20"/>
          <w:szCs w:val="20"/>
          <w:color w:val="auto"/>
        </w:rPr>
      </w:pPr>
      <w:r>
        <w:rPr>
          <w:rFonts w:ascii="Arial" w:cs="Arial" w:eastAsia="Arial" w:hAnsi="Arial"/>
          <w:sz w:val="20"/>
          <w:szCs w:val="20"/>
          <w:color w:val="auto"/>
        </w:rPr>
        <w:t>For pension plans and postretirement benefit plans that we or our subsidiaries sponsor, we based the discount rate on the FTSE Above Median yield curve in 2022 and the Aon AA Above Median yield curve in 2021. The weighted-average rate of increase in future compensation levels is consistent with our past and anticipated future compensation increases for employees participating in pension plans that determine benefits using compensation. The assumed long-term rate of return on assets is estimated with regard to current market factors but within the context of historical returns for the asset mix that exists at year end.</w:t>
      </w:r>
    </w:p>
    <w:p>
      <w:pPr>
        <w:spacing w:after="0" w:line="210" w:lineRule="exact"/>
        <w:rPr>
          <w:sz w:val="20"/>
          <w:szCs w:val="20"/>
          <w:color w:val="auto"/>
        </w:rPr>
      </w:pPr>
    </w:p>
    <w:p>
      <w:pPr>
        <w:jc w:val="both"/>
        <w:ind w:right="240" w:firstLine="300"/>
        <w:spacing w:after="0" w:line="248" w:lineRule="auto"/>
        <w:rPr>
          <w:sz w:val="20"/>
          <w:szCs w:val="20"/>
          <w:color w:val="auto"/>
        </w:rPr>
      </w:pPr>
      <w:r>
        <w:rPr>
          <w:rFonts w:ascii="Arial" w:cs="Arial" w:eastAsia="Arial" w:hAnsi="Arial"/>
          <w:sz w:val="20"/>
          <w:szCs w:val="20"/>
          <w:color w:val="auto"/>
        </w:rPr>
        <w:t>In 2022 and 2021, we used the Society of Actuaries Pri-2012 mortality assumptions reflecting the MP-2021 scale which plan sponsors in the U.S. use in the actuarial valuations that determine a plan sponsor’s pension and postretirement obligations.</w:t>
      </w:r>
    </w:p>
    <w:p>
      <w:pPr>
        <w:spacing w:after="0" w:line="207" w:lineRule="exact"/>
        <w:rPr>
          <w:sz w:val="20"/>
          <w:szCs w:val="20"/>
          <w:color w:val="auto"/>
        </w:rPr>
      </w:pPr>
    </w:p>
    <w:p>
      <w:pPr>
        <w:ind w:right="100" w:firstLine="300"/>
        <w:spacing w:after="0" w:line="249" w:lineRule="auto"/>
        <w:rPr>
          <w:sz w:val="20"/>
          <w:szCs w:val="20"/>
          <w:color w:val="auto"/>
        </w:rPr>
      </w:pPr>
      <w:r>
        <w:rPr>
          <w:rFonts w:ascii="Arial" w:cs="Arial" w:eastAsia="Arial" w:hAnsi="Arial"/>
          <w:sz w:val="20"/>
          <w:szCs w:val="20"/>
          <w:color w:val="auto"/>
        </w:rPr>
        <w:t>The postretirement benefit obligation was determined by application of the terms of medical and dental benefits, including the effect of established maximums on covered costs, together with relevant actuarial assumptions and healthcare cost trend rates projected at an assumed U.S. Consumer Price Index (CPI) increase of 2.52% and 2.57% as of December 31, 2022 and 2021, respectively. Under the terms of our postretirement plans, participants other than certain union employees pay for all medical cost increases in excess of increases in the CPI. For those union employees, we projected that, as of December 31, 2022, health care cost trend rates would be 7.00% in 2023 decreasing until they reach 4.50% in 2033 and remain at 4.50% thereafter. For those union employees, we projected that, as of December 31, 2021, health care cost trend rates would be 6.00% in 2022 decreasing until they reach 4.50% in 2029 and remain at 4.50% thereafter.</w:t>
      </w:r>
    </w:p>
    <w:p>
      <w:pPr>
        <w:spacing w:after="0" w:line="214" w:lineRule="exact"/>
        <w:rPr>
          <w:sz w:val="20"/>
          <w:szCs w:val="20"/>
          <w:color w:val="auto"/>
        </w:rPr>
      </w:pPr>
    </w:p>
    <w:p>
      <w:pPr>
        <w:ind w:right="80" w:firstLine="300"/>
        <w:spacing w:after="0" w:line="248" w:lineRule="auto"/>
        <w:rPr>
          <w:sz w:val="20"/>
          <w:szCs w:val="20"/>
          <w:color w:val="auto"/>
        </w:rPr>
      </w:pPr>
      <w:r>
        <w:rPr>
          <w:rFonts w:ascii="Arial" w:cs="Arial" w:eastAsia="Arial" w:hAnsi="Arial"/>
          <w:sz w:val="20"/>
          <w:szCs w:val="20"/>
          <w:color w:val="auto"/>
        </w:rPr>
        <w:t>The actuarial assumptions used could change in the near term as a result of changes in expected future trends and other factors that, depending on the nature of the changes, could cause increases or decreases in the plan assets and liabilities.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of Plan Assets</w:t>
      </w:r>
    </w:p>
    <w:p>
      <w:pPr>
        <w:spacing w:after="0" w:line="215" w:lineRule="exact"/>
        <w:rPr>
          <w:sz w:val="20"/>
          <w:szCs w:val="20"/>
          <w:color w:val="auto"/>
        </w:rPr>
      </w:pPr>
    </w:p>
    <w:p>
      <w:pPr>
        <w:ind w:right="120" w:firstLine="300"/>
        <w:spacing w:after="0" w:line="249" w:lineRule="auto"/>
        <w:rPr>
          <w:sz w:val="20"/>
          <w:szCs w:val="20"/>
          <w:color w:val="auto"/>
        </w:rPr>
      </w:pPr>
      <w:r>
        <w:rPr>
          <w:rFonts w:ascii="Arial" w:cs="Arial" w:eastAsia="Arial" w:hAnsi="Arial"/>
          <w:sz w:val="20"/>
          <w:szCs w:val="20"/>
          <w:color w:val="auto"/>
        </w:rPr>
        <w:t>We employ a total return investment approach that uses a diversified blend of equity and fixed-income investments to optimize the long-term return of plan assets at a prudent level of risk. Equity investments were diversified across U.S. and non-U.S. stocks, as well as differing styles and market capitalizations. Other asset classes, such as private equity and real estate, may have been used with the goals of enhancing long-term returns and improving portfolio diversification. In 2022 and 2021, the target allocation of plan assets was 50% and 65% equity securities and 50% and 35% debt securities, respectively. Investment performance was measured and monitored on an ongoing basis through quarterly investment portfolio and manager guideline compliance reviews, annual liability measurements and periodic studies. Our postretirement benefit plan assets of $1 million are invested in mutual funds (Level 1 on the fair value hierarchy) with target allocations of 40% equities and 60% debt securities.</w:t>
      </w:r>
    </w:p>
    <w:p>
      <w:pPr>
        <w:sectPr>
          <w:pgSz w:w="11880" w:h="15480" w:orient="portrait"/>
          <w:cols w:equalWidth="0" w:num="1">
            <w:col w:w="9120"/>
          </w:cols>
          <w:pgMar w:left="1380" w:top="1242" w:right="138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143</w:t>
      </w:r>
    </w:p>
    <w:p>
      <w:pPr>
        <w:sectPr>
          <w:pgSz w:w="11880" w:h="15480" w:orient="portrait"/>
          <w:cols w:equalWidth="0" w:num="1">
            <w:col w:w="9120"/>
          </w:cols>
          <w:pgMar w:left="1380" w:top="1242" w:right="1380" w:bottom="661" w:gutter="0" w:footer="0" w:header="0"/>
          <w:type w:val="continuous"/>
        </w:sectPr>
      </w:pPr>
    </w:p>
    <w:bookmarkStart w:id="147" w:name="page148"/>
    <w:bookmarkEnd w:id="147"/>
    <w:p>
      <w:pPr>
        <w:ind w:left="300"/>
        <w:spacing w:after="0"/>
        <w:rPr>
          <w:sz w:val="20"/>
          <w:szCs w:val="20"/>
          <w:color w:val="auto"/>
        </w:rPr>
      </w:pPr>
      <w:r>
        <w:rPr>
          <w:rFonts w:ascii="Arial" w:cs="Arial" w:eastAsia="Arial" w:hAnsi="Arial"/>
          <w:sz w:val="20"/>
          <w:szCs w:val="20"/>
          <w:color w:val="auto"/>
        </w:rPr>
        <w:t>The fair values of our pension plan assets by asset category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980" w:type="dxa"/>
            <w:vAlign w:val="bottom"/>
            <w:gridSpan w:val="8"/>
          </w:tcPr>
          <w:p>
            <w:pPr>
              <w:jc w:val="center"/>
              <w:ind w:right="220"/>
              <w:spacing w:after="0"/>
              <w:rPr>
                <w:sz w:val="20"/>
                <w:szCs w:val="20"/>
                <w:color w:val="auto"/>
              </w:rPr>
            </w:pPr>
            <w:r>
              <w:rPr>
                <w:rFonts w:ascii="Arial" w:cs="Arial" w:eastAsia="Arial" w:hAnsi="Arial"/>
                <w:sz w:val="20"/>
                <w:szCs w:val="20"/>
                <w:b w:val="1"/>
                <w:bCs w:val="1"/>
                <w:color w:val="auto"/>
                <w:w w:val="99"/>
              </w:rPr>
              <w:t>Fair Value Measurements at</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80" w:type="dxa"/>
            <w:vAlign w:val="bottom"/>
            <w:gridSpan w:val="6"/>
          </w:tcPr>
          <w:p>
            <w:pPr>
              <w:jc w:val="center"/>
              <w:ind w:right="620"/>
              <w:spacing w:after="0" w:line="228" w:lineRule="exact"/>
              <w:rPr>
                <w:sz w:val="20"/>
                <w:szCs w:val="20"/>
                <w:color w:val="auto"/>
              </w:rPr>
            </w:pPr>
            <w:r>
              <w:rPr>
                <w:rFonts w:ascii="Arial" w:cs="Arial" w:eastAsia="Arial" w:hAnsi="Arial"/>
                <w:sz w:val="20"/>
                <w:szCs w:val="20"/>
                <w:b w:val="1"/>
                <w:bCs w:val="1"/>
                <w:color w:val="auto"/>
                <w:w w:val="99"/>
              </w:rPr>
              <w:t>December 31, 2022</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ind w:left="20"/>
              <w:spacing w:after="0"/>
              <w:rPr>
                <w:sz w:val="20"/>
                <w:szCs w:val="20"/>
                <w:color w:val="auto"/>
              </w:rPr>
            </w:pPr>
            <w:r>
              <w:rPr>
                <w:rFonts w:ascii="Arial" w:cs="Arial" w:eastAsia="Arial" w:hAnsi="Arial"/>
                <w:sz w:val="20"/>
                <w:szCs w:val="20"/>
                <w:b w:val="1"/>
                <w:bCs w:val="1"/>
                <w:color w:val="auto"/>
              </w:rPr>
              <w:t>Level 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103"/>
              <w:spacing w:after="0"/>
              <w:rPr>
                <w:sz w:val="20"/>
                <w:szCs w:val="20"/>
                <w:color w:val="auto"/>
              </w:rPr>
            </w:pPr>
            <w:r>
              <w:rPr>
                <w:rFonts w:ascii="Arial" w:cs="Arial" w:eastAsia="Arial" w:hAnsi="Arial"/>
                <w:sz w:val="20"/>
                <w:szCs w:val="20"/>
                <w:b w:val="1"/>
                <w:bCs w:val="1"/>
                <w:color w:val="auto"/>
                <w:w w:val="97"/>
              </w:rPr>
              <w:t>Level 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Arial" w:cs="Arial" w:eastAsia="Arial" w:hAnsi="Arial"/>
                <w:sz w:val="20"/>
                <w:szCs w:val="20"/>
                <w:b w:val="1"/>
                <w:bCs w:val="1"/>
                <w:color w:val="auto"/>
              </w:rPr>
              <w:t>Level 3</w:t>
            </w:r>
          </w:p>
        </w:tc>
        <w:tc>
          <w:tcPr>
            <w:tcW w:w="860" w:type="dxa"/>
            <w:vAlign w:val="bottom"/>
          </w:tcPr>
          <w:p>
            <w:pPr>
              <w:jc w:val="right"/>
              <w:ind w:right="200"/>
              <w:spacing w:after="0"/>
              <w:rPr>
                <w:sz w:val="20"/>
                <w:szCs w:val="20"/>
                <w:color w:val="auto"/>
              </w:rPr>
            </w:pPr>
            <w:r>
              <w:rPr>
                <w:rFonts w:ascii="Arial" w:cs="Arial" w:eastAsia="Arial" w:hAnsi="Arial"/>
                <w:sz w:val="20"/>
                <w:szCs w:val="20"/>
                <w:b w:val="1"/>
                <w:bCs w:val="1"/>
                <w:color w:val="auto"/>
              </w:rPr>
              <w:t>Total</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20"/>
                <w:szCs w:val="20"/>
                <w:color w:val="auto"/>
              </w:rPr>
              <w:t>Asset Class</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4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80" w:type="dxa"/>
            <w:vAlign w:val="bottom"/>
            <w:gridSpan w:val="6"/>
          </w:tcPr>
          <w:p>
            <w:pPr>
              <w:ind w:left="640"/>
              <w:spacing w:after="0"/>
              <w:rPr>
                <w:sz w:val="20"/>
                <w:szCs w:val="20"/>
                <w:color w:val="auto"/>
              </w:rPr>
            </w:pPr>
            <w:r>
              <w:rPr>
                <w:rFonts w:ascii="Arial" w:cs="Arial" w:eastAsia="Arial" w:hAnsi="Arial"/>
                <w:sz w:val="16"/>
                <w:szCs w:val="16"/>
                <w:color w:val="auto"/>
              </w:rPr>
              <w:t>(in millions)</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200" w:type="dxa"/>
            <w:vAlign w:val="bottom"/>
          </w:tcPr>
          <w:p>
            <w:pPr>
              <w:spacing w:after="0"/>
              <w:rPr>
                <w:sz w:val="20"/>
                <w:szCs w:val="20"/>
                <w:color w:val="auto"/>
              </w:rPr>
            </w:pPr>
            <w:r>
              <w:rPr>
                <w:rFonts w:ascii="Arial" w:cs="Arial" w:eastAsia="Arial" w:hAnsi="Arial"/>
                <w:sz w:val="20"/>
                <w:szCs w:val="20"/>
                <w:color w:val="auto"/>
              </w:rPr>
              <w:t>Comingled funds</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200" w:type="dxa"/>
            <w:vAlign w:val="bottom"/>
          </w:tcPr>
          <w:p>
            <w:pPr>
              <w:jc w:val="right"/>
              <w:ind w:right="100"/>
              <w:spacing w:after="0"/>
              <w:rPr>
                <w:sz w:val="20"/>
                <w:szCs w:val="20"/>
                <w:color w:val="auto"/>
              </w:rPr>
            </w:pPr>
            <w:r>
              <w:rPr>
                <w:rFonts w:ascii="Arial" w:cs="Arial" w:eastAsia="Arial" w:hAnsi="Arial"/>
                <w:sz w:val="20"/>
                <w:szCs w:val="20"/>
                <w:color w:val="auto"/>
              </w:rPr>
              <w:t>Bonds . . . . . . . . . . . . . . . . . . . . . . . . . . . . . .</w:t>
            </w:r>
          </w:p>
        </w:tc>
        <w:tc>
          <w:tcPr>
            <w:tcW w:w="180" w:type="dxa"/>
            <w:vAlign w:val="bottom"/>
          </w:tcPr>
          <w:p>
            <w:pPr>
              <w:spacing w:after="0"/>
              <w:rPr>
                <w:sz w:val="20"/>
                <w:szCs w:val="20"/>
                <w:color w:val="auto"/>
              </w:rPr>
            </w:pPr>
          </w:p>
        </w:tc>
        <w:tc>
          <w:tcPr>
            <w:tcW w:w="900" w:type="dxa"/>
            <w:vAlign w:val="bottom"/>
          </w:tcPr>
          <w:p>
            <w:pPr>
              <w:ind w:left="680"/>
              <w:spacing w:after="0"/>
              <w:rPr>
                <w:sz w:val="20"/>
                <w:szCs w:val="20"/>
                <w:color w:val="auto"/>
              </w:rPr>
            </w:pPr>
            <w:r>
              <w:rPr>
                <w:rFonts w:ascii="Arial" w:cs="Arial" w:eastAsia="Arial" w:hAnsi="Arial"/>
                <w:sz w:val="20"/>
                <w:szCs w:val="20"/>
                <w:color w:val="auto"/>
                <w:w w:val="99"/>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ind w:left="66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40"/>
        </w:trPr>
        <w:tc>
          <w:tcPr>
            <w:tcW w:w="4200" w:type="dxa"/>
            <w:vAlign w:val="bottom"/>
          </w:tcPr>
          <w:p>
            <w:pPr>
              <w:jc w:val="right"/>
              <w:ind w:right="100"/>
              <w:spacing w:after="0"/>
              <w:rPr>
                <w:sz w:val="20"/>
                <w:szCs w:val="20"/>
                <w:color w:val="auto"/>
              </w:rPr>
            </w:pPr>
            <w:r>
              <w:rPr>
                <w:rFonts w:ascii="Arial" w:cs="Arial" w:eastAsia="Arial" w:hAnsi="Arial"/>
                <w:sz w:val="20"/>
                <w:szCs w:val="20"/>
                <w:color w:val="auto"/>
              </w:rPr>
              <w:t>Commodities  . . . . . . . . . . . . . . . . . . . . . . . .</w:t>
            </w:r>
          </w:p>
        </w:tc>
        <w:tc>
          <w:tcPr>
            <w:tcW w:w="180" w:type="dxa"/>
            <w:vAlign w:val="bottom"/>
          </w:tcPr>
          <w:p>
            <w:pPr>
              <w:spacing w:after="0"/>
              <w:rPr>
                <w:sz w:val="20"/>
                <w:szCs w:val="20"/>
                <w:color w:val="auto"/>
              </w:rPr>
            </w:pPr>
          </w:p>
        </w:tc>
        <w:tc>
          <w:tcPr>
            <w:tcW w:w="900" w:type="dxa"/>
            <w:vAlign w:val="bottom"/>
          </w:tcPr>
          <w:p>
            <w:pPr>
              <w:ind w:left="680"/>
              <w:spacing w:after="0"/>
              <w:rPr>
                <w:sz w:val="20"/>
                <w:szCs w:val="20"/>
                <w:color w:val="auto"/>
              </w:rPr>
            </w:pPr>
            <w:r>
              <w:rPr>
                <w:rFonts w:ascii="Arial" w:cs="Arial" w:eastAsia="Arial" w:hAnsi="Arial"/>
                <w:sz w:val="20"/>
                <w:szCs w:val="20"/>
                <w:color w:val="auto"/>
                <w:w w:val="99"/>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ind w:left="66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40"/>
        </w:trPr>
        <w:tc>
          <w:tcPr>
            <w:tcW w:w="4200" w:type="dxa"/>
            <w:vAlign w:val="bottom"/>
          </w:tcPr>
          <w:p>
            <w:pPr>
              <w:jc w:val="right"/>
              <w:ind w:right="100"/>
              <w:spacing w:after="0"/>
              <w:rPr>
                <w:sz w:val="20"/>
                <w:szCs w:val="20"/>
                <w:color w:val="auto"/>
              </w:rPr>
            </w:pPr>
            <w:r>
              <w:rPr>
                <w:rFonts w:ascii="Arial" w:cs="Arial" w:eastAsia="Arial" w:hAnsi="Arial"/>
                <w:sz w:val="20"/>
                <w:szCs w:val="20"/>
                <w:color w:val="auto"/>
              </w:rPr>
              <w:t>U.S. equity  . . . . . . . . . . . . . . . . . . . . . . . . . .</w:t>
            </w:r>
          </w:p>
        </w:tc>
        <w:tc>
          <w:tcPr>
            <w:tcW w:w="180" w:type="dxa"/>
            <w:vAlign w:val="bottom"/>
          </w:tcPr>
          <w:p>
            <w:pPr>
              <w:spacing w:after="0"/>
              <w:rPr>
                <w:sz w:val="20"/>
                <w:szCs w:val="20"/>
                <w:color w:val="auto"/>
              </w:rPr>
            </w:pPr>
          </w:p>
        </w:tc>
        <w:tc>
          <w:tcPr>
            <w:tcW w:w="900" w:type="dxa"/>
            <w:vAlign w:val="bottom"/>
          </w:tcPr>
          <w:p>
            <w:pPr>
              <w:ind w:left="680"/>
              <w:spacing w:after="0"/>
              <w:rPr>
                <w:sz w:val="20"/>
                <w:szCs w:val="20"/>
                <w:color w:val="auto"/>
              </w:rPr>
            </w:pPr>
            <w:r>
              <w:rPr>
                <w:rFonts w:ascii="Arial" w:cs="Arial" w:eastAsia="Arial" w:hAnsi="Arial"/>
                <w:sz w:val="20"/>
                <w:szCs w:val="20"/>
                <w:color w:val="auto"/>
                <w:w w:val="99"/>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ind w:left="66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40"/>
        </w:trPr>
        <w:tc>
          <w:tcPr>
            <w:tcW w:w="4200" w:type="dxa"/>
            <w:vAlign w:val="bottom"/>
          </w:tcPr>
          <w:p>
            <w:pPr>
              <w:jc w:val="right"/>
              <w:ind w:right="100"/>
              <w:spacing w:after="0"/>
              <w:rPr>
                <w:sz w:val="20"/>
                <w:szCs w:val="20"/>
                <w:color w:val="auto"/>
              </w:rPr>
            </w:pPr>
            <w:r>
              <w:rPr>
                <w:rFonts w:ascii="Arial" w:cs="Arial" w:eastAsia="Arial" w:hAnsi="Arial"/>
                <w:sz w:val="20"/>
                <w:szCs w:val="20"/>
                <w:color w:val="auto"/>
              </w:rPr>
              <w:t>International equity  . . . . . . . . . . . . . . . . . . .</w:t>
            </w:r>
          </w:p>
        </w:tc>
        <w:tc>
          <w:tcPr>
            <w:tcW w:w="180" w:type="dxa"/>
            <w:vAlign w:val="bottom"/>
          </w:tcPr>
          <w:p>
            <w:pPr>
              <w:spacing w:after="0"/>
              <w:rPr>
                <w:sz w:val="20"/>
                <w:szCs w:val="20"/>
                <w:color w:val="auto"/>
              </w:rPr>
            </w:pPr>
          </w:p>
        </w:tc>
        <w:tc>
          <w:tcPr>
            <w:tcW w:w="900" w:type="dxa"/>
            <w:vAlign w:val="bottom"/>
          </w:tcPr>
          <w:p>
            <w:pPr>
              <w:ind w:left="680"/>
              <w:spacing w:after="0"/>
              <w:rPr>
                <w:sz w:val="20"/>
                <w:szCs w:val="20"/>
                <w:color w:val="auto"/>
              </w:rPr>
            </w:pPr>
            <w:r>
              <w:rPr>
                <w:rFonts w:ascii="Arial" w:cs="Arial" w:eastAsia="Arial" w:hAnsi="Arial"/>
                <w:sz w:val="20"/>
                <w:szCs w:val="20"/>
                <w:color w:val="auto"/>
                <w:w w:val="99"/>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ind w:left="66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30"/>
        </w:trPr>
        <w:tc>
          <w:tcPr>
            <w:tcW w:w="4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4200" w:type="dxa"/>
            <w:vAlign w:val="bottom"/>
          </w:tcPr>
          <w:p>
            <w:pPr>
              <w:jc w:val="right"/>
              <w:ind w:right="100"/>
              <w:spacing w:after="0"/>
              <w:rPr>
                <w:sz w:val="20"/>
                <w:szCs w:val="20"/>
                <w:color w:val="auto"/>
              </w:rPr>
            </w:pPr>
            <w:r>
              <w:rPr>
                <w:rFonts w:ascii="Arial" w:cs="Arial" w:eastAsia="Arial" w:hAnsi="Arial"/>
                <w:sz w:val="20"/>
                <w:szCs w:val="20"/>
                <w:color w:val="auto"/>
                <w:w w:val="98"/>
              </w:rPr>
              <w:t>Total pension plan assets . . . . . . . . . . . . . . . .</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ind w:left="680"/>
              <w:spacing w:after="0"/>
              <w:rPr>
                <w:sz w:val="20"/>
                <w:szCs w:val="20"/>
                <w:color w:val="auto"/>
              </w:rPr>
            </w:pPr>
            <w:r>
              <w:rPr>
                <w:rFonts w:ascii="Arial" w:cs="Arial" w:eastAsia="Arial" w:hAnsi="Arial"/>
                <w:sz w:val="20"/>
                <w:szCs w:val="20"/>
                <w:color w:val="auto"/>
                <w:w w:val="99"/>
              </w:rPr>
              <w:t>—</w:t>
            </w:r>
          </w:p>
        </w:tc>
        <w:tc>
          <w:tcPr>
            <w:tcW w:w="4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32</w:t>
            </w:r>
          </w:p>
        </w:tc>
        <w:tc>
          <w:tcPr>
            <w:tcW w:w="38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320" w:type="dxa"/>
            <w:vAlign w:val="bottom"/>
            <w:gridSpan w:val="3"/>
          </w:tcPr>
          <w:p>
            <w:pPr>
              <w:ind w:left="660"/>
              <w:spacing w:after="0"/>
              <w:rPr>
                <w:sz w:val="20"/>
                <w:szCs w:val="20"/>
                <w:color w:val="auto"/>
              </w:rPr>
            </w:pPr>
            <w:r>
              <w:rPr>
                <w:rFonts w:ascii="Arial" w:cs="Arial" w:eastAsia="Arial" w:hAnsi="Arial"/>
                <w:sz w:val="20"/>
                <w:szCs w:val="20"/>
                <w:color w:val="auto"/>
              </w:rPr>
              <w:t>—   $</w:t>
            </w:r>
          </w:p>
        </w:tc>
        <w:tc>
          <w:tcPr>
            <w:tcW w:w="860" w:type="dxa"/>
            <w:vAlign w:val="bottom"/>
          </w:tcPr>
          <w:p>
            <w:pPr>
              <w:jc w:val="right"/>
              <w:spacing w:after="0"/>
              <w:rPr>
                <w:sz w:val="20"/>
                <w:szCs w:val="20"/>
                <w:color w:val="auto"/>
              </w:rPr>
            </w:pPr>
            <w:r>
              <w:rPr>
                <w:rFonts w:ascii="Arial" w:cs="Arial" w:eastAsia="Arial" w:hAnsi="Arial"/>
                <w:sz w:val="20"/>
                <w:szCs w:val="20"/>
                <w:color w:val="auto"/>
              </w:rPr>
              <w:t>32</w:t>
            </w:r>
          </w:p>
        </w:tc>
        <w:tc>
          <w:tcPr>
            <w:tcW w:w="0" w:type="dxa"/>
            <w:vAlign w:val="bottom"/>
          </w:tcPr>
          <w:p>
            <w:pPr>
              <w:spacing w:after="0"/>
              <w:rPr>
                <w:sz w:val="1"/>
                <w:szCs w:val="1"/>
                <w:color w:val="auto"/>
              </w:rPr>
            </w:pPr>
          </w:p>
        </w:tc>
      </w:tr>
      <w:tr>
        <w:trPr>
          <w:trHeight w:val="30"/>
        </w:trPr>
        <w:tc>
          <w:tcPr>
            <w:tcW w:w="4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310" w:right="138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Asset Class</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Cash equivalents . . . . . . . . . . . . . . . . . . . . . . .</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Commingled funds</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9"/>
          <w:szCs w:val="19"/>
          <w:color w:val="auto"/>
        </w:rPr>
        <w:t>Fixed income  . . . . . . . . . . . . . . . . . . . . . . . .</w:t>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9"/>
          <w:szCs w:val="19"/>
          <w:color w:val="auto"/>
        </w:rPr>
        <w:t>U.S. equity  . . . . . . . . . . . . . . . . . . . . . . . . . .</w:t>
      </w:r>
    </w:p>
    <w:p>
      <w:pPr>
        <w:spacing w:after="0" w:line="17" w:lineRule="exact"/>
        <w:rPr>
          <w:sz w:val="20"/>
          <w:szCs w:val="20"/>
          <w:color w:val="auto"/>
        </w:rPr>
      </w:pPr>
    </w:p>
    <w:p>
      <w:pPr>
        <w:ind w:left="200"/>
        <w:spacing w:after="0"/>
        <w:tabs>
          <w:tab w:leader="none" w:pos="2020" w:val="left"/>
        </w:tabs>
        <w:rPr>
          <w:sz w:val="20"/>
          <w:szCs w:val="20"/>
          <w:color w:val="auto"/>
        </w:rPr>
      </w:pPr>
      <w:r>
        <w:rPr>
          <w:rFonts w:ascii="Arial" w:cs="Arial" w:eastAsia="Arial" w:hAnsi="Arial"/>
          <w:sz w:val="20"/>
          <w:szCs w:val="20"/>
          <w:color w:val="auto"/>
        </w:rPr>
        <w:t>International equity</w:t>
      </w:r>
      <w:r>
        <w:rPr>
          <w:sz w:val="20"/>
          <w:szCs w:val="20"/>
          <w:color w:val="auto"/>
        </w:rPr>
        <w:tab/>
      </w:r>
      <w:r>
        <w:rPr>
          <w:rFonts w:ascii="Arial" w:cs="Arial" w:eastAsia="Arial" w:hAnsi="Arial"/>
          <w:sz w:val="19"/>
          <w:szCs w:val="19"/>
          <w:color w:val="auto"/>
        </w:rPr>
        <w:t>. . . . . . . . . . . . . . . . . . .</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Mutual funds</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9"/>
          <w:szCs w:val="19"/>
          <w:color w:val="auto"/>
        </w:rPr>
        <w:t>Bond funds . . . . . . . . . . . . . . . . . . . . . . . . . .</w:t>
      </w:r>
    </w:p>
    <w:p>
      <w:pPr>
        <w:spacing w:after="0" w:line="17" w:lineRule="exact"/>
        <w:rPr>
          <w:sz w:val="20"/>
          <w:szCs w:val="20"/>
          <w:color w:val="auto"/>
        </w:rPr>
      </w:pPr>
    </w:p>
    <w:p>
      <w:pPr>
        <w:ind w:left="200"/>
        <w:spacing w:after="0"/>
        <w:tabs>
          <w:tab w:leader="none" w:pos="1380" w:val="left"/>
        </w:tabs>
        <w:rPr>
          <w:sz w:val="20"/>
          <w:szCs w:val="20"/>
          <w:color w:val="auto"/>
        </w:rPr>
      </w:pPr>
      <w:r>
        <w:rPr>
          <w:rFonts w:ascii="Arial" w:cs="Arial" w:eastAsia="Arial" w:hAnsi="Arial"/>
          <w:sz w:val="20"/>
          <w:szCs w:val="20"/>
          <w:color w:val="auto"/>
        </w:rPr>
        <w:t>Value funds</w:t>
      </w:r>
      <w:r>
        <w:rPr>
          <w:sz w:val="20"/>
          <w:szCs w:val="20"/>
          <w:color w:val="auto"/>
        </w:rPr>
        <w:tab/>
      </w:r>
      <w:r>
        <w:rPr>
          <w:rFonts w:ascii="Arial" w:cs="Arial" w:eastAsia="Arial" w:hAnsi="Arial"/>
          <w:sz w:val="19"/>
          <w:szCs w:val="19"/>
          <w:color w:val="auto"/>
        </w:rPr>
        <w:t>. . . . . . . . . . . . . . . . . . . . . . . . .</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9"/>
          <w:szCs w:val="19"/>
          <w:color w:val="auto"/>
        </w:rPr>
        <w:t>Growth funds  . . . . . . . . . . . . . . . . . . . . . . . .</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Guaranteed deposit account . . . . . . . . . . . . . .</w:t>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color w:val="auto"/>
        </w:rPr>
        <w:t>Total pension plan assets . . . . . . . . . . . . . . .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0"/>
          <w:szCs w:val="20"/>
          <w:b w:val="1"/>
          <w:bCs w:val="1"/>
          <w:color w:val="auto"/>
        </w:rPr>
        <w:t>Fair Value Measurements at</w:t>
      </w:r>
    </w:p>
    <w:p>
      <w:pPr>
        <w:jc w:val="center"/>
        <w:spacing w:after="0" w:line="208" w:lineRule="auto"/>
        <w:rPr>
          <w:sz w:val="20"/>
          <w:szCs w:val="20"/>
          <w:color w:val="auto"/>
        </w:rPr>
      </w:pPr>
      <w:r>
        <w:rPr>
          <w:rFonts w:ascii="Arial" w:cs="Arial" w:eastAsia="Arial" w:hAnsi="Arial"/>
          <w:sz w:val="20"/>
          <w:szCs w:val="20"/>
          <w:b w:val="1"/>
          <w:bCs w:val="1"/>
          <w:color w:val="auto"/>
        </w:rPr>
        <w:t>December 31, 2021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19050</wp:posOffset>
                </wp:positionV>
                <wp:extent cx="311975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1975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5pt" to="246pt,1.5pt" o:allowincell="f" strokecolor="#000000" strokeweight="1pt"/>
            </w:pict>
          </mc:Fallback>
        </mc:AlternateConten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20"/>
                <w:szCs w:val="20"/>
                <w:b w:val="1"/>
                <w:bCs w:val="1"/>
                <w:color w:val="auto"/>
                <w:w w:val="97"/>
              </w:rPr>
              <w:t>Level 1</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b w:val="1"/>
                <w:bCs w:val="1"/>
                <w:color w:val="auto"/>
                <w:w w:val="97"/>
              </w:rPr>
              <w:t>Level 2</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20"/>
                <w:szCs w:val="20"/>
                <w:b w:val="1"/>
                <w:bCs w:val="1"/>
                <w:color w:val="auto"/>
                <w:w w:val="97"/>
              </w:rPr>
              <w:t>Level 3</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00"/>
              <w:spacing w:after="0"/>
              <w:rPr>
                <w:sz w:val="20"/>
                <w:szCs w:val="20"/>
                <w:color w:val="auto"/>
              </w:rPr>
            </w:pPr>
            <w:r>
              <w:rPr>
                <w:rFonts w:ascii="Arial" w:cs="Arial" w:eastAsia="Arial" w:hAnsi="Arial"/>
                <w:sz w:val="20"/>
                <w:szCs w:val="20"/>
                <w:b w:val="1"/>
                <w:bCs w:val="1"/>
                <w:color w:val="auto"/>
              </w:rPr>
              <w:t>Total</w:t>
            </w:r>
          </w:p>
        </w:tc>
      </w:tr>
      <w:tr>
        <w:trPr>
          <w:trHeight w:val="272"/>
        </w:trPr>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60" w:type="dxa"/>
            <w:vAlign w:val="bottom"/>
            <w:gridSpan w:val="4"/>
          </w:tcPr>
          <w:p>
            <w:pPr>
              <w:jc w:val="right"/>
              <w:ind w:right="620"/>
              <w:spacing w:after="0"/>
              <w:rPr>
                <w:sz w:val="20"/>
                <w:szCs w:val="20"/>
                <w:color w:val="auto"/>
              </w:rPr>
            </w:pPr>
            <w:r>
              <w:rPr>
                <w:rFonts w:ascii="Arial" w:cs="Arial" w:eastAsia="Arial" w:hAnsi="Arial"/>
                <w:sz w:val="16"/>
                <w:szCs w:val="16"/>
                <w:color w:val="auto"/>
              </w:rPr>
              <w:t>(in millions)</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50"/>
        </w:trPr>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5</w:t>
            </w:r>
          </w:p>
        </w:tc>
        <w:tc>
          <w:tcPr>
            <w:tcW w:w="4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4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480"/>
        </w:trPr>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40"/>
        </w:trPr>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40"/>
        </w:trPr>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480"/>
        </w:trPr>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40"/>
        </w:trPr>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40"/>
        </w:trPr>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40"/>
        </w:trPr>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8"/>
        </w:trPr>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72"/>
        </w:trPr>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17</w:t>
            </w:r>
          </w:p>
        </w:tc>
        <w:tc>
          <w:tcPr>
            <w:tcW w:w="4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7</w:t>
            </w:r>
          </w:p>
        </w:tc>
        <w:tc>
          <w:tcPr>
            <w:tcW w:w="4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5</w:t>
            </w:r>
          </w:p>
        </w:tc>
        <w:tc>
          <w:tcPr>
            <w:tcW w:w="4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8"/>
        </w:trPr>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2">
            <w:col w:w="4000" w:space="200"/>
            <w:col w:w="4920"/>
          </w:cols>
          <w:pgMar w:left="1380" w:top="1310" w:right="1380" w:bottom="661"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Expected Contributions and Benefit Payments</w:t>
      </w:r>
    </w:p>
    <w:p>
      <w:pPr>
        <w:spacing w:after="0" w:line="215" w:lineRule="exact"/>
        <w:rPr>
          <w:sz w:val="20"/>
          <w:szCs w:val="20"/>
          <w:color w:val="auto"/>
        </w:rPr>
      </w:pPr>
    </w:p>
    <w:p>
      <w:pPr>
        <w:jc w:val="both"/>
        <w:ind w:right="200" w:firstLine="300"/>
        <w:spacing w:after="0" w:line="248" w:lineRule="auto"/>
        <w:rPr>
          <w:sz w:val="20"/>
          <w:szCs w:val="20"/>
          <w:color w:val="auto"/>
        </w:rPr>
      </w:pPr>
      <w:r>
        <w:rPr>
          <w:rFonts w:ascii="Arial" w:cs="Arial" w:eastAsia="Arial" w:hAnsi="Arial"/>
          <w:sz w:val="20"/>
          <w:szCs w:val="20"/>
          <w:color w:val="auto"/>
        </w:rPr>
        <w:t>In 2023, we do not expect to contribute to our pension plans and expect to contribute $5 million to our postretirement benefit plan. Estimated future undiscounted benefit payments by the plans, which reflect expected future service, as appropriate, are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tcPr>
          <w:p>
            <w:pPr>
              <w:spacing w:after="0"/>
              <w:rPr>
                <w:sz w:val="19"/>
                <w:szCs w:val="19"/>
                <w:color w:val="auto"/>
              </w:rPr>
            </w:pPr>
          </w:p>
        </w:tc>
        <w:tc>
          <w:tcPr>
            <w:tcW w:w="1080" w:type="dxa"/>
            <w:vAlign w:val="bottom"/>
          </w:tcPr>
          <w:p>
            <w:pPr>
              <w:ind w:left="300"/>
              <w:spacing w:after="0"/>
              <w:rPr>
                <w:sz w:val="20"/>
                <w:szCs w:val="20"/>
                <w:color w:val="auto"/>
              </w:rPr>
            </w:pPr>
            <w:r>
              <w:rPr>
                <w:rFonts w:ascii="Arial" w:cs="Arial" w:eastAsia="Arial" w:hAnsi="Arial"/>
                <w:sz w:val="20"/>
                <w:szCs w:val="20"/>
                <w:b w:val="1"/>
                <w:bCs w:val="1"/>
                <w:color w:val="auto"/>
                <w:w w:val="97"/>
              </w:rPr>
              <w:t>Pension</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20"/>
                <w:szCs w:val="20"/>
                <w:b w:val="1"/>
                <w:bCs w:val="1"/>
                <w:color w:val="auto"/>
                <w:w w:val="99"/>
              </w:rPr>
              <w:t>Postretirement</w:t>
            </w:r>
          </w:p>
        </w:tc>
      </w:tr>
      <w:tr>
        <w:trPr>
          <w:trHeight w:val="248"/>
        </w:trPr>
        <w:tc>
          <w:tcPr>
            <w:tcW w:w="6120" w:type="dxa"/>
            <w:vAlign w:val="bottom"/>
          </w:tcPr>
          <w:p>
            <w:pPr>
              <w:spacing w:after="0"/>
              <w:rPr>
                <w:sz w:val="21"/>
                <w:szCs w:val="21"/>
                <w:color w:val="auto"/>
              </w:rPr>
            </w:pPr>
          </w:p>
        </w:tc>
        <w:tc>
          <w:tcPr>
            <w:tcW w:w="1380" w:type="dxa"/>
            <w:vAlign w:val="bottom"/>
            <w:tcBorders>
              <w:bottom w:val="single" w:sz="8" w:color="auto"/>
            </w:tcBorders>
            <w:gridSpan w:val="2"/>
          </w:tcPr>
          <w:p>
            <w:pPr>
              <w:ind w:left="300"/>
              <w:spacing w:after="0"/>
              <w:rPr>
                <w:sz w:val="20"/>
                <w:szCs w:val="20"/>
                <w:color w:val="auto"/>
              </w:rPr>
            </w:pPr>
            <w:r>
              <w:rPr>
                <w:rFonts w:ascii="Arial" w:cs="Arial" w:eastAsia="Arial" w:hAnsi="Arial"/>
                <w:sz w:val="20"/>
                <w:szCs w:val="20"/>
                <w:b w:val="1"/>
                <w:bCs w:val="1"/>
                <w:color w:val="auto"/>
              </w:rPr>
              <w:t>Benefits</w:t>
            </w:r>
          </w:p>
        </w:tc>
        <w:tc>
          <w:tcPr>
            <w:tcW w:w="200" w:type="dxa"/>
            <w:vAlign w:val="bottom"/>
          </w:tcPr>
          <w:p>
            <w:pPr>
              <w:spacing w:after="0"/>
              <w:rPr>
                <w:sz w:val="21"/>
                <w:szCs w:val="21"/>
                <w:color w:val="auto"/>
              </w:rPr>
            </w:pPr>
          </w:p>
        </w:tc>
        <w:tc>
          <w:tcPr>
            <w:tcW w:w="14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20"/>
                <w:szCs w:val="20"/>
                <w:b w:val="1"/>
                <w:bCs w:val="1"/>
                <w:color w:val="auto"/>
              </w:rPr>
              <w:t>Benefits</w:t>
            </w:r>
          </w:p>
        </w:tc>
      </w:tr>
      <w:tr>
        <w:trPr>
          <w:trHeight w:val="282"/>
        </w:trPr>
        <w:tc>
          <w:tcPr>
            <w:tcW w:w="6120" w:type="dxa"/>
            <w:vAlign w:val="bottom"/>
          </w:tcPr>
          <w:p>
            <w:pPr>
              <w:spacing w:after="0"/>
              <w:rPr>
                <w:sz w:val="20"/>
                <w:szCs w:val="20"/>
                <w:color w:val="auto"/>
              </w:rPr>
            </w:pPr>
            <w:r>
              <w:rPr>
                <w:rFonts w:ascii="Arial" w:cs="Arial" w:eastAsia="Arial" w:hAnsi="Arial"/>
                <w:sz w:val="20"/>
                <w:szCs w:val="20"/>
                <w:b w:val="1"/>
                <w:bCs w:val="1"/>
                <w:color w:val="auto"/>
              </w:rPr>
              <w:t>For the years ended December 31,</w:t>
            </w:r>
          </w:p>
        </w:tc>
        <w:tc>
          <w:tcPr>
            <w:tcW w:w="1080" w:type="dxa"/>
            <w:vAlign w:val="bottom"/>
          </w:tcPr>
          <w:p>
            <w:pPr>
              <w:spacing w:after="0"/>
              <w:rPr>
                <w:sz w:val="24"/>
                <w:szCs w:val="24"/>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6"/>
                <w:szCs w:val="16"/>
                <w:color w:val="auto"/>
              </w:rPr>
              <w:t>(in millions)</w:t>
            </w:r>
          </w:p>
        </w:tc>
        <w:tc>
          <w:tcPr>
            <w:tcW w:w="680" w:type="dxa"/>
            <w:vAlign w:val="bottom"/>
          </w:tcPr>
          <w:p>
            <w:pPr>
              <w:spacing w:after="0"/>
              <w:rPr>
                <w:sz w:val="24"/>
                <w:szCs w:val="24"/>
                <w:color w:val="auto"/>
              </w:rPr>
            </w:pPr>
          </w:p>
        </w:tc>
      </w:tr>
      <w:tr>
        <w:trPr>
          <w:trHeight w:val="240"/>
        </w:trPr>
        <w:tc>
          <w:tcPr>
            <w:tcW w:w="6120" w:type="dxa"/>
            <w:vAlign w:val="bottom"/>
          </w:tcPr>
          <w:p>
            <w:pPr>
              <w:spacing w:after="0"/>
              <w:rPr>
                <w:sz w:val="20"/>
                <w:szCs w:val="20"/>
                <w:color w:val="auto"/>
              </w:rPr>
            </w:pPr>
            <w:r>
              <w:rPr>
                <w:rFonts w:ascii="Arial" w:cs="Arial" w:eastAsia="Arial" w:hAnsi="Arial"/>
                <w:sz w:val="20"/>
                <w:szCs w:val="20"/>
                <w:color w:val="auto"/>
                <w:w w:val="98"/>
              </w:rPr>
              <w:t>2023  . . . . . . . . . . . . . . . . . . . . . . . . . . . . . . . . . . . . . . . . . . . . . . . . . . .</w:t>
            </w:r>
          </w:p>
        </w:tc>
        <w:tc>
          <w:tcPr>
            <w:tcW w:w="1080" w:type="dxa"/>
            <w:vAlign w:val="bottom"/>
          </w:tcPr>
          <w:p>
            <w:pPr>
              <w:jc w:val="right"/>
              <w:ind w:right="780"/>
              <w:spacing w:after="0"/>
              <w:rPr>
                <w:sz w:val="20"/>
                <w:szCs w:val="20"/>
                <w:color w:val="auto"/>
              </w:rPr>
            </w:pPr>
            <w:r>
              <w:rPr>
                <w:rFonts w:ascii="Arial" w:cs="Arial" w:eastAsia="Arial" w:hAnsi="Arial"/>
                <w:sz w:val="20"/>
                <w:szCs w:val="20"/>
                <w:color w:val="auto"/>
              </w:rPr>
              <w:t>$</w:t>
            </w:r>
          </w:p>
        </w:tc>
        <w:tc>
          <w:tcPr>
            <w:tcW w:w="300" w:type="dxa"/>
            <w:vAlign w:val="bottom"/>
          </w:tcPr>
          <w:p>
            <w:pPr>
              <w:jc w:val="right"/>
              <w:spacing w:after="0"/>
              <w:rPr>
                <w:sz w:val="20"/>
                <w:szCs w:val="20"/>
                <w:color w:val="auto"/>
              </w:rPr>
            </w:pPr>
            <w:r>
              <w:rPr>
                <w:rFonts w:ascii="Arial" w:cs="Arial" w:eastAsia="Arial" w:hAnsi="Arial"/>
                <w:sz w:val="20"/>
                <w:szCs w:val="20"/>
                <w:color w:val="auto"/>
              </w:rPr>
              <w:t>7</w:t>
            </w:r>
          </w:p>
        </w:tc>
        <w:tc>
          <w:tcPr>
            <w:tcW w:w="940" w:type="dxa"/>
            <w:vAlign w:val="bottom"/>
            <w:gridSpan w:val="2"/>
          </w:tcPr>
          <w:p>
            <w:pPr>
              <w:jc w:val="right"/>
              <w:ind w:right="42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40"/>
        </w:trPr>
        <w:tc>
          <w:tcPr>
            <w:tcW w:w="6120" w:type="dxa"/>
            <w:vAlign w:val="bottom"/>
          </w:tcPr>
          <w:p>
            <w:pPr>
              <w:spacing w:after="0"/>
              <w:rPr>
                <w:sz w:val="20"/>
                <w:szCs w:val="20"/>
                <w:color w:val="auto"/>
              </w:rPr>
            </w:pPr>
            <w:r>
              <w:rPr>
                <w:rFonts w:ascii="Arial" w:cs="Arial" w:eastAsia="Arial" w:hAnsi="Arial"/>
                <w:sz w:val="20"/>
                <w:szCs w:val="20"/>
                <w:color w:val="auto"/>
                <w:w w:val="98"/>
              </w:rPr>
              <w:t>2024  . . . . . . . . . . . . . . . . . . . . . . . . . . . . . . . . . . . . . . . . . . . . . . . . . . .</w:t>
            </w:r>
          </w:p>
        </w:tc>
        <w:tc>
          <w:tcPr>
            <w:tcW w:w="1080" w:type="dxa"/>
            <w:vAlign w:val="bottom"/>
          </w:tcPr>
          <w:p>
            <w:pPr>
              <w:jc w:val="right"/>
              <w:ind w:right="780"/>
              <w:spacing w:after="0"/>
              <w:rPr>
                <w:sz w:val="20"/>
                <w:szCs w:val="20"/>
                <w:color w:val="auto"/>
              </w:rPr>
            </w:pPr>
            <w:r>
              <w:rPr>
                <w:rFonts w:ascii="Arial" w:cs="Arial" w:eastAsia="Arial" w:hAnsi="Arial"/>
                <w:sz w:val="20"/>
                <w:szCs w:val="20"/>
                <w:color w:val="auto"/>
              </w:rPr>
              <w:t>$</w:t>
            </w:r>
          </w:p>
        </w:tc>
        <w:tc>
          <w:tcPr>
            <w:tcW w:w="300" w:type="dxa"/>
            <w:vAlign w:val="bottom"/>
          </w:tcPr>
          <w:p>
            <w:pPr>
              <w:jc w:val="right"/>
              <w:spacing w:after="0"/>
              <w:rPr>
                <w:sz w:val="20"/>
                <w:szCs w:val="20"/>
                <w:color w:val="auto"/>
              </w:rPr>
            </w:pPr>
            <w:r>
              <w:rPr>
                <w:rFonts w:ascii="Arial" w:cs="Arial" w:eastAsia="Arial" w:hAnsi="Arial"/>
                <w:sz w:val="20"/>
                <w:szCs w:val="20"/>
                <w:color w:val="auto"/>
              </w:rPr>
              <w:t>2</w:t>
            </w:r>
          </w:p>
        </w:tc>
        <w:tc>
          <w:tcPr>
            <w:tcW w:w="940" w:type="dxa"/>
            <w:vAlign w:val="bottom"/>
            <w:gridSpan w:val="2"/>
          </w:tcPr>
          <w:p>
            <w:pPr>
              <w:jc w:val="right"/>
              <w:ind w:right="42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40"/>
        </w:trPr>
        <w:tc>
          <w:tcPr>
            <w:tcW w:w="6120" w:type="dxa"/>
            <w:vAlign w:val="bottom"/>
          </w:tcPr>
          <w:p>
            <w:pPr>
              <w:spacing w:after="0"/>
              <w:rPr>
                <w:sz w:val="20"/>
                <w:szCs w:val="20"/>
                <w:color w:val="auto"/>
              </w:rPr>
            </w:pPr>
            <w:r>
              <w:rPr>
                <w:rFonts w:ascii="Arial" w:cs="Arial" w:eastAsia="Arial" w:hAnsi="Arial"/>
                <w:sz w:val="20"/>
                <w:szCs w:val="20"/>
                <w:color w:val="auto"/>
                <w:w w:val="98"/>
              </w:rPr>
              <w:t>2025  . . . . . . . . . . . . . . . . . . . . . . . . . . . . . . . . . . . . . . . . . . . . . . . . . . .</w:t>
            </w:r>
          </w:p>
        </w:tc>
        <w:tc>
          <w:tcPr>
            <w:tcW w:w="1080" w:type="dxa"/>
            <w:vAlign w:val="bottom"/>
          </w:tcPr>
          <w:p>
            <w:pPr>
              <w:jc w:val="right"/>
              <w:ind w:right="780"/>
              <w:spacing w:after="0"/>
              <w:rPr>
                <w:sz w:val="20"/>
                <w:szCs w:val="20"/>
                <w:color w:val="auto"/>
              </w:rPr>
            </w:pPr>
            <w:r>
              <w:rPr>
                <w:rFonts w:ascii="Arial" w:cs="Arial" w:eastAsia="Arial" w:hAnsi="Arial"/>
                <w:sz w:val="20"/>
                <w:szCs w:val="20"/>
                <w:color w:val="auto"/>
              </w:rPr>
              <w:t>$</w:t>
            </w:r>
          </w:p>
        </w:tc>
        <w:tc>
          <w:tcPr>
            <w:tcW w:w="300" w:type="dxa"/>
            <w:vAlign w:val="bottom"/>
          </w:tcPr>
          <w:p>
            <w:pPr>
              <w:jc w:val="right"/>
              <w:spacing w:after="0"/>
              <w:rPr>
                <w:sz w:val="20"/>
                <w:szCs w:val="20"/>
                <w:color w:val="auto"/>
              </w:rPr>
            </w:pPr>
            <w:r>
              <w:rPr>
                <w:rFonts w:ascii="Arial" w:cs="Arial" w:eastAsia="Arial" w:hAnsi="Arial"/>
                <w:sz w:val="20"/>
                <w:szCs w:val="20"/>
                <w:color w:val="auto"/>
              </w:rPr>
              <w:t>2</w:t>
            </w:r>
          </w:p>
        </w:tc>
        <w:tc>
          <w:tcPr>
            <w:tcW w:w="940" w:type="dxa"/>
            <w:vAlign w:val="bottom"/>
            <w:gridSpan w:val="2"/>
          </w:tcPr>
          <w:p>
            <w:pPr>
              <w:jc w:val="right"/>
              <w:ind w:right="42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40"/>
        </w:trPr>
        <w:tc>
          <w:tcPr>
            <w:tcW w:w="6120" w:type="dxa"/>
            <w:vAlign w:val="bottom"/>
          </w:tcPr>
          <w:p>
            <w:pPr>
              <w:spacing w:after="0"/>
              <w:rPr>
                <w:sz w:val="20"/>
                <w:szCs w:val="20"/>
                <w:color w:val="auto"/>
              </w:rPr>
            </w:pPr>
            <w:r>
              <w:rPr>
                <w:rFonts w:ascii="Arial" w:cs="Arial" w:eastAsia="Arial" w:hAnsi="Arial"/>
                <w:sz w:val="20"/>
                <w:szCs w:val="20"/>
                <w:color w:val="auto"/>
                <w:w w:val="98"/>
              </w:rPr>
              <w:t>2026  . . . . . . . . . . . . . . . . . . . . . . . . . . . . . . . . . . . . . . . . . . . . . . . . . . .</w:t>
            </w:r>
          </w:p>
        </w:tc>
        <w:tc>
          <w:tcPr>
            <w:tcW w:w="1080" w:type="dxa"/>
            <w:vAlign w:val="bottom"/>
          </w:tcPr>
          <w:p>
            <w:pPr>
              <w:jc w:val="right"/>
              <w:ind w:right="780"/>
              <w:spacing w:after="0"/>
              <w:rPr>
                <w:sz w:val="20"/>
                <w:szCs w:val="20"/>
                <w:color w:val="auto"/>
              </w:rPr>
            </w:pPr>
            <w:r>
              <w:rPr>
                <w:rFonts w:ascii="Arial" w:cs="Arial" w:eastAsia="Arial" w:hAnsi="Arial"/>
                <w:sz w:val="20"/>
                <w:szCs w:val="20"/>
                <w:color w:val="auto"/>
              </w:rPr>
              <w:t>$</w:t>
            </w:r>
          </w:p>
        </w:tc>
        <w:tc>
          <w:tcPr>
            <w:tcW w:w="300" w:type="dxa"/>
            <w:vAlign w:val="bottom"/>
          </w:tcPr>
          <w:p>
            <w:pPr>
              <w:jc w:val="right"/>
              <w:spacing w:after="0"/>
              <w:rPr>
                <w:sz w:val="20"/>
                <w:szCs w:val="20"/>
                <w:color w:val="auto"/>
              </w:rPr>
            </w:pPr>
            <w:r>
              <w:rPr>
                <w:rFonts w:ascii="Arial" w:cs="Arial" w:eastAsia="Arial" w:hAnsi="Arial"/>
                <w:sz w:val="20"/>
                <w:szCs w:val="20"/>
                <w:color w:val="auto"/>
              </w:rPr>
              <w:t>2</w:t>
            </w:r>
          </w:p>
        </w:tc>
        <w:tc>
          <w:tcPr>
            <w:tcW w:w="940" w:type="dxa"/>
            <w:vAlign w:val="bottom"/>
            <w:gridSpan w:val="2"/>
          </w:tcPr>
          <w:p>
            <w:pPr>
              <w:jc w:val="right"/>
              <w:ind w:right="42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40"/>
        </w:trPr>
        <w:tc>
          <w:tcPr>
            <w:tcW w:w="6120" w:type="dxa"/>
            <w:vAlign w:val="bottom"/>
          </w:tcPr>
          <w:p>
            <w:pPr>
              <w:spacing w:after="0"/>
              <w:rPr>
                <w:sz w:val="20"/>
                <w:szCs w:val="20"/>
                <w:color w:val="auto"/>
              </w:rPr>
            </w:pPr>
            <w:r>
              <w:rPr>
                <w:rFonts w:ascii="Arial" w:cs="Arial" w:eastAsia="Arial" w:hAnsi="Arial"/>
                <w:sz w:val="20"/>
                <w:szCs w:val="20"/>
                <w:color w:val="auto"/>
                <w:w w:val="98"/>
              </w:rPr>
              <w:t>2027  . . . . . . . . . . . . . . . . . . . . . . . . . . . . . . . . . . . . . . . . . . . . . . . . . . .</w:t>
            </w:r>
          </w:p>
        </w:tc>
        <w:tc>
          <w:tcPr>
            <w:tcW w:w="1080" w:type="dxa"/>
            <w:vAlign w:val="bottom"/>
          </w:tcPr>
          <w:p>
            <w:pPr>
              <w:jc w:val="right"/>
              <w:ind w:right="780"/>
              <w:spacing w:after="0"/>
              <w:rPr>
                <w:sz w:val="20"/>
                <w:szCs w:val="20"/>
                <w:color w:val="auto"/>
              </w:rPr>
            </w:pPr>
            <w:r>
              <w:rPr>
                <w:rFonts w:ascii="Arial" w:cs="Arial" w:eastAsia="Arial" w:hAnsi="Arial"/>
                <w:sz w:val="20"/>
                <w:szCs w:val="20"/>
                <w:color w:val="auto"/>
              </w:rPr>
              <w:t>$</w:t>
            </w:r>
          </w:p>
        </w:tc>
        <w:tc>
          <w:tcPr>
            <w:tcW w:w="300" w:type="dxa"/>
            <w:vAlign w:val="bottom"/>
          </w:tcPr>
          <w:p>
            <w:pPr>
              <w:jc w:val="right"/>
              <w:spacing w:after="0"/>
              <w:rPr>
                <w:sz w:val="20"/>
                <w:szCs w:val="20"/>
                <w:color w:val="auto"/>
              </w:rPr>
            </w:pPr>
            <w:r>
              <w:rPr>
                <w:rFonts w:ascii="Arial" w:cs="Arial" w:eastAsia="Arial" w:hAnsi="Arial"/>
                <w:sz w:val="20"/>
                <w:szCs w:val="20"/>
                <w:color w:val="auto"/>
              </w:rPr>
              <w:t>2</w:t>
            </w:r>
          </w:p>
        </w:tc>
        <w:tc>
          <w:tcPr>
            <w:tcW w:w="940" w:type="dxa"/>
            <w:vAlign w:val="bottom"/>
            <w:gridSpan w:val="2"/>
          </w:tcPr>
          <w:p>
            <w:pPr>
              <w:jc w:val="right"/>
              <w:ind w:right="42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40"/>
        </w:trPr>
        <w:tc>
          <w:tcPr>
            <w:tcW w:w="6120" w:type="dxa"/>
            <w:vAlign w:val="bottom"/>
          </w:tcPr>
          <w:p>
            <w:pPr>
              <w:spacing w:after="0"/>
              <w:rPr>
                <w:sz w:val="20"/>
                <w:szCs w:val="20"/>
                <w:color w:val="auto"/>
              </w:rPr>
            </w:pPr>
            <w:r>
              <w:rPr>
                <w:rFonts w:ascii="Arial" w:cs="Arial" w:eastAsia="Arial" w:hAnsi="Arial"/>
                <w:sz w:val="20"/>
                <w:szCs w:val="20"/>
                <w:color w:val="auto"/>
              </w:rPr>
              <w:t>2028 to 2032 Payouts . . . . . . . . . . . . . . . . . . . . . . . . . . . . . . . . . . . . .</w:t>
            </w:r>
          </w:p>
        </w:tc>
        <w:tc>
          <w:tcPr>
            <w:tcW w:w="1080" w:type="dxa"/>
            <w:vAlign w:val="bottom"/>
          </w:tcPr>
          <w:p>
            <w:pPr>
              <w:jc w:val="right"/>
              <w:ind w:right="780"/>
              <w:spacing w:after="0"/>
              <w:rPr>
                <w:sz w:val="20"/>
                <w:szCs w:val="20"/>
                <w:color w:val="auto"/>
              </w:rPr>
            </w:pPr>
            <w:r>
              <w:rPr>
                <w:rFonts w:ascii="Arial" w:cs="Arial" w:eastAsia="Arial" w:hAnsi="Arial"/>
                <w:sz w:val="20"/>
                <w:szCs w:val="20"/>
                <w:color w:val="auto"/>
              </w:rPr>
              <w:t>$</w:t>
            </w:r>
          </w:p>
        </w:tc>
        <w:tc>
          <w:tcPr>
            <w:tcW w:w="300" w:type="dxa"/>
            <w:vAlign w:val="bottom"/>
          </w:tcPr>
          <w:p>
            <w:pPr>
              <w:jc w:val="right"/>
              <w:spacing w:after="0"/>
              <w:rPr>
                <w:sz w:val="20"/>
                <w:szCs w:val="20"/>
                <w:color w:val="auto"/>
              </w:rPr>
            </w:pPr>
            <w:r>
              <w:rPr>
                <w:rFonts w:ascii="Arial" w:cs="Arial" w:eastAsia="Arial" w:hAnsi="Arial"/>
                <w:sz w:val="20"/>
                <w:szCs w:val="20"/>
                <w:color w:val="auto"/>
                <w:w w:val="89"/>
              </w:rPr>
              <w:t>10</w:t>
            </w:r>
          </w:p>
        </w:tc>
        <w:tc>
          <w:tcPr>
            <w:tcW w:w="940" w:type="dxa"/>
            <w:vAlign w:val="bottom"/>
            <w:gridSpan w:val="2"/>
          </w:tcPr>
          <w:p>
            <w:pPr>
              <w:jc w:val="right"/>
              <w:ind w:right="42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12</w:t>
            </w:r>
          </w:p>
        </w:tc>
      </w:tr>
    </w:tbl>
    <w:p>
      <w:pPr>
        <w:spacing w:after="0" w:line="210"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NOTE 14</w:t>
      </w:r>
      <w:r>
        <w:rPr>
          <w:sz w:val="20"/>
          <w:szCs w:val="20"/>
          <w:color w:val="auto"/>
        </w:rPr>
        <w:tab/>
      </w:r>
      <w:r>
        <w:rPr>
          <w:rFonts w:ascii="Arial" w:cs="Arial" w:eastAsia="Arial" w:hAnsi="Arial"/>
          <w:sz w:val="19"/>
          <w:szCs w:val="19"/>
          <w:b w:val="1"/>
          <w:bCs w:val="1"/>
          <w:color w:val="auto"/>
        </w:rPr>
        <w:t>REVENUE</w:t>
      </w:r>
    </w:p>
    <w:p>
      <w:pPr>
        <w:spacing w:after="0" w:line="214" w:lineRule="exact"/>
        <w:rPr>
          <w:sz w:val="20"/>
          <w:szCs w:val="20"/>
          <w:color w:val="auto"/>
        </w:rPr>
      </w:pPr>
    </w:p>
    <w:p>
      <w:pPr>
        <w:ind w:firstLine="300"/>
        <w:spacing w:after="0" w:line="247" w:lineRule="auto"/>
        <w:rPr>
          <w:sz w:val="20"/>
          <w:szCs w:val="20"/>
          <w:color w:val="auto"/>
        </w:rPr>
      </w:pPr>
      <w:r>
        <w:rPr>
          <w:rFonts w:ascii="Arial" w:cs="Arial" w:eastAsia="Arial" w:hAnsi="Arial"/>
          <w:sz w:val="20"/>
          <w:szCs w:val="20"/>
          <w:color w:val="auto"/>
        </w:rPr>
        <w:t xml:space="preserve">Revenue from customers is recognized when obligations under the terms of a contract are satisfied. See </w:t>
      </w:r>
      <w:r>
        <w:rPr>
          <w:rFonts w:ascii="Arial" w:cs="Arial" w:eastAsia="Arial" w:hAnsi="Arial"/>
          <w:sz w:val="20"/>
          <w:szCs w:val="20"/>
          <w:i w:val="1"/>
          <w:iCs w:val="1"/>
          <w:color w:val="auto"/>
        </w:rPr>
        <w:t>Note 1 Nature of Business, Summary of Significant Accounting Policies and Other</w:t>
      </w:r>
      <w:r>
        <w:rPr>
          <w:rFonts w:ascii="Arial" w:cs="Arial" w:eastAsia="Arial" w:hAnsi="Arial"/>
          <w:sz w:val="20"/>
          <w:szCs w:val="20"/>
          <w:color w:val="auto"/>
        </w:rPr>
        <w:t xml:space="preserve"> for disaggregated revenue by commodity type.</w:t>
      </w:r>
    </w:p>
    <w:p>
      <w:pPr>
        <w:sectPr>
          <w:pgSz w:w="11880" w:h="15480" w:orient="portrait"/>
          <w:cols w:equalWidth="0" w:num="1">
            <w:col w:w="9120"/>
          </w:cols>
          <w:pgMar w:left="1380" w:top="1310" w:right="1380" w:bottom="661" w:gutter="0" w:footer="0" w:header="0"/>
          <w:type w:val="continuous"/>
        </w:sect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144</w:t>
      </w:r>
    </w:p>
    <w:p>
      <w:pPr>
        <w:sectPr>
          <w:pgSz w:w="11880" w:h="15480" w:orient="portrait"/>
          <w:cols w:equalWidth="0" w:num="1">
            <w:col w:w="9120"/>
          </w:cols>
          <w:pgMar w:left="1380" w:top="1310" w:right="1380" w:bottom="661" w:gutter="0" w:footer="0" w:header="0"/>
          <w:type w:val="continuous"/>
        </w:sectPr>
      </w:pPr>
    </w:p>
    <w:bookmarkStart w:id="148" w:name="page149"/>
    <w:bookmarkEnd w:id="148"/>
    <w:p>
      <w:pPr>
        <w:spacing w:after="0"/>
        <w:rPr>
          <w:sz w:val="20"/>
          <w:szCs w:val="20"/>
          <w:color w:val="auto"/>
        </w:rPr>
      </w:pPr>
      <w:r>
        <w:rPr>
          <w:rFonts w:ascii="Arial" w:cs="Arial" w:eastAsia="Arial" w:hAnsi="Arial"/>
          <w:sz w:val="20"/>
          <w:szCs w:val="20"/>
          <w:b w:val="1"/>
          <w:bCs w:val="1"/>
          <w:i w:val="1"/>
          <w:iCs w:val="1"/>
          <w:color w:val="auto"/>
        </w:rPr>
        <w:t>Commodity Sales Contracts</w:t>
      </w:r>
    </w:p>
    <w:p>
      <w:pPr>
        <w:spacing w:after="0" w:line="215" w:lineRule="exact"/>
        <w:rPr>
          <w:sz w:val="20"/>
          <w:szCs w:val="20"/>
          <w:color w:val="auto"/>
        </w:rPr>
      </w:pPr>
    </w:p>
    <w:p>
      <w:pPr>
        <w:ind w:right="140" w:firstLine="300"/>
        <w:spacing w:after="0" w:line="248" w:lineRule="auto"/>
        <w:rPr>
          <w:sz w:val="20"/>
          <w:szCs w:val="20"/>
          <w:color w:val="auto"/>
        </w:rPr>
      </w:pPr>
      <w:r>
        <w:rPr>
          <w:rFonts w:ascii="Arial" w:cs="Arial" w:eastAsia="Arial" w:hAnsi="Arial"/>
          <w:sz w:val="20"/>
          <w:szCs w:val="20"/>
          <w:color w:val="auto"/>
        </w:rPr>
        <w:t>We consider our performance obligations to be satisfied upon delivery (and transfer of control) of the commodity. In certain instances, transportation and processing fees are incurred by us prior to delivery to customers. We record these transportation and processing fees as transportation costs on our consolidated statements of operations.</w:t>
      </w:r>
    </w:p>
    <w:p>
      <w:pPr>
        <w:spacing w:after="0" w:line="209" w:lineRule="exact"/>
        <w:rPr>
          <w:sz w:val="20"/>
          <w:szCs w:val="20"/>
          <w:color w:val="auto"/>
        </w:rPr>
      </w:pPr>
    </w:p>
    <w:p>
      <w:pPr>
        <w:ind w:right="120" w:firstLine="300"/>
        <w:spacing w:after="0" w:line="248" w:lineRule="auto"/>
        <w:rPr>
          <w:sz w:val="20"/>
          <w:szCs w:val="20"/>
          <w:color w:val="auto"/>
        </w:rPr>
      </w:pPr>
      <w:r>
        <w:rPr>
          <w:rFonts w:ascii="Arial" w:cs="Arial" w:eastAsia="Arial" w:hAnsi="Arial"/>
          <w:sz w:val="20"/>
          <w:szCs w:val="20"/>
          <w:color w:val="auto"/>
        </w:rPr>
        <w:t>Our contracts with customers are generally less than a year and based on index prices. We recognize revenue in the amount that we expect to receive once we are able to adequately estimate the consideration (i.e., when market prices are known). Our contracts with customers typically require payment within 30 days following the month of delivery.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Electricity</w:t>
      </w:r>
    </w:p>
    <w:p>
      <w:pPr>
        <w:spacing w:after="0" w:line="215"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auto"/>
        </w:rPr>
        <w:t>The electrical output of our Elk Hills power plant that is not used in our operations is sold to the wholesale power market and a utility under a power purchase and sales agreement (PPA) through December 2023, which includes a monthly capacity payment plus a variable payment based on the quantity of power purchased each month. Revenue is recognized when obligations under the terms of a contract are satisfied; generally, this occurs upon delivery of the electricity. Revenue is measured as the amount of consideration we expect to receive based on the average index or California Independent System Operator (CAISO) market pricing with payment due the month following delivery. Payments under our PPA are settled monthly. We consider our performance obligations to be satisfied upon delivery of electricity or as the contracted amount of energy is made available to the customer in the case of capacity payments.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Sales of Purchased Natural Gas</w:t>
      </w:r>
    </w:p>
    <w:p>
      <w:pPr>
        <w:spacing w:after="0" w:line="215" w:lineRule="exact"/>
        <w:rPr>
          <w:sz w:val="20"/>
          <w:szCs w:val="20"/>
          <w:color w:val="auto"/>
        </w:rPr>
      </w:pPr>
    </w:p>
    <w:p>
      <w:pPr>
        <w:ind w:right="160" w:firstLine="300"/>
        <w:spacing w:after="0" w:line="265" w:lineRule="auto"/>
        <w:rPr>
          <w:sz w:val="20"/>
          <w:szCs w:val="20"/>
          <w:color w:val="auto"/>
        </w:rPr>
      </w:pPr>
      <w:r>
        <w:rPr>
          <w:rFonts w:ascii="Arial" w:cs="Arial" w:eastAsia="Arial" w:hAnsi="Arial"/>
          <w:sz w:val="19"/>
          <w:szCs w:val="19"/>
          <w:color w:val="auto"/>
        </w:rPr>
        <w:t>To transport our natural gas as well as third-party volumes, we have entered into firm pipeline commitments. In addition, we may from time-to-time enter into natural gas purchase and sale agreements with third parties to take advantage of market dislocations. We report sales of purchased natural gas in total operating revenues and associated purchased natural gas expense related to our trading activities in total operating expenses on our consolidated statements of operations. We consider our performance obligations to be satisfied upon transfer of control of the commodity.</w:t>
      </w:r>
    </w:p>
    <w:p>
      <w:pPr>
        <w:spacing w:after="0" w:line="188"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NOTE 15</w:t>
      </w:r>
      <w:r>
        <w:rPr>
          <w:sz w:val="20"/>
          <w:szCs w:val="20"/>
          <w:color w:val="auto"/>
        </w:rPr>
        <w:tab/>
      </w:r>
      <w:r>
        <w:rPr>
          <w:rFonts w:ascii="Arial" w:cs="Arial" w:eastAsia="Arial" w:hAnsi="Arial"/>
          <w:sz w:val="19"/>
          <w:szCs w:val="19"/>
          <w:b w:val="1"/>
          <w:bCs w:val="1"/>
          <w:color w:val="auto"/>
        </w:rPr>
        <w:t>CHAPTER 11 PROCEEDINGS</w:t>
      </w:r>
    </w:p>
    <w:p>
      <w:pPr>
        <w:spacing w:after="0" w:line="212"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color w:val="auto"/>
        </w:rPr>
        <w:t xml:space="preserve">The commencement of the Chapter 11 Cases, as described in </w:t>
      </w:r>
      <w:r>
        <w:rPr>
          <w:rFonts w:ascii="Arial" w:cs="Arial" w:eastAsia="Arial" w:hAnsi="Arial"/>
          <w:sz w:val="20"/>
          <w:szCs w:val="20"/>
          <w:i w:val="1"/>
          <w:iCs w:val="1"/>
          <w:color w:val="auto"/>
        </w:rPr>
        <w:t>Note 1 Nature of Business,</w:t>
      </w:r>
      <w:r>
        <w:rPr>
          <w:rFonts w:ascii="Arial" w:cs="Arial" w:eastAsia="Arial" w:hAnsi="Arial"/>
          <w:sz w:val="20"/>
          <w:szCs w:val="20"/>
          <w:color w:val="auto"/>
        </w:rPr>
        <w:t xml:space="preserve"> </w:t>
      </w:r>
      <w:r>
        <w:rPr>
          <w:rFonts w:ascii="Arial" w:cs="Arial" w:eastAsia="Arial" w:hAnsi="Arial"/>
          <w:sz w:val="20"/>
          <w:szCs w:val="20"/>
          <w:i w:val="1"/>
          <w:iCs w:val="1"/>
          <w:color w:val="auto"/>
        </w:rPr>
        <w:t>Summary of Significant Accounting Policies and Other</w:t>
      </w:r>
      <w:r>
        <w:rPr>
          <w:rFonts w:ascii="Arial" w:cs="Arial" w:eastAsia="Arial" w:hAnsi="Arial"/>
          <w:sz w:val="20"/>
          <w:szCs w:val="20"/>
          <w:color w:val="auto"/>
        </w:rPr>
        <w:t>, constituted an event of default that accelerated</w:t>
      </w:r>
      <w:r>
        <w:rPr>
          <w:rFonts w:ascii="Arial" w:cs="Arial" w:eastAsia="Arial" w:hAnsi="Arial"/>
          <w:sz w:val="20"/>
          <w:szCs w:val="20"/>
          <w:i w:val="1"/>
          <w:iCs w:val="1"/>
          <w:color w:val="auto"/>
        </w:rPr>
        <w:t xml:space="preserve"> </w:t>
      </w:r>
      <w:r>
        <w:rPr>
          <w:rFonts w:ascii="Arial" w:cs="Arial" w:eastAsia="Arial" w:hAnsi="Arial"/>
          <w:sz w:val="20"/>
          <w:szCs w:val="20"/>
          <w:color w:val="auto"/>
        </w:rPr>
        <w:t>our obligations under the following agreements: (i) Credit Agreement, dated as of September 24, 2014, among JPMorgan Chase Bank, N.A., as administrative agent, and the lenders that are party thereto (2014 Revolving Credit Facility), (ii) Credit Agreement, dated as of August 12, 2016, among The Bank of New York Mellon Trust Company, N.A., as collateral and administrative agent, and the lenders that are party thereto (2016 Credit Agreement), (iii) Credit Agreement, dated as of November 17, 2017, among The Bank of America Mellon Trust Company, N.A., as administrative agent, and the lenders that are party thereto (2017 Credit Agreement), and (iv) the indentures governing our 8% Senior Secured Second Lien Notes due 2022 (Second Lien Notes), 5.5% Senior Notes due 2021 (2021 Notes) and 6% Senior Notes due 2024 (2024 Notes). This resulted in the automatic and immediate acceleration of all of our outstanding pre-petition long-term debt. Any efforts to enforce payment obligations related to the acceleration of our long-term debt were automatically stayed by the commencement of our Chapter 11 Cases, and the creditors’ rights of enforcement were subject to the applicable provisions of the Bankruptcy Code.</w:t>
      </w:r>
    </w:p>
    <w:p>
      <w:pPr>
        <w:sectPr>
          <w:pgSz w:w="11880" w:h="15480" w:orient="portrait"/>
          <w:cols w:equalWidth="0" w:num="1">
            <w:col w:w="9080"/>
          </w:cols>
          <w:pgMar w:left="1380" w:top="1311" w:right="142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145</w:t>
      </w:r>
    </w:p>
    <w:p>
      <w:pPr>
        <w:sectPr>
          <w:pgSz w:w="11880" w:h="15480" w:orient="portrait"/>
          <w:cols w:equalWidth="0" w:num="1">
            <w:col w:w="9080"/>
          </w:cols>
          <w:pgMar w:left="1380" w:top="1311" w:right="1420" w:bottom="661" w:gutter="0" w:footer="0" w:header="0"/>
          <w:type w:val="continuous"/>
        </w:sectPr>
      </w:pPr>
    </w:p>
    <w:bookmarkStart w:id="149" w:name="page150"/>
    <w:bookmarkEnd w:id="149"/>
    <w:p>
      <w:pPr>
        <w:ind w:right="100" w:firstLine="300"/>
        <w:spacing w:after="0" w:line="249" w:lineRule="auto"/>
        <w:rPr>
          <w:sz w:val="20"/>
          <w:szCs w:val="20"/>
          <w:color w:val="auto"/>
        </w:rPr>
      </w:pPr>
      <w:r>
        <w:rPr>
          <w:rFonts w:ascii="Arial" w:cs="Arial" w:eastAsia="Arial" w:hAnsi="Arial"/>
          <w:sz w:val="20"/>
          <w:szCs w:val="20"/>
          <w:color w:val="auto"/>
        </w:rPr>
        <w:t>Upon the Effective Date, the balances of the 2016 Credit Agreement, 2017 Credit Agreement, Second Lien Notes, 2021 Notes and 2024 Notes were cancelled pursuant to the terms of the Plan, resulting in a gain of approximately $4 billion included in “Reorganization items, net” on our consolidated statement of operations for the period ended October 31, 2020. Our 2014 Revolving Credit Facility was repaid in full with proceeds from our debtor-in-possession facilities described below and terminated.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Debtor-in-Possession Credit Agreements</w:t>
      </w:r>
    </w:p>
    <w:p>
      <w:pPr>
        <w:spacing w:after="0" w:line="215" w:lineRule="exact"/>
        <w:rPr>
          <w:sz w:val="20"/>
          <w:szCs w:val="20"/>
          <w:color w:val="auto"/>
        </w:rPr>
      </w:pPr>
    </w:p>
    <w:p>
      <w:pPr>
        <w:ind w:right="20" w:firstLine="300"/>
        <w:spacing w:after="0" w:line="250" w:lineRule="auto"/>
        <w:rPr>
          <w:sz w:val="20"/>
          <w:szCs w:val="20"/>
          <w:color w:val="auto"/>
        </w:rPr>
      </w:pPr>
      <w:r>
        <w:rPr>
          <w:rFonts w:ascii="Arial" w:cs="Arial" w:eastAsia="Arial" w:hAnsi="Arial"/>
          <w:sz w:val="20"/>
          <w:szCs w:val="20"/>
          <w:color w:val="auto"/>
        </w:rPr>
        <w:t>On July 23, 2020, we entered into a Senior Secured Superpriority DIP Credit Agreement with JP Morgan, as administrative agent, and certain other lenders (Senior DIP Credit Agreement), which provided for the senior DIP facility in an aggregate principal amount of up to $483 million (Senior DIP Facility). The Senior DIP Facility included a $250 million revolving facility which was primarily used by us to (i) fund working capital needs, capital expenditures and additional letters of credit during the pendency of the Chapter 11 Cases and (ii) pay certain costs, fees and expenses related to the Chapter 11 Cases and the Senior DIP Facility. Following a hearing, the Bankruptcy Court entered a final order on August 14, 2020, which approved the Senior DIP Facility on a final basis. The Senior DIP Facility also included (i) a $150 million letter of credit facility which was used to redeem letters of credit outstanding under the 2014 Revolving Credit Facility as issued under the Senior DIP Facility, and (ii) $83 million of term loan borrowings which were used to repay a portion of the 2014 Revolving Credit Facility. The Senior DIP Facility allowed for the issuance of an additional $35 million of letters of credit.</w:t>
      </w:r>
    </w:p>
    <w:p>
      <w:pPr>
        <w:spacing w:after="0" w:line="205" w:lineRule="exact"/>
        <w:rPr>
          <w:sz w:val="20"/>
          <w:szCs w:val="20"/>
          <w:color w:val="auto"/>
        </w:rPr>
      </w:pPr>
    </w:p>
    <w:p>
      <w:pPr>
        <w:ind w:right="20" w:firstLine="300"/>
        <w:spacing w:after="0" w:line="248" w:lineRule="auto"/>
        <w:rPr>
          <w:sz w:val="20"/>
          <w:szCs w:val="20"/>
          <w:color w:val="auto"/>
        </w:rPr>
      </w:pPr>
      <w:r>
        <w:rPr>
          <w:rFonts w:ascii="Arial" w:cs="Arial" w:eastAsia="Arial" w:hAnsi="Arial"/>
          <w:sz w:val="20"/>
          <w:szCs w:val="20"/>
          <w:color w:val="auto"/>
        </w:rPr>
        <w:t>On July 23, 2020, we entered into a Junior Secured Superpriority DIP Credit Agreement with Alter Domus, as administrative agent, and certain lenders (Junior DIP Credit Agreement), which provided for a junior DIP facility in an aggregate principal amount of $650 million (Junior DIP Facility and together with the Senior DIP Facility, the DIP Facilities). The proceeds of the Junior DIP Facility were used to</w:t>
      </w:r>
    </w:p>
    <w:p>
      <w:pPr>
        <w:spacing w:after="0" w:line="9" w:lineRule="exact"/>
        <w:rPr>
          <w:sz w:val="20"/>
          <w:szCs w:val="20"/>
          <w:color w:val="auto"/>
        </w:rPr>
      </w:pPr>
    </w:p>
    <w:p>
      <w:pPr>
        <w:ind w:right="40"/>
        <w:spacing w:after="0" w:line="245" w:lineRule="auto"/>
        <w:tabs>
          <w:tab w:leader="none" w:pos="234" w:val="left"/>
        </w:tabs>
        <w:numPr>
          <w:ilvl w:val="0"/>
          <w:numId w:val="59"/>
        </w:numPr>
        <w:rPr>
          <w:rFonts w:ascii="Arial" w:cs="Arial" w:eastAsia="Arial" w:hAnsi="Arial"/>
          <w:sz w:val="20"/>
          <w:szCs w:val="20"/>
          <w:color w:val="auto"/>
        </w:rPr>
      </w:pPr>
      <w:r>
        <w:rPr>
          <w:rFonts w:ascii="Arial" w:cs="Arial" w:eastAsia="Arial" w:hAnsi="Arial"/>
          <w:sz w:val="20"/>
          <w:szCs w:val="20"/>
          <w:color w:val="auto"/>
        </w:rPr>
        <w:t>refinance in full all remaining obligations under the 2014 Revolving Credit Facility and (ii) pay certain costs, fees and expenses related to the Chapter 11 Cases and the Junior DIP Facility.</w:t>
      </w:r>
    </w:p>
    <w:p>
      <w:pPr>
        <w:spacing w:after="0" w:line="210"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color w:val="auto"/>
        </w:rPr>
        <w:t>The Senior DIP Credit Agreement and Junior DIP Credit Agreement both contained representations, warranties, covenants and events of default that are customary for DIP facilities of their type, including certain milestones applicable to the Chapter 11 Cases, compliance with an agreed budget, hedging on not less than 25% of our share of expected crude oil production for a specified period, and other customary limitations on additional indebtedness, liens, asset dispositions, investments, restricted payments and other negative covenants, in each case subject to exceptions.</w:t>
      </w:r>
    </w:p>
    <w:p>
      <w:pPr>
        <w:spacing w:after="0" w:line="208" w:lineRule="exact"/>
        <w:rPr>
          <w:sz w:val="20"/>
          <w:szCs w:val="20"/>
          <w:color w:val="auto"/>
        </w:rPr>
      </w:pPr>
    </w:p>
    <w:p>
      <w:pPr>
        <w:ind w:right="20" w:firstLine="300"/>
        <w:spacing w:after="0" w:line="248" w:lineRule="auto"/>
        <w:rPr>
          <w:sz w:val="20"/>
          <w:szCs w:val="20"/>
          <w:color w:val="auto"/>
        </w:rPr>
      </w:pPr>
      <w:r>
        <w:rPr>
          <w:rFonts w:ascii="Arial" w:cs="Arial" w:eastAsia="Arial" w:hAnsi="Arial"/>
          <w:sz w:val="20"/>
          <w:szCs w:val="20"/>
          <w:color w:val="auto"/>
        </w:rPr>
        <w:t>Borrowings under the Senior DIP Facility bore interest at the London interbank offered rate (LIBOR) plus 4.5% for LIBOR loans and the alternative base rate (ABR) plus 3.5% for alternative base rate loans. We also agreed to pay an upfront fee equal to 1.0% on the commitment amount of the Senior DIP Facility and quarterly commitment fees of 0.5% on the undrawn portion of the Senior DIP Facility.</w:t>
      </w:r>
    </w:p>
    <w:p>
      <w:pPr>
        <w:spacing w:after="0" w:line="209" w:lineRule="exact"/>
        <w:rPr>
          <w:sz w:val="20"/>
          <w:szCs w:val="20"/>
          <w:color w:val="auto"/>
        </w:rPr>
      </w:pPr>
    </w:p>
    <w:p>
      <w:pPr>
        <w:ind w:firstLine="300"/>
        <w:spacing w:after="0" w:line="248" w:lineRule="auto"/>
        <w:rPr>
          <w:sz w:val="20"/>
          <w:szCs w:val="20"/>
          <w:color w:val="auto"/>
        </w:rPr>
      </w:pPr>
      <w:r>
        <w:rPr>
          <w:rFonts w:ascii="Arial" w:cs="Arial" w:eastAsia="Arial" w:hAnsi="Arial"/>
          <w:sz w:val="20"/>
          <w:szCs w:val="20"/>
          <w:color w:val="auto"/>
        </w:rPr>
        <w:t>Borrowings under the Junior DIP Facility bore interest at a rate of LIBOR plus 9.0% for LIBOR loans and ABR plus 8.0% for alternate base rate loans. We also agreed to pay an upfront fee equal to 1.0% of the commitment amount funded on the closing date and a fronting fee to a fronting lender.</w:t>
      </w:r>
    </w:p>
    <w:p>
      <w:pPr>
        <w:spacing w:after="0" w:line="207" w:lineRule="exact"/>
        <w:rPr>
          <w:sz w:val="20"/>
          <w:szCs w:val="20"/>
          <w:color w:val="auto"/>
        </w:rPr>
      </w:pPr>
    </w:p>
    <w:p>
      <w:pPr>
        <w:ind w:right="60" w:firstLine="300"/>
        <w:spacing w:after="0" w:line="248" w:lineRule="auto"/>
        <w:rPr>
          <w:sz w:val="20"/>
          <w:szCs w:val="20"/>
          <w:color w:val="auto"/>
        </w:rPr>
      </w:pPr>
      <w:r>
        <w:rPr>
          <w:rFonts w:ascii="Arial" w:cs="Arial" w:eastAsia="Arial" w:hAnsi="Arial"/>
          <w:sz w:val="20"/>
          <w:szCs w:val="20"/>
          <w:color w:val="auto"/>
        </w:rPr>
        <w:t>Certain of our subsidiaries, including each of the debtors in the Chapter 11 Cases, guaranteed all obligations under the Senior DIP Credit Agreement and Junior DIP Credit Agreement. We also granted liens on substantially all of our assets, whether now owned or hereafter acquired to secure the obligations under the Senior DIP Credit Agreement and Junior DIP Credit Agreement.</w:t>
      </w:r>
    </w:p>
    <w:p>
      <w:pPr>
        <w:sectPr>
          <w:pgSz w:w="11880" w:h="15480" w:orient="portrait"/>
          <w:cols w:equalWidth="0" w:num="1">
            <w:col w:w="9120"/>
          </w:cols>
          <w:pgMar w:left="1380" w:top="1316" w:right="138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146</w:t>
      </w:r>
    </w:p>
    <w:p>
      <w:pPr>
        <w:sectPr>
          <w:pgSz w:w="11880" w:h="15480" w:orient="portrait"/>
          <w:cols w:equalWidth="0" w:num="1">
            <w:col w:w="9120"/>
          </w:cols>
          <w:pgMar w:left="1380" w:top="1316" w:right="1380" w:bottom="661" w:gutter="0" w:footer="0" w:header="0"/>
          <w:type w:val="continuous"/>
        </w:sectPr>
      </w:pPr>
    </w:p>
    <w:bookmarkStart w:id="150" w:name="page151"/>
    <w:bookmarkEnd w:id="150"/>
    <w:p>
      <w:pPr>
        <w:ind w:right="60" w:firstLine="300"/>
        <w:spacing w:after="0" w:line="248" w:lineRule="auto"/>
        <w:rPr>
          <w:sz w:val="20"/>
          <w:szCs w:val="20"/>
          <w:color w:val="auto"/>
        </w:rPr>
      </w:pPr>
      <w:r>
        <w:rPr>
          <w:rFonts w:ascii="Arial" w:cs="Arial" w:eastAsia="Arial" w:hAnsi="Arial"/>
          <w:sz w:val="20"/>
          <w:szCs w:val="20"/>
          <w:color w:val="auto"/>
        </w:rPr>
        <w:t xml:space="preserve">The Senior DIP Facility was repaid in full and terminated on the Effective Date using proceeds borrowed under our new Revolving Credit Facility discussed in </w:t>
      </w:r>
      <w:r>
        <w:rPr>
          <w:rFonts w:ascii="Arial" w:cs="Arial" w:eastAsia="Arial" w:hAnsi="Arial"/>
          <w:sz w:val="20"/>
          <w:szCs w:val="20"/>
          <w:i w:val="1"/>
          <w:iCs w:val="1"/>
          <w:color w:val="auto"/>
        </w:rPr>
        <w:t>Note 4 Debt</w:t>
      </w:r>
      <w:r>
        <w:rPr>
          <w:rFonts w:ascii="Arial" w:cs="Arial" w:eastAsia="Arial" w:hAnsi="Arial"/>
          <w:sz w:val="20"/>
          <w:szCs w:val="20"/>
          <w:color w:val="auto"/>
        </w:rPr>
        <w:t xml:space="preserve">. The Junior DIP Facility was also repaid in full and terminated on the Effective Date using (i) $200 million from the Second Lien Term Loan discussed in </w:t>
      </w:r>
      <w:r>
        <w:rPr>
          <w:rFonts w:ascii="Arial" w:cs="Arial" w:eastAsia="Arial" w:hAnsi="Arial"/>
          <w:sz w:val="20"/>
          <w:szCs w:val="20"/>
          <w:i w:val="1"/>
          <w:iCs w:val="1"/>
          <w:color w:val="auto"/>
        </w:rPr>
        <w:t>Note 4 Debt</w:t>
      </w:r>
      <w:r>
        <w:rPr>
          <w:rFonts w:ascii="Arial" w:cs="Arial" w:eastAsia="Arial" w:hAnsi="Arial"/>
          <w:sz w:val="20"/>
          <w:szCs w:val="20"/>
          <w:color w:val="auto"/>
        </w:rPr>
        <w:t xml:space="preserve"> and (ii) $450 million from the Subscription Rights Offering discussed below.</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Ares JV Settlement Agreement and Noncontrolling Interest</w:t>
      </w:r>
    </w:p>
    <w:p>
      <w:pPr>
        <w:spacing w:after="0" w:line="215" w:lineRule="exact"/>
        <w:rPr>
          <w:sz w:val="20"/>
          <w:szCs w:val="20"/>
          <w:color w:val="auto"/>
        </w:rPr>
      </w:pPr>
    </w:p>
    <w:p>
      <w:pPr>
        <w:jc w:val="both"/>
        <w:ind w:right="40" w:firstLine="300"/>
        <w:spacing w:after="0" w:line="263" w:lineRule="auto"/>
        <w:rPr>
          <w:sz w:val="20"/>
          <w:szCs w:val="20"/>
          <w:color w:val="auto"/>
        </w:rPr>
      </w:pPr>
      <w:r>
        <w:rPr>
          <w:rFonts w:ascii="Arial" w:cs="Arial" w:eastAsia="Arial" w:hAnsi="Arial"/>
          <w:sz w:val="19"/>
          <w:szCs w:val="19"/>
          <w:color w:val="auto"/>
        </w:rPr>
        <w:t>In February 2018, our wholly-owned subsidiary California Resources Elk Hills, LLC (CREH) entered into a midstream JV with ECR, a portfolio company of Ares, with respect to the Elk Hills power plant (a 550-megawatt natural gas fired power plant) and a 200 MMcf/day cryogenic gas processing plant.</w:t>
      </w:r>
    </w:p>
    <w:p>
      <w:pPr>
        <w:spacing w:after="0" w:line="2" w:lineRule="exact"/>
        <w:rPr>
          <w:sz w:val="20"/>
          <w:szCs w:val="20"/>
          <w:color w:val="auto"/>
        </w:rPr>
      </w:pPr>
    </w:p>
    <w:p>
      <w:pPr>
        <w:ind w:right="180"/>
        <w:spacing w:after="0" w:line="249" w:lineRule="auto"/>
        <w:rPr>
          <w:sz w:val="20"/>
          <w:szCs w:val="20"/>
          <w:color w:val="auto"/>
        </w:rPr>
      </w:pPr>
      <w:r>
        <w:rPr>
          <w:rFonts w:ascii="Arial" w:cs="Arial" w:eastAsia="Arial" w:hAnsi="Arial"/>
          <w:sz w:val="20"/>
          <w:szCs w:val="20"/>
          <w:color w:val="auto"/>
        </w:rPr>
        <w:t>These assets were held by the joint venture entity, Elk Hills Power, LLC (Ares JV or Elk Hills Power), and each of CREH and ECR held an equity interest in this entity. Our consolidated statements of operations for the Predecessor reflect the operations of the Ares JV, with ECR’s share of net income (loss) reported in net income attributable to noncontrolling interests. Distributions to ECR reduced the carrying amount of noncontrolling interests on our consolidated balance sheets and are reported as a financing cash outflow for the Predecessor on our consolidated statements of cashflows. ECR’s redeemable noncontrolling interests were reported in mezzanine equity due to an embedded optional redemption feature.</w:t>
      </w:r>
    </w:p>
    <w:p>
      <w:pPr>
        <w:spacing w:after="0" w:line="211"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Prior to our Effective Date, we held 50% of the Class A common interest and 95.25% of the Class C common interest in the Ares JV. ECR held 50% of the Class A common interest, 100% of the Class B preferred interest and 4.75% of the Class C common interest. The Ares JV was required to distribute each month its excess cash flow over its working capital requirements first to the Class B holders and then to the Class C common interests, on a pro-rata basis.</w:t>
      </w:r>
    </w:p>
    <w:p>
      <w:pPr>
        <w:spacing w:after="0" w:line="207"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 xml:space="preserve">We entered into a Settlement Agreement with ECR and Ares which, among other things, granted us the right (Conversion Right) to acquire all (but not less than all) of the equity interests of Elk Hills Power owned by ECR in exchange for the EHP Notes, 17.3 million shares of common stock and approximately $2 million in cash. The Conversion Right was exercised on the Effective Date. See </w:t>
      </w:r>
      <w:r>
        <w:rPr>
          <w:rFonts w:ascii="Arial" w:cs="Arial" w:eastAsia="Arial" w:hAnsi="Arial"/>
          <w:sz w:val="20"/>
          <w:szCs w:val="20"/>
          <w:i w:val="1"/>
          <w:iCs w:val="1"/>
          <w:color w:val="auto"/>
        </w:rPr>
        <w:t>Note</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4 Debt </w:t>
      </w:r>
      <w:r>
        <w:rPr>
          <w:rFonts w:ascii="Arial" w:cs="Arial" w:eastAsia="Arial" w:hAnsi="Arial"/>
          <w:sz w:val="20"/>
          <w:szCs w:val="20"/>
          <w:color w:val="auto"/>
        </w:rPr>
        <w:t>for more information on the EHP Notes.</w:t>
      </w:r>
    </w:p>
    <w:p>
      <w:pPr>
        <w:spacing w:after="0" w:line="207"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auto"/>
        </w:rPr>
        <w:t xml:space="preserve">Although certain provisions in the Settlement Agreement were not effective until certain conditions were met, such as the Bankruptcy Court entering a final order, we determined that the amended terms were substantively different such that the existing Class A common, Class B preferred and Class C common member interests held by ECR were treated as redeemed in exchange for new member interests issued at fair value in the third quarter of 2020. The estimated fair value of the new member interests was lower than the carrying value of the existing member interests by $138 million. In accordance with GAAP, the modification of noncontrolling interest was recorded to additional paid-in capital and was included in our earnings per share calculations. See </w:t>
      </w:r>
      <w:r>
        <w:rPr>
          <w:rFonts w:ascii="Arial" w:cs="Arial" w:eastAsia="Arial" w:hAnsi="Arial"/>
          <w:sz w:val="20"/>
          <w:szCs w:val="20"/>
          <w:i w:val="1"/>
          <w:iCs w:val="1"/>
          <w:color w:val="auto"/>
        </w:rPr>
        <w:t>Note 12 Earnings per Share</w:t>
      </w:r>
      <w:r>
        <w:rPr>
          <w:rFonts w:ascii="Arial" w:cs="Arial" w:eastAsia="Arial" w:hAnsi="Arial"/>
          <w:sz w:val="20"/>
          <w:szCs w:val="20"/>
          <w:color w:val="auto"/>
        </w:rPr>
        <w:t xml:space="preserve"> for adjustments to net income (loss) attributable to common stock of the Predecessor which includes a modification of noncontrolling interest.</w:t>
      </w:r>
    </w:p>
    <w:p>
      <w:pPr>
        <w:spacing w:after="0" w:line="214"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color w:val="auto"/>
        </w:rPr>
        <w:t>We exercised the Conversion Right on the Effective Date and issued the EHP Notes in the aggregate principal amount of $300 million, new common stock comprising approximately 20.8% (subject to dilution) of our outstanding common stock at that time and approximately $2 million in cash (Conversion). Upon the Conversion, Elk Hills Power became our indirect wholly-owned subsidiary, and Ares and its affiliates ceased to have any direct or indirect interest in Elk Hills Power. In connection with the Conversion, Elk Hills Power’s limited liability company agreement was amended and restated.</w:t>
      </w:r>
    </w:p>
    <w:p>
      <w:pPr>
        <w:sectPr>
          <w:pgSz w:w="11880" w:h="15480" w:orient="portrait"/>
          <w:cols w:equalWidth="0" w:num="1">
            <w:col w:w="9120"/>
          </w:cols>
          <w:pgMar w:left="1380" w:top="1316" w:right="138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147</w:t>
      </w:r>
    </w:p>
    <w:p>
      <w:pPr>
        <w:sectPr>
          <w:pgSz w:w="11880" w:h="15480" w:orient="portrait"/>
          <w:cols w:equalWidth="0" w:num="1">
            <w:col w:w="9120"/>
          </w:cols>
          <w:pgMar w:left="1380" w:top="1316" w:right="1380" w:bottom="661" w:gutter="0" w:footer="0" w:header="0"/>
          <w:type w:val="continuous"/>
        </w:sectPr>
      </w:pPr>
    </w:p>
    <w:bookmarkStart w:id="151" w:name="page152"/>
    <w:bookmarkEnd w:id="151"/>
    <w:p>
      <w:pPr>
        <w:ind w:right="120" w:firstLine="300"/>
        <w:spacing w:after="0" w:line="247" w:lineRule="auto"/>
        <w:rPr>
          <w:sz w:val="20"/>
          <w:szCs w:val="20"/>
          <w:color w:val="auto"/>
        </w:rPr>
      </w:pPr>
      <w:r>
        <w:rPr>
          <w:rFonts w:ascii="Arial" w:cs="Arial" w:eastAsia="Arial" w:hAnsi="Arial"/>
          <w:sz w:val="20"/>
          <w:szCs w:val="20"/>
          <w:color w:val="auto"/>
        </w:rPr>
        <w:t>The following table presents the changes in noncontrolling interests for our consolidated joint ventures during the Predecessor period ended October 31, 2020, including both our BSP JV and Ares JV.</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7"/>
          </w:tcPr>
          <w:p>
            <w:pPr>
              <w:jc w:val="center"/>
              <w:ind w:right="120"/>
              <w:spacing w:after="0"/>
              <w:rPr>
                <w:sz w:val="20"/>
                <w:szCs w:val="20"/>
                <w:color w:val="auto"/>
              </w:rPr>
            </w:pPr>
            <w:r>
              <w:rPr>
                <w:rFonts w:ascii="Arial" w:cs="Arial" w:eastAsia="Arial" w:hAnsi="Arial"/>
                <w:sz w:val="18"/>
                <w:szCs w:val="18"/>
                <w:b w:val="1"/>
                <w:bCs w:val="1"/>
                <w:color w:val="auto"/>
                <w:w w:val="99"/>
              </w:rPr>
              <w:t>Mezzanine Equity -</w:t>
            </w:r>
          </w:p>
        </w:tc>
        <w:tc>
          <w:tcPr>
            <w:tcW w:w="0" w:type="dxa"/>
            <w:vAlign w:val="bottom"/>
          </w:tcPr>
          <w:p>
            <w:pPr>
              <w:spacing w:after="0"/>
              <w:rPr>
                <w:sz w:val="1"/>
                <w:szCs w:val="1"/>
                <w:color w:val="auto"/>
              </w:rPr>
            </w:pPr>
          </w:p>
        </w:tc>
      </w:tr>
      <w:tr>
        <w:trPr>
          <w:trHeight w:val="180"/>
        </w:trPr>
        <w:tc>
          <w:tcPr>
            <w:tcW w:w="3500" w:type="dxa"/>
            <w:vAlign w:val="bottom"/>
          </w:tcPr>
          <w:p>
            <w:pPr>
              <w:spacing w:after="0"/>
              <w:rPr>
                <w:sz w:val="15"/>
                <w:szCs w:val="15"/>
                <w:color w:val="auto"/>
              </w:rPr>
            </w:pPr>
          </w:p>
        </w:tc>
        <w:tc>
          <w:tcPr>
            <w:tcW w:w="3300" w:type="dxa"/>
            <w:vAlign w:val="bottom"/>
            <w:gridSpan w:val="8"/>
          </w:tcPr>
          <w:p>
            <w:pPr>
              <w:jc w:val="center"/>
              <w:spacing w:after="0" w:line="180" w:lineRule="exact"/>
              <w:rPr>
                <w:sz w:val="20"/>
                <w:szCs w:val="20"/>
                <w:color w:val="auto"/>
              </w:rPr>
            </w:pPr>
            <w:r>
              <w:rPr>
                <w:rFonts w:ascii="Arial" w:cs="Arial" w:eastAsia="Arial" w:hAnsi="Arial"/>
                <w:sz w:val="18"/>
                <w:szCs w:val="18"/>
                <w:b w:val="1"/>
                <w:bCs w:val="1"/>
                <w:color w:val="auto"/>
                <w:w w:val="99"/>
              </w:rPr>
              <w:t>Equity Attributable to Noncontrolling</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7"/>
          </w:tcPr>
          <w:p>
            <w:pPr>
              <w:jc w:val="center"/>
              <w:ind w:right="140"/>
              <w:spacing w:after="0" w:line="180" w:lineRule="exact"/>
              <w:rPr>
                <w:sz w:val="20"/>
                <w:szCs w:val="20"/>
                <w:color w:val="auto"/>
              </w:rPr>
            </w:pPr>
            <w:r>
              <w:rPr>
                <w:rFonts w:ascii="Arial" w:cs="Arial" w:eastAsia="Arial" w:hAnsi="Arial"/>
                <w:sz w:val="18"/>
                <w:szCs w:val="18"/>
                <w:b w:val="1"/>
                <w:bCs w:val="1"/>
                <w:color w:val="auto"/>
                <w:w w:val="99"/>
              </w:rPr>
              <w:t>Redeemable</w:t>
            </w:r>
          </w:p>
        </w:tc>
        <w:tc>
          <w:tcPr>
            <w:tcW w:w="0" w:type="dxa"/>
            <w:vAlign w:val="bottom"/>
          </w:tcPr>
          <w:p>
            <w:pPr>
              <w:spacing w:after="0"/>
              <w:rPr>
                <w:sz w:val="1"/>
                <w:szCs w:val="1"/>
                <w:color w:val="auto"/>
              </w:rPr>
            </w:pPr>
          </w:p>
        </w:tc>
      </w:tr>
      <w:tr>
        <w:trPr>
          <w:trHeight w:val="203"/>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ind w:right="10"/>
              <w:spacing w:after="0" w:line="203" w:lineRule="exact"/>
              <w:rPr>
                <w:sz w:val="20"/>
                <w:szCs w:val="20"/>
                <w:color w:val="auto"/>
              </w:rPr>
            </w:pPr>
            <w:r>
              <w:rPr>
                <w:rFonts w:ascii="Arial" w:cs="Arial" w:eastAsia="Arial" w:hAnsi="Arial"/>
                <w:sz w:val="18"/>
                <w:szCs w:val="18"/>
                <w:b w:val="1"/>
                <w:bCs w:val="1"/>
                <w:color w:val="auto"/>
              </w:rPr>
              <w:t>Interests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gridSpan w:val="8"/>
          </w:tcPr>
          <w:p>
            <w:pPr>
              <w:jc w:val="center"/>
              <w:ind w:right="40"/>
              <w:spacing w:after="0" w:line="203" w:lineRule="exact"/>
              <w:rPr>
                <w:sz w:val="20"/>
                <w:szCs w:val="20"/>
                <w:color w:val="auto"/>
              </w:rPr>
            </w:pPr>
            <w:r>
              <w:rPr>
                <w:rFonts w:ascii="Arial" w:cs="Arial" w:eastAsia="Arial" w:hAnsi="Arial"/>
                <w:sz w:val="18"/>
                <w:szCs w:val="18"/>
                <w:b w:val="1"/>
                <w:bCs w:val="1"/>
                <w:color w:val="auto"/>
                <w:w w:val="99"/>
              </w:rPr>
              <w:t>Noncontrolling Interest</w:t>
            </w:r>
          </w:p>
        </w:tc>
        <w:tc>
          <w:tcPr>
            <w:tcW w:w="0" w:type="dxa"/>
            <w:vAlign w:val="bottom"/>
          </w:tcPr>
          <w:p>
            <w:pPr>
              <w:spacing w:after="0"/>
              <w:rPr>
                <w:sz w:val="1"/>
                <w:szCs w:val="1"/>
                <w:color w:val="auto"/>
              </w:rPr>
            </w:pPr>
          </w:p>
        </w:tc>
      </w:tr>
      <w:tr>
        <w:trPr>
          <w:trHeight w:val="24"/>
        </w:trPr>
        <w:tc>
          <w:tcPr>
            <w:tcW w:w="3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Ares JV</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BSP JV</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Ares JV</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
        </w:trPr>
        <w:tc>
          <w:tcPr>
            <w:tcW w:w="3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(in millions)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00" w:type="dxa"/>
            <w:vAlign w:val="bottom"/>
          </w:tcPr>
          <w:p>
            <w:pPr>
              <w:spacing w:after="0"/>
              <w:rPr>
                <w:sz w:val="20"/>
                <w:szCs w:val="20"/>
                <w:color w:val="auto"/>
              </w:rPr>
            </w:pPr>
            <w:r>
              <w:rPr>
                <w:rFonts w:ascii="Arial" w:cs="Arial" w:eastAsia="Arial" w:hAnsi="Arial"/>
                <w:sz w:val="18"/>
                <w:szCs w:val="18"/>
                <w:b w:val="1"/>
                <w:bCs w:val="1"/>
                <w:color w:val="auto"/>
              </w:rPr>
              <w:t xml:space="preserve">Balance, December 31, 2019 </w:t>
            </w:r>
            <w:r>
              <w:rPr>
                <w:rFonts w:ascii="Arial" w:cs="Arial" w:eastAsia="Arial" w:hAnsi="Arial"/>
                <w:sz w:val="18"/>
                <w:szCs w:val="18"/>
                <w:color w:val="auto"/>
              </w:rPr>
              <w:t>. . . . . . . .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802</w:t>
            </w:r>
          </w:p>
        </w:tc>
        <w:tc>
          <w:tcPr>
            <w:tcW w:w="20" w:type="dxa"/>
            <w:vAlign w:val="bottom"/>
          </w:tcPr>
          <w:p>
            <w:pPr>
              <w:spacing w:after="0"/>
              <w:rPr>
                <w:sz w:val="19"/>
                <w:szCs w:val="19"/>
                <w:color w:val="auto"/>
              </w:rPr>
            </w:pP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00" w:type="dxa"/>
            <w:vAlign w:val="bottom"/>
          </w:tcPr>
          <w:p>
            <w:pPr>
              <w:spacing w:after="0"/>
              <w:rPr>
                <w:sz w:val="20"/>
                <w:szCs w:val="20"/>
                <w:color w:val="auto"/>
              </w:rPr>
            </w:pPr>
            <w:r>
              <w:rPr>
                <w:rFonts w:ascii="Arial" w:cs="Arial" w:eastAsia="Arial" w:hAnsi="Arial"/>
                <w:sz w:val="18"/>
                <w:szCs w:val="18"/>
                <w:color w:val="auto"/>
              </w:rPr>
              <w:t>Net income (loss) attributable to</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00" w:type="dxa"/>
            <w:vAlign w:val="bottom"/>
          </w:tcPr>
          <w:p>
            <w:pPr>
              <w:spacing w:after="0"/>
              <w:rPr>
                <w:sz w:val="20"/>
                <w:szCs w:val="20"/>
                <w:color w:val="auto"/>
              </w:rPr>
            </w:pPr>
            <w:r>
              <w:rPr>
                <w:rFonts w:ascii="Arial" w:cs="Arial" w:eastAsia="Arial" w:hAnsi="Arial"/>
                <w:sz w:val="18"/>
                <w:szCs w:val="18"/>
                <w:color w:val="auto"/>
              </w:rPr>
              <w:t>noncontrolling interests . . . . . . . . . . . . . . .</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00" w:type="dxa"/>
            <w:vAlign w:val="bottom"/>
          </w:tcPr>
          <w:p>
            <w:pPr>
              <w:spacing w:after="0"/>
              <w:rPr>
                <w:sz w:val="20"/>
                <w:szCs w:val="20"/>
                <w:color w:val="auto"/>
              </w:rPr>
            </w:pPr>
            <w:r>
              <w:rPr>
                <w:rFonts w:ascii="Arial" w:cs="Arial" w:eastAsia="Arial" w:hAnsi="Arial"/>
                <w:sz w:val="18"/>
                <w:szCs w:val="18"/>
                <w:color w:val="auto"/>
              </w:rPr>
              <w:t>Distributions to noncontrolling interest</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00" w:type="dxa"/>
            <w:vAlign w:val="bottom"/>
          </w:tcPr>
          <w:p>
            <w:pPr>
              <w:spacing w:after="0"/>
              <w:rPr>
                <w:sz w:val="20"/>
                <w:szCs w:val="20"/>
                <w:color w:val="auto"/>
              </w:rPr>
            </w:pPr>
            <w:r>
              <w:rPr>
                <w:rFonts w:ascii="Arial" w:cs="Arial" w:eastAsia="Arial" w:hAnsi="Arial"/>
                <w:sz w:val="18"/>
                <w:szCs w:val="18"/>
                <w:color w:val="auto"/>
              </w:rPr>
              <w:t>holders . . . . . . . . . . . . . . . . . . . . . . . . . . . .</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00" w:type="dxa"/>
            <w:vAlign w:val="bottom"/>
          </w:tcPr>
          <w:p>
            <w:pPr>
              <w:spacing w:after="0"/>
              <w:rPr>
                <w:sz w:val="20"/>
                <w:szCs w:val="20"/>
                <w:color w:val="auto"/>
              </w:rPr>
            </w:pPr>
            <w:r>
              <w:rPr>
                <w:rFonts w:ascii="Arial" w:cs="Arial" w:eastAsia="Arial" w:hAnsi="Arial"/>
                <w:sz w:val="18"/>
                <w:szCs w:val="18"/>
                <w:color w:val="auto"/>
              </w:rPr>
              <w:t>Modification of noncontrolling interest . . .</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00" w:type="dxa"/>
            <w:vAlign w:val="bottom"/>
          </w:tcPr>
          <w:p>
            <w:pPr>
              <w:spacing w:after="0"/>
              <w:rPr>
                <w:sz w:val="20"/>
                <w:szCs w:val="20"/>
                <w:color w:val="auto"/>
              </w:rPr>
            </w:pPr>
            <w:r>
              <w:rPr>
                <w:rFonts w:ascii="Arial" w:cs="Arial" w:eastAsia="Arial" w:hAnsi="Arial"/>
                <w:sz w:val="18"/>
                <w:szCs w:val="18"/>
                <w:color w:val="auto"/>
              </w:rPr>
              <w:t>Acquisition of noncontrolling interest . . . .</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00" w:type="dxa"/>
            <w:vAlign w:val="bottom"/>
          </w:tcPr>
          <w:p>
            <w:pPr>
              <w:spacing w:after="0"/>
              <w:rPr>
                <w:sz w:val="20"/>
                <w:szCs w:val="20"/>
                <w:color w:val="auto"/>
              </w:rPr>
            </w:pPr>
            <w:r>
              <w:rPr>
                <w:rFonts w:ascii="Arial" w:cs="Arial" w:eastAsia="Arial" w:hAnsi="Arial"/>
                <w:sz w:val="18"/>
                <w:szCs w:val="18"/>
                <w:color w:val="auto"/>
              </w:rPr>
              <w:t>Fair value adjustment of noncontrolling</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00" w:type="dxa"/>
            <w:vAlign w:val="bottom"/>
          </w:tcPr>
          <w:p>
            <w:pPr>
              <w:spacing w:after="0"/>
              <w:rPr>
                <w:sz w:val="20"/>
                <w:szCs w:val="20"/>
                <w:color w:val="auto"/>
              </w:rPr>
            </w:pPr>
            <w:r>
              <w:rPr>
                <w:rFonts w:ascii="Arial" w:cs="Arial" w:eastAsia="Arial" w:hAnsi="Arial"/>
                <w:sz w:val="18"/>
                <w:szCs w:val="18"/>
                <w:color w:val="auto"/>
              </w:rPr>
              <w:t>interest in fresh start accounting  . . . . . . .</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350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Balance, October 31, 2020 </w:t>
            </w:r>
            <w:r>
              <w:rPr>
                <w:rFonts w:ascii="Arial" w:cs="Arial" w:eastAsia="Arial" w:hAnsi="Arial"/>
                <w:sz w:val="18"/>
                <w:szCs w:val="18"/>
                <w:color w:val="auto"/>
              </w:rPr>
              <w:t>. . . . . . . . . . .</w:t>
            </w: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3500" w:type="dxa"/>
            <w:vAlign w:val="bottom"/>
            <w:vMerge w:val="continue"/>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76</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3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60" w:firstLine="300"/>
        <w:spacing w:after="0" w:line="249" w:lineRule="auto"/>
        <w:rPr>
          <w:sz w:val="20"/>
          <w:szCs w:val="20"/>
          <w:color w:val="auto"/>
        </w:rPr>
      </w:pPr>
      <w:r>
        <w:rPr>
          <w:rFonts w:ascii="Arial" w:cs="Arial" w:eastAsia="Arial" w:hAnsi="Arial"/>
          <w:sz w:val="20"/>
          <w:szCs w:val="20"/>
          <w:color w:val="auto"/>
        </w:rPr>
        <w:t>In connection with the Conversion, on the Effective Date, we entered into a Sponsor Support Agreement dated the Effective Date (Support Agreement) pursuant to which, among other things, the parties agreed that Elk Hills Power will be our primary provider of electricity to, and will be the primary processor of our natural gas produced from, the Elk Hills field, which is consistent with our current practice.</w:t>
      </w:r>
    </w:p>
    <w:p>
      <w:pPr>
        <w:spacing w:after="0" w:line="207" w:lineRule="exact"/>
        <w:rPr>
          <w:sz w:val="20"/>
          <w:szCs w:val="20"/>
          <w:color w:val="auto"/>
        </w:rPr>
      </w:pPr>
    </w:p>
    <w:p>
      <w:pPr>
        <w:ind w:right="520" w:firstLine="300"/>
        <w:spacing w:after="0" w:line="248" w:lineRule="auto"/>
        <w:rPr>
          <w:sz w:val="20"/>
          <w:szCs w:val="20"/>
          <w:color w:val="auto"/>
        </w:rPr>
      </w:pPr>
      <w:r>
        <w:rPr>
          <w:rFonts w:ascii="Arial" w:cs="Arial" w:eastAsia="Arial" w:hAnsi="Arial"/>
          <w:sz w:val="20"/>
          <w:szCs w:val="20"/>
          <w:color w:val="auto"/>
        </w:rPr>
        <w:t>On the Effective Date, in connection with the Conversion, we terminated: (a) the Commercial Agreement, dated as of February 7, 2018, by and between Elk Hills Power and CREH and (b) the Master Services Agreement, dated as of February 7, 2018, by and between Elk Hills Power and CREH.</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Rights Offering and Backstop</w:t>
      </w:r>
    </w:p>
    <w:p>
      <w:pPr>
        <w:spacing w:after="0" w:line="215" w:lineRule="exact"/>
        <w:rPr>
          <w:sz w:val="20"/>
          <w:szCs w:val="20"/>
          <w:color w:val="auto"/>
        </w:rPr>
      </w:pPr>
    </w:p>
    <w:p>
      <w:pPr>
        <w:ind w:right="100" w:firstLine="300"/>
        <w:spacing w:after="0" w:line="249" w:lineRule="auto"/>
        <w:rPr>
          <w:sz w:val="20"/>
          <w:szCs w:val="20"/>
          <w:color w:val="auto"/>
        </w:rPr>
      </w:pPr>
      <w:r>
        <w:rPr>
          <w:rFonts w:ascii="Arial" w:cs="Arial" w:eastAsia="Arial" w:hAnsi="Arial"/>
          <w:sz w:val="20"/>
          <w:szCs w:val="20"/>
          <w:color w:val="auto"/>
        </w:rPr>
        <w:t>Pursuant to the Plan, we issued subscription rights to holders of our 2017 Credit Agreement, 2016 Credit Agreement, Second Lien Notes, 2021 Notes and 2024 Notes (Rights Offering). These subscription rights entitled holders to purchase up to $450 million of newly issued shares of common stock at $13 per share upon our emergence from bankruptcy. Certain holders of our pre-emergence indebtedness agreed to backstop the Rights Offering and purchase additional shares in the event the Rights Offering was not fully subscribed in exchange for a premium. The Rights Offering closed on the Effective Date and we issued 38.1 million shares of common stock pursuant to the Rights Offering at that time, including 3.5 million common shares issued to the backstop parties as a premium.</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Emergence</w:t>
      </w:r>
    </w:p>
    <w:p>
      <w:pPr>
        <w:spacing w:after="0" w:line="215" w:lineRule="exact"/>
        <w:rPr>
          <w:sz w:val="20"/>
          <w:szCs w:val="20"/>
          <w:color w:val="auto"/>
        </w:rPr>
      </w:pPr>
    </w:p>
    <w:p>
      <w:pPr>
        <w:ind w:right="20" w:firstLine="300"/>
        <w:spacing w:after="0" w:line="248" w:lineRule="auto"/>
        <w:rPr>
          <w:sz w:val="20"/>
          <w:szCs w:val="20"/>
          <w:color w:val="auto"/>
        </w:rPr>
      </w:pPr>
      <w:r>
        <w:rPr>
          <w:rFonts w:ascii="Arial" w:cs="Arial" w:eastAsia="Arial" w:hAnsi="Arial"/>
          <w:sz w:val="20"/>
          <w:szCs w:val="20"/>
          <w:color w:val="auto"/>
        </w:rPr>
        <w:t xml:space="preserve">The following transactions occurred on October 27, 2020, the effective date of the Plan, where we issued an aggregate of 83.3 million shares of new common stock, reserved 4.4 million shares for future issuance upon exercise of the warrants described in </w:t>
      </w:r>
      <w:r>
        <w:rPr>
          <w:rFonts w:ascii="Arial" w:cs="Arial" w:eastAsia="Arial" w:hAnsi="Arial"/>
          <w:sz w:val="20"/>
          <w:szCs w:val="20"/>
          <w:i w:val="1"/>
          <w:iCs w:val="1"/>
          <w:color w:val="auto"/>
        </w:rPr>
        <w:t>Note 11 Stockholders’ Equity</w:t>
      </w:r>
      <w:r>
        <w:rPr>
          <w:rFonts w:ascii="Arial" w:cs="Arial" w:eastAsia="Arial" w:hAnsi="Arial"/>
          <w:sz w:val="20"/>
          <w:szCs w:val="20"/>
          <w:color w:val="auto"/>
        </w:rPr>
        <w:t xml:space="preserve"> and reserved 9.3 million shares for future issuance under our management incentive plan described in </w:t>
      </w:r>
      <w:r>
        <w:rPr>
          <w:rFonts w:ascii="Arial" w:cs="Arial" w:eastAsia="Arial" w:hAnsi="Arial"/>
          <w:sz w:val="20"/>
          <w:szCs w:val="20"/>
          <w:i w:val="1"/>
          <w:iCs w:val="1"/>
          <w:color w:val="auto"/>
        </w:rPr>
        <w:t>Note 10</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Stock-Based Compensation</w:t>
      </w:r>
      <w:r>
        <w:rPr>
          <w:rFonts w:ascii="Arial" w:cs="Arial" w:eastAsia="Arial" w:hAnsi="Arial"/>
          <w:sz w:val="20"/>
          <w:szCs w:val="20"/>
          <w:color w:val="auto"/>
        </w:rPr>
        <w:t>:</w:t>
      </w:r>
    </w:p>
    <w:p>
      <w:pPr>
        <w:spacing w:after="0" w:line="214" w:lineRule="exact"/>
        <w:rPr>
          <w:sz w:val="20"/>
          <w:szCs w:val="20"/>
          <w:color w:val="auto"/>
        </w:rPr>
      </w:pPr>
    </w:p>
    <w:p>
      <w:pPr>
        <w:ind w:left="1200" w:right="140" w:hanging="300"/>
        <w:spacing w:after="0" w:line="247" w:lineRule="auto"/>
        <w:tabs>
          <w:tab w:leader="none" w:pos="1200" w:val="left"/>
        </w:tabs>
        <w:numPr>
          <w:ilvl w:val="0"/>
          <w:numId w:val="60"/>
        </w:numPr>
        <w:rPr>
          <w:rFonts w:ascii="Arial" w:cs="Arial" w:eastAsia="Arial" w:hAnsi="Arial"/>
          <w:sz w:val="20"/>
          <w:szCs w:val="20"/>
          <w:color w:val="auto"/>
        </w:rPr>
      </w:pPr>
      <w:r>
        <w:rPr>
          <w:rFonts w:ascii="Arial" w:cs="Arial" w:eastAsia="Arial" w:hAnsi="Arial"/>
          <w:sz w:val="20"/>
          <w:szCs w:val="20"/>
          <w:color w:val="auto"/>
        </w:rPr>
        <w:t>We acquired all of the member interests in the Ares JV held by ECR in exchange for the EHP Notes, 17.3 million shares of new common stock and approximately $2 million in cash;</w:t>
      </w:r>
    </w:p>
    <w:p>
      <w:pPr>
        <w:sectPr>
          <w:pgSz w:w="11880" w:h="15480" w:orient="portrait"/>
          <w:cols w:equalWidth="0" w:num="1">
            <w:col w:w="9120"/>
          </w:cols>
          <w:pgMar w:left="1380" w:top="1316" w:right="1380" w:bottom="661"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148</w:t>
      </w:r>
    </w:p>
    <w:p>
      <w:pPr>
        <w:sectPr>
          <w:pgSz w:w="11880" w:h="15480" w:orient="portrait"/>
          <w:cols w:equalWidth="0" w:num="1">
            <w:col w:w="9120"/>
          </w:cols>
          <w:pgMar w:left="1380" w:top="1316" w:right="1380" w:bottom="661" w:gutter="0" w:footer="0" w:header="0"/>
          <w:type w:val="continuous"/>
        </w:sectPr>
      </w:pPr>
    </w:p>
    <w:bookmarkStart w:id="152" w:name="page153"/>
    <w:bookmarkEnd w:id="152"/>
    <w:p>
      <w:pPr>
        <w:ind w:left="1200" w:hanging="300"/>
        <w:spacing w:after="0" w:line="248" w:lineRule="auto"/>
        <w:tabs>
          <w:tab w:leader="none" w:pos="1200" w:val="left"/>
        </w:tabs>
        <w:numPr>
          <w:ilvl w:val="0"/>
          <w:numId w:val="61"/>
        </w:numPr>
        <w:rPr>
          <w:rFonts w:ascii="Arial" w:cs="Arial" w:eastAsia="Arial" w:hAnsi="Arial"/>
          <w:sz w:val="20"/>
          <w:szCs w:val="20"/>
          <w:color w:val="auto"/>
        </w:rPr>
      </w:pPr>
      <w:r>
        <w:rPr>
          <w:rFonts w:ascii="Arial" w:cs="Arial" w:eastAsia="Arial" w:hAnsi="Arial"/>
          <w:sz w:val="20"/>
          <w:szCs w:val="20"/>
          <w:color w:val="auto"/>
        </w:rPr>
        <w:t>Holders of secured claims under the 2017 Credit Agreement received 22.7 million shares of new common stock in exchange for those claims, and holders of deficiency claims under the 2017 Credit Agreement and all outstanding obligations under the 2016 Credit Agreement, Second Lien Notes, 2021 Notes and 2024 Notes received 4.4 million shares of new common stock in exchange for those claims;</w:t>
      </w:r>
    </w:p>
    <w:p>
      <w:pPr>
        <w:spacing w:after="0" w:line="205" w:lineRule="exact"/>
        <w:rPr>
          <w:rFonts w:ascii="Arial" w:cs="Arial" w:eastAsia="Arial" w:hAnsi="Arial"/>
          <w:sz w:val="20"/>
          <w:szCs w:val="20"/>
          <w:color w:val="auto"/>
        </w:rPr>
      </w:pPr>
    </w:p>
    <w:p>
      <w:pPr>
        <w:ind w:left="1200" w:hanging="300"/>
        <w:spacing w:after="0"/>
        <w:tabs>
          <w:tab w:leader="none" w:pos="1200" w:val="left"/>
        </w:tabs>
        <w:numPr>
          <w:ilvl w:val="0"/>
          <w:numId w:val="61"/>
        </w:numPr>
        <w:rPr>
          <w:rFonts w:ascii="Arial" w:cs="Arial" w:eastAsia="Arial" w:hAnsi="Arial"/>
          <w:sz w:val="20"/>
          <w:szCs w:val="20"/>
          <w:color w:val="auto"/>
        </w:rPr>
      </w:pPr>
      <w:r>
        <w:rPr>
          <w:rFonts w:ascii="Arial" w:cs="Arial" w:eastAsia="Arial" w:hAnsi="Arial"/>
          <w:sz w:val="20"/>
          <w:szCs w:val="20"/>
          <w:color w:val="auto"/>
        </w:rPr>
        <w:t>In connection with the Subscription Rights and Backstop Commitment Agreement,</w:t>
      </w:r>
    </w:p>
    <w:p>
      <w:pPr>
        <w:spacing w:after="0" w:line="16" w:lineRule="exact"/>
        <w:rPr>
          <w:rFonts w:ascii="Arial" w:cs="Arial" w:eastAsia="Arial" w:hAnsi="Arial"/>
          <w:sz w:val="20"/>
          <w:szCs w:val="20"/>
          <w:color w:val="auto"/>
        </w:rPr>
      </w:pPr>
    </w:p>
    <w:p>
      <w:pPr>
        <w:ind w:left="1200" w:right="140"/>
        <w:spacing w:after="0" w:line="247" w:lineRule="auto"/>
        <w:rPr>
          <w:rFonts w:ascii="Arial" w:cs="Arial" w:eastAsia="Arial" w:hAnsi="Arial"/>
          <w:sz w:val="20"/>
          <w:szCs w:val="20"/>
          <w:color w:val="auto"/>
        </w:rPr>
      </w:pPr>
      <w:r>
        <w:rPr>
          <w:rFonts w:ascii="Arial" w:cs="Arial" w:eastAsia="Arial" w:hAnsi="Arial"/>
          <w:sz w:val="20"/>
          <w:szCs w:val="20"/>
          <w:color w:val="auto"/>
        </w:rPr>
        <w:t>34.6 million shares of new common stock were issued in exchange for $446 million (net of a $4 million allocation adjustment credit paid to certain backstop parties), the gross proceeds of which were used to pay down our Junior DIP Facility;</w:t>
      </w:r>
    </w:p>
    <w:p>
      <w:pPr>
        <w:spacing w:after="0" w:line="209" w:lineRule="exact"/>
        <w:rPr>
          <w:rFonts w:ascii="Arial" w:cs="Arial" w:eastAsia="Arial" w:hAnsi="Arial"/>
          <w:sz w:val="20"/>
          <w:szCs w:val="20"/>
          <w:color w:val="auto"/>
        </w:rPr>
      </w:pPr>
    </w:p>
    <w:p>
      <w:pPr>
        <w:ind w:left="1200" w:right="280" w:hanging="300"/>
        <w:spacing w:after="0" w:line="243" w:lineRule="auto"/>
        <w:tabs>
          <w:tab w:leader="none" w:pos="1200" w:val="left"/>
        </w:tabs>
        <w:numPr>
          <w:ilvl w:val="0"/>
          <w:numId w:val="61"/>
        </w:numPr>
        <w:rPr>
          <w:rFonts w:ascii="Arial" w:cs="Arial" w:eastAsia="Arial" w:hAnsi="Arial"/>
          <w:sz w:val="20"/>
          <w:szCs w:val="20"/>
          <w:color w:val="auto"/>
        </w:rPr>
      </w:pPr>
      <w:r>
        <w:rPr>
          <w:rFonts w:ascii="Arial" w:cs="Arial" w:eastAsia="Arial" w:hAnsi="Arial"/>
          <w:sz w:val="20"/>
          <w:szCs w:val="20"/>
          <w:color w:val="auto"/>
        </w:rPr>
        <w:t>We issued 3.5 million shares as consideration for the backstop commitment premium; and</w:t>
      </w:r>
    </w:p>
    <w:p>
      <w:pPr>
        <w:spacing w:after="0" w:line="214" w:lineRule="exact"/>
        <w:rPr>
          <w:rFonts w:ascii="Arial" w:cs="Arial" w:eastAsia="Arial" w:hAnsi="Arial"/>
          <w:sz w:val="20"/>
          <w:szCs w:val="20"/>
          <w:color w:val="auto"/>
        </w:rPr>
      </w:pPr>
    </w:p>
    <w:p>
      <w:pPr>
        <w:ind w:left="1200" w:right="180" w:hanging="300"/>
        <w:spacing w:after="0" w:line="243" w:lineRule="auto"/>
        <w:tabs>
          <w:tab w:leader="none" w:pos="1200" w:val="left"/>
        </w:tabs>
        <w:numPr>
          <w:ilvl w:val="0"/>
          <w:numId w:val="61"/>
        </w:numPr>
        <w:rPr>
          <w:rFonts w:ascii="Arial" w:cs="Arial" w:eastAsia="Arial" w:hAnsi="Arial"/>
          <w:sz w:val="20"/>
          <w:szCs w:val="20"/>
          <w:color w:val="auto"/>
        </w:rPr>
      </w:pPr>
      <w:r>
        <w:rPr>
          <w:rFonts w:ascii="Arial" w:cs="Arial" w:eastAsia="Arial" w:hAnsi="Arial"/>
          <w:sz w:val="20"/>
          <w:szCs w:val="20"/>
          <w:color w:val="auto"/>
        </w:rPr>
        <w:t>We issued an aggregate of 821,000 shares to the lenders under our Junior DIP Facility as an exit fee.</w:t>
      </w:r>
    </w:p>
    <w:p>
      <w:pPr>
        <w:spacing w:after="0" w:line="214" w:lineRule="exact"/>
        <w:rPr>
          <w:sz w:val="20"/>
          <w:szCs w:val="20"/>
          <w:color w:val="auto"/>
        </w:rPr>
      </w:pPr>
    </w:p>
    <w:p>
      <w:pPr>
        <w:ind w:right="200" w:firstLine="300"/>
        <w:spacing w:after="0" w:line="245" w:lineRule="auto"/>
        <w:rPr>
          <w:sz w:val="20"/>
          <w:szCs w:val="20"/>
          <w:color w:val="auto"/>
        </w:rPr>
      </w:pPr>
      <w:r>
        <w:rPr>
          <w:rFonts w:ascii="Arial" w:cs="Arial" w:eastAsia="Arial" w:hAnsi="Arial"/>
          <w:sz w:val="20"/>
          <w:szCs w:val="20"/>
          <w:color w:val="auto"/>
        </w:rPr>
        <w:t>All existing equity interests of the Predecessor, including contracts on equity, were cancelled and their holders received no recovery.</w:t>
      </w:r>
    </w:p>
    <w:p>
      <w:pPr>
        <w:spacing w:after="0" w:line="210" w:lineRule="exact"/>
        <w:rPr>
          <w:sz w:val="20"/>
          <w:szCs w:val="20"/>
          <w:color w:val="auto"/>
        </w:rPr>
      </w:pPr>
    </w:p>
    <w:p>
      <w:pPr>
        <w:ind w:right="240" w:firstLine="300"/>
        <w:spacing w:after="0" w:line="248" w:lineRule="auto"/>
        <w:rPr>
          <w:sz w:val="20"/>
          <w:szCs w:val="20"/>
          <w:color w:val="auto"/>
        </w:rPr>
      </w:pPr>
      <w:r>
        <w:rPr>
          <w:rFonts w:ascii="Arial" w:cs="Arial" w:eastAsia="Arial" w:hAnsi="Arial"/>
          <w:sz w:val="20"/>
          <w:szCs w:val="20"/>
          <w:color w:val="auto"/>
        </w:rPr>
        <w:t xml:space="preserve">As a condition to our emergence, we repaid the outstanding balance of our debtor-in-possession financing with proceeds from our equity offering, Second Lien Term Loan and our new Revolving Credit Facility. For more information on our post-emergence indebtedness, see </w:t>
      </w:r>
      <w:r>
        <w:rPr>
          <w:rFonts w:ascii="Arial" w:cs="Arial" w:eastAsia="Arial" w:hAnsi="Arial"/>
          <w:sz w:val="20"/>
          <w:szCs w:val="20"/>
          <w:i w:val="1"/>
          <w:iCs w:val="1"/>
          <w:color w:val="auto"/>
        </w:rPr>
        <w:t>Note 4 Debt</w:t>
      </w:r>
      <w:r>
        <w:rPr>
          <w:rFonts w:ascii="Arial" w:cs="Arial" w:eastAsia="Arial" w:hAnsi="Arial"/>
          <w:sz w:val="20"/>
          <w:szCs w:val="20"/>
          <w:color w:val="auto"/>
        </w:rPr>
        <w:t>.</w:t>
      </w:r>
    </w:p>
    <w:p>
      <w:pPr>
        <w:spacing w:after="0" w:line="207" w:lineRule="exact"/>
        <w:rPr>
          <w:sz w:val="20"/>
          <w:szCs w:val="20"/>
          <w:color w:val="auto"/>
        </w:rPr>
      </w:pPr>
    </w:p>
    <w:p>
      <w:pPr>
        <w:ind w:right="160" w:firstLine="300"/>
        <w:spacing w:after="0" w:line="248" w:lineRule="auto"/>
        <w:rPr>
          <w:sz w:val="20"/>
          <w:szCs w:val="20"/>
          <w:color w:val="auto"/>
        </w:rPr>
      </w:pPr>
      <w:r>
        <w:rPr>
          <w:rFonts w:ascii="Arial" w:cs="Arial" w:eastAsia="Arial" w:hAnsi="Arial"/>
          <w:sz w:val="20"/>
          <w:szCs w:val="20"/>
          <w:color w:val="auto"/>
        </w:rPr>
        <w:t>On October 27, 2020, all but one of our existing directors resigned and seven new non-employee directors were appointed to our Board of Directors (Board) in connection with our emergence from bankruptcy. In addition, our former Chief Executive Officer and director Todd A. Stevens departed on December 31, 2020.</w:t>
      </w:r>
    </w:p>
    <w:p>
      <w:pPr>
        <w:spacing w:after="0" w:line="205"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NOTE 16</w:t>
      </w:r>
      <w:r>
        <w:rPr>
          <w:sz w:val="20"/>
          <w:szCs w:val="20"/>
          <w:color w:val="auto"/>
        </w:rPr>
        <w:tab/>
      </w:r>
      <w:r>
        <w:rPr>
          <w:rFonts w:ascii="Arial" w:cs="Arial" w:eastAsia="Arial" w:hAnsi="Arial"/>
          <w:sz w:val="19"/>
          <w:szCs w:val="19"/>
          <w:b w:val="1"/>
          <w:bCs w:val="1"/>
          <w:color w:val="auto"/>
        </w:rPr>
        <w:t>FRESH START ACCOUNTING</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Fresh Start Accounting</w:t>
      </w:r>
    </w:p>
    <w:p>
      <w:pPr>
        <w:spacing w:after="0" w:line="215"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We adopted fresh start accounting upon emergence from bankruptcy because (1) the holders of existing voting shares prior to emergence received less than 50% of our new voting shares following our emergence from bankruptcy and (2) the reorganization value of our assets immediately prior to the confirmation of the Plan was less than the post-petition liabilities and allowed claims, which were included in liabilities subject to compromise as of our emergence date.</w:t>
      </w:r>
    </w:p>
    <w:p>
      <w:pPr>
        <w:spacing w:after="0" w:line="207" w:lineRule="exact"/>
        <w:rPr>
          <w:sz w:val="20"/>
          <w:szCs w:val="20"/>
          <w:color w:val="auto"/>
        </w:rPr>
      </w:pPr>
    </w:p>
    <w:p>
      <w:pPr>
        <w:ind w:right="360" w:firstLine="300"/>
        <w:spacing w:after="0" w:line="248" w:lineRule="auto"/>
        <w:rPr>
          <w:sz w:val="20"/>
          <w:szCs w:val="20"/>
          <w:color w:val="auto"/>
        </w:rPr>
      </w:pPr>
      <w:r>
        <w:rPr>
          <w:rFonts w:ascii="Arial" w:cs="Arial" w:eastAsia="Arial" w:hAnsi="Arial"/>
          <w:sz w:val="20"/>
          <w:szCs w:val="20"/>
          <w:color w:val="auto"/>
        </w:rPr>
        <w:t>For financial reporting purposes, fresh start accounting was applied as of October 31, 2020, an accounting convenience date, to coincide with the timing our normal month-end close process. We evaluated and concluded that events between October 28, 2020 and October 31, 2020 were not significant and the use of an accounting convenience date was appropriate.</w:t>
      </w:r>
    </w:p>
    <w:p>
      <w:pPr>
        <w:spacing w:after="0" w:line="209"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Under fresh start accounting, the reorganization value of the emerging entity was assigned to individual assets and liabilities based on their estimated relative fair values. Reorganization value represents the fair value of our total assets prior to the consideration of liabilities and is intended to approximate the amount a willing buyer would pay for the assets immediately after a restructuring. The reorganization value was derived from our enterprise value, which was the estimated fair value of our long-term debt, asset retirement obligations and shareholder’s equity at emergence. In support of the Plan, our enterprise value was estimated and approved by the Bankruptcy Court to be in the range of $2.2 billion to $2.8 billion.</w:t>
      </w:r>
    </w:p>
    <w:p>
      <w:pPr>
        <w:sectPr>
          <w:pgSz w:w="11880" w:h="15480" w:orient="portrait"/>
          <w:cols w:equalWidth="0" w:num="1">
            <w:col w:w="9060"/>
          </w:cols>
          <w:pgMar w:left="1380" w:top="1316" w:right="144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149</w:t>
      </w:r>
    </w:p>
    <w:p>
      <w:pPr>
        <w:sectPr>
          <w:pgSz w:w="11880" w:h="15480" w:orient="portrait"/>
          <w:cols w:equalWidth="0" w:num="1">
            <w:col w:w="9060"/>
          </w:cols>
          <w:pgMar w:left="1380" w:top="1316" w:right="1440" w:bottom="661" w:gutter="0" w:footer="0" w:header="0"/>
          <w:type w:val="continuous"/>
        </w:sectPr>
      </w:pPr>
    </w:p>
    <w:bookmarkStart w:id="153" w:name="page154"/>
    <w:bookmarkEnd w:id="153"/>
    <w:p>
      <w:pPr>
        <w:ind w:right="140" w:firstLine="300"/>
        <w:spacing w:after="0" w:line="249" w:lineRule="auto"/>
        <w:rPr>
          <w:sz w:val="20"/>
          <w:szCs w:val="20"/>
          <w:color w:val="auto"/>
        </w:rPr>
      </w:pPr>
      <w:r>
        <w:rPr>
          <w:rFonts w:ascii="Arial" w:cs="Arial" w:eastAsia="Arial" w:hAnsi="Arial"/>
          <w:sz w:val="20"/>
          <w:szCs w:val="20"/>
          <w:color w:val="auto"/>
        </w:rPr>
        <w:t>This valuation analysis was prepared using reserve information, development schedules, other financial information and financial projections, and applying standard valuation techniques, including net asset value analysis, precedent transactions analyses and comparable public company analyses. We engaged third-party valuation advisors to assist in determining the value of our Elk Hills power plant, cryogenic gas processing plant, certain real estate and warrants. Using these valuations along with our own internal estimates and assumptions for the value of our proved oil and natural gas reserves, we estimated our enterprise value to be $2.5 billion for financial reporting purposes.</w:t>
      </w:r>
    </w:p>
    <w:p>
      <w:pPr>
        <w:spacing w:after="0" w:line="210" w:lineRule="exact"/>
        <w:rPr>
          <w:sz w:val="20"/>
          <w:szCs w:val="20"/>
          <w:color w:val="auto"/>
        </w:rPr>
      </w:pPr>
    </w:p>
    <w:p>
      <w:pPr>
        <w:ind w:right="800" w:firstLine="300"/>
        <w:spacing w:after="0" w:line="247" w:lineRule="auto"/>
        <w:rPr>
          <w:sz w:val="20"/>
          <w:szCs w:val="20"/>
          <w:color w:val="auto"/>
        </w:rPr>
      </w:pPr>
      <w:r>
        <w:rPr>
          <w:rFonts w:ascii="Arial" w:cs="Arial" w:eastAsia="Arial" w:hAnsi="Arial"/>
          <w:sz w:val="20"/>
          <w:szCs w:val="20"/>
          <w:color w:val="auto"/>
        </w:rPr>
        <w:t>The following is a summary of our valuation approaches and assumptions for significant non-current assets and liabilities, which excludes our working capital where our carrying value approximated fair value.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Property, Plant and Equipment</w:t>
      </w:r>
    </w:p>
    <w:p>
      <w:pPr>
        <w:spacing w:after="0" w:line="216"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auto"/>
        </w:rPr>
        <w:t>Our principal assets are our oil and natural gas properties. In valuing our proved oil and natural gas properties we used an income approach. Our estimated future revenue, operating costs and development plans were developed internally by our reserve engineers. We applied a discount rate using a market-participant weighted average cost of capital which utilized a blended expected cost of debt and expected returns on equity for similar industry participants. We used a risk-adjusted discount rate for our proved undeveloped locations only. We estimated futures prices to calculate future revenue, as reported on the ICE Brent for oil and NGLs and NYMEX Henry Hub for natural gas as of October 31, 2020, adjusted for pricing differentials and without giving effect to derivative transactions. Operating costs and realized prices for periods after the forward price curve becomes illiquid were adjusted for inflation. No value was ascribed to unproved locations.</w:t>
      </w:r>
    </w:p>
    <w:p>
      <w:pPr>
        <w:spacing w:after="0" w:line="214"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auto"/>
        </w:rPr>
        <w:t>The fair value of our Elk Hills power plant, cryogenic gas processing facility (CGP-1) and commercial building in Bakersfield were estimated using a cost approach. The cost approach estimates fair value by considering the amount required to construct or purchase a new asset of equal utility at current prices, with adjustments for asset function, age, physical deterioration and obsolescence. We also considered the history of major capital expenditures.</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20"/>
          <w:szCs w:val="20"/>
          <w:color w:val="auto"/>
        </w:rPr>
        <w:t>We internally valued our surface acreage based on recent market data.</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Right of Use Assets and Lease Liabilities</w:t>
      </w:r>
    </w:p>
    <w:p>
      <w:pPr>
        <w:spacing w:after="0" w:line="214"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The fair value of ROU assets and associated lease liabilities were measured at the present value of the remaining fixed minimum lease payments as if the leases were new leases at emergence. We used our incremental borrowing rate as the discount rate in determining the present value of the remaining lease payments. Based upon the corresponding lease term, our incremental borrowing rates ranged from 4% to 5%.</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Pension and Postretirement Benefit Plans</w:t>
      </w:r>
    </w:p>
    <w:p>
      <w:pPr>
        <w:spacing w:after="0" w:line="214"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color w:val="auto"/>
        </w:rPr>
        <w:t>The valuations of our pension liabilities and postretirement benefit obligations were performed by a third-party actuary. Valuation assumptions, including discount rates, expected future returns on plan assets, rates of future salary increases, rates of future increases in medical costs, turnover and mortality rates were developed in consultation with the third-party actuary based on current market conditions, current mortality rates and our expectation for future salary increases.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Long-term Debt Obligations</w:t>
      </w:r>
    </w:p>
    <w:p>
      <w:pPr>
        <w:spacing w:after="0" w:line="214" w:lineRule="exact"/>
        <w:rPr>
          <w:sz w:val="20"/>
          <w:szCs w:val="20"/>
          <w:color w:val="auto"/>
        </w:rPr>
      </w:pPr>
    </w:p>
    <w:p>
      <w:pPr>
        <w:ind w:right="380" w:firstLine="300"/>
        <w:spacing w:after="0" w:line="243" w:lineRule="auto"/>
        <w:rPr>
          <w:sz w:val="20"/>
          <w:szCs w:val="20"/>
          <w:color w:val="auto"/>
        </w:rPr>
      </w:pPr>
      <w:r>
        <w:rPr>
          <w:rFonts w:ascii="Arial" w:cs="Arial" w:eastAsia="Arial" w:hAnsi="Arial"/>
          <w:sz w:val="20"/>
          <w:szCs w:val="20"/>
          <w:color w:val="auto"/>
        </w:rPr>
        <w:t>The fair value of our post-emergence long-term debt approximated carrying value based on the terms of the debt instruments and stated interest rates.</w:t>
      </w:r>
    </w:p>
    <w:p>
      <w:pPr>
        <w:sectPr>
          <w:pgSz w:w="11880" w:h="15480" w:orient="portrait"/>
          <w:cols w:equalWidth="0" w:num="1">
            <w:col w:w="9080"/>
          </w:cols>
          <w:pgMar w:left="1380" w:top="1316" w:right="1420" w:bottom="661"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150</w:t>
      </w:r>
    </w:p>
    <w:p>
      <w:pPr>
        <w:sectPr>
          <w:pgSz w:w="11880" w:h="15480" w:orient="portrait"/>
          <w:cols w:equalWidth="0" w:num="1">
            <w:col w:w="9080"/>
          </w:cols>
          <w:pgMar w:left="1380" w:top="1316" w:right="1420" w:bottom="661" w:gutter="0" w:footer="0" w:header="0"/>
          <w:type w:val="continuous"/>
        </w:sectPr>
      </w:pPr>
    </w:p>
    <w:bookmarkStart w:id="154" w:name="page155"/>
    <w:bookmarkEnd w:id="154"/>
    <w:p>
      <w:pPr>
        <w:spacing w:after="0"/>
        <w:rPr>
          <w:sz w:val="20"/>
          <w:szCs w:val="20"/>
          <w:color w:val="auto"/>
        </w:rPr>
      </w:pPr>
      <w:r>
        <w:rPr>
          <w:rFonts w:ascii="Arial" w:cs="Arial" w:eastAsia="Arial" w:hAnsi="Arial"/>
          <w:sz w:val="20"/>
          <w:szCs w:val="20"/>
          <w:i w:val="1"/>
          <w:iCs w:val="1"/>
          <w:color w:val="auto"/>
        </w:rPr>
        <w:t>Asset Retirement Obligations</w:t>
      </w:r>
    </w:p>
    <w:p>
      <w:pPr>
        <w:spacing w:after="0" w:line="216" w:lineRule="exact"/>
        <w:rPr>
          <w:sz w:val="20"/>
          <w:szCs w:val="20"/>
          <w:color w:val="auto"/>
        </w:rPr>
      </w:pPr>
    </w:p>
    <w:p>
      <w:pPr>
        <w:ind w:right="180" w:firstLine="300"/>
        <w:spacing w:after="0" w:line="264" w:lineRule="auto"/>
        <w:rPr>
          <w:sz w:val="20"/>
          <w:szCs w:val="20"/>
          <w:color w:val="auto"/>
        </w:rPr>
      </w:pPr>
      <w:r>
        <w:rPr>
          <w:rFonts w:ascii="Arial" w:cs="Arial" w:eastAsia="Arial" w:hAnsi="Arial"/>
          <w:sz w:val="19"/>
          <w:szCs w:val="19"/>
          <w:color w:val="auto"/>
        </w:rPr>
        <w:t>The fair value of our asset retirement obligations was estimated using a discounted cash flow approach for existing idle and currently producing wells and facilities. We estimated an average plugging and abandonment cost by field based on historical averages. We also factored in our testing plans related to idle well management and estimated failure rates to determine the timing of the cash flows. We utilized a credit adjusted risk free rate as our discount rate which was based on our credit rating and expected cost of borrowing at our emergence date. Our asset retirement obligations were reduced to our working interest share and factored in cost recovery related to our PSCs.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Warrants</w:t>
      </w:r>
    </w:p>
    <w:p>
      <w:pPr>
        <w:spacing w:after="0" w:line="216" w:lineRule="exact"/>
        <w:rPr>
          <w:sz w:val="20"/>
          <w:szCs w:val="20"/>
          <w:color w:val="auto"/>
        </w:rPr>
      </w:pPr>
    </w:p>
    <w:p>
      <w:pPr>
        <w:ind w:right="280" w:firstLine="300"/>
        <w:spacing w:after="0" w:line="249" w:lineRule="auto"/>
        <w:rPr>
          <w:sz w:val="20"/>
          <w:szCs w:val="20"/>
          <w:color w:val="auto"/>
        </w:rPr>
      </w:pPr>
      <w:r>
        <w:rPr>
          <w:rFonts w:ascii="Arial" w:cs="Arial" w:eastAsia="Arial" w:hAnsi="Arial"/>
          <w:sz w:val="20"/>
          <w:szCs w:val="20"/>
          <w:color w:val="auto"/>
        </w:rPr>
        <w:t>The fair value of the warrants was estimated using a Black-Scholes model, a commonly used option pricing model. The Black-Scholes was used to estimate the fair value of our warrants with a stock price equal to book equity value per share, strike price, time to expiration, risk-free rate, equity volatility, which was based on a peer group of energy companies and dividend yield, which we estimated to be zero.</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Reorganization Value</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The following table summarizes our enterprise value upon emergence (in millions):</w:t>
      </w:r>
    </w:p>
    <w:p>
      <w:pPr>
        <w:sectPr>
          <w:pgSz w:w="11880" w:h="15480" w:orient="portrait"/>
          <w:cols w:equalWidth="0" w:num="1">
            <w:col w:w="9120"/>
          </w:cols>
          <w:pgMar w:left="1380" w:top="1310" w:right="1380" w:bottom="661" w:gutter="0" w:footer="0" w:header="0"/>
        </w:sectPr>
      </w:pPr>
    </w:p>
    <w:p>
      <w:pPr>
        <w:spacing w:after="0" w:line="214" w:lineRule="exact"/>
        <w:rPr>
          <w:sz w:val="20"/>
          <w:szCs w:val="20"/>
          <w:color w:val="auto"/>
        </w:rPr>
      </w:pPr>
    </w:p>
    <w:p>
      <w:pPr>
        <w:ind w:left="100"/>
        <w:spacing w:after="0"/>
        <w:rPr>
          <w:sz w:val="20"/>
          <w:szCs w:val="20"/>
          <w:color w:val="auto"/>
        </w:rPr>
      </w:pPr>
      <w:r>
        <w:rPr>
          <w:rFonts w:ascii="Arial" w:cs="Arial" w:eastAsia="Arial" w:hAnsi="Arial"/>
          <w:sz w:val="19"/>
          <w:szCs w:val="19"/>
          <w:color w:val="auto"/>
        </w:rPr>
        <w:t>Fair value of total equity upon emergence . . . . . . . . . . . . . . . . . . . . . . . . . . .</w:t>
      </w:r>
    </w:p>
    <w:p>
      <w:pPr>
        <w:spacing w:after="0" w:line="17" w:lineRule="exact"/>
        <w:rPr>
          <w:sz w:val="20"/>
          <w:szCs w:val="20"/>
          <w:color w:val="auto"/>
        </w:rPr>
      </w:pPr>
    </w:p>
    <w:p>
      <w:pPr>
        <w:ind w:left="100"/>
        <w:spacing w:after="0"/>
        <w:tabs>
          <w:tab w:leader="none" w:pos="2660" w:val="left"/>
        </w:tabs>
        <w:rPr>
          <w:sz w:val="20"/>
          <w:szCs w:val="20"/>
          <w:color w:val="auto"/>
        </w:rPr>
      </w:pPr>
      <w:r>
        <w:rPr>
          <w:rFonts w:ascii="Arial" w:cs="Arial" w:eastAsia="Arial" w:hAnsi="Arial"/>
          <w:sz w:val="20"/>
          <w:szCs w:val="20"/>
          <w:color w:val="auto"/>
        </w:rPr>
        <w:t>Fair value of long-term debt</w:t>
      </w:r>
      <w:r>
        <w:rPr>
          <w:sz w:val="20"/>
          <w:szCs w:val="20"/>
          <w:color w:val="auto"/>
        </w:rPr>
        <w:tab/>
      </w:r>
      <w:r>
        <w:rPr>
          <w:rFonts w:ascii="Arial" w:cs="Arial" w:eastAsia="Arial" w:hAnsi="Arial"/>
          <w:sz w:val="19"/>
          <w:szCs w:val="19"/>
          <w:color w:val="auto"/>
        </w:rPr>
        <w:t>. . . . . . . . . . . . . . . . . . . . . . . . . . . . . . . . . . . . . .</w:t>
      </w:r>
    </w:p>
    <w:p>
      <w:pPr>
        <w:spacing w:after="0" w:line="10" w:lineRule="exact"/>
        <w:rPr>
          <w:sz w:val="20"/>
          <w:szCs w:val="20"/>
          <w:color w:val="auto"/>
        </w:rPr>
      </w:pPr>
    </w:p>
    <w:p>
      <w:pPr>
        <w:ind w:left="100"/>
        <w:spacing w:after="0"/>
        <w:tabs>
          <w:tab w:leader="none" w:pos="3820" w:val="left"/>
        </w:tabs>
        <w:rPr>
          <w:sz w:val="20"/>
          <w:szCs w:val="20"/>
          <w:color w:val="auto"/>
        </w:rPr>
      </w:pPr>
      <w:r>
        <w:rPr>
          <w:rFonts w:ascii="Arial" w:cs="Arial" w:eastAsia="Arial" w:hAnsi="Arial"/>
          <w:sz w:val="20"/>
          <w:szCs w:val="20"/>
          <w:color w:val="auto"/>
        </w:rPr>
        <w:t>Fair value of asset retirement obligations</w:t>
      </w:r>
      <w:r>
        <w:rPr>
          <w:sz w:val="20"/>
          <w:szCs w:val="20"/>
          <w:color w:val="auto"/>
        </w:rPr>
        <w:tab/>
      </w:r>
      <w:r>
        <w:rPr>
          <w:rFonts w:ascii="Arial" w:cs="Arial" w:eastAsia="Arial" w:hAnsi="Arial"/>
          <w:sz w:val="19"/>
          <w:szCs w:val="19"/>
          <w:color w:val="auto"/>
        </w:rPr>
        <w:t>. . . . . . . . . . . . . . . . . . . . . . . . . . .</w:t>
      </w:r>
    </w:p>
    <w:p>
      <w:pPr>
        <w:spacing w:after="0" w:line="14" w:lineRule="exact"/>
        <w:rPr>
          <w:sz w:val="20"/>
          <w:szCs w:val="20"/>
          <w:color w:val="auto"/>
        </w:rPr>
      </w:pPr>
    </w:p>
    <w:p>
      <w:pPr>
        <w:ind w:left="100"/>
        <w:spacing w:after="0"/>
        <w:rPr>
          <w:sz w:val="20"/>
          <w:szCs w:val="20"/>
          <w:color w:val="auto"/>
        </w:rPr>
      </w:pPr>
      <w:r>
        <w:rPr>
          <w:rFonts w:ascii="Arial" w:cs="Arial" w:eastAsia="Arial" w:hAnsi="Arial"/>
          <w:sz w:val="19"/>
          <w:szCs w:val="19"/>
          <w:color w:val="auto"/>
        </w:rPr>
        <w:t>Less: Unrestricted cash</w:t>
      </w:r>
      <w:r>
        <w:rPr>
          <w:rFonts w:ascii="Arial" w:cs="Arial" w:eastAsia="Arial" w:hAnsi="Arial"/>
          <w:sz w:val="25"/>
          <w:szCs w:val="25"/>
          <w:color w:val="auto"/>
          <w:vertAlign w:val="superscript"/>
        </w:rPr>
        <w:t>(a)</w:t>
      </w:r>
      <w:r>
        <w:rPr>
          <w:rFonts w:ascii="Arial" w:cs="Arial" w:eastAsia="Arial" w:hAnsi="Arial"/>
          <w:sz w:val="19"/>
          <w:szCs w:val="19"/>
          <w:color w:val="auto"/>
        </w:rPr>
        <w:t xml:space="preserve">  . . . . . . . . . . . . . . . . . . . . . . . . . . . . . . . . . . . . . . . .</w:t>
      </w:r>
    </w:p>
    <w:p>
      <w:pPr>
        <w:spacing w:after="0" w:line="28" w:lineRule="exact"/>
        <w:rPr>
          <w:sz w:val="20"/>
          <w:szCs w:val="20"/>
          <w:color w:val="auto"/>
        </w:rPr>
      </w:pPr>
    </w:p>
    <w:p>
      <w:pPr>
        <w:ind w:left="100"/>
        <w:spacing w:after="0"/>
        <w:tabs>
          <w:tab w:leader="none" w:pos="2340" w:val="left"/>
        </w:tabs>
        <w:rPr>
          <w:sz w:val="20"/>
          <w:szCs w:val="20"/>
          <w:color w:val="auto"/>
        </w:rPr>
      </w:pPr>
      <w:r>
        <w:rPr>
          <w:rFonts w:ascii="Arial" w:cs="Arial" w:eastAsia="Arial" w:hAnsi="Arial"/>
          <w:sz w:val="20"/>
          <w:szCs w:val="20"/>
          <w:b w:val="1"/>
          <w:bCs w:val="1"/>
          <w:color w:val="auto"/>
        </w:rPr>
        <w:t>Total Enterprise Value</w:t>
      </w:r>
      <w:r>
        <w:rPr>
          <w:sz w:val="20"/>
          <w:szCs w:val="20"/>
          <w:color w:val="auto"/>
        </w:rPr>
        <w:tab/>
      </w:r>
      <w:r>
        <w:rPr>
          <w:rFonts w:ascii="Arial" w:cs="Arial" w:eastAsia="Arial" w:hAnsi="Arial"/>
          <w:sz w:val="19"/>
          <w:szCs w:val="19"/>
          <w:color w:val="auto"/>
        </w:rPr>
        <w:t>. . . . . . . . . . . . . . . . . . . . . . . . . . . . . . . . . . . . . . . . .</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jc w:val="right"/>
              <w:ind w:right="700"/>
              <w:spacing w:after="0"/>
              <w:rPr>
                <w:sz w:val="20"/>
                <w:szCs w:val="20"/>
                <w:color w:val="auto"/>
              </w:rPr>
            </w:pPr>
            <w:r>
              <w:rPr>
                <w:rFonts w:ascii="Arial" w:cs="Arial" w:eastAsia="Arial" w:hAnsi="Arial"/>
                <w:sz w:val="20"/>
                <w:szCs w:val="20"/>
                <w:color w:val="auto"/>
                <w:w w:val="89"/>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1,345</w:t>
            </w:r>
          </w:p>
        </w:tc>
      </w:tr>
      <w:tr>
        <w:trPr>
          <w:trHeight w:val="240"/>
        </w:trPr>
        <w:tc>
          <w:tcPr>
            <w:tcW w:w="9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725</w:t>
            </w:r>
          </w:p>
        </w:tc>
      </w:tr>
      <w:tr>
        <w:trPr>
          <w:trHeight w:val="240"/>
        </w:trPr>
        <w:tc>
          <w:tcPr>
            <w:tcW w:w="9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593</w:t>
            </w:r>
          </w:p>
        </w:tc>
      </w:tr>
      <w:tr>
        <w:trPr>
          <w:trHeight w:val="240"/>
        </w:trPr>
        <w:tc>
          <w:tcPr>
            <w:tcW w:w="9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(163)</w:t>
            </w:r>
          </w:p>
        </w:tc>
      </w:tr>
      <w:tr>
        <w:trPr>
          <w:trHeight w:val="28"/>
        </w:trPr>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2"/>
        </w:trPr>
        <w:tc>
          <w:tcPr>
            <w:tcW w:w="920" w:type="dxa"/>
            <w:vAlign w:val="bottom"/>
          </w:tcPr>
          <w:p>
            <w:pPr>
              <w:jc w:val="right"/>
              <w:ind w:right="700"/>
              <w:spacing w:after="0"/>
              <w:rPr>
                <w:sz w:val="20"/>
                <w:szCs w:val="20"/>
                <w:color w:val="auto"/>
              </w:rPr>
            </w:pPr>
            <w:r>
              <w:rPr>
                <w:rFonts w:ascii="Arial" w:cs="Arial" w:eastAsia="Arial" w:hAnsi="Arial"/>
                <w:sz w:val="20"/>
                <w:szCs w:val="20"/>
                <w:b w:val="1"/>
                <w:bCs w:val="1"/>
                <w:color w:val="auto"/>
                <w:w w:val="89"/>
              </w:rPr>
              <w:t>$</w:t>
            </w:r>
          </w:p>
        </w:tc>
        <w:tc>
          <w:tcPr>
            <w:tcW w:w="1340" w:type="dxa"/>
            <w:vAlign w:val="bottom"/>
          </w:tcPr>
          <w:p>
            <w:pPr>
              <w:jc w:val="right"/>
              <w:spacing w:after="0"/>
              <w:rPr>
                <w:sz w:val="20"/>
                <w:szCs w:val="20"/>
                <w:color w:val="auto"/>
              </w:rPr>
            </w:pPr>
            <w:r>
              <w:rPr>
                <w:rFonts w:ascii="Arial" w:cs="Arial" w:eastAsia="Arial" w:hAnsi="Arial"/>
                <w:sz w:val="20"/>
                <w:szCs w:val="20"/>
                <w:b w:val="1"/>
                <w:bCs w:val="1"/>
                <w:color w:val="auto"/>
              </w:rPr>
              <w:t>2,500</w:t>
            </w:r>
          </w:p>
        </w:tc>
      </w:tr>
      <w:tr>
        <w:trPr>
          <w:trHeight w:val="28"/>
        </w:trPr>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2">
            <w:col w:w="6660" w:space="200"/>
            <w:col w:w="2260"/>
          </w:cols>
          <w:pgMar w:left="1380" w:top="1310" w:right="1380" w:bottom="661" w:gutter="0" w:footer="0" w:header="0"/>
          <w:type w:val="continuous"/>
        </w:sectPr>
      </w:pPr>
    </w:p>
    <w:p>
      <w:pPr>
        <w:spacing w:after="0" w:line="48" w:lineRule="exact"/>
        <w:rPr>
          <w:sz w:val="20"/>
          <w:szCs w:val="20"/>
          <w:color w:val="auto"/>
        </w:rPr>
      </w:pPr>
    </w:p>
    <w:p>
      <w:pPr>
        <w:ind w:left="320"/>
        <w:spacing w:after="0"/>
        <w:tabs>
          <w:tab w:leader="none" w:pos="6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5"/>
          <w:szCs w:val="15"/>
          <w:color w:val="auto"/>
        </w:rPr>
        <w:t>Includes $118 million of cash used to temporarily collateralize letters of credit at our emergence date.</w:t>
      </w:r>
    </w:p>
    <w:p>
      <w:pPr>
        <w:spacing w:after="0" w:line="224" w:lineRule="exact"/>
        <w:rPr>
          <w:sz w:val="20"/>
          <w:szCs w:val="20"/>
          <w:color w:val="auto"/>
        </w:rPr>
      </w:pPr>
    </w:p>
    <w:p>
      <w:pPr>
        <w:ind w:right="100" w:firstLine="300"/>
        <w:spacing w:after="0" w:line="245" w:lineRule="auto"/>
        <w:rPr>
          <w:sz w:val="20"/>
          <w:szCs w:val="20"/>
          <w:color w:val="auto"/>
        </w:rPr>
      </w:pPr>
      <w:r>
        <w:rPr>
          <w:rFonts w:ascii="Arial" w:cs="Arial" w:eastAsia="Arial" w:hAnsi="Arial"/>
          <w:sz w:val="20"/>
          <w:szCs w:val="20"/>
          <w:color w:val="auto"/>
        </w:rPr>
        <w:t>The following table reconciles our enterprise value to our reorganization value, or total asset value, upon emergence (in millions):</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20"/>
                <w:szCs w:val="20"/>
                <w:color w:val="auto"/>
                <w:w w:val="99"/>
              </w:rPr>
              <w:t>Enterprise value . . . . . . . . . . . . . . . . . . . . . . . . . . . . . . . . . . . . . . . . . . . . . . . .</w:t>
            </w:r>
          </w:p>
        </w:tc>
        <w:tc>
          <w:tcPr>
            <w:tcW w:w="920" w:type="dxa"/>
            <w:vAlign w:val="bottom"/>
          </w:tcPr>
          <w:p>
            <w:pPr>
              <w:jc w:val="right"/>
              <w:ind w:right="700"/>
              <w:spacing w:after="0"/>
              <w:rPr>
                <w:sz w:val="20"/>
                <w:szCs w:val="20"/>
                <w:color w:val="auto"/>
              </w:rPr>
            </w:pPr>
            <w:r>
              <w:rPr>
                <w:rFonts w:ascii="Arial" w:cs="Arial" w:eastAsia="Arial" w:hAnsi="Arial"/>
                <w:sz w:val="20"/>
                <w:szCs w:val="20"/>
                <w:color w:val="auto"/>
                <w:w w:val="89"/>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2,500</w:t>
            </w:r>
          </w:p>
        </w:tc>
      </w:tr>
      <w:tr>
        <w:trPr>
          <w:trHeight w:val="254"/>
        </w:trPr>
        <w:tc>
          <w:tcPr>
            <w:tcW w:w="6740" w:type="dxa"/>
            <w:vAlign w:val="bottom"/>
          </w:tcPr>
          <w:p>
            <w:pPr>
              <w:spacing w:after="0" w:line="255" w:lineRule="exact"/>
              <w:rPr>
                <w:sz w:val="20"/>
                <w:szCs w:val="20"/>
                <w:color w:val="auto"/>
              </w:rPr>
            </w:pPr>
            <w:r>
              <w:rPr>
                <w:rFonts w:ascii="Arial" w:cs="Arial" w:eastAsia="Arial" w:hAnsi="Arial"/>
                <w:sz w:val="20"/>
                <w:szCs w:val="20"/>
                <w:color w:val="auto"/>
                <w:w w:val="98"/>
              </w:rPr>
              <w:t>Add: Unrestricted cash</w:t>
            </w:r>
            <w:r>
              <w:rPr>
                <w:rFonts w:ascii="Arial" w:cs="Arial" w:eastAsia="Arial" w:hAnsi="Arial"/>
                <w:sz w:val="26"/>
                <w:szCs w:val="26"/>
                <w:color w:val="auto"/>
                <w:w w:val="98"/>
                <w:vertAlign w:val="superscript"/>
              </w:rPr>
              <w:t>(a)</w:t>
            </w:r>
            <w:r>
              <w:rPr>
                <w:rFonts w:ascii="Arial" w:cs="Arial" w:eastAsia="Arial" w:hAnsi="Arial"/>
                <w:sz w:val="20"/>
                <w:szCs w:val="20"/>
                <w:color w:val="auto"/>
                <w:w w:val="98"/>
              </w:rPr>
              <w:t xml:space="preserve"> . . . . . . . . . . . . . . . . . . . . . . . . . . . . . . . . . . . . . . . . .</w:t>
            </w:r>
          </w:p>
        </w:tc>
        <w:tc>
          <w:tcPr>
            <w:tcW w:w="9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163</w:t>
            </w:r>
          </w:p>
        </w:tc>
      </w:tr>
      <w:tr>
        <w:trPr>
          <w:trHeight w:val="240"/>
        </w:trPr>
        <w:tc>
          <w:tcPr>
            <w:tcW w:w="6740" w:type="dxa"/>
            <w:vAlign w:val="bottom"/>
          </w:tcPr>
          <w:p>
            <w:pPr>
              <w:spacing w:after="0" w:line="240" w:lineRule="exact"/>
              <w:rPr>
                <w:sz w:val="20"/>
                <w:szCs w:val="20"/>
                <w:color w:val="auto"/>
              </w:rPr>
            </w:pPr>
            <w:r>
              <w:rPr>
                <w:rFonts w:ascii="Arial" w:cs="Arial" w:eastAsia="Arial" w:hAnsi="Arial"/>
                <w:sz w:val="20"/>
                <w:szCs w:val="20"/>
                <w:color w:val="auto"/>
                <w:w w:val="98"/>
              </w:rPr>
              <w:t>Add: Current liabilities</w:t>
            </w:r>
            <w:r>
              <w:rPr>
                <w:rFonts w:ascii="Arial" w:cs="Arial" w:eastAsia="Arial" w:hAnsi="Arial"/>
                <w:sz w:val="26"/>
                <w:szCs w:val="26"/>
                <w:color w:val="auto"/>
                <w:w w:val="98"/>
                <w:vertAlign w:val="superscript"/>
              </w:rPr>
              <w:t>(b)</w:t>
            </w:r>
            <w:r>
              <w:rPr>
                <w:rFonts w:ascii="Arial" w:cs="Arial" w:eastAsia="Arial" w:hAnsi="Arial"/>
                <w:sz w:val="20"/>
                <w:szCs w:val="20"/>
                <w:color w:val="auto"/>
                <w:w w:val="98"/>
              </w:rPr>
              <w:t xml:space="preserve">   . . . . . . . . . . . . . . . . . . . . . . . . . . . . . . . . . . . . . . . . .</w:t>
            </w:r>
          </w:p>
        </w:tc>
        <w:tc>
          <w:tcPr>
            <w:tcW w:w="920" w:type="dxa"/>
            <w:vAlign w:val="bottom"/>
          </w:tcPr>
          <w:p>
            <w:pPr>
              <w:spacing w:after="0"/>
              <w:rPr>
                <w:sz w:val="20"/>
                <w:szCs w:val="20"/>
                <w:color w:val="auto"/>
              </w:rPr>
            </w:pPr>
          </w:p>
        </w:tc>
        <w:tc>
          <w:tcPr>
            <w:tcW w:w="1340" w:type="dxa"/>
            <w:vAlign w:val="bottom"/>
          </w:tcPr>
          <w:p>
            <w:pPr>
              <w:jc w:val="right"/>
              <w:spacing w:after="0" w:line="226" w:lineRule="exact"/>
              <w:rPr>
                <w:sz w:val="20"/>
                <w:szCs w:val="20"/>
                <w:color w:val="auto"/>
              </w:rPr>
            </w:pPr>
            <w:r>
              <w:rPr>
                <w:rFonts w:ascii="Arial" w:cs="Arial" w:eastAsia="Arial" w:hAnsi="Arial"/>
                <w:sz w:val="20"/>
                <w:szCs w:val="20"/>
                <w:color w:val="auto"/>
              </w:rPr>
              <w:t>396</w:t>
            </w:r>
          </w:p>
        </w:tc>
      </w:tr>
      <w:tr>
        <w:trPr>
          <w:trHeight w:val="240"/>
        </w:trPr>
        <w:tc>
          <w:tcPr>
            <w:tcW w:w="6740" w:type="dxa"/>
            <w:vAlign w:val="bottom"/>
          </w:tcPr>
          <w:p>
            <w:pPr>
              <w:spacing w:after="0" w:line="240" w:lineRule="exact"/>
              <w:rPr>
                <w:sz w:val="20"/>
                <w:szCs w:val="20"/>
                <w:color w:val="auto"/>
              </w:rPr>
            </w:pPr>
            <w:r>
              <w:rPr>
                <w:rFonts w:ascii="Arial" w:cs="Arial" w:eastAsia="Arial" w:hAnsi="Arial"/>
                <w:sz w:val="20"/>
                <w:szCs w:val="20"/>
                <w:color w:val="auto"/>
                <w:w w:val="99"/>
              </w:rPr>
              <w:t>Add: Other long-term liabilities</w:t>
            </w:r>
            <w:r>
              <w:rPr>
                <w:rFonts w:ascii="Arial" w:cs="Arial" w:eastAsia="Arial" w:hAnsi="Arial"/>
                <w:sz w:val="26"/>
                <w:szCs w:val="26"/>
                <w:color w:val="auto"/>
                <w:w w:val="99"/>
                <w:vertAlign w:val="superscript"/>
              </w:rPr>
              <w:t>(b)</w:t>
            </w:r>
            <w:r>
              <w:rPr>
                <w:rFonts w:ascii="Arial" w:cs="Arial" w:eastAsia="Arial" w:hAnsi="Arial"/>
                <w:sz w:val="20"/>
                <w:szCs w:val="20"/>
                <w:color w:val="auto"/>
                <w:w w:val="99"/>
              </w:rPr>
              <w:t xml:space="preserve"> . . . . . . . . . . . . . . . . . . . . . . . . . . . . . . . . . . .</w:t>
            </w:r>
          </w:p>
        </w:tc>
        <w:tc>
          <w:tcPr>
            <w:tcW w:w="920" w:type="dxa"/>
            <w:vAlign w:val="bottom"/>
          </w:tcPr>
          <w:p>
            <w:pPr>
              <w:spacing w:after="0"/>
              <w:rPr>
                <w:sz w:val="20"/>
                <w:szCs w:val="20"/>
                <w:color w:val="auto"/>
              </w:rPr>
            </w:pPr>
          </w:p>
        </w:tc>
        <w:tc>
          <w:tcPr>
            <w:tcW w:w="1340" w:type="dxa"/>
            <w:vAlign w:val="bottom"/>
          </w:tcPr>
          <w:p>
            <w:pPr>
              <w:jc w:val="right"/>
              <w:spacing w:after="0" w:line="226" w:lineRule="exact"/>
              <w:rPr>
                <w:sz w:val="20"/>
                <w:szCs w:val="20"/>
                <w:color w:val="auto"/>
              </w:rPr>
            </w:pPr>
            <w:r>
              <w:rPr>
                <w:rFonts w:ascii="Arial" w:cs="Arial" w:eastAsia="Arial" w:hAnsi="Arial"/>
                <w:sz w:val="20"/>
                <w:szCs w:val="20"/>
                <w:color w:val="auto"/>
              </w:rPr>
              <w:t>231</w:t>
            </w:r>
          </w:p>
        </w:tc>
      </w:tr>
      <w:tr>
        <w:trPr>
          <w:trHeight w:val="226"/>
        </w:trPr>
        <w:tc>
          <w:tcPr>
            <w:tcW w:w="6740" w:type="dxa"/>
            <w:vAlign w:val="bottom"/>
          </w:tcPr>
          <w:p>
            <w:pPr>
              <w:spacing w:after="0" w:line="226" w:lineRule="exact"/>
              <w:rPr>
                <w:sz w:val="20"/>
                <w:szCs w:val="20"/>
                <w:color w:val="auto"/>
              </w:rPr>
            </w:pPr>
            <w:r>
              <w:rPr>
                <w:rFonts w:ascii="Arial" w:cs="Arial" w:eastAsia="Arial" w:hAnsi="Arial"/>
                <w:sz w:val="20"/>
                <w:szCs w:val="20"/>
                <w:color w:val="auto"/>
                <w:w w:val="98"/>
              </w:rPr>
              <w:t>Less: Other . . . . . . . . . . . . . . . . . . . . . . . . . . . . . . . . . . . . . . . . . . . . . . . . . . . .</w:t>
            </w:r>
          </w:p>
        </w:tc>
        <w:tc>
          <w:tcPr>
            <w:tcW w:w="920" w:type="dxa"/>
            <w:vAlign w:val="bottom"/>
          </w:tcPr>
          <w:p>
            <w:pPr>
              <w:spacing w:after="0"/>
              <w:rPr>
                <w:sz w:val="19"/>
                <w:szCs w:val="19"/>
                <w:color w:val="auto"/>
              </w:rPr>
            </w:pPr>
          </w:p>
        </w:tc>
        <w:tc>
          <w:tcPr>
            <w:tcW w:w="1340" w:type="dxa"/>
            <w:vAlign w:val="bottom"/>
          </w:tcPr>
          <w:p>
            <w:pPr>
              <w:jc w:val="right"/>
              <w:spacing w:after="0" w:line="226" w:lineRule="exact"/>
              <w:rPr>
                <w:sz w:val="20"/>
                <w:szCs w:val="20"/>
                <w:color w:val="auto"/>
              </w:rPr>
            </w:pPr>
            <w:r>
              <w:rPr>
                <w:rFonts w:ascii="Arial" w:cs="Arial" w:eastAsia="Arial" w:hAnsi="Arial"/>
                <w:sz w:val="20"/>
                <w:szCs w:val="20"/>
                <w:color w:val="auto"/>
              </w:rPr>
              <w:t>(2)</w:t>
            </w:r>
          </w:p>
        </w:tc>
      </w:tr>
      <w:tr>
        <w:trPr>
          <w:trHeight w:val="28"/>
        </w:trPr>
        <w:tc>
          <w:tcPr>
            <w:tcW w:w="6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2"/>
        </w:trPr>
        <w:tc>
          <w:tcPr>
            <w:tcW w:w="6740" w:type="dxa"/>
            <w:vAlign w:val="bottom"/>
          </w:tcPr>
          <w:p>
            <w:pPr>
              <w:spacing w:after="0"/>
              <w:rPr>
                <w:sz w:val="20"/>
                <w:szCs w:val="20"/>
                <w:color w:val="auto"/>
              </w:rPr>
            </w:pPr>
            <w:r>
              <w:rPr>
                <w:rFonts w:ascii="Arial" w:cs="Arial" w:eastAsia="Arial" w:hAnsi="Arial"/>
                <w:sz w:val="20"/>
                <w:szCs w:val="20"/>
                <w:b w:val="1"/>
                <w:bCs w:val="1"/>
                <w:color w:val="auto"/>
                <w:w w:val="99"/>
              </w:rPr>
              <w:t xml:space="preserve">Reorganization value  </w:t>
            </w:r>
            <w:r>
              <w:rPr>
                <w:rFonts w:ascii="Arial" w:cs="Arial" w:eastAsia="Arial" w:hAnsi="Arial"/>
                <w:sz w:val="20"/>
                <w:szCs w:val="20"/>
                <w:color w:val="auto"/>
                <w:w w:val="99"/>
              </w:rPr>
              <w:t>. . . . . . . . . . . . . . . . . . . . . . . . . . . . . . . . . . . . . . . . . .</w:t>
            </w:r>
          </w:p>
        </w:tc>
        <w:tc>
          <w:tcPr>
            <w:tcW w:w="920" w:type="dxa"/>
            <w:vAlign w:val="bottom"/>
          </w:tcPr>
          <w:p>
            <w:pPr>
              <w:jc w:val="right"/>
              <w:ind w:right="700"/>
              <w:spacing w:after="0"/>
              <w:rPr>
                <w:sz w:val="20"/>
                <w:szCs w:val="20"/>
                <w:color w:val="auto"/>
              </w:rPr>
            </w:pPr>
            <w:r>
              <w:rPr>
                <w:rFonts w:ascii="Arial" w:cs="Arial" w:eastAsia="Arial" w:hAnsi="Arial"/>
                <w:sz w:val="20"/>
                <w:szCs w:val="20"/>
                <w:b w:val="1"/>
                <w:bCs w:val="1"/>
                <w:color w:val="auto"/>
                <w:w w:val="89"/>
              </w:rPr>
              <w:t>$</w:t>
            </w:r>
          </w:p>
        </w:tc>
        <w:tc>
          <w:tcPr>
            <w:tcW w:w="1340" w:type="dxa"/>
            <w:vAlign w:val="bottom"/>
          </w:tcPr>
          <w:p>
            <w:pPr>
              <w:jc w:val="right"/>
              <w:spacing w:after="0"/>
              <w:rPr>
                <w:sz w:val="20"/>
                <w:szCs w:val="20"/>
                <w:color w:val="auto"/>
              </w:rPr>
            </w:pPr>
            <w:r>
              <w:rPr>
                <w:rFonts w:ascii="Arial" w:cs="Arial" w:eastAsia="Arial" w:hAnsi="Arial"/>
                <w:sz w:val="20"/>
                <w:szCs w:val="20"/>
                <w:b w:val="1"/>
                <w:bCs w:val="1"/>
                <w:color w:val="auto"/>
              </w:rPr>
              <w:t>3,288</w:t>
            </w:r>
          </w:p>
        </w:tc>
      </w:tr>
      <w:tr>
        <w:trPr>
          <w:trHeight w:val="28"/>
        </w:trPr>
        <w:tc>
          <w:tcPr>
            <w:tcW w:w="6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left="640" w:hanging="320"/>
        <w:spacing w:after="0"/>
        <w:tabs>
          <w:tab w:leader="none" w:pos="6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Includes $118 million of cash used to temporarily collateralize letters of credit.</w:t>
      </w:r>
    </w:p>
    <w:p>
      <w:pPr>
        <w:spacing w:after="0" w:line="16" w:lineRule="exact"/>
        <w:rPr>
          <w:rFonts w:ascii="Arial" w:cs="Arial" w:eastAsia="Arial" w:hAnsi="Arial"/>
          <w:sz w:val="16"/>
          <w:szCs w:val="16"/>
          <w:color w:val="auto"/>
        </w:rPr>
      </w:pPr>
    </w:p>
    <w:p>
      <w:pPr>
        <w:ind w:left="640" w:hanging="320"/>
        <w:spacing w:after="0"/>
        <w:tabs>
          <w:tab w:leader="none" w:pos="6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Excludes asset retirement obligations of $50 million in current liabilities and $543 million in other long-term liabilities.</w:t>
      </w:r>
    </w:p>
    <w:p>
      <w:pPr>
        <w:sectPr>
          <w:pgSz w:w="11880" w:h="15480" w:orient="portrait"/>
          <w:cols w:equalWidth="0" w:num="1">
            <w:col w:w="9120"/>
          </w:cols>
          <w:pgMar w:left="1380" w:top="1310" w:right="1380" w:bottom="66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151</w:t>
      </w:r>
    </w:p>
    <w:p>
      <w:pPr>
        <w:sectPr>
          <w:pgSz w:w="11880" w:h="15480" w:orient="portrait"/>
          <w:cols w:equalWidth="0" w:num="1">
            <w:col w:w="9120"/>
          </w:cols>
          <w:pgMar w:left="1380" w:top="1310" w:right="1380" w:bottom="661" w:gutter="0" w:footer="0" w:header="0"/>
          <w:type w:val="continuous"/>
        </w:sectPr>
      </w:pPr>
    </w:p>
    <w:bookmarkStart w:id="155" w:name="page156"/>
    <w:bookmarkEnd w:id="155"/>
    <w:p>
      <w:pPr>
        <w:spacing w:after="0"/>
        <w:rPr>
          <w:sz w:val="20"/>
          <w:szCs w:val="20"/>
          <w:color w:val="auto"/>
        </w:rPr>
      </w:pPr>
      <w:r>
        <w:rPr>
          <w:rFonts w:ascii="Arial" w:cs="Arial" w:eastAsia="Arial" w:hAnsi="Arial"/>
          <w:sz w:val="20"/>
          <w:szCs w:val="20"/>
          <w:b w:val="1"/>
          <w:bCs w:val="1"/>
          <w:i w:val="1"/>
          <w:iCs w:val="1"/>
          <w:color w:val="auto"/>
        </w:rPr>
        <w:t>Consolidated Balance Sheet</w:t>
      </w:r>
    </w:p>
    <w:p>
      <w:pPr>
        <w:spacing w:after="0" w:line="215" w:lineRule="exact"/>
        <w:rPr>
          <w:sz w:val="20"/>
          <w:szCs w:val="20"/>
          <w:color w:val="auto"/>
        </w:rPr>
      </w:pPr>
    </w:p>
    <w:p>
      <w:pPr>
        <w:ind w:right="440" w:firstLine="300"/>
        <w:spacing w:after="0" w:line="248" w:lineRule="auto"/>
        <w:rPr>
          <w:sz w:val="20"/>
          <w:szCs w:val="20"/>
          <w:color w:val="auto"/>
        </w:rPr>
      </w:pPr>
      <w:r>
        <w:rPr>
          <w:rFonts w:ascii="Arial" w:cs="Arial" w:eastAsia="Arial" w:hAnsi="Arial"/>
          <w:sz w:val="20"/>
          <w:szCs w:val="20"/>
          <w:color w:val="auto"/>
        </w:rPr>
        <w:t>The following consolidated balance sheet, with accompanying explanatory notes, illustrates the effects of the transactions contemplated by the Plan (Reorganization Adjustments) and fair value adjustments resulting from the adoption of fresh start accounting (Fresh Start Adjustments) as of October 31, 2020 (in millions):</w:t>
      </w:r>
    </w:p>
    <w:p>
      <w:pPr>
        <w:sectPr>
          <w:pgSz w:w="11880" w:h="15480" w:orient="portrait"/>
          <w:cols w:equalWidth="0" w:num="1">
            <w:col w:w="9120"/>
          </w:cols>
          <w:pgMar w:left="1380" w:top="1311" w:right="1380" w:bottom="661" w:gutter="0" w:footer="0" w:header="0"/>
        </w:sectPr>
      </w:pP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60" w:type="dxa"/>
            <w:vAlign w:val="bottom"/>
            <w:gridSpan w:val="6"/>
          </w:tcPr>
          <w:p>
            <w:pPr>
              <w:ind w:left="40"/>
              <w:spacing w:after="0"/>
              <w:rPr>
                <w:sz w:val="20"/>
                <w:szCs w:val="20"/>
                <w:color w:val="auto"/>
              </w:rPr>
            </w:pPr>
            <w:r>
              <w:rPr>
                <w:rFonts w:ascii="Arial" w:cs="Arial" w:eastAsia="Arial" w:hAnsi="Arial"/>
                <w:sz w:val="20"/>
                <w:szCs w:val="20"/>
                <w:b w:val="1"/>
                <w:bCs w:val="1"/>
                <w:color w:val="auto"/>
              </w:rPr>
              <w:t>Reorganization</w:t>
            </w:r>
          </w:p>
        </w:tc>
        <w:tc>
          <w:tcPr>
            <w:tcW w:w="20" w:type="dxa"/>
            <w:vAlign w:val="bottom"/>
          </w:tcPr>
          <w:p>
            <w:pPr>
              <w:spacing w:after="0"/>
              <w:rPr>
                <w:sz w:val="19"/>
                <w:szCs w:val="19"/>
                <w:color w:val="auto"/>
              </w:rPr>
            </w:pPr>
          </w:p>
        </w:tc>
        <w:tc>
          <w:tcPr>
            <w:tcW w:w="1220" w:type="dxa"/>
            <w:vAlign w:val="bottom"/>
            <w:gridSpan w:val="3"/>
          </w:tcPr>
          <w:p>
            <w:pPr>
              <w:ind w:left="80"/>
              <w:spacing w:after="0"/>
              <w:rPr>
                <w:sz w:val="20"/>
                <w:szCs w:val="20"/>
                <w:color w:val="auto"/>
              </w:rPr>
            </w:pPr>
            <w:r>
              <w:rPr>
                <w:rFonts w:ascii="Arial" w:cs="Arial" w:eastAsia="Arial" w:hAnsi="Arial"/>
                <w:sz w:val="20"/>
                <w:szCs w:val="20"/>
                <w:b w:val="1"/>
                <w:bCs w:val="1"/>
                <w:color w:val="auto"/>
              </w:rPr>
              <w:t>Fresh Start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220" w:type="dxa"/>
            <w:vAlign w:val="bottom"/>
          </w:tcPr>
          <w:p>
            <w:pPr>
              <w:spacing w:after="0"/>
              <w:rPr>
                <w:sz w:val="19"/>
                <w:szCs w:val="19"/>
                <w:color w:val="auto"/>
              </w:rPr>
            </w:pPr>
          </w:p>
        </w:tc>
        <w:tc>
          <w:tcPr>
            <w:tcW w:w="2660" w:type="dxa"/>
            <w:vAlign w:val="bottom"/>
            <w:gridSpan w:val="8"/>
          </w:tcPr>
          <w:p>
            <w:pPr>
              <w:ind w:left="40"/>
              <w:spacing w:after="0" w:line="228" w:lineRule="exact"/>
              <w:rPr>
                <w:sz w:val="20"/>
                <w:szCs w:val="20"/>
                <w:color w:val="auto"/>
              </w:rPr>
            </w:pPr>
            <w:r>
              <w:rPr>
                <w:rFonts w:ascii="Arial" w:cs="Arial" w:eastAsia="Arial" w:hAnsi="Arial"/>
                <w:sz w:val="20"/>
                <w:szCs w:val="20"/>
                <w:b w:val="1"/>
                <w:bCs w:val="1"/>
                <w:color w:val="auto"/>
              </w:rPr>
              <w:t>Predecessor  Adjustments</w:t>
            </w:r>
          </w:p>
        </w:tc>
        <w:tc>
          <w:tcPr>
            <w:tcW w:w="320" w:type="dxa"/>
            <w:vAlign w:val="bottom"/>
          </w:tcPr>
          <w:p>
            <w:pPr>
              <w:spacing w:after="0"/>
              <w:rPr>
                <w:sz w:val="19"/>
                <w:szCs w:val="19"/>
                <w:color w:val="auto"/>
              </w:rPr>
            </w:pPr>
          </w:p>
        </w:tc>
        <w:tc>
          <w:tcPr>
            <w:tcW w:w="1240" w:type="dxa"/>
            <w:vAlign w:val="bottom"/>
            <w:gridSpan w:val="4"/>
          </w:tcPr>
          <w:p>
            <w:pPr>
              <w:ind w:left="20"/>
              <w:spacing w:after="0" w:line="228" w:lineRule="exact"/>
              <w:rPr>
                <w:sz w:val="20"/>
                <w:szCs w:val="20"/>
                <w:color w:val="auto"/>
              </w:rPr>
            </w:pPr>
            <w:r>
              <w:rPr>
                <w:rFonts w:ascii="Arial" w:cs="Arial" w:eastAsia="Arial" w:hAnsi="Arial"/>
                <w:sz w:val="20"/>
                <w:szCs w:val="20"/>
                <w:b w:val="1"/>
                <w:bCs w:val="1"/>
                <w:color w:val="auto"/>
                <w:w w:val="99"/>
              </w:rPr>
              <w:t>Adjustments</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Arial" w:cs="Arial" w:eastAsia="Arial" w:hAnsi="Arial"/>
                <w:sz w:val="20"/>
                <w:szCs w:val="20"/>
                <w:b w:val="1"/>
                <w:bCs w:val="1"/>
                <w:color w:val="auto"/>
              </w:rPr>
              <w:t>CURRENT ASSETS</w:t>
            </w: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32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20" w:type="dxa"/>
            <w:vAlign w:val="bottom"/>
          </w:tcPr>
          <w:p>
            <w:pPr>
              <w:ind w:left="320"/>
              <w:spacing w:after="0" w:line="223" w:lineRule="exact"/>
              <w:rPr>
                <w:sz w:val="20"/>
                <w:szCs w:val="20"/>
                <w:color w:val="auto"/>
              </w:rPr>
            </w:pPr>
            <w:r>
              <w:rPr>
                <w:rFonts w:ascii="Arial" w:cs="Arial" w:eastAsia="Arial" w:hAnsi="Arial"/>
                <w:sz w:val="20"/>
                <w:szCs w:val="20"/>
                <w:color w:val="auto"/>
                <w:w w:val="95"/>
              </w:rPr>
              <w:t>Cash . . . . . . . . . . . . . . . . . . . . . . .</w:t>
            </w:r>
          </w:p>
        </w:tc>
        <w:tc>
          <w:tcPr>
            <w:tcW w:w="320" w:type="dxa"/>
            <w:vAlign w:val="bottom"/>
            <w:gridSpan w:val="2"/>
          </w:tcPr>
          <w:p>
            <w:pPr>
              <w:jc w:val="right"/>
              <w:ind w:right="200"/>
              <w:spacing w:after="0" w:line="223" w:lineRule="exact"/>
              <w:rPr>
                <w:sz w:val="20"/>
                <w:szCs w:val="20"/>
                <w:color w:val="auto"/>
              </w:rPr>
            </w:pPr>
            <w:r>
              <w:rPr>
                <w:rFonts w:ascii="Arial" w:cs="Arial" w:eastAsia="Arial" w:hAnsi="Arial"/>
                <w:sz w:val="20"/>
                <w:szCs w:val="20"/>
                <w:color w:val="auto"/>
                <w:w w:val="89"/>
              </w:rPr>
              <w:t>$</w:t>
            </w:r>
          </w:p>
        </w:tc>
        <w:tc>
          <w:tcPr>
            <w:tcW w:w="900" w:type="dxa"/>
            <w:vAlign w:val="bottom"/>
          </w:tcPr>
          <w:p>
            <w:pPr>
              <w:jc w:val="right"/>
              <w:spacing w:after="0" w:line="223" w:lineRule="exact"/>
              <w:rPr>
                <w:sz w:val="20"/>
                <w:szCs w:val="20"/>
                <w:color w:val="auto"/>
              </w:rPr>
            </w:pPr>
            <w:r>
              <w:rPr>
                <w:rFonts w:ascii="Arial" w:cs="Arial" w:eastAsia="Arial" w:hAnsi="Arial"/>
                <w:sz w:val="20"/>
                <w:szCs w:val="20"/>
                <w:color w:val="auto"/>
              </w:rPr>
              <w:t>106</w:t>
            </w:r>
          </w:p>
        </w:tc>
        <w:tc>
          <w:tcPr>
            <w:tcW w:w="60" w:type="dxa"/>
            <w:vAlign w:val="bottom"/>
          </w:tcPr>
          <w:p>
            <w:pPr>
              <w:spacing w:after="0"/>
              <w:rPr>
                <w:sz w:val="19"/>
                <w:szCs w:val="19"/>
                <w:color w:val="auto"/>
              </w:rPr>
            </w:pPr>
          </w:p>
        </w:tc>
        <w:tc>
          <w:tcPr>
            <w:tcW w:w="440" w:type="dxa"/>
            <w:vAlign w:val="bottom"/>
            <w:gridSpan w:val="2"/>
          </w:tcPr>
          <w:p>
            <w:pPr>
              <w:jc w:val="right"/>
              <w:ind w:right="200"/>
              <w:spacing w:after="0" w:line="223" w:lineRule="exact"/>
              <w:rPr>
                <w:sz w:val="20"/>
                <w:szCs w:val="20"/>
                <w:color w:val="auto"/>
              </w:rPr>
            </w:pPr>
            <w:r>
              <w:rPr>
                <w:rFonts w:ascii="Arial" w:cs="Arial" w:eastAsia="Arial" w:hAnsi="Arial"/>
                <w:sz w:val="20"/>
                <w:szCs w:val="20"/>
                <w:color w:val="auto"/>
              </w:rPr>
              <w:t>$</w:t>
            </w:r>
          </w:p>
        </w:tc>
        <w:tc>
          <w:tcPr>
            <w:tcW w:w="800" w:type="dxa"/>
            <w:vAlign w:val="bottom"/>
          </w:tcPr>
          <w:p>
            <w:pPr>
              <w:jc w:val="right"/>
              <w:spacing w:after="0" w:line="223" w:lineRule="exact"/>
              <w:rPr>
                <w:sz w:val="20"/>
                <w:szCs w:val="20"/>
                <w:color w:val="auto"/>
              </w:rPr>
            </w:pPr>
            <w:r>
              <w:rPr>
                <w:rFonts w:ascii="Arial" w:cs="Arial" w:eastAsia="Arial" w:hAnsi="Arial"/>
                <w:sz w:val="20"/>
                <w:szCs w:val="20"/>
                <w:color w:val="auto"/>
              </w:rPr>
              <w:t>97</w:t>
            </w:r>
          </w:p>
        </w:tc>
        <w:tc>
          <w:tcPr>
            <w:tcW w:w="14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(1)</w:t>
            </w:r>
          </w:p>
        </w:tc>
        <w:tc>
          <w:tcPr>
            <w:tcW w:w="300" w:type="dxa"/>
            <w:vAlign w:val="bottom"/>
            <w:gridSpan w:val="2"/>
          </w:tcPr>
          <w:p>
            <w:pPr>
              <w:ind w:left="20"/>
              <w:spacing w:after="0" w:line="223" w:lineRule="exact"/>
              <w:rPr>
                <w:sz w:val="20"/>
                <w:szCs w:val="20"/>
                <w:color w:val="auto"/>
              </w:rPr>
            </w:pPr>
            <w:r>
              <w:rPr>
                <w:rFonts w:ascii="Arial" w:cs="Arial" w:eastAsia="Arial" w:hAnsi="Arial"/>
                <w:sz w:val="20"/>
                <w:szCs w:val="20"/>
                <w:color w:val="auto"/>
              </w:rPr>
              <w:t>$</w:t>
            </w:r>
          </w:p>
        </w:tc>
        <w:tc>
          <w:tcPr>
            <w:tcW w:w="940" w:type="dxa"/>
            <w:vAlign w:val="bottom"/>
            <w:gridSpan w:val="2"/>
          </w:tcPr>
          <w:p>
            <w:pPr>
              <w:jc w:val="right"/>
              <w:ind w:right="100"/>
              <w:spacing w:after="0" w:line="223" w:lineRule="exact"/>
              <w:rPr>
                <w:sz w:val="20"/>
                <w:szCs w:val="20"/>
                <w:color w:val="auto"/>
              </w:rPr>
            </w:pPr>
            <w:r>
              <w:rPr>
                <w:rFonts w:ascii="Arial" w:cs="Arial" w:eastAsia="Arial" w:hAnsi="Arial"/>
                <w:sz w:val="20"/>
                <w:szCs w:val="20"/>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20" w:type="dxa"/>
            <w:vAlign w:val="bottom"/>
          </w:tcPr>
          <w:p>
            <w:pPr>
              <w:ind w:left="320"/>
              <w:spacing w:after="0" w:line="223" w:lineRule="exact"/>
              <w:rPr>
                <w:sz w:val="20"/>
                <w:szCs w:val="20"/>
                <w:color w:val="auto"/>
              </w:rPr>
            </w:pPr>
            <w:r>
              <w:rPr>
                <w:rFonts w:ascii="Arial" w:cs="Arial" w:eastAsia="Arial" w:hAnsi="Arial"/>
                <w:sz w:val="20"/>
                <w:szCs w:val="20"/>
                <w:color w:val="auto"/>
                <w:w w:val="98"/>
              </w:rPr>
              <w:t>Trade receivables . . . . . . . . . . . .</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Arial" w:cs="Arial" w:eastAsia="Arial" w:hAnsi="Arial"/>
                <w:sz w:val="20"/>
                <w:szCs w:val="20"/>
                <w:color w:val="auto"/>
              </w:rPr>
              <w:t>149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200"/>
              <w:spacing w:after="0" w:line="223" w:lineRule="exact"/>
              <w:rPr>
                <w:sz w:val="20"/>
                <w:szCs w:val="20"/>
                <w:color w:val="auto"/>
              </w:rPr>
            </w:pPr>
            <w:r>
              <w:rPr>
                <w:rFonts w:ascii="Arial" w:cs="Arial" w:eastAsia="Arial" w:hAnsi="Arial"/>
                <w:sz w:val="20"/>
                <w:szCs w:val="20"/>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00"/>
              <w:spacing w:after="0" w:line="223" w:lineRule="exact"/>
              <w:rPr>
                <w:sz w:val="20"/>
                <w:szCs w:val="20"/>
                <w:color w:val="auto"/>
              </w:rPr>
            </w:pPr>
            <w:r>
              <w:rPr>
                <w:rFonts w:ascii="Arial" w:cs="Arial" w:eastAsia="Arial" w:hAnsi="Arial"/>
                <w:sz w:val="20"/>
                <w:szCs w:val="20"/>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20" w:type="dxa"/>
            <w:vAlign w:val="bottom"/>
          </w:tcPr>
          <w:p>
            <w:pPr>
              <w:ind w:left="320"/>
              <w:spacing w:after="0" w:line="223" w:lineRule="exact"/>
              <w:rPr>
                <w:sz w:val="20"/>
                <w:szCs w:val="20"/>
                <w:color w:val="auto"/>
              </w:rPr>
            </w:pPr>
            <w:r>
              <w:rPr>
                <w:rFonts w:ascii="Arial" w:cs="Arial" w:eastAsia="Arial" w:hAnsi="Arial"/>
                <w:sz w:val="20"/>
                <w:szCs w:val="20"/>
                <w:color w:val="auto"/>
                <w:w w:val="96"/>
              </w:rPr>
              <w:t>Inventories . . . . . . . . . . . . . . . . . .</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Arial" w:cs="Arial" w:eastAsia="Arial" w:hAnsi="Arial"/>
                <w:sz w:val="20"/>
                <w:szCs w:val="20"/>
                <w:color w:val="auto"/>
              </w:rPr>
              <w:t>61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200"/>
              <w:spacing w:after="0" w:line="223" w:lineRule="exact"/>
              <w:rPr>
                <w:sz w:val="20"/>
                <w:szCs w:val="20"/>
                <w:color w:val="auto"/>
              </w:rPr>
            </w:pPr>
            <w:r>
              <w:rPr>
                <w:rFonts w:ascii="Arial" w:cs="Arial" w:eastAsia="Arial" w:hAnsi="Arial"/>
                <w:sz w:val="20"/>
                <w:szCs w:val="20"/>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00"/>
              <w:spacing w:after="0" w:line="223" w:lineRule="exact"/>
              <w:rPr>
                <w:sz w:val="20"/>
                <w:szCs w:val="20"/>
                <w:color w:val="auto"/>
              </w:rPr>
            </w:pPr>
            <w:r>
              <w:rPr>
                <w:rFonts w:ascii="Arial" w:cs="Arial" w:eastAsia="Arial" w:hAnsi="Arial"/>
                <w:sz w:val="20"/>
                <w:szCs w:val="20"/>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20" w:type="dxa"/>
            <w:vAlign w:val="bottom"/>
          </w:tcPr>
          <w:p>
            <w:pPr>
              <w:ind w:left="320"/>
              <w:spacing w:after="0" w:line="224" w:lineRule="exact"/>
              <w:rPr>
                <w:sz w:val="20"/>
                <w:szCs w:val="20"/>
                <w:color w:val="auto"/>
              </w:rPr>
            </w:pPr>
            <w:r>
              <w:rPr>
                <w:rFonts w:ascii="Arial" w:cs="Arial" w:eastAsia="Arial" w:hAnsi="Arial"/>
                <w:sz w:val="20"/>
                <w:szCs w:val="20"/>
                <w:color w:val="auto"/>
                <w:w w:val="98"/>
              </w:rPr>
              <w:t>Other current assets, net  . . . . . .</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line="224" w:lineRule="exact"/>
              <w:rPr>
                <w:sz w:val="20"/>
                <w:szCs w:val="20"/>
                <w:color w:val="auto"/>
              </w:rPr>
            </w:pPr>
            <w:r>
              <w:rPr>
                <w:rFonts w:ascii="Arial" w:cs="Arial" w:eastAsia="Arial" w:hAnsi="Arial"/>
                <w:sz w:val="20"/>
                <w:szCs w:val="20"/>
                <w:color w:val="auto"/>
              </w:rPr>
              <w:t>104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line="224" w:lineRule="exact"/>
              <w:rPr>
                <w:sz w:val="20"/>
                <w:szCs w:val="20"/>
                <w:color w:val="auto"/>
              </w:rPr>
            </w:pPr>
            <w:r>
              <w:rPr>
                <w:rFonts w:ascii="Arial" w:cs="Arial" w:eastAsia="Arial" w:hAnsi="Arial"/>
                <w:sz w:val="20"/>
                <w:szCs w:val="20"/>
                <w:color w:val="auto"/>
              </w:rPr>
              <w:t>(2)</w:t>
            </w:r>
          </w:p>
        </w:tc>
        <w:tc>
          <w:tcPr>
            <w:tcW w:w="14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00"/>
              <w:spacing w:after="0" w:line="224" w:lineRule="exact"/>
              <w:rPr>
                <w:sz w:val="20"/>
                <w:szCs w:val="20"/>
                <w:color w:val="auto"/>
              </w:rPr>
            </w:pPr>
            <w:r>
              <w:rPr>
                <w:rFonts w:ascii="Arial" w:cs="Arial" w:eastAsia="Arial" w:hAnsi="Arial"/>
                <w:sz w:val="20"/>
                <w:szCs w:val="20"/>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32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3220" w:type="dxa"/>
            <w:vAlign w:val="bottom"/>
          </w:tcPr>
          <w:p>
            <w:pPr>
              <w:jc w:val="right"/>
              <w:spacing w:after="0"/>
              <w:rPr>
                <w:sz w:val="20"/>
                <w:szCs w:val="20"/>
                <w:color w:val="auto"/>
              </w:rPr>
            </w:pPr>
            <w:r>
              <w:rPr>
                <w:rFonts w:ascii="Arial" w:cs="Arial" w:eastAsia="Arial" w:hAnsi="Arial"/>
                <w:sz w:val="20"/>
                <w:szCs w:val="20"/>
                <w:color w:val="auto"/>
              </w:rPr>
              <w:t>Total current assets . . . . . . . . .</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420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95</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20" w:type="dxa"/>
            <w:vAlign w:val="bottom"/>
          </w:tcPr>
          <w:p>
            <w:pPr>
              <w:spacing w:after="0" w:line="223" w:lineRule="exact"/>
              <w:rPr>
                <w:sz w:val="20"/>
                <w:szCs w:val="20"/>
                <w:color w:val="auto"/>
              </w:rPr>
            </w:pPr>
            <w:r>
              <w:rPr>
                <w:rFonts w:ascii="Arial" w:cs="Arial" w:eastAsia="Arial" w:hAnsi="Arial"/>
                <w:sz w:val="20"/>
                <w:szCs w:val="20"/>
                <w:b w:val="1"/>
                <w:bCs w:val="1"/>
                <w:color w:val="auto"/>
              </w:rPr>
              <w:t>PROPERTY, PLANT AND</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20" w:type="dxa"/>
            <w:vAlign w:val="bottom"/>
          </w:tcPr>
          <w:p>
            <w:pPr>
              <w:jc w:val="right"/>
              <w:spacing w:after="0" w:line="228" w:lineRule="exact"/>
              <w:rPr>
                <w:sz w:val="20"/>
                <w:szCs w:val="20"/>
                <w:color w:val="auto"/>
              </w:rPr>
            </w:pPr>
            <w:r>
              <w:rPr>
                <w:rFonts w:ascii="Arial" w:cs="Arial" w:eastAsia="Arial" w:hAnsi="Arial"/>
                <w:sz w:val="20"/>
                <w:szCs w:val="20"/>
                <w:b w:val="1"/>
                <w:bCs w:val="1"/>
                <w:color w:val="auto"/>
                <w:w w:val="96"/>
              </w:rPr>
              <w:t xml:space="preserve">EQUIPMENT </w:t>
            </w:r>
            <w:r>
              <w:rPr>
                <w:rFonts w:ascii="Arial" w:cs="Arial" w:eastAsia="Arial" w:hAnsi="Arial"/>
                <w:sz w:val="20"/>
                <w:szCs w:val="20"/>
                <w:color w:val="auto"/>
                <w:w w:val="96"/>
              </w:rPr>
              <w:t>. . . . . . . . . . . . . . . . . . .</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line="228" w:lineRule="exact"/>
              <w:rPr>
                <w:sz w:val="20"/>
                <w:szCs w:val="20"/>
                <w:color w:val="auto"/>
              </w:rPr>
            </w:pPr>
            <w:r>
              <w:rPr>
                <w:rFonts w:ascii="Arial" w:cs="Arial" w:eastAsia="Arial" w:hAnsi="Arial"/>
                <w:sz w:val="20"/>
                <w:szCs w:val="20"/>
                <w:color w:val="auto"/>
              </w:rPr>
              <w:t>22,918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200"/>
              <w:spacing w:after="0" w:line="228" w:lineRule="exact"/>
              <w:rPr>
                <w:sz w:val="20"/>
                <w:szCs w:val="20"/>
                <w:color w:val="auto"/>
              </w:rPr>
            </w:pPr>
            <w:r>
              <w:rPr>
                <w:rFonts w:ascii="Arial" w:cs="Arial" w:eastAsia="Arial" w:hAnsi="Arial"/>
                <w:sz w:val="20"/>
                <w:szCs w:val="20"/>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3"/>
          </w:tcPr>
          <w:p>
            <w:pPr>
              <w:jc w:val="right"/>
              <w:spacing w:after="0" w:line="228" w:lineRule="exact"/>
              <w:rPr>
                <w:sz w:val="20"/>
                <w:szCs w:val="20"/>
                <w:color w:val="auto"/>
              </w:rPr>
            </w:pPr>
            <w:r>
              <w:rPr>
                <w:rFonts w:ascii="Arial" w:cs="Arial" w:eastAsia="Arial" w:hAnsi="Arial"/>
                <w:sz w:val="20"/>
                <w:szCs w:val="20"/>
                <w:color w:val="auto"/>
              </w:rPr>
              <w:t xml:space="preserve">(20,236) </w:t>
            </w: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23"/>
        </w:trPr>
        <w:tc>
          <w:tcPr>
            <w:tcW w:w="3220" w:type="dxa"/>
            <w:vAlign w:val="bottom"/>
          </w:tcPr>
          <w:p>
            <w:pPr>
              <w:ind w:left="320"/>
              <w:spacing w:after="0" w:line="223" w:lineRule="exact"/>
              <w:rPr>
                <w:sz w:val="20"/>
                <w:szCs w:val="20"/>
                <w:color w:val="auto"/>
              </w:rPr>
            </w:pPr>
            <w:r>
              <w:rPr>
                <w:rFonts w:ascii="Arial" w:cs="Arial" w:eastAsia="Arial" w:hAnsi="Arial"/>
                <w:sz w:val="20"/>
                <w:szCs w:val="20"/>
                <w:color w:val="auto"/>
              </w:rPr>
              <w:t>Accumulated depreciation,</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20" w:type="dxa"/>
            <w:vAlign w:val="bottom"/>
          </w:tcPr>
          <w:p>
            <w:pPr>
              <w:jc w:val="right"/>
              <w:spacing w:after="0" w:line="226" w:lineRule="exact"/>
              <w:rPr>
                <w:sz w:val="20"/>
                <w:szCs w:val="20"/>
                <w:color w:val="auto"/>
              </w:rPr>
            </w:pPr>
            <w:r>
              <w:rPr>
                <w:rFonts w:ascii="Arial" w:cs="Arial" w:eastAsia="Arial" w:hAnsi="Arial"/>
                <w:sz w:val="20"/>
                <w:szCs w:val="20"/>
                <w:color w:val="auto"/>
              </w:rPr>
              <w:t>depletion and amortization . . . . .</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spacing w:after="0" w:line="226" w:lineRule="exact"/>
              <w:rPr>
                <w:sz w:val="20"/>
                <w:szCs w:val="20"/>
                <w:color w:val="auto"/>
              </w:rPr>
            </w:pPr>
            <w:r>
              <w:rPr>
                <w:rFonts w:ascii="Arial" w:cs="Arial" w:eastAsia="Arial" w:hAnsi="Arial"/>
                <w:sz w:val="20"/>
                <w:szCs w:val="20"/>
                <w:color w:val="auto"/>
              </w:rPr>
              <w:t>(18,588)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200"/>
              <w:spacing w:after="0" w:line="226" w:lineRule="exact"/>
              <w:rPr>
                <w:sz w:val="20"/>
                <w:szCs w:val="20"/>
                <w:color w:val="auto"/>
              </w:rPr>
            </w:pPr>
            <w:r>
              <w:rPr>
                <w:rFonts w:ascii="Arial" w:cs="Arial" w:eastAsia="Arial" w:hAnsi="Arial"/>
                <w:sz w:val="20"/>
                <w:szCs w:val="20"/>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line="226" w:lineRule="exact"/>
              <w:rPr>
                <w:sz w:val="20"/>
                <w:szCs w:val="20"/>
                <w:color w:val="auto"/>
              </w:rPr>
            </w:pPr>
            <w:r>
              <w:rPr>
                <w:rFonts w:ascii="Arial" w:cs="Arial" w:eastAsia="Arial" w:hAnsi="Arial"/>
                <w:sz w:val="20"/>
                <w:szCs w:val="20"/>
                <w:color w:val="auto"/>
              </w:rPr>
              <w:t>18,588</w:t>
            </w:r>
          </w:p>
        </w:tc>
        <w:tc>
          <w:tcPr>
            <w:tcW w:w="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w w:val="88"/>
              </w:rPr>
              <w:t>(12)</w:t>
            </w:r>
          </w:p>
        </w:tc>
        <w:tc>
          <w:tcPr>
            <w:tcW w:w="0" w:type="dxa"/>
            <w:vAlign w:val="bottom"/>
          </w:tcPr>
          <w:p>
            <w:pPr>
              <w:spacing w:after="0"/>
              <w:rPr>
                <w:sz w:val="1"/>
                <w:szCs w:val="1"/>
                <w:color w:val="auto"/>
              </w:rPr>
            </w:pPr>
          </w:p>
        </w:tc>
      </w:tr>
      <w:tr>
        <w:trPr>
          <w:trHeight w:val="28"/>
        </w:trPr>
        <w:tc>
          <w:tcPr>
            <w:tcW w:w="3220" w:type="dxa"/>
            <w:vAlign w:val="bottom"/>
            <w:vMerge w:val="restart"/>
          </w:tcPr>
          <w:p>
            <w:pPr>
              <w:jc w:val="right"/>
              <w:ind w:right="440"/>
              <w:spacing w:after="0"/>
              <w:rPr>
                <w:sz w:val="20"/>
                <w:szCs w:val="20"/>
                <w:color w:val="auto"/>
              </w:rPr>
            </w:pPr>
            <w:r>
              <w:rPr>
                <w:rFonts w:ascii="Arial" w:cs="Arial" w:eastAsia="Arial" w:hAnsi="Arial"/>
                <w:sz w:val="20"/>
                <w:szCs w:val="20"/>
                <w:color w:val="auto"/>
              </w:rPr>
              <w:t>Total property, plant and</w:t>
            </w: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32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3220" w:type="dxa"/>
            <w:vAlign w:val="bottom"/>
          </w:tcPr>
          <w:p>
            <w:pPr>
              <w:jc w:val="right"/>
              <w:spacing w:after="0" w:line="219" w:lineRule="exact"/>
              <w:rPr>
                <w:sz w:val="20"/>
                <w:szCs w:val="20"/>
                <w:color w:val="auto"/>
              </w:rPr>
            </w:pPr>
            <w:r>
              <w:rPr>
                <w:rFonts w:ascii="Arial" w:cs="Arial" w:eastAsia="Arial" w:hAnsi="Arial"/>
                <w:sz w:val="20"/>
                <w:szCs w:val="20"/>
                <w:color w:val="auto"/>
              </w:rPr>
              <w:t>equipment, net . . . . . . . . . . . . .</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line="219" w:lineRule="exact"/>
              <w:rPr>
                <w:sz w:val="20"/>
                <w:szCs w:val="20"/>
                <w:color w:val="auto"/>
              </w:rPr>
            </w:pPr>
            <w:r>
              <w:rPr>
                <w:rFonts w:ascii="Arial" w:cs="Arial" w:eastAsia="Arial" w:hAnsi="Arial"/>
                <w:sz w:val="20"/>
                <w:szCs w:val="20"/>
                <w:color w:val="auto"/>
              </w:rPr>
              <w:t>4,330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200"/>
              <w:spacing w:after="0" w:line="219" w:lineRule="exact"/>
              <w:rPr>
                <w:sz w:val="20"/>
                <w:szCs w:val="20"/>
                <w:color w:val="auto"/>
              </w:rPr>
            </w:pPr>
            <w:r>
              <w:rPr>
                <w:rFonts w:ascii="Arial" w:cs="Arial" w:eastAsia="Arial" w:hAnsi="Arial"/>
                <w:sz w:val="20"/>
                <w:szCs w:val="20"/>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line="219" w:lineRule="exact"/>
              <w:rPr>
                <w:sz w:val="20"/>
                <w:szCs w:val="20"/>
                <w:color w:val="auto"/>
              </w:rPr>
            </w:pPr>
            <w:r>
              <w:rPr>
                <w:rFonts w:ascii="Arial" w:cs="Arial" w:eastAsia="Arial" w:hAnsi="Arial"/>
                <w:sz w:val="20"/>
                <w:szCs w:val="20"/>
                <w:color w:val="auto"/>
              </w:rPr>
              <w:t>(1,648)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220" w:type="dxa"/>
            <w:vAlign w:val="bottom"/>
          </w:tcPr>
          <w:p>
            <w:pPr>
              <w:jc w:val="right"/>
              <w:spacing w:after="0" w:line="228" w:lineRule="exact"/>
              <w:rPr>
                <w:sz w:val="20"/>
                <w:szCs w:val="20"/>
                <w:color w:val="auto"/>
              </w:rPr>
            </w:pPr>
            <w:r>
              <w:rPr>
                <w:rFonts w:ascii="Arial" w:cs="Arial" w:eastAsia="Arial" w:hAnsi="Arial"/>
                <w:sz w:val="20"/>
                <w:szCs w:val="20"/>
                <w:b w:val="1"/>
                <w:bCs w:val="1"/>
                <w:color w:val="auto"/>
                <w:w w:val="97"/>
              </w:rPr>
              <w:t xml:space="preserve">OTHER ASSETS  </w:t>
            </w:r>
            <w:r>
              <w:rPr>
                <w:rFonts w:ascii="Arial" w:cs="Arial" w:eastAsia="Arial" w:hAnsi="Arial"/>
                <w:sz w:val="20"/>
                <w:szCs w:val="20"/>
                <w:color w:val="auto"/>
                <w:w w:val="97"/>
              </w:rPr>
              <w:t>. . . . . . . . . . . . . . .</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line="228" w:lineRule="exact"/>
              <w:rPr>
                <w:sz w:val="20"/>
                <w:szCs w:val="20"/>
                <w:color w:val="auto"/>
              </w:rPr>
            </w:pPr>
            <w:r>
              <w:rPr>
                <w:rFonts w:ascii="Arial" w:cs="Arial" w:eastAsia="Arial" w:hAnsi="Arial"/>
                <w:sz w:val="20"/>
                <w:szCs w:val="20"/>
                <w:color w:val="auto"/>
              </w:rPr>
              <w:t>77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line="228" w:lineRule="exact"/>
              <w:rPr>
                <w:sz w:val="20"/>
                <w:szCs w:val="20"/>
                <w:color w:val="auto"/>
              </w:rPr>
            </w:pPr>
            <w:r>
              <w:rPr>
                <w:rFonts w:ascii="Arial" w:cs="Arial" w:eastAsia="Arial" w:hAnsi="Arial"/>
                <w:sz w:val="20"/>
                <w:szCs w:val="20"/>
                <w:color w:val="auto"/>
              </w:rPr>
              <w:t>18</w:t>
            </w:r>
          </w:p>
        </w:tc>
        <w:tc>
          <w:tcPr>
            <w:tcW w:w="14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3"/>
          </w:tcPr>
          <w:p>
            <w:pPr>
              <w:jc w:val="right"/>
              <w:spacing w:after="0" w:line="228" w:lineRule="exact"/>
              <w:rPr>
                <w:sz w:val="20"/>
                <w:szCs w:val="20"/>
                <w:color w:val="auto"/>
              </w:rPr>
            </w:pPr>
            <w:r>
              <w:rPr>
                <w:rFonts w:ascii="Arial" w:cs="Arial" w:eastAsia="Arial" w:hAnsi="Arial"/>
                <w:sz w:val="20"/>
                <w:szCs w:val="20"/>
                <w:color w:val="auto"/>
              </w:rPr>
              <w:t xml:space="preserve">(4) </w:t>
            </w: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30"/>
        </w:trPr>
        <w:tc>
          <w:tcPr>
            <w:tcW w:w="3220" w:type="dxa"/>
            <w:vAlign w:val="bottom"/>
            <w:vMerge w:val="restart"/>
          </w:tcPr>
          <w:p>
            <w:pPr>
              <w:jc w:val="right"/>
              <w:spacing w:after="0"/>
              <w:rPr>
                <w:sz w:val="20"/>
                <w:szCs w:val="20"/>
                <w:color w:val="auto"/>
              </w:rPr>
            </w:pPr>
            <w:r>
              <w:rPr>
                <w:rFonts w:ascii="Arial" w:cs="Arial" w:eastAsia="Arial" w:hAnsi="Arial"/>
                <w:sz w:val="20"/>
                <w:szCs w:val="20"/>
                <w:b w:val="1"/>
                <w:bCs w:val="1"/>
                <w:color w:val="auto"/>
                <w:w w:val="96"/>
              </w:rPr>
              <w:t xml:space="preserve">TOTAL ASSETS </w:t>
            </w:r>
            <w:r>
              <w:rPr>
                <w:rFonts w:ascii="Arial" w:cs="Arial" w:eastAsia="Arial" w:hAnsi="Arial"/>
                <w:sz w:val="20"/>
                <w:szCs w:val="20"/>
                <w:color w:val="auto"/>
                <w:w w:val="96"/>
              </w:rPr>
              <w:t>. . . . . . . . . . . . . . . .</w:t>
            </w:r>
          </w:p>
        </w:tc>
        <w:tc>
          <w:tcPr>
            <w:tcW w:w="3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220" w:type="dxa"/>
            <w:vAlign w:val="bottom"/>
            <w:vMerge w:val="continue"/>
          </w:tcPr>
          <w:p>
            <w:pPr>
              <w:spacing w:after="0"/>
              <w:rPr>
                <w:sz w:val="22"/>
                <w:szCs w:val="22"/>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20"/>
                <w:szCs w:val="20"/>
                <w:color w:val="auto"/>
                <w:w w:val="89"/>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4,827</w:t>
            </w:r>
          </w:p>
        </w:tc>
        <w:tc>
          <w:tcPr>
            <w:tcW w:w="60" w:type="dxa"/>
            <w:vAlign w:val="bottom"/>
          </w:tcPr>
          <w:p>
            <w:pPr>
              <w:spacing w:after="0"/>
              <w:rPr>
                <w:sz w:val="22"/>
                <w:szCs w:val="22"/>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113</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gridSpan w:val="2"/>
          </w:tcPr>
          <w:p>
            <w:pPr>
              <w:ind w:left="2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(1,652)</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
        </w:trPr>
        <w:tc>
          <w:tcPr>
            <w:tcW w:w="3220" w:type="dxa"/>
            <w:vAlign w:val="bottom"/>
            <w:vMerge w:val="restart"/>
          </w:tcPr>
          <w:p>
            <w:pPr>
              <w:spacing w:after="0"/>
              <w:rPr>
                <w:sz w:val="20"/>
                <w:szCs w:val="20"/>
                <w:color w:val="auto"/>
              </w:rPr>
            </w:pPr>
            <w:r>
              <w:rPr>
                <w:rFonts w:ascii="Arial" w:cs="Arial" w:eastAsia="Arial" w:hAnsi="Arial"/>
                <w:sz w:val="20"/>
                <w:szCs w:val="20"/>
                <w:b w:val="1"/>
                <w:bCs w:val="1"/>
                <w:color w:val="auto"/>
              </w:rPr>
              <w:t>CURRENT LIABILITIES</w:t>
            </w: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20" w:type="dxa"/>
            <w:vAlign w:val="bottom"/>
            <w:vMerge w:val="continue"/>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2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220" w:type="dxa"/>
            <w:vAlign w:val="bottom"/>
          </w:tcPr>
          <w:p>
            <w:pPr>
              <w:jc w:val="right"/>
              <w:spacing w:after="0" w:line="204" w:lineRule="exact"/>
              <w:rPr>
                <w:sz w:val="20"/>
                <w:szCs w:val="20"/>
                <w:color w:val="auto"/>
              </w:rPr>
            </w:pPr>
            <w:r>
              <w:rPr>
                <w:rFonts w:ascii="Arial" w:cs="Arial" w:eastAsia="Arial" w:hAnsi="Arial"/>
                <w:sz w:val="20"/>
                <w:szCs w:val="20"/>
                <w:color w:val="auto"/>
              </w:rPr>
              <w:t>Debtor-in-possession financing  . .</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4" w:lineRule="exact"/>
              <w:rPr>
                <w:sz w:val="20"/>
                <w:szCs w:val="20"/>
                <w:color w:val="auto"/>
              </w:rPr>
            </w:pPr>
            <w:r>
              <w:rPr>
                <w:rFonts w:ascii="Arial" w:cs="Arial" w:eastAsia="Arial" w:hAnsi="Arial"/>
                <w:sz w:val="20"/>
                <w:szCs w:val="20"/>
                <w:color w:val="auto"/>
              </w:rPr>
              <w:t>733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line="204" w:lineRule="exact"/>
              <w:rPr>
                <w:sz w:val="20"/>
                <w:szCs w:val="20"/>
                <w:color w:val="auto"/>
              </w:rPr>
            </w:pPr>
            <w:r>
              <w:rPr>
                <w:rFonts w:ascii="Arial" w:cs="Arial" w:eastAsia="Arial" w:hAnsi="Arial"/>
                <w:sz w:val="20"/>
                <w:szCs w:val="20"/>
                <w:color w:val="auto"/>
              </w:rPr>
              <w:t>(733)</w:t>
            </w:r>
          </w:p>
        </w:tc>
        <w:tc>
          <w:tcPr>
            <w:tcW w:w="140" w:type="dxa"/>
            <w:vAlign w:val="bottom"/>
          </w:tcPr>
          <w:p>
            <w:pPr>
              <w:spacing w:after="0"/>
              <w:rPr>
                <w:sz w:val="17"/>
                <w:szCs w:val="17"/>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00"/>
              <w:spacing w:after="0" w:line="204" w:lineRule="exact"/>
              <w:rPr>
                <w:sz w:val="20"/>
                <w:szCs w:val="20"/>
                <w:color w:val="auto"/>
              </w:rPr>
            </w:pPr>
            <w:r>
              <w:rPr>
                <w:rFonts w:ascii="Arial" w:cs="Arial" w:eastAsia="Arial" w:hAnsi="Arial"/>
                <w:sz w:val="20"/>
                <w:szCs w:val="20"/>
                <w:color w:val="auto"/>
              </w:rPr>
              <w:t>—</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20" w:type="dxa"/>
            <w:vAlign w:val="bottom"/>
          </w:tcPr>
          <w:p>
            <w:pPr>
              <w:jc w:val="right"/>
              <w:spacing w:after="0" w:line="204" w:lineRule="exact"/>
              <w:rPr>
                <w:sz w:val="20"/>
                <w:szCs w:val="20"/>
                <w:color w:val="auto"/>
              </w:rPr>
            </w:pPr>
            <w:r>
              <w:rPr>
                <w:rFonts w:ascii="Arial" w:cs="Arial" w:eastAsia="Arial" w:hAnsi="Arial"/>
                <w:sz w:val="20"/>
                <w:szCs w:val="20"/>
                <w:color w:val="auto"/>
              </w:rPr>
              <w:t>Accounts payable  . . . . . . . . . . . . .</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4" w:lineRule="exact"/>
              <w:rPr>
                <w:sz w:val="20"/>
                <w:szCs w:val="20"/>
                <w:color w:val="auto"/>
              </w:rPr>
            </w:pPr>
            <w:r>
              <w:rPr>
                <w:rFonts w:ascii="Arial" w:cs="Arial" w:eastAsia="Arial" w:hAnsi="Arial"/>
                <w:sz w:val="20"/>
                <w:szCs w:val="20"/>
                <w:color w:val="auto"/>
              </w:rPr>
              <w:t>215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200"/>
              <w:spacing w:after="0" w:line="204" w:lineRule="exact"/>
              <w:rPr>
                <w:sz w:val="20"/>
                <w:szCs w:val="20"/>
                <w:color w:val="auto"/>
              </w:rPr>
            </w:pPr>
            <w:r>
              <w:rPr>
                <w:rFonts w:ascii="Arial" w:cs="Arial" w:eastAsia="Arial" w:hAnsi="Arial"/>
                <w:sz w:val="20"/>
                <w:szCs w:val="20"/>
                <w:color w:val="auto"/>
              </w:rPr>
              <w:t>—</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00"/>
              <w:spacing w:after="0" w:line="204" w:lineRule="exact"/>
              <w:rPr>
                <w:sz w:val="20"/>
                <w:szCs w:val="20"/>
                <w:color w:val="auto"/>
              </w:rPr>
            </w:pPr>
            <w:r>
              <w:rPr>
                <w:rFonts w:ascii="Arial" w:cs="Arial" w:eastAsia="Arial" w:hAnsi="Arial"/>
                <w:sz w:val="20"/>
                <w:szCs w:val="20"/>
                <w:color w:val="auto"/>
              </w:rPr>
              <w:t>—</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220" w:type="dxa"/>
            <w:vAlign w:val="bottom"/>
          </w:tcPr>
          <w:p>
            <w:pPr>
              <w:jc w:val="right"/>
              <w:spacing w:after="0" w:line="226" w:lineRule="exact"/>
              <w:rPr>
                <w:sz w:val="20"/>
                <w:szCs w:val="20"/>
                <w:color w:val="auto"/>
              </w:rPr>
            </w:pPr>
            <w:r>
              <w:rPr>
                <w:rFonts w:ascii="Arial" w:cs="Arial" w:eastAsia="Arial" w:hAnsi="Arial"/>
                <w:sz w:val="20"/>
                <w:szCs w:val="20"/>
                <w:color w:val="auto"/>
              </w:rPr>
              <w:t>Accrued liabilities  . . . . . . . . . . . . .</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line="226" w:lineRule="exact"/>
              <w:rPr>
                <w:sz w:val="20"/>
                <w:szCs w:val="20"/>
                <w:color w:val="auto"/>
              </w:rPr>
            </w:pPr>
            <w:r>
              <w:rPr>
                <w:rFonts w:ascii="Arial" w:cs="Arial" w:eastAsia="Arial" w:hAnsi="Arial"/>
                <w:sz w:val="20"/>
                <w:szCs w:val="20"/>
                <w:color w:val="auto"/>
              </w:rPr>
              <w:t>233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line="226" w:lineRule="exact"/>
              <w:rPr>
                <w:sz w:val="20"/>
                <w:szCs w:val="20"/>
                <w:color w:val="auto"/>
              </w:rPr>
            </w:pPr>
            <w:r>
              <w:rPr>
                <w:rFonts w:ascii="Arial" w:cs="Arial" w:eastAsia="Arial" w:hAnsi="Arial"/>
                <w:sz w:val="20"/>
                <w:szCs w:val="20"/>
                <w:color w:val="auto"/>
              </w:rPr>
              <w:t>(16)</w:t>
            </w:r>
          </w:p>
        </w:tc>
        <w:tc>
          <w:tcPr>
            <w:tcW w:w="14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line="226" w:lineRule="exact"/>
              <w:rPr>
                <w:sz w:val="20"/>
                <w:szCs w:val="20"/>
                <w:color w:val="auto"/>
              </w:rPr>
            </w:pPr>
            <w:r>
              <w:rPr>
                <w:rFonts w:ascii="Arial" w:cs="Arial" w:eastAsia="Arial" w:hAnsi="Arial"/>
                <w:sz w:val="20"/>
                <w:szCs w:val="20"/>
                <w:color w:val="auto"/>
              </w:rPr>
              <w:t>14</w:t>
            </w:r>
          </w:p>
        </w:tc>
        <w:tc>
          <w:tcPr>
            <w:tcW w:w="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w w:val="88"/>
              </w:rPr>
              <w:t>(14)</w:t>
            </w:r>
          </w:p>
        </w:tc>
        <w:tc>
          <w:tcPr>
            <w:tcW w:w="0" w:type="dxa"/>
            <w:vAlign w:val="bottom"/>
          </w:tcPr>
          <w:p>
            <w:pPr>
              <w:spacing w:after="0"/>
              <w:rPr>
                <w:sz w:val="1"/>
                <w:szCs w:val="1"/>
                <w:color w:val="auto"/>
              </w:rPr>
            </w:pPr>
          </w:p>
        </w:tc>
      </w:tr>
      <w:tr>
        <w:trPr>
          <w:trHeight w:val="28"/>
        </w:trPr>
        <w:tc>
          <w:tcPr>
            <w:tcW w:w="3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3220" w:type="dxa"/>
            <w:vAlign w:val="bottom"/>
          </w:tcPr>
          <w:p>
            <w:pPr>
              <w:jc w:val="right"/>
              <w:spacing w:after="0" w:line="212" w:lineRule="exact"/>
              <w:rPr>
                <w:sz w:val="20"/>
                <w:szCs w:val="20"/>
                <w:color w:val="auto"/>
              </w:rPr>
            </w:pPr>
            <w:r>
              <w:rPr>
                <w:rFonts w:ascii="Arial" w:cs="Arial" w:eastAsia="Arial" w:hAnsi="Arial"/>
                <w:sz w:val="20"/>
                <w:szCs w:val="20"/>
                <w:color w:val="auto"/>
              </w:rPr>
              <w:t>Total current liabilities . . . . . . . .</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line="212" w:lineRule="exact"/>
              <w:rPr>
                <w:sz w:val="20"/>
                <w:szCs w:val="20"/>
                <w:color w:val="auto"/>
              </w:rPr>
            </w:pPr>
            <w:r>
              <w:rPr>
                <w:rFonts w:ascii="Arial" w:cs="Arial" w:eastAsia="Arial" w:hAnsi="Arial"/>
                <w:sz w:val="20"/>
                <w:szCs w:val="20"/>
                <w:color w:val="auto"/>
              </w:rPr>
              <w:t>1,181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line="212" w:lineRule="exact"/>
              <w:rPr>
                <w:sz w:val="20"/>
                <w:szCs w:val="20"/>
                <w:color w:val="auto"/>
              </w:rPr>
            </w:pPr>
            <w:r>
              <w:rPr>
                <w:rFonts w:ascii="Arial" w:cs="Arial" w:eastAsia="Arial" w:hAnsi="Arial"/>
                <w:sz w:val="20"/>
                <w:szCs w:val="20"/>
                <w:color w:val="auto"/>
              </w:rPr>
              <w:t>(749)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line="212" w:lineRule="exact"/>
              <w:rPr>
                <w:sz w:val="20"/>
                <w:szCs w:val="20"/>
                <w:color w:val="auto"/>
              </w:rPr>
            </w:pPr>
            <w:r>
              <w:rPr>
                <w:rFonts w:ascii="Arial" w:cs="Arial" w:eastAsia="Arial" w:hAnsi="Arial"/>
                <w:sz w:val="20"/>
                <w:szCs w:val="20"/>
                <w:color w:val="auto"/>
              </w:rPr>
              <w:t>14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20" w:type="dxa"/>
            <w:vAlign w:val="bottom"/>
          </w:tcPr>
          <w:p>
            <w:pPr>
              <w:jc w:val="right"/>
              <w:spacing w:after="0" w:line="221" w:lineRule="exact"/>
              <w:rPr>
                <w:sz w:val="20"/>
                <w:szCs w:val="20"/>
                <w:color w:val="auto"/>
              </w:rPr>
            </w:pPr>
            <w:r>
              <w:rPr>
                <w:rFonts w:ascii="Arial" w:cs="Arial" w:eastAsia="Arial" w:hAnsi="Arial"/>
                <w:sz w:val="20"/>
                <w:szCs w:val="20"/>
                <w:b w:val="1"/>
                <w:bCs w:val="1"/>
                <w:color w:val="auto"/>
                <w:w w:val="99"/>
              </w:rPr>
              <w:t xml:space="preserve">LONG-TERM DEBT, NET </w:t>
            </w:r>
            <w:r>
              <w:rPr>
                <w:rFonts w:ascii="Arial" w:cs="Arial" w:eastAsia="Arial" w:hAnsi="Arial"/>
                <w:sz w:val="20"/>
                <w:szCs w:val="20"/>
                <w:color w:val="auto"/>
                <w:w w:val="99"/>
              </w:rPr>
              <w:t>. . . . . . . .</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spacing w:after="0" w:line="221" w:lineRule="exact"/>
              <w:rPr>
                <w:sz w:val="20"/>
                <w:szCs w:val="20"/>
                <w:color w:val="auto"/>
              </w:rPr>
            </w:pPr>
            <w:r>
              <w:rPr>
                <w:rFonts w:ascii="Arial" w:cs="Arial" w:eastAsia="Arial" w:hAnsi="Arial"/>
                <w:sz w:val="20"/>
                <w:szCs w:val="20"/>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line="221" w:lineRule="exact"/>
              <w:rPr>
                <w:sz w:val="20"/>
                <w:szCs w:val="20"/>
                <w:color w:val="auto"/>
              </w:rPr>
            </w:pPr>
            <w:r>
              <w:rPr>
                <w:rFonts w:ascii="Arial" w:cs="Arial" w:eastAsia="Arial" w:hAnsi="Arial"/>
                <w:sz w:val="20"/>
                <w:szCs w:val="20"/>
                <w:color w:val="auto"/>
              </w:rPr>
              <w:t>723</w:t>
            </w:r>
          </w:p>
        </w:tc>
        <w:tc>
          <w:tcPr>
            <w:tcW w:w="14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00"/>
              <w:spacing w:after="0" w:line="221" w:lineRule="exact"/>
              <w:rPr>
                <w:sz w:val="20"/>
                <w:szCs w:val="20"/>
                <w:color w:val="auto"/>
              </w:rPr>
            </w:pPr>
            <w:r>
              <w:rPr>
                <w:rFonts w:ascii="Arial" w:cs="Arial" w:eastAsia="Arial" w:hAnsi="Arial"/>
                <w:sz w:val="20"/>
                <w:szCs w:val="20"/>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220" w:type="dxa"/>
            <w:vAlign w:val="bottom"/>
          </w:tcPr>
          <w:p>
            <w:pPr>
              <w:spacing w:after="0" w:line="206" w:lineRule="exact"/>
              <w:rPr>
                <w:sz w:val="20"/>
                <w:szCs w:val="20"/>
                <w:color w:val="auto"/>
              </w:rPr>
            </w:pPr>
            <w:r>
              <w:rPr>
                <w:rFonts w:ascii="Arial" w:cs="Arial" w:eastAsia="Arial" w:hAnsi="Arial"/>
                <w:sz w:val="20"/>
                <w:szCs w:val="20"/>
                <w:b w:val="1"/>
                <w:bCs w:val="1"/>
                <w:color w:val="auto"/>
              </w:rPr>
              <w:t>OTHER LONG-TERM LIABILITIES</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6" w:lineRule="exact"/>
              <w:rPr>
                <w:sz w:val="20"/>
                <w:szCs w:val="20"/>
                <w:color w:val="auto"/>
              </w:rPr>
            </w:pPr>
            <w:r>
              <w:rPr>
                <w:rFonts w:ascii="Arial" w:cs="Arial" w:eastAsia="Arial" w:hAnsi="Arial"/>
                <w:sz w:val="20"/>
                <w:szCs w:val="20"/>
                <w:color w:val="auto"/>
              </w:rPr>
              <w:t>725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200"/>
              <w:spacing w:after="0" w:line="206" w:lineRule="exact"/>
              <w:rPr>
                <w:sz w:val="20"/>
                <w:szCs w:val="20"/>
                <w:color w:val="auto"/>
              </w:rPr>
            </w:pPr>
            <w:r>
              <w:rPr>
                <w:rFonts w:ascii="Arial" w:cs="Arial" w:eastAsia="Arial" w:hAnsi="Arial"/>
                <w:sz w:val="20"/>
                <w:szCs w:val="20"/>
                <w:color w:val="auto"/>
              </w:rPr>
              <w:t>—</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line="206" w:lineRule="exact"/>
              <w:rPr>
                <w:sz w:val="20"/>
                <w:szCs w:val="20"/>
                <w:color w:val="auto"/>
              </w:rPr>
            </w:pPr>
            <w:r>
              <w:rPr>
                <w:rFonts w:ascii="Arial" w:cs="Arial" w:eastAsia="Arial" w:hAnsi="Arial"/>
                <w:sz w:val="20"/>
                <w:szCs w:val="20"/>
                <w:color w:val="auto"/>
              </w:rPr>
              <w:t>49</w:t>
            </w:r>
          </w:p>
        </w:tc>
        <w:tc>
          <w:tcPr>
            <w:tcW w:w="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w w:val="88"/>
              </w:rPr>
              <w:t>(15)</w:t>
            </w:r>
          </w:p>
        </w:tc>
        <w:tc>
          <w:tcPr>
            <w:tcW w:w="0" w:type="dxa"/>
            <w:vAlign w:val="bottom"/>
          </w:tcPr>
          <w:p>
            <w:pPr>
              <w:spacing w:after="0"/>
              <w:rPr>
                <w:sz w:val="1"/>
                <w:szCs w:val="1"/>
                <w:color w:val="auto"/>
              </w:rPr>
            </w:pPr>
          </w:p>
        </w:tc>
      </w:tr>
      <w:tr>
        <w:trPr>
          <w:trHeight w:val="202"/>
        </w:trPr>
        <w:tc>
          <w:tcPr>
            <w:tcW w:w="3220" w:type="dxa"/>
            <w:vAlign w:val="bottom"/>
          </w:tcPr>
          <w:p>
            <w:pPr>
              <w:spacing w:after="0" w:line="202" w:lineRule="exact"/>
              <w:rPr>
                <w:sz w:val="20"/>
                <w:szCs w:val="20"/>
                <w:color w:val="auto"/>
              </w:rPr>
            </w:pPr>
            <w:r>
              <w:rPr>
                <w:rFonts w:ascii="Arial" w:cs="Arial" w:eastAsia="Arial" w:hAnsi="Arial"/>
                <w:sz w:val="20"/>
                <w:szCs w:val="20"/>
                <w:b w:val="1"/>
                <w:bCs w:val="1"/>
                <w:color w:val="auto"/>
              </w:rPr>
              <w:t>LIABILITIES SUBJECT TO</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20" w:type="dxa"/>
            <w:vAlign w:val="bottom"/>
          </w:tcPr>
          <w:p>
            <w:pPr>
              <w:jc w:val="right"/>
              <w:spacing w:after="0" w:line="205" w:lineRule="exact"/>
              <w:rPr>
                <w:sz w:val="20"/>
                <w:szCs w:val="20"/>
                <w:color w:val="auto"/>
              </w:rPr>
            </w:pPr>
            <w:r>
              <w:rPr>
                <w:rFonts w:ascii="Arial" w:cs="Arial" w:eastAsia="Arial" w:hAnsi="Arial"/>
                <w:sz w:val="20"/>
                <w:szCs w:val="20"/>
                <w:b w:val="1"/>
                <w:bCs w:val="1"/>
                <w:color w:val="auto"/>
                <w:w w:val="97"/>
              </w:rPr>
              <w:t xml:space="preserve">COMPROMISE </w:t>
            </w:r>
            <w:r>
              <w:rPr>
                <w:rFonts w:ascii="Arial" w:cs="Arial" w:eastAsia="Arial" w:hAnsi="Arial"/>
                <w:sz w:val="20"/>
                <w:szCs w:val="20"/>
                <w:color w:val="auto"/>
                <w:w w:val="97"/>
              </w:rPr>
              <w:t>. . . . . . . . . . . . . . . . .</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5" w:lineRule="exact"/>
              <w:rPr>
                <w:sz w:val="20"/>
                <w:szCs w:val="20"/>
                <w:color w:val="auto"/>
              </w:rPr>
            </w:pPr>
            <w:r>
              <w:rPr>
                <w:rFonts w:ascii="Arial" w:cs="Arial" w:eastAsia="Arial" w:hAnsi="Arial"/>
                <w:sz w:val="20"/>
                <w:szCs w:val="20"/>
                <w:color w:val="auto"/>
              </w:rPr>
              <w:t>4,516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line="205" w:lineRule="exact"/>
              <w:rPr>
                <w:sz w:val="20"/>
                <w:szCs w:val="20"/>
                <w:color w:val="auto"/>
              </w:rPr>
            </w:pPr>
            <w:r>
              <w:rPr>
                <w:rFonts w:ascii="Arial" w:cs="Arial" w:eastAsia="Arial" w:hAnsi="Arial"/>
                <w:sz w:val="20"/>
                <w:szCs w:val="20"/>
                <w:color w:val="auto"/>
              </w:rPr>
              <w:t>(4,516)</w:t>
            </w:r>
          </w:p>
        </w:tc>
        <w:tc>
          <w:tcPr>
            <w:tcW w:w="140" w:type="dxa"/>
            <w:vAlign w:val="bottom"/>
          </w:tcPr>
          <w:p>
            <w:pPr>
              <w:spacing w:after="0"/>
              <w:rPr>
                <w:sz w:val="17"/>
                <w:szCs w:val="17"/>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00"/>
              <w:spacing w:after="0" w:line="205" w:lineRule="exact"/>
              <w:rPr>
                <w:sz w:val="20"/>
                <w:szCs w:val="20"/>
                <w:color w:val="auto"/>
              </w:rPr>
            </w:pPr>
            <w:r>
              <w:rPr>
                <w:rFonts w:ascii="Arial" w:cs="Arial" w:eastAsia="Arial" w:hAnsi="Arial"/>
                <w:sz w:val="20"/>
                <w:szCs w:val="20"/>
                <w:color w:val="auto"/>
              </w:rPr>
              <w:t>—</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220" w:type="dxa"/>
            <w:vAlign w:val="bottom"/>
          </w:tcPr>
          <w:p>
            <w:pPr>
              <w:spacing w:after="0" w:line="208" w:lineRule="exact"/>
              <w:rPr>
                <w:sz w:val="20"/>
                <w:szCs w:val="20"/>
                <w:color w:val="auto"/>
              </w:rPr>
            </w:pPr>
            <w:r>
              <w:rPr>
                <w:rFonts w:ascii="Arial" w:cs="Arial" w:eastAsia="Arial" w:hAnsi="Arial"/>
                <w:sz w:val="20"/>
                <w:szCs w:val="20"/>
                <w:b w:val="1"/>
                <w:bCs w:val="1"/>
                <w:color w:val="auto"/>
              </w:rPr>
              <w:t>MEZZANINE EQUITY</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220" w:type="dxa"/>
            <w:vAlign w:val="bottom"/>
          </w:tcPr>
          <w:p>
            <w:pPr>
              <w:ind w:left="320"/>
              <w:spacing w:after="0" w:line="204" w:lineRule="exact"/>
              <w:rPr>
                <w:sz w:val="20"/>
                <w:szCs w:val="20"/>
                <w:color w:val="auto"/>
              </w:rPr>
            </w:pPr>
            <w:r>
              <w:rPr>
                <w:rFonts w:ascii="Arial" w:cs="Arial" w:eastAsia="Arial" w:hAnsi="Arial"/>
                <w:sz w:val="20"/>
                <w:szCs w:val="20"/>
                <w:color w:val="auto"/>
              </w:rPr>
              <w:t>Redeemable noncontrolling</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220" w:type="dxa"/>
            <w:vAlign w:val="bottom"/>
          </w:tcPr>
          <w:p>
            <w:pPr>
              <w:jc w:val="right"/>
              <w:spacing w:after="0" w:line="201" w:lineRule="exact"/>
              <w:rPr>
                <w:sz w:val="20"/>
                <w:szCs w:val="20"/>
                <w:color w:val="auto"/>
              </w:rPr>
            </w:pPr>
            <w:r>
              <w:rPr>
                <w:rFonts w:ascii="Arial" w:cs="Arial" w:eastAsia="Arial" w:hAnsi="Arial"/>
                <w:sz w:val="20"/>
                <w:szCs w:val="20"/>
                <w:color w:val="auto"/>
              </w:rPr>
              <w:t>interests . . . . . . . . . . . . . . . . . . . .</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20"/>
                <w:szCs w:val="20"/>
                <w:color w:val="auto"/>
              </w:rPr>
              <w:t>691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20"/>
                <w:szCs w:val="20"/>
                <w:color w:val="auto"/>
              </w:rPr>
              <w:t>(691)</w:t>
            </w:r>
          </w:p>
        </w:tc>
        <w:tc>
          <w:tcPr>
            <w:tcW w:w="140" w:type="dxa"/>
            <w:vAlign w:val="bottom"/>
          </w:tcPr>
          <w:p>
            <w:pPr>
              <w:spacing w:after="0"/>
              <w:rPr>
                <w:sz w:val="17"/>
                <w:szCs w:val="17"/>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00"/>
              <w:spacing w:after="0" w:line="201" w:lineRule="exact"/>
              <w:rPr>
                <w:sz w:val="20"/>
                <w:szCs w:val="20"/>
                <w:color w:val="auto"/>
              </w:rPr>
            </w:pPr>
            <w:r>
              <w:rPr>
                <w:rFonts w:ascii="Arial" w:cs="Arial" w:eastAsia="Arial" w:hAnsi="Arial"/>
                <w:sz w:val="20"/>
                <w:szCs w:val="20"/>
                <w:color w:val="auto"/>
              </w:rPr>
              <w:t>—</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220" w:type="dxa"/>
            <w:vAlign w:val="bottom"/>
          </w:tcPr>
          <w:p>
            <w:pPr>
              <w:spacing w:after="0" w:line="208" w:lineRule="exact"/>
              <w:rPr>
                <w:sz w:val="20"/>
                <w:szCs w:val="20"/>
                <w:color w:val="auto"/>
              </w:rPr>
            </w:pPr>
            <w:r>
              <w:rPr>
                <w:rFonts w:ascii="Arial" w:cs="Arial" w:eastAsia="Arial" w:hAnsi="Arial"/>
                <w:sz w:val="20"/>
                <w:szCs w:val="20"/>
                <w:b w:val="1"/>
                <w:bCs w:val="1"/>
                <w:color w:val="auto"/>
              </w:rPr>
              <w:t>EQUITY</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220" w:type="dxa"/>
            <w:vAlign w:val="bottom"/>
          </w:tcPr>
          <w:p>
            <w:pPr>
              <w:jc w:val="right"/>
              <w:spacing w:after="0" w:line="204" w:lineRule="exact"/>
              <w:rPr>
                <w:sz w:val="20"/>
                <w:szCs w:val="20"/>
                <w:color w:val="auto"/>
              </w:rPr>
            </w:pPr>
            <w:r>
              <w:rPr>
                <w:rFonts w:ascii="Arial" w:cs="Arial" w:eastAsia="Arial" w:hAnsi="Arial"/>
                <w:sz w:val="20"/>
                <w:szCs w:val="20"/>
                <w:color w:val="auto"/>
              </w:rPr>
              <w:t>Predecessor preferred stock  . . . . .</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spacing w:after="0" w:line="204" w:lineRule="exact"/>
              <w:rPr>
                <w:sz w:val="20"/>
                <w:szCs w:val="20"/>
                <w:color w:val="auto"/>
              </w:rPr>
            </w:pPr>
            <w:r>
              <w:rPr>
                <w:rFonts w:ascii="Arial" w:cs="Arial" w:eastAsia="Arial" w:hAnsi="Arial"/>
                <w:sz w:val="20"/>
                <w:szCs w:val="20"/>
                <w:color w:val="auto"/>
              </w:rPr>
              <w: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200"/>
              <w:spacing w:after="0" w:line="204" w:lineRule="exact"/>
              <w:rPr>
                <w:sz w:val="20"/>
                <w:szCs w:val="20"/>
                <w:color w:val="auto"/>
              </w:rPr>
            </w:pPr>
            <w:r>
              <w:rPr>
                <w:rFonts w:ascii="Arial" w:cs="Arial" w:eastAsia="Arial" w:hAnsi="Arial"/>
                <w:sz w:val="20"/>
                <w:szCs w:val="20"/>
                <w:color w:val="auto"/>
              </w:rPr>
              <w:t>—</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00"/>
              <w:spacing w:after="0" w:line="204" w:lineRule="exact"/>
              <w:rPr>
                <w:sz w:val="20"/>
                <w:szCs w:val="20"/>
                <w:color w:val="auto"/>
              </w:rPr>
            </w:pPr>
            <w:r>
              <w:rPr>
                <w:rFonts w:ascii="Arial" w:cs="Arial" w:eastAsia="Arial" w:hAnsi="Arial"/>
                <w:sz w:val="20"/>
                <w:szCs w:val="20"/>
                <w:color w:val="auto"/>
              </w:rPr>
              <w:t>—</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20" w:type="dxa"/>
            <w:vAlign w:val="bottom"/>
          </w:tcPr>
          <w:p>
            <w:pPr>
              <w:jc w:val="right"/>
              <w:spacing w:after="0" w:line="204" w:lineRule="exact"/>
              <w:rPr>
                <w:sz w:val="20"/>
                <w:szCs w:val="20"/>
                <w:color w:val="auto"/>
              </w:rPr>
            </w:pPr>
            <w:r>
              <w:rPr>
                <w:rFonts w:ascii="Arial" w:cs="Arial" w:eastAsia="Arial" w:hAnsi="Arial"/>
                <w:sz w:val="20"/>
                <w:szCs w:val="20"/>
                <w:color w:val="auto"/>
              </w:rPr>
              <w:t>Predecessor common stock . . . . . .</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spacing w:after="0" w:line="204" w:lineRule="exact"/>
              <w:rPr>
                <w:sz w:val="20"/>
                <w:szCs w:val="20"/>
                <w:color w:val="auto"/>
              </w:rPr>
            </w:pPr>
            <w:r>
              <w:rPr>
                <w:rFonts w:ascii="Arial" w:cs="Arial" w:eastAsia="Arial" w:hAnsi="Arial"/>
                <w:sz w:val="20"/>
                <w:szCs w:val="20"/>
                <w:color w:val="auto"/>
              </w:rPr>
              <w: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200"/>
              <w:spacing w:after="0" w:line="204" w:lineRule="exact"/>
              <w:rPr>
                <w:sz w:val="20"/>
                <w:szCs w:val="20"/>
                <w:color w:val="auto"/>
              </w:rPr>
            </w:pPr>
            <w:r>
              <w:rPr>
                <w:rFonts w:ascii="Arial" w:cs="Arial" w:eastAsia="Arial" w:hAnsi="Arial"/>
                <w:sz w:val="20"/>
                <w:szCs w:val="20"/>
                <w:color w:val="auto"/>
              </w:rPr>
              <w:t>—</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00"/>
              <w:spacing w:after="0" w:line="204" w:lineRule="exact"/>
              <w:rPr>
                <w:sz w:val="20"/>
                <w:szCs w:val="20"/>
                <w:color w:val="auto"/>
              </w:rPr>
            </w:pPr>
            <w:r>
              <w:rPr>
                <w:rFonts w:ascii="Arial" w:cs="Arial" w:eastAsia="Arial" w:hAnsi="Arial"/>
                <w:sz w:val="20"/>
                <w:szCs w:val="20"/>
                <w:color w:val="auto"/>
              </w:rPr>
              <w:t>—</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20" w:type="dxa"/>
            <w:vAlign w:val="bottom"/>
          </w:tcPr>
          <w:p>
            <w:pPr>
              <w:ind w:left="120"/>
              <w:spacing w:after="0" w:line="204" w:lineRule="exact"/>
              <w:rPr>
                <w:sz w:val="20"/>
                <w:szCs w:val="20"/>
                <w:color w:val="auto"/>
              </w:rPr>
            </w:pPr>
            <w:r>
              <w:rPr>
                <w:rFonts w:ascii="Arial" w:cs="Arial" w:eastAsia="Arial" w:hAnsi="Arial"/>
                <w:sz w:val="20"/>
                <w:szCs w:val="20"/>
                <w:color w:val="auto"/>
              </w:rPr>
              <w:t>Predecessor additional paid-in</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20" w:type="dxa"/>
            <w:vAlign w:val="bottom"/>
          </w:tcPr>
          <w:p>
            <w:pPr>
              <w:jc w:val="right"/>
              <w:spacing w:after="0" w:line="205" w:lineRule="exact"/>
              <w:rPr>
                <w:sz w:val="20"/>
                <w:szCs w:val="20"/>
                <w:color w:val="auto"/>
              </w:rPr>
            </w:pPr>
            <w:r>
              <w:rPr>
                <w:rFonts w:ascii="Arial" w:cs="Arial" w:eastAsia="Arial" w:hAnsi="Arial"/>
                <w:sz w:val="20"/>
                <w:szCs w:val="20"/>
                <w:color w:val="auto"/>
              </w:rPr>
              <w:t>capital  . . . . . . . . . . . . . . . . . . . . . . .</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5" w:lineRule="exact"/>
              <w:rPr>
                <w:sz w:val="20"/>
                <w:szCs w:val="20"/>
                <w:color w:val="auto"/>
              </w:rPr>
            </w:pPr>
            <w:r>
              <w:rPr>
                <w:rFonts w:ascii="Arial" w:cs="Arial" w:eastAsia="Arial" w:hAnsi="Arial"/>
                <w:sz w:val="20"/>
                <w:szCs w:val="20"/>
                <w:color w:val="auto"/>
              </w:rPr>
              <w:t>5,149</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line="205" w:lineRule="exact"/>
              <w:rPr>
                <w:sz w:val="20"/>
                <w:szCs w:val="20"/>
                <w:color w:val="auto"/>
              </w:rPr>
            </w:pPr>
            <w:r>
              <w:rPr>
                <w:rFonts w:ascii="Arial" w:cs="Arial" w:eastAsia="Arial" w:hAnsi="Arial"/>
                <w:sz w:val="20"/>
                <w:szCs w:val="20"/>
                <w:color w:val="auto"/>
              </w:rPr>
              <w:t>(5,149)</w:t>
            </w:r>
          </w:p>
        </w:tc>
        <w:tc>
          <w:tcPr>
            <w:tcW w:w="140" w:type="dxa"/>
            <w:vAlign w:val="bottom"/>
          </w:tcPr>
          <w:p>
            <w:pPr>
              <w:spacing w:after="0"/>
              <w:rPr>
                <w:sz w:val="17"/>
                <w:szCs w:val="17"/>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(9)</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00"/>
              <w:spacing w:after="0" w:line="205" w:lineRule="exact"/>
              <w:rPr>
                <w:sz w:val="20"/>
                <w:szCs w:val="20"/>
                <w:color w:val="auto"/>
              </w:rPr>
            </w:pPr>
            <w:r>
              <w:rPr>
                <w:rFonts w:ascii="Arial" w:cs="Arial" w:eastAsia="Arial" w:hAnsi="Arial"/>
                <w:sz w:val="20"/>
                <w:szCs w:val="20"/>
                <w:color w:val="auto"/>
              </w:rPr>
              <w:t>—</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20" w:type="dxa"/>
            <w:vAlign w:val="bottom"/>
          </w:tcPr>
          <w:p>
            <w:pPr>
              <w:jc w:val="right"/>
              <w:spacing w:after="0" w:line="204" w:lineRule="exact"/>
              <w:rPr>
                <w:sz w:val="20"/>
                <w:szCs w:val="20"/>
                <w:color w:val="auto"/>
              </w:rPr>
            </w:pPr>
            <w:r>
              <w:rPr>
                <w:rFonts w:ascii="Arial" w:cs="Arial" w:eastAsia="Arial" w:hAnsi="Arial"/>
                <w:sz w:val="20"/>
                <w:szCs w:val="20"/>
                <w:color w:val="auto"/>
              </w:rPr>
              <w:t>Successor preferred stock . . . . . . .</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spacing w:after="0" w:line="204" w:lineRule="exact"/>
              <w:rPr>
                <w:sz w:val="20"/>
                <w:szCs w:val="20"/>
                <w:color w:val="auto"/>
              </w:rPr>
            </w:pPr>
            <w:r>
              <w:rPr>
                <w:rFonts w:ascii="Arial" w:cs="Arial" w:eastAsia="Arial" w:hAnsi="Arial"/>
                <w:sz w:val="20"/>
                <w:szCs w:val="20"/>
                <w:color w:val="auto"/>
              </w:rPr>
              <w: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00"/>
              <w:spacing w:after="0" w:line="204" w:lineRule="exact"/>
              <w:rPr>
                <w:sz w:val="20"/>
                <w:szCs w:val="20"/>
                <w:color w:val="auto"/>
              </w:rPr>
            </w:pPr>
            <w:r>
              <w:rPr>
                <w:rFonts w:ascii="Arial" w:cs="Arial" w:eastAsia="Arial" w:hAnsi="Arial"/>
                <w:sz w:val="20"/>
                <w:szCs w:val="20"/>
                <w:color w:val="auto"/>
              </w:rPr>
              <w:t>—</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20" w:type="dxa"/>
            <w:vAlign w:val="bottom"/>
          </w:tcPr>
          <w:p>
            <w:pPr>
              <w:jc w:val="right"/>
              <w:spacing w:after="0" w:line="204" w:lineRule="exact"/>
              <w:rPr>
                <w:sz w:val="20"/>
                <w:szCs w:val="20"/>
                <w:color w:val="auto"/>
              </w:rPr>
            </w:pPr>
            <w:r>
              <w:rPr>
                <w:rFonts w:ascii="Arial" w:cs="Arial" w:eastAsia="Arial" w:hAnsi="Arial"/>
                <w:sz w:val="20"/>
                <w:szCs w:val="20"/>
                <w:color w:val="auto"/>
              </w:rPr>
              <w:t>Successor common stock  . . . . . . .</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spacing w:after="0" w:line="204" w:lineRule="exact"/>
              <w:rPr>
                <w:sz w:val="20"/>
                <w:szCs w:val="20"/>
                <w:color w:val="auto"/>
              </w:rPr>
            </w:pPr>
            <w:r>
              <w:rPr>
                <w:rFonts w:ascii="Arial" w:cs="Arial" w:eastAsia="Arial" w:hAnsi="Arial"/>
                <w:sz w:val="20"/>
                <w:szCs w:val="20"/>
                <w:color w:val="auto"/>
              </w:rPr>
              <w: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line="204" w:lineRule="exact"/>
              <w:rPr>
                <w:sz w:val="20"/>
                <w:szCs w:val="20"/>
                <w:color w:val="auto"/>
              </w:rPr>
            </w:pPr>
            <w:r>
              <w:rPr>
                <w:rFonts w:ascii="Arial" w:cs="Arial" w:eastAsia="Arial" w:hAnsi="Arial"/>
                <w:sz w:val="20"/>
                <w:szCs w:val="20"/>
                <w:color w:val="auto"/>
              </w:rPr>
              <w:t>1</w:t>
            </w:r>
          </w:p>
        </w:tc>
        <w:tc>
          <w:tcPr>
            <w:tcW w:w="140" w:type="dxa"/>
            <w:vAlign w:val="bottom"/>
          </w:tcPr>
          <w:p>
            <w:pPr>
              <w:spacing w:after="0"/>
              <w:rPr>
                <w:sz w:val="17"/>
                <w:szCs w:val="17"/>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00"/>
              <w:spacing w:after="0" w:line="204" w:lineRule="exact"/>
              <w:rPr>
                <w:sz w:val="20"/>
                <w:szCs w:val="20"/>
                <w:color w:val="auto"/>
              </w:rPr>
            </w:pPr>
            <w:r>
              <w:rPr>
                <w:rFonts w:ascii="Arial" w:cs="Arial" w:eastAsia="Arial" w:hAnsi="Arial"/>
                <w:sz w:val="20"/>
                <w:szCs w:val="20"/>
                <w:color w:val="auto"/>
              </w:rPr>
              <w:t>—</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20" w:type="dxa"/>
            <w:vAlign w:val="bottom"/>
          </w:tcPr>
          <w:p>
            <w:pPr>
              <w:ind w:left="120"/>
              <w:spacing w:after="0" w:line="204" w:lineRule="exact"/>
              <w:rPr>
                <w:sz w:val="20"/>
                <w:szCs w:val="20"/>
                <w:color w:val="auto"/>
              </w:rPr>
            </w:pPr>
            <w:r>
              <w:rPr>
                <w:rFonts w:ascii="Arial" w:cs="Arial" w:eastAsia="Arial" w:hAnsi="Arial"/>
                <w:sz w:val="20"/>
                <w:szCs w:val="20"/>
                <w:color w:val="auto"/>
              </w:rPr>
              <w:t>Successor additional paid-in</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20" w:type="dxa"/>
            <w:vAlign w:val="bottom"/>
          </w:tcPr>
          <w:p>
            <w:pPr>
              <w:jc w:val="right"/>
              <w:spacing w:after="0" w:line="205" w:lineRule="exact"/>
              <w:rPr>
                <w:sz w:val="20"/>
                <w:szCs w:val="20"/>
                <w:color w:val="auto"/>
              </w:rPr>
            </w:pPr>
            <w:r>
              <w:rPr>
                <w:rFonts w:ascii="Arial" w:cs="Arial" w:eastAsia="Arial" w:hAnsi="Arial"/>
                <w:sz w:val="20"/>
                <w:szCs w:val="20"/>
                <w:color w:val="auto"/>
              </w:rPr>
              <w:t>capital  . . . . . . . . . . . . . . . . . . . . . . .</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spacing w:after="0" w:line="205" w:lineRule="exact"/>
              <w:rPr>
                <w:sz w:val="20"/>
                <w:szCs w:val="20"/>
                <w:color w:val="auto"/>
              </w:rPr>
            </w:pPr>
            <w:r>
              <w:rPr>
                <w:rFonts w:ascii="Arial" w:cs="Arial" w:eastAsia="Arial" w:hAnsi="Arial"/>
                <w:sz w:val="20"/>
                <w:szCs w:val="20"/>
                <w:color w:val="auto"/>
              </w:rPr>
              <w: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line="205" w:lineRule="exact"/>
              <w:rPr>
                <w:sz w:val="20"/>
                <w:szCs w:val="20"/>
                <w:color w:val="auto"/>
              </w:rPr>
            </w:pPr>
            <w:r>
              <w:rPr>
                <w:rFonts w:ascii="Arial" w:cs="Arial" w:eastAsia="Arial" w:hAnsi="Arial"/>
                <w:sz w:val="20"/>
                <w:szCs w:val="20"/>
                <w:color w:val="auto"/>
              </w:rPr>
              <w:t>1,253</w:t>
            </w:r>
          </w:p>
        </w:tc>
        <w:tc>
          <w:tcPr>
            <w:tcW w:w="140" w:type="dxa"/>
            <w:vAlign w:val="bottom"/>
          </w:tcPr>
          <w:p>
            <w:pPr>
              <w:spacing w:after="0"/>
              <w:rPr>
                <w:sz w:val="17"/>
                <w:szCs w:val="17"/>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00"/>
              <w:spacing w:after="0" w:line="205" w:lineRule="exact"/>
              <w:rPr>
                <w:sz w:val="20"/>
                <w:szCs w:val="20"/>
                <w:color w:val="auto"/>
              </w:rPr>
            </w:pPr>
            <w:r>
              <w:rPr>
                <w:rFonts w:ascii="Arial" w:cs="Arial" w:eastAsia="Arial" w:hAnsi="Arial"/>
                <w:sz w:val="20"/>
                <w:szCs w:val="20"/>
                <w:color w:val="auto"/>
              </w:rPr>
              <w:t>—</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20" w:type="dxa"/>
            <w:vAlign w:val="bottom"/>
          </w:tcPr>
          <w:p>
            <w:pPr>
              <w:jc w:val="right"/>
              <w:spacing w:after="0" w:line="204" w:lineRule="exact"/>
              <w:rPr>
                <w:sz w:val="20"/>
                <w:szCs w:val="20"/>
                <w:color w:val="auto"/>
              </w:rPr>
            </w:pPr>
            <w:r>
              <w:rPr>
                <w:rFonts w:ascii="Arial" w:cs="Arial" w:eastAsia="Arial" w:hAnsi="Arial"/>
                <w:sz w:val="20"/>
                <w:szCs w:val="20"/>
                <w:color w:val="auto"/>
              </w:rPr>
              <w:t>Successor warrants  . . . . . . . . . . . .</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spacing w:after="0" w:line="204" w:lineRule="exact"/>
              <w:rPr>
                <w:sz w:val="20"/>
                <w:szCs w:val="20"/>
                <w:color w:val="auto"/>
              </w:rPr>
            </w:pPr>
            <w:r>
              <w:rPr>
                <w:rFonts w:ascii="Arial" w:cs="Arial" w:eastAsia="Arial" w:hAnsi="Arial"/>
                <w:sz w:val="20"/>
                <w:szCs w:val="20"/>
                <w:color w:val="auto"/>
              </w:rPr>
              <w: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line="204" w:lineRule="exact"/>
              <w:rPr>
                <w:sz w:val="20"/>
                <w:szCs w:val="20"/>
                <w:color w:val="auto"/>
              </w:rPr>
            </w:pPr>
            <w:r>
              <w:rPr>
                <w:rFonts w:ascii="Arial" w:cs="Arial" w:eastAsia="Arial" w:hAnsi="Arial"/>
                <w:sz w:val="20"/>
                <w:szCs w:val="20"/>
                <w:color w:val="auto"/>
              </w:rPr>
              <w:t>15</w:t>
            </w:r>
          </w:p>
        </w:tc>
        <w:tc>
          <w:tcPr>
            <w:tcW w:w="140" w:type="dxa"/>
            <w:vAlign w:val="bottom"/>
          </w:tcPr>
          <w:p>
            <w:pPr>
              <w:spacing w:after="0"/>
              <w:rPr>
                <w:sz w:val="17"/>
                <w:szCs w:val="17"/>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00"/>
              <w:spacing w:after="0" w:line="204" w:lineRule="exact"/>
              <w:rPr>
                <w:sz w:val="20"/>
                <w:szCs w:val="20"/>
                <w:color w:val="auto"/>
              </w:rPr>
            </w:pPr>
            <w:r>
              <w:rPr>
                <w:rFonts w:ascii="Arial" w:cs="Arial" w:eastAsia="Arial" w:hAnsi="Arial"/>
                <w:sz w:val="20"/>
                <w:szCs w:val="20"/>
                <w:color w:val="auto"/>
              </w:rPr>
              <w:t>—</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20" w:type="dxa"/>
            <w:vAlign w:val="bottom"/>
          </w:tcPr>
          <w:p>
            <w:pPr>
              <w:jc w:val="right"/>
              <w:spacing w:after="0" w:line="204" w:lineRule="exact"/>
              <w:rPr>
                <w:sz w:val="20"/>
                <w:szCs w:val="20"/>
                <w:color w:val="auto"/>
              </w:rPr>
            </w:pPr>
            <w:r>
              <w:rPr>
                <w:rFonts w:ascii="Arial" w:cs="Arial" w:eastAsia="Arial" w:hAnsi="Arial"/>
                <w:sz w:val="20"/>
                <w:szCs w:val="20"/>
                <w:color w:val="auto"/>
              </w:rPr>
              <w:t>Accumulated deficit . . . . . . . . . . . . .</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spacing w:after="0" w:line="204" w:lineRule="exact"/>
              <w:rPr>
                <w:sz w:val="20"/>
                <w:szCs w:val="20"/>
                <w:color w:val="auto"/>
              </w:rPr>
            </w:pPr>
            <w:r>
              <w:rPr>
                <w:rFonts w:ascii="Arial" w:cs="Arial" w:eastAsia="Arial" w:hAnsi="Arial"/>
                <w:sz w:val="20"/>
                <w:szCs w:val="20"/>
                <w:color w:val="auto"/>
              </w:rPr>
              <w:t>(7,481)</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line="204" w:lineRule="exact"/>
              <w:rPr>
                <w:sz w:val="20"/>
                <w:szCs w:val="20"/>
                <w:color w:val="auto"/>
              </w:rPr>
            </w:pPr>
            <w:r>
              <w:rPr>
                <w:rFonts w:ascii="Arial" w:cs="Arial" w:eastAsia="Arial" w:hAnsi="Arial"/>
                <w:sz w:val="20"/>
                <w:szCs w:val="20"/>
                <w:color w:val="auto"/>
              </w:rPr>
              <w:t>9,226</w:t>
            </w:r>
          </w:p>
        </w:tc>
        <w:tc>
          <w:tcPr>
            <w:tcW w:w="140" w:type="dxa"/>
            <w:vAlign w:val="bottom"/>
          </w:tcPr>
          <w:p>
            <w:pPr>
              <w:spacing w:after="0"/>
              <w:rPr>
                <w:sz w:val="17"/>
                <w:szCs w:val="17"/>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3"/>
          </w:tcPr>
          <w:p>
            <w:pPr>
              <w:jc w:val="right"/>
              <w:spacing w:after="0" w:line="204" w:lineRule="exact"/>
              <w:rPr>
                <w:sz w:val="20"/>
                <w:szCs w:val="20"/>
                <w:color w:val="auto"/>
              </w:rPr>
            </w:pPr>
            <w:r>
              <w:rPr>
                <w:rFonts w:ascii="Arial" w:cs="Arial" w:eastAsia="Arial" w:hAnsi="Arial"/>
                <w:sz w:val="20"/>
                <w:szCs w:val="20"/>
                <w:color w:val="auto"/>
              </w:rPr>
              <w:t xml:space="preserve">(1,745) </w:t>
            </w: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4"/>
        </w:trPr>
        <w:tc>
          <w:tcPr>
            <w:tcW w:w="3220" w:type="dxa"/>
            <w:vAlign w:val="bottom"/>
          </w:tcPr>
          <w:p>
            <w:pPr>
              <w:jc w:val="right"/>
              <w:spacing w:after="0" w:line="204" w:lineRule="exact"/>
              <w:rPr>
                <w:sz w:val="20"/>
                <w:szCs w:val="20"/>
                <w:color w:val="auto"/>
              </w:rPr>
            </w:pPr>
            <w:r>
              <w:rPr>
                <w:rFonts w:ascii="Arial" w:cs="Arial" w:eastAsia="Arial" w:hAnsi="Arial"/>
                <w:sz w:val="20"/>
                <w:szCs w:val="20"/>
                <w:color w:val="auto"/>
              </w:rPr>
              <w:t>Accumulated other comprehensive</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220" w:type="dxa"/>
            <w:vAlign w:val="bottom"/>
          </w:tcPr>
          <w:p>
            <w:pPr>
              <w:jc w:val="right"/>
              <w:spacing w:after="0" w:line="226" w:lineRule="exact"/>
              <w:rPr>
                <w:sz w:val="20"/>
                <w:szCs w:val="20"/>
                <w:color w:val="auto"/>
              </w:rPr>
            </w:pPr>
            <w:r>
              <w:rPr>
                <w:rFonts w:ascii="Arial" w:cs="Arial" w:eastAsia="Arial" w:hAnsi="Arial"/>
                <w:sz w:val="20"/>
                <w:szCs w:val="20"/>
                <w:color w:val="auto"/>
                <w:w w:val="98"/>
              </w:rPr>
              <w:t>loss . . . . . . . . . . . . . . . . . . . . . . . . . .</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(23)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200"/>
              <w:spacing w:after="0" w:line="225" w:lineRule="exact"/>
              <w:rPr>
                <w:sz w:val="20"/>
                <w:szCs w:val="20"/>
                <w:color w:val="auto"/>
              </w:rPr>
            </w:pPr>
            <w:r>
              <w:rPr>
                <w:rFonts w:ascii="Arial" w:cs="Arial" w:eastAsia="Arial" w:hAnsi="Arial"/>
                <w:sz w:val="20"/>
                <w:szCs w:val="20"/>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line="225" w:lineRule="exact"/>
              <w:rPr>
                <w:sz w:val="20"/>
                <w:szCs w:val="20"/>
                <w:color w:val="auto"/>
              </w:rPr>
            </w:pPr>
            <w:r>
              <w:rPr>
                <w:rFonts w:ascii="Arial" w:cs="Arial" w:eastAsia="Arial" w:hAnsi="Arial"/>
                <w:sz w:val="20"/>
                <w:szCs w:val="20"/>
                <w:color w:val="auto"/>
              </w:rPr>
              <w:t>23</w:t>
            </w:r>
          </w:p>
        </w:tc>
        <w:tc>
          <w:tcPr>
            <w:tcW w:w="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w w:val="88"/>
              </w:rPr>
              <w:t>(17)</w:t>
            </w:r>
          </w:p>
        </w:tc>
        <w:tc>
          <w:tcPr>
            <w:tcW w:w="0" w:type="dxa"/>
            <w:vAlign w:val="bottom"/>
          </w:tcPr>
          <w:p>
            <w:pPr>
              <w:spacing w:after="0"/>
              <w:rPr>
                <w:sz w:val="1"/>
                <w:szCs w:val="1"/>
                <w:color w:val="auto"/>
              </w:rPr>
            </w:pPr>
          </w:p>
        </w:tc>
      </w:tr>
      <w:tr>
        <w:trPr>
          <w:trHeight w:val="29"/>
        </w:trPr>
        <w:tc>
          <w:tcPr>
            <w:tcW w:w="3220" w:type="dxa"/>
            <w:vAlign w:val="bottom"/>
            <w:vMerge w:val="restart"/>
          </w:tcPr>
          <w:p>
            <w:pPr>
              <w:ind w:left="320"/>
              <w:spacing w:after="0"/>
              <w:rPr>
                <w:sz w:val="20"/>
                <w:szCs w:val="20"/>
                <w:color w:val="auto"/>
              </w:rPr>
            </w:pPr>
            <w:r>
              <w:rPr>
                <w:rFonts w:ascii="Arial" w:cs="Arial" w:eastAsia="Arial" w:hAnsi="Arial"/>
                <w:sz w:val="20"/>
                <w:szCs w:val="20"/>
                <w:color w:val="auto"/>
              </w:rPr>
              <w:t>Total equity attributable to</w:t>
            </w:r>
          </w:p>
        </w:tc>
        <w:tc>
          <w:tcPr>
            <w:tcW w:w="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2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20" w:type="dxa"/>
            <w:vAlign w:val="bottom"/>
          </w:tcPr>
          <w:p>
            <w:pPr>
              <w:jc w:val="right"/>
              <w:spacing w:after="0" w:line="205" w:lineRule="exact"/>
              <w:rPr>
                <w:sz w:val="20"/>
                <w:szCs w:val="20"/>
                <w:color w:val="auto"/>
              </w:rPr>
            </w:pPr>
            <w:r>
              <w:rPr>
                <w:rFonts w:ascii="Arial" w:cs="Arial" w:eastAsia="Arial" w:hAnsi="Arial"/>
                <w:sz w:val="20"/>
                <w:szCs w:val="20"/>
                <w:color w:val="auto"/>
              </w:rPr>
              <w:t>common stock . . . . . . . . . . . . . . .</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spacing w:after="0" w:line="205" w:lineRule="exact"/>
              <w:rPr>
                <w:sz w:val="20"/>
                <w:szCs w:val="20"/>
                <w:color w:val="auto"/>
              </w:rPr>
            </w:pPr>
            <w:r>
              <w:rPr>
                <w:rFonts w:ascii="Arial" w:cs="Arial" w:eastAsia="Arial" w:hAnsi="Arial"/>
                <w:sz w:val="20"/>
                <w:szCs w:val="20"/>
                <w:color w:val="auto"/>
              </w:rPr>
              <w:t>(2,355)</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line="205" w:lineRule="exact"/>
              <w:rPr>
                <w:sz w:val="20"/>
                <w:szCs w:val="20"/>
                <w:color w:val="auto"/>
              </w:rPr>
            </w:pPr>
            <w:r>
              <w:rPr>
                <w:rFonts w:ascii="Arial" w:cs="Arial" w:eastAsia="Arial" w:hAnsi="Arial"/>
                <w:sz w:val="20"/>
                <w:szCs w:val="20"/>
                <w:color w:val="auto"/>
              </w:rPr>
              <w:t>5,346</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line="205" w:lineRule="exact"/>
              <w:rPr>
                <w:sz w:val="20"/>
                <w:szCs w:val="20"/>
                <w:color w:val="auto"/>
              </w:rPr>
            </w:pPr>
            <w:r>
              <w:rPr>
                <w:rFonts w:ascii="Arial" w:cs="Arial" w:eastAsia="Arial" w:hAnsi="Arial"/>
                <w:sz w:val="20"/>
                <w:szCs w:val="20"/>
                <w:color w:val="auto"/>
              </w:rPr>
              <w:t>(1,722)</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20" w:type="dxa"/>
            <w:vAlign w:val="bottom"/>
          </w:tcPr>
          <w:p>
            <w:pPr>
              <w:ind w:left="120"/>
              <w:spacing w:after="0" w:line="204" w:lineRule="exact"/>
              <w:rPr>
                <w:sz w:val="20"/>
                <w:szCs w:val="20"/>
                <w:color w:val="auto"/>
              </w:rPr>
            </w:pPr>
            <w:r>
              <w:rPr>
                <w:rFonts w:ascii="Arial" w:cs="Arial" w:eastAsia="Arial" w:hAnsi="Arial"/>
                <w:sz w:val="20"/>
                <w:szCs w:val="20"/>
                <w:color w:val="auto"/>
              </w:rPr>
              <w:t>Equity attributable to</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220" w:type="dxa"/>
            <w:vAlign w:val="bottom"/>
          </w:tcPr>
          <w:p>
            <w:pPr>
              <w:jc w:val="right"/>
              <w:spacing w:after="0" w:line="224" w:lineRule="exact"/>
              <w:rPr>
                <w:sz w:val="20"/>
                <w:szCs w:val="20"/>
                <w:color w:val="auto"/>
              </w:rPr>
            </w:pPr>
            <w:r>
              <w:rPr>
                <w:rFonts w:ascii="Arial" w:cs="Arial" w:eastAsia="Arial" w:hAnsi="Arial"/>
                <w:sz w:val="20"/>
                <w:szCs w:val="20"/>
                <w:color w:val="auto"/>
              </w:rPr>
              <w:t>noncontrolling interests  . . . . . . . . .</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line="227" w:lineRule="exact"/>
              <w:rPr>
                <w:sz w:val="20"/>
                <w:szCs w:val="20"/>
                <w:color w:val="auto"/>
              </w:rPr>
            </w:pPr>
            <w:r>
              <w:rPr>
                <w:rFonts w:ascii="Arial" w:cs="Arial" w:eastAsia="Arial" w:hAnsi="Arial"/>
                <w:sz w:val="20"/>
                <w:szCs w:val="20"/>
                <w:color w:val="auto"/>
              </w:rPr>
              <w:t>69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200"/>
              <w:spacing w:after="0" w:line="227" w:lineRule="exact"/>
              <w:rPr>
                <w:sz w:val="20"/>
                <w:szCs w:val="20"/>
                <w:color w:val="auto"/>
              </w:rPr>
            </w:pPr>
            <w:r>
              <w:rPr>
                <w:rFonts w:ascii="Arial" w:cs="Arial" w:eastAsia="Arial" w:hAnsi="Arial"/>
                <w:sz w:val="20"/>
                <w:szCs w:val="20"/>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line="227" w:lineRule="exact"/>
              <w:rPr>
                <w:sz w:val="20"/>
                <w:szCs w:val="20"/>
                <w:color w:val="auto"/>
              </w:rPr>
            </w:pPr>
            <w:r>
              <w:rPr>
                <w:rFonts w:ascii="Arial" w:cs="Arial" w:eastAsia="Arial" w:hAnsi="Arial"/>
                <w:sz w:val="20"/>
                <w:szCs w:val="20"/>
                <w:color w:val="auto"/>
              </w:rPr>
              <w:t>7</w:t>
            </w:r>
          </w:p>
        </w:tc>
        <w:tc>
          <w:tcPr>
            <w:tcW w:w="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w w:val="88"/>
              </w:rPr>
              <w:t>(18)</w:t>
            </w:r>
          </w:p>
        </w:tc>
        <w:tc>
          <w:tcPr>
            <w:tcW w:w="0" w:type="dxa"/>
            <w:vAlign w:val="bottom"/>
          </w:tcPr>
          <w:p>
            <w:pPr>
              <w:spacing w:after="0"/>
              <w:rPr>
                <w:sz w:val="1"/>
                <w:szCs w:val="1"/>
                <w:color w:val="auto"/>
              </w:rPr>
            </w:pPr>
          </w:p>
        </w:tc>
      </w:tr>
      <w:tr>
        <w:trPr>
          <w:trHeight w:val="28"/>
        </w:trPr>
        <w:tc>
          <w:tcPr>
            <w:tcW w:w="3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3220" w:type="dxa"/>
            <w:vAlign w:val="bottom"/>
          </w:tcPr>
          <w:p>
            <w:pPr>
              <w:jc w:val="right"/>
              <w:spacing w:after="0"/>
              <w:rPr>
                <w:sz w:val="20"/>
                <w:szCs w:val="20"/>
                <w:color w:val="auto"/>
              </w:rPr>
            </w:pPr>
            <w:r>
              <w:rPr>
                <w:rFonts w:ascii="Arial" w:cs="Arial" w:eastAsia="Arial" w:hAnsi="Arial"/>
                <w:sz w:val="20"/>
                <w:szCs w:val="20"/>
                <w:color w:val="auto"/>
              </w:rPr>
              <w:t>Total equity  . . . . . . . . . . . . . . . . .</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(2,286)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5,346</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(1,715)</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328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3540" w:type="dxa"/>
            <w:vAlign w:val="bottom"/>
            <w:gridSpan w:val="3"/>
          </w:tcPr>
          <w:p>
            <w:pPr>
              <w:spacing w:after="0"/>
              <w:rPr>
                <w:sz w:val="20"/>
                <w:szCs w:val="20"/>
                <w:color w:val="auto"/>
              </w:rPr>
            </w:pPr>
            <w:r>
              <w:rPr>
                <w:rFonts w:ascii="Arial" w:cs="Arial" w:eastAsia="Arial" w:hAnsi="Arial"/>
                <w:sz w:val="20"/>
                <w:szCs w:val="20"/>
                <w:b w:val="1"/>
                <w:bCs w:val="1"/>
                <w:color w:val="auto"/>
              </w:rPr>
              <w:t xml:space="preserve">TOTAL LIABILITIES AND EQUITY </w:t>
            </w: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4,827</w:t>
            </w:r>
          </w:p>
        </w:tc>
        <w:tc>
          <w:tcPr>
            <w:tcW w:w="6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113</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gridSpan w:val="2"/>
          </w:tcPr>
          <w:p>
            <w:pPr>
              <w:ind w:left="2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(1,652)</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3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Successor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19050</wp:posOffset>
                </wp:positionV>
                <wp:extent cx="77470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47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pt" to="61pt,1.5pt" o:allowincell="f" strokecolor="#000000" strokeweight="1pt"/>
            </w:pict>
          </mc:Fallback>
        </mc:AlternateContent>
      </w:r>
    </w:p>
    <w:p>
      <w:pPr>
        <w:spacing w:after="0" w:line="278" w:lineRule="exact"/>
        <w:rPr>
          <w:sz w:val="20"/>
          <w:szCs w:val="20"/>
          <w:color w:val="auto"/>
        </w:rPr>
      </w:pPr>
    </w:p>
    <w:p>
      <w:pPr>
        <w:ind w:left="880" w:hanging="876"/>
        <w:spacing w:after="0"/>
        <w:tabs>
          <w:tab w:leader="none" w:pos="880" w:val="left"/>
        </w:tabs>
        <w:numPr>
          <w:ilvl w:val="0"/>
          <w:numId w:val="63"/>
        </w:numPr>
        <w:rPr>
          <w:rFonts w:ascii="Arial" w:cs="Arial" w:eastAsia="Arial" w:hAnsi="Arial"/>
          <w:sz w:val="20"/>
          <w:szCs w:val="20"/>
          <w:color w:val="auto"/>
        </w:rPr>
      </w:pPr>
      <w:r>
        <w:rPr>
          <w:rFonts w:ascii="Arial" w:cs="Arial" w:eastAsia="Arial" w:hAnsi="Arial"/>
          <w:sz w:val="20"/>
          <w:szCs w:val="20"/>
          <w:color w:val="auto"/>
        </w:rPr>
        <w:t>203</w:t>
      </w:r>
    </w:p>
    <w:p>
      <w:pPr>
        <w:ind w:left="880"/>
        <w:spacing w:after="0" w:line="230" w:lineRule="auto"/>
        <w:rPr>
          <w:rFonts w:ascii="Arial" w:cs="Arial" w:eastAsia="Arial" w:hAnsi="Arial"/>
          <w:sz w:val="20"/>
          <w:szCs w:val="20"/>
          <w:color w:val="auto"/>
        </w:rPr>
      </w:pPr>
      <w:r>
        <w:rPr>
          <w:rFonts w:ascii="Arial" w:cs="Arial" w:eastAsia="Arial" w:hAnsi="Arial"/>
          <w:sz w:val="20"/>
          <w:szCs w:val="20"/>
          <w:color w:val="auto"/>
        </w:rPr>
        <w:t>149</w:t>
      </w:r>
    </w:p>
    <w:p>
      <w:pPr>
        <w:ind w:left="1000"/>
        <w:spacing w:after="0"/>
        <w:rPr>
          <w:rFonts w:ascii="Arial" w:cs="Arial" w:eastAsia="Arial" w:hAnsi="Arial"/>
          <w:sz w:val="20"/>
          <w:szCs w:val="20"/>
          <w:color w:val="auto"/>
        </w:rPr>
      </w:pPr>
      <w:r>
        <w:rPr>
          <w:rFonts w:ascii="Arial" w:cs="Arial" w:eastAsia="Arial" w:hAnsi="Arial"/>
          <w:sz w:val="19"/>
          <w:szCs w:val="19"/>
          <w:color w:val="auto"/>
        </w:rPr>
        <w:t>61</w:t>
      </w:r>
    </w:p>
    <w:p>
      <w:pPr>
        <w:spacing w:after="0" w:line="6" w:lineRule="exact"/>
        <w:rPr>
          <w:rFonts w:ascii="Arial" w:cs="Arial" w:eastAsia="Arial" w:hAnsi="Arial"/>
          <w:sz w:val="20"/>
          <w:szCs w:val="20"/>
          <w:color w:val="auto"/>
        </w:rPr>
      </w:pPr>
    </w:p>
    <w:p>
      <w:pPr>
        <w:ind w:left="880"/>
        <w:spacing w:after="0" w:line="230" w:lineRule="auto"/>
        <w:rPr>
          <w:rFonts w:ascii="Arial" w:cs="Arial" w:eastAsia="Arial" w:hAnsi="Arial"/>
          <w:sz w:val="20"/>
          <w:szCs w:val="20"/>
          <w:color w:val="auto"/>
        </w:rPr>
      </w:pPr>
      <w:r>
        <w:rPr>
          <w:rFonts w:ascii="Arial" w:cs="Arial" w:eastAsia="Arial" w:hAnsi="Arial"/>
          <w:sz w:val="20"/>
          <w:szCs w:val="20"/>
          <w:color w:val="auto"/>
        </w:rPr>
        <w:t>102</w:t>
      </w:r>
    </w:p>
    <w:p>
      <w:pPr>
        <w:spacing w:after="0" w:line="73" w:lineRule="exact"/>
        <w:rPr>
          <w:rFonts w:ascii="Arial" w:cs="Arial" w:eastAsia="Arial" w:hAnsi="Arial"/>
          <w:sz w:val="20"/>
          <w:szCs w:val="20"/>
          <w:color w:val="auto"/>
        </w:rPr>
      </w:pPr>
    </w:p>
    <w:p>
      <w:pPr>
        <w:ind w:left="880"/>
        <w:spacing w:after="0"/>
        <w:rPr>
          <w:rFonts w:ascii="Arial" w:cs="Arial" w:eastAsia="Arial" w:hAnsi="Arial"/>
          <w:sz w:val="20"/>
          <w:szCs w:val="20"/>
          <w:color w:val="auto"/>
        </w:rPr>
      </w:pPr>
      <w:r>
        <w:rPr>
          <w:rFonts w:ascii="Arial" w:cs="Arial" w:eastAsia="Arial" w:hAnsi="Arial"/>
          <w:sz w:val="20"/>
          <w:szCs w:val="20"/>
          <w:color w:val="auto"/>
        </w:rPr>
        <w:t>515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-170180</wp:posOffset>
                </wp:positionV>
                <wp:extent cx="76898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898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3.3999pt" to="60.75pt,-13.3999pt" o:allowincell="f" strokecolor="#000000" strokeweight="0.5pt"/>
            </w:pict>
          </mc:Fallback>
        </mc:AlternateConten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9"/>
          <w:szCs w:val="19"/>
          <w:color w:val="auto"/>
        </w:rPr>
        <w:t>2,682</w:t>
      </w:r>
    </w:p>
    <w:p>
      <w:pPr>
        <w:spacing w:after="0" w:line="22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20320</wp:posOffset>
                </wp:positionV>
                <wp:extent cx="768985"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898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6pt" to="60.75pt,1.6pt" o:allowincell="f" strokecolor="#000000" strokeweight="0.5pt"/>
            </w:pict>
          </mc:Fallback>
        </mc:AlternateConten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2,682</w:t>
      </w:r>
    </w:p>
    <w:p>
      <w:pPr>
        <w:jc w:val="right"/>
        <w:spacing w:after="0" w:line="230" w:lineRule="auto"/>
        <w:rPr>
          <w:sz w:val="20"/>
          <w:szCs w:val="20"/>
          <w:color w:val="auto"/>
        </w:rPr>
      </w:pPr>
      <w:r>
        <w:rPr>
          <w:rFonts w:ascii="Arial" w:cs="Arial" w:eastAsia="Arial" w:hAnsi="Arial"/>
          <w:sz w:val="20"/>
          <w:szCs w:val="20"/>
          <w:color w:val="auto"/>
        </w:rPr>
        <w:t>91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22225</wp:posOffset>
                </wp:positionV>
                <wp:extent cx="76898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898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75pt" to="60.75pt,1.75pt" o:allowincell="f" strokecolor="#000000" strokeweight="0.5pt"/>
            </w:pict>
          </mc:Fallback>
        </mc:AlternateContent>
      </w:r>
    </w:p>
    <w:p>
      <w:pPr>
        <w:spacing w:after="0" w:line="60" w:lineRule="exact"/>
        <w:rPr>
          <w:sz w:val="20"/>
          <w:szCs w:val="20"/>
          <w:color w:val="auto"/>
        </w:rPr>
      </w:pPr>
    </w:p>
    <w:p>
      <w:pPr>
        <w:ind w:left="720" w:hanging="716"/>
        <w:spacing w:after="0"/>
        <w:tabs>
          <w:tab w:leader="none" w:pos="720" w:val="left"/>
        </w:tabs>
        <w:numPr>
          <w:ilvl w:val="0"/>
          <w:numId w:val="64"/>
        </w:numPr>
        <w:rPr>
          <w:rFonts w:ascii="Arial" w:cs="Arial" w:eastAsia="Arial" w:hAnsi="Arial"/>
          <w:sz w:val="19"/>
          <w:szCs w:val="19"/>
          <w:color w:val="auto"/>
        </w:rPr>
      </w:pPr>
      <w:r>
        <w:rPr>
          <w:rFonts w:ascii="Arial" w:cs="Arial" w:eastAsia="Arial" w:hAnsi="Arial"/>
          <w:sz w:val="19"/>
          <w:szCs w:val="19"/>
          <w:color w:val="auto"/>
        </w:rPr>
        <w:t>3,288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25400</wp:posOffset>
                </wp:positionV>
                <wp:extent cx="76898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898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2pt" to="60.75pt,2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50800</wp:posOffset>
                </wp:positionV>
                <wp:extent cx="76898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898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4pt" to="60.75pt,4pt" o:allowincell="f" strokecolor="#000000" strokeweight="0.5pt"/>
            </w:pict>
          </mc:Fallback>
        </mc:AlternateContent>
      </w:r>
    </w:p>
    <w:p>
      <w:pPr>
        <w:spacing w:after="0" w:line="285"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w:t>
      </w:r>
    </w:p>
    <w:p>
      <w:pPr>
        <w:jc w:val="right"/>
        <w:spacing w:after="0" w:line="210" w:lineRule="auto"/>
        <w:rPr>
          <w:sz w:val="20"/>
          <w:szCs w:val="20"/>
          <w:color w:val="auto"/>
        </w:rPr>
      </w:pPr>
      <w:r>
        <w:rPr>
          <w:rFonts w:ascii="Arial" w:cs="Arial" w:eastAsia="Arial" w:hAnsi="Arial"/>
          <w:sz w:val="20"/>
          <w:szCs w:val="20"/>
          <w:color w:val="auto"/>
        </w:rPr>
        <w:t>215</w:t>
      </w:r>
    </w:p>
    <w:p>
      <w:pPr>
        <w:jc w:val="right"/>
        <w:spacing w:after="0" w:line="215" w:lineRule="auto"/>
        <w:rPr>
          <w:sz w:val="20"/>
          <w:szCs w:val="20"/>
          <w:color w:val="auto"/>
        </w:rPr>
      </w:pPr>
      <w:r>
        <w:rPr>
          <w:rFonts w:ascii="Arial" w:cs="Arial" w:eastAsia="Arial" w:hAnsi="Arial"/>
          <w:sz w:val="20"/>
          <w:szCs w:val="20"/>
          <w:color w:val="auto"/>
        </w:rPr>
        <w:t>231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20955</wp:posOffset>
                </wp:positionV>
                <wp:extent cx="77470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47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5pt" to="61pt,1.65pt" o:allowincell="f" strokecolor="#000000" strokeweight="0.5pt"/>
            </w:pict>
          </mc:Fallback>
        </mc:AlternateConten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446</w:t>
      </w:r>
    </w:p>
    <w:p>
      <w:pPr>
        <w:jc w:val="right"/>
        <w:spacing w:after="0" w:line="212" w:lineRule="auto"/>
        <w:rPr>
          <w:sz w:val="20"/>
          <w:szCs w:val="20"/>
          <w:color w:val="auto"/>
        </w:rPr>
      </w:pPr>
      <w:r>
        <w:rPr>
          <w:rFonts w:ascii="Arial" w:cs="Arial" w:eastAsia="Arial" w:hAnsi="Arial"/>
          <w:sz w:val="20"/>
          <w:szCs w:val="20"/>
          <w:color w:val="auto"/>
        </w:rPr>
        <w:t>723</w:t>
      </w:r>
    </w:p>
    <w:p>
      <w:pPr>
        <w:ind w:left="880"/>
        <w:spacing w:after="0" w:line="231" w:lineRule="auto"/>
        <w:rPr>
          <w:sz w:val="20"/>
          <w:szCs w:val="20"/>
          <w:color w:val="auto"/>
        </w:rPr>
      </w:pPr>
      <w:r>
        <w:rPr>
          <w:rFonts w:ascii="Arial" w:cs="Arial" w:eastAsia="Arial" w:hAnsi="Arial"/>
          <w:sz w:val="20"/>
          <w:szCs w:val="20"/>
          <w:color w:val="auto"/>
        </w:rPr>
        <w:t>774</w:t>
      </w:r>
    </w:p>
    <w:p>
      <w:pPr>
        <w:spacing w:after="0" w:line="182"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w:t>
      </w:r>
    </w:p>
    <w:p>
      <w:pPr>
        <w:spacing w:after="0" w:line="38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w:t>
      </w:r>
    </w:p>
    <w:p>
      <w:pPr>
        <w:spacing w:after="0" w:line="176"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w:t>
      </w:r>
    </w:p>
    <w:p>
      <w:pPr>
        <w:ind w:left="1020"/>
        <w:spacing w:after="0" w:line="214" w:lineRule="auto"/>
        <w:rPr>
          <w:sz w:val="20"/>
          <w:szCs w:val="20"/>
          <w:color w:val="auto"/>
        </w:rPr>
      </w:pPr>
      <w:r>
        <w:rPr>
          <w:rFonts w:ascii="Arial" w:cs="Arial" w:eastAsia="Arial" w:hAnsi="Arial"/>
          <w:sz w:val="20"/>
          <w:szCs w:val="20"/>
          <w:color w:val="auto"/>
        </w:rPr>
        <w:t>—</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jc w:val="right"/>
        <w:spacing w:after="0" w:line="212" w:lineRule="auto"/>
        <w:rPr>
          <w:sz w:val="20"/>
          <w:szCs w:val="20"/>
          <w:color w:val="auto"/>
        </w:rPr>
      </w:pPr>
      <w:r>
        <w:rPr>
          <w:rFonts w:ascii="Arial" w:cs="Arial" w:eastAsia="Arial" w:hAnsi="Arial"/>
          <w:sz w:val="20"/>
          <w:szCs w:val="20"/>
          <w:color w:val="auto"/>
        </w:rPr>
        <w:t>—</w:t>
      </w:r>
    </w:p>
    <w:p>
      <w:pPr>
        <w:jc w:val="right"/>
        <w:spacing w:after="0" w:line="215" w:lineRule="auto"/>
        <w:rPr>
          <w:sz w:val="20"/>
          <w:szCs w:val="20"/>
          <w:color w:val="auto"/>
        </w:rPr>
      </w:pPr>
      <w:r>
        <w:rPr>
          <w:rFonts w:ascii="Arial" w:cs="Arial" w:eastAsia="Arial" w:hAnsi="Arial"/>
          <w:sz w:val="20"/>
          <w:szCs w:val="20"/>
          <w:color w:val="auto"/>
        </w:rPr>
        <w:t>1</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1,253</w:t>
      </w:r>
    </w:p>
    <w:p>
      <w:pPr>
        <w:jc w:val="right"/>
        <w:spacing w:after="0" w:line="212" w:lineRule="auto"/>
        <w:rPr>
          <w:sz w:val="20"/>
          <w:szCs w:val="20"/>
          <w:color w:val="auto"/>
        </w:rPr>
      </w:pPr>
      <w:r>
        <w:rPr>
          <w:rFonts w:ascii="Arial" w:cs="Arial" w:eastAsia="Arial" w:hAnsi="Arial"/>
          <w:sz w:val="20"/>
          <w:szCs w:val="20"/>
          <w:color w:val="auto"/>
        </w:rPr>
        <w:t>15</w:t>
      </w:r>
    </w:p>
    <w:p>
      <w:pPr>
        <w:jc w:val="right"/>
        <w:spacing w:after="0" w:line="211" w:lineRule="auto"/>
        <w:rPr>
          <w:sz w:val="20"/>
          <w:szCs w:val="20"/>
          <w:color w:val="auto"/>
        </w:rPr>
      </w:pPr>
      <w:r>
        <w:rPr>
          <w:rFonts w:ascii="Arial" w:cs="Arial" w:eastAsia="Arial" w:hAnsi="Arial"/>
          <w:sz w:val="20"/>
          <w:szCs w:val="20"/>
          <w:color w:val="auto"/>
        </w:rPr>
        <w:t>—</w:t>
      </w:r>
    </w:p>
    <w:p>
      <w:pPr>
        <w:spacing w:after="0" w:line="180"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22225</wp:posOffset>
                </wp:positionV>
                <wp:extent cx="77470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47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5pt" to="61pt,1.75pt" o:allowincell="f" strokecolor="#000000" strokeweight="0.5pt"/>
            </w:pict>
          </mc:Fallback>
        </mc:AlternateContent>
      </w:r>
    </w:p>
    <w:p>
      <w:pPr>
        <w:spacing w:after="0" w:line="245" w:lineRule="exact"/>
        <w:rPr>
          <w:sz w:val="20"/>
          <w:szCs w:val="20"/>
          <w:color w:val="auto"/>
        </w:rPr>
      </w:pPr>
    </w:p>
    <w:p>
      <w:pPr>
        <w:ind w:left="720"/>
        <w:spacing w:after="0"/>
        <w:rPr>
          <w:sz w:val="20"/>
          <w:szCs w:val="20"/>
          <w:color w:val="auto"/>
        </w:rPr>
      </w:pPr>
      <w:r>
        <w:rPr>
          <w:rFonts w:ascii="Arial" w:cs="Arial" w:eastAsia="Arial" w:hAnsi="Arial"/>
          <w:sz w:val="19"/>
          <w:szCs w:val="19"/>
          <w:color w:val="auto"/>
        </w:rPr>
        <w:t>1,269</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20955</wp:posOffset>
                </wp:positionV>
                <wp:extent cx="77470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47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5pt" to="61pt,1.65pt" o:allowincell="f" strokecolor="#000000" strokeweight="0.5pt"/>
            </w:pict>
          </mc:Fallback>
        </mc:AlternateConten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1,345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21590</wp:posOffset>
                </wp:positionV>
                <wp:extent cx="77470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47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pt" to="61pt,1.7pt" o:allowincell="f" strokecolor="#000000" strokeweight="0.5pt"/>
            </w:pict>
          </mc:Fallback>
        </mc:AlternateContent>
      </w:r>
    </w:p>
    <w:p>
      <w:pPr>
        <w:spacing w:after="0" w:line="40" w:lineRule="exact"/>
        <w:rPr>
          <w:sz w:val="20"/>
          <w:szCs w:val="20"/>
          <w:color w:val="auto"/>
        </w:rPr>
      </w:pPr>
    </w:p>
    <w:p>
      <w:pPr>
        <w:ind w:left="720" w:hanging="716"/>
        <w:spacing w:after="0"/>
        <w:tabs>
          <w:tab w:leader="none" w:pos="720" w:val="left"/>
        </w:tabs>
        <w:numPr>
          <w:ilvl w:val="0"/>
          <w:numId w:val="65"/>
        </w:numPr>
        <w:rPr>
          <w:rFonts w:ascii="Arial" w:cs="Arial" w:eastAsia="Arial" w:hAnsi="Arial"/>
          <w:sz w:val="19"/>
          <w:szCs w:val="19"/>
          <w:color w:val="auto"/>
        </w:rPr>
      </w:pPr>
      <w:r>
        <w:rPr>
          <w:rFonts w:ascii="Arial" w:cs="Arial" w:eastAsia="Arial" w:hAnsi="Arial"/>
          <w:sz w:val="19"/>
          <w:szCs w:val="19"/>
          <w:color w:val="auto"/>
        </w:rPr>
        <w:t>3,288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25400</wp:posOffset>
                </wp:positionV>
                <wp:extent cx="77470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47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pt" to="61pt,2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50800</wp:posOffset>
                </wp:positionV>
                <wp:extent cx="77470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47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pt" to="61pt,4pt" o:allowincell="f" strokecolor="#000000" strokeweight="0.5pt"/>
            </w:pict>
          </mc:Fallback>
        </mc:AlternateContent>
      </w:r>
    </w:p>
    <w:p>
      <w:pPr>
        <w:spacing w:after="0" w:line="285" w:lineRule="exact"/>
        <w:rPr>
          <w:sz w:val="20"/>
          <w:szCs w:val="20"/>
          <w:color w:val="auto"/>
        </w:rPr>
      </w:pPr>
    </w:p>
    <w:p>
      <w:pPr>
        <w:sectPr>
          <w:pgSz w:w="11880" w:h="15480" w:orient="portrait"/>
          <w:cols w:equalWidth="0" w:num="2">
            <w:col w:w="7680" w:space="220"/>
            <w:col w:w="1220"/>
          </w:cols>
          <w:pgMar w:left="1380" w:top="1311" w:right="1380" w:bottom="661" w:gutter="0" w:footer="0" w:header="0"/>
          <w:type w:val="continuous"/>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152</w:t>
      </w:r>
    </w:p>
    <w:p>
      <w:pPr>
        <w:sectPr>
          <w:pgSz w:w="11880" w:h="15480" w:orient="portrait"/>
          <w:cols w:equalWidth="0" w:num="1">
            <w:col w:w="9120"/>
          </w:cols>
          <w:pgMar w:left="1380" w:top="1311" w:right="1380" w:bottom="661" w:gutter="0" w:footer="0" w:header="0"/>
          <w:type w:val="continuous"/>
        </w:sectPr>
      </w:pPr>
    </w:p>
    <w:bookmarkStart w:id="156" w:name="page157"/>
    <w:bookmarkEnd w:id="156"/>
    <w:p>
      <w:pPr>
        <w:spacing w:after="0"/>
        <w:rPr>
          <w:sz w:val="20"/>
          <w:szCs w:val="20"/>
          <w:color w:val="auto"/>
        </w:rPr>
      </w:pPr>
      <w:r>
        <w:rPr>
          <w:rFonts w:ascii="Arial" w:cs="Arial" w:eastAsia="Arial" w:hAnsi="Arial"/>
          <w:sz w:val="20"/>
          <w:szCs w:val="20"/>
          <w:i w:val="1"/>
          <w:iCs w:val="1"/>
          <w:u w:val="single" w:color="auto"/>
          <w:color w:val="auto"/>
        </w:rPr>
        <w:t>Reorganization Adjustments</w:t>
      </w:r>
    </w:p>
    <w:p>
      <w:pPr>
        <w:spacing w:after="0" w:line="210" w:lineRule="exact"/>
        <w:rPr>
          <w:sz w:val="20"/>
          <w:szCs w:val="20"/>
          <w:color w:val="auto"/>
        </w:rPr>
      </w:pPr>
    </w:p>
    <w:p>
      <w:pPr>
        <w:ind w:left="300"/>
        <w:spacing w:after="0"/>
        <w:tabs>
          <w:tab w:leader="none" w:pos="680" w:val="left"/>
        </w:tabs>
        <w:rPr>
          <w:sz w:val="20"/>
          <w:szCs w:val="20"/>
          <w:color w:val="auto"/>
        </w:rPr>
      </w:pPr>
      <w:r>
        <w:rPr>
          <w:rFonts w:ascii="Arial" w:cs="Arial" w:eastAsia="Arial" w:hAnsi="Arial"/>
          <w:sz w:val="20"/>
          <w:szCs w:val="20"/>
          <w:color w:val="auto"/>
        </w:rPr>
        <w:t>(1)</w:t>
        <w:tab/>
        <w:t>Net change in cash upon our emergence included the following transactions (in millions):</w:t>
      </w:r>
    </w:p>
    <w:p>
      <w:pPr>
        <w:sectPr>
          <w:pgSz w:w="11880" w:h="15480" w:orient="portrait"/>
          <w:cols w:equalWidth="0" w:num="1">
            <w:col w:w="9180"/>
          </w:cols>
          <w:pgMar w:left="1380" w:top="1290" w:right="1320" w:bottom="661" w:gutter="0" w:footer="0" w:header="0"/>
        </w:sectPr>
      </w:pPr>
    </w:p>
    <w:p>
      <w:pPr>
        <w:spacing w:after="0" w:line="190" w:lineRule="exact"/>
        <w:rPr>
          <w:sz w:val="20"/>
          <w:szCs w:val="20"/>
          <w:color w:val="auto"/>
        </w:rPr>
      </w:pPr>
    </w:p>
    <w:p>
      <w:pPr>
        <w:ind w:left="120"/>
        <w:spacing w:after="0"/>
        <w:tabs>
          <w:tab w:leader="none" w:pos="3740" w:val="left"/>
        </w:tabs>
        <w:rPr>
          <w:sz w:val="20"/>
          <w:szCs w:val="20"/>
          <w:color w:val="auto"/>
        </w:rPr>
      </w:pPr>
      <w:r>
        <w:rPr>
          <w:rFonts w:ascii="Arial" w:cs="Arial" w:eastAsia="Arial" w:hAnsi="Arial"/>
          <w:sz w:val="20"/>
          <w:szCs w:val="20"/>
          <w:color w:val="auto"/>
        </w:rPr>
        <w:t>Proceeds from Revolving Credit Facility</w:t>
      </w:r>
      <w:r>
        <w:rPr>
          <w:sz w:val="20"/>
          <w:szCs w:val="20"/>
          <w:color w:val="auto"/>
        </w:rPr>
        <w:tab/>
      </w:r>
      <w:r>
        <w:rPr>
          <w:rFonts w:ascii="Arial" w:cs="Arial" w:eastAsia="Arial" w:hAnsi="Arial"/>
          <w:sz w:val="18"/>
          <w:szCs w:val="18"/>
          <w:color w:val="auto"/>
        </w:rPr>
        <w:t>. . . . . . . . . . . . . . . . . . . . . . . . . . . . . . .</w:t>
      </w:r>
    </w:p>
    <w:p>
      <w:pPr>
        <w:ind w:left="120"/>
        <w:spacing w:after="0"/>
        <w:tabs>
          <w:tab w:leader="none" w:pos="6160" w:val="left"/>
        </w:tabs>
        <w:rPr>
          <w:sz w:val="20"/>
          <w:szCs w:val="20"/>
          <w:color w:val="auto"/>
        </w:rPr>
      </w:pPr>
      <w:r>
        <w:rPr>
          <w:rFonts w:ascii="Arial" w:cs="Arial" w:eastAsia="Arial" w:hAnsi="Arial"/>
          <w:sz w:val="20"/>
          <w:szCs w:val="20"/>
          <w:color w:val="auto"/>
        </w:rPr>
        <w:t>Proceeds from Subscription Rights and Backstop Commitment, net</w:t>
      </w:r>
      <w:r>
        <w:rPr>
          <w:sz w:val="20"/>
          <w:szCs w:val="20"/>
          <w:color w:val="auto"/>
        </w:rPr>
        <w:tab/>
      </w:r>
      <w:r>
        <w:rPr>
          <w:rFonts w:ascii="Arial" w:cs="Arial" w:eastAsia="Arial" w:hAnsi="Arial"/>
          <w:sz w:val="19"/>
          <w:szCs w:val="19"/>
          <w:color w:val="auto"/>
        </w:rPr>
        <w:t>. . . . . . . .</w:t>
      </w:r>
    </w:p>
    <w:p>
      <w:pPr>
        <w:ind w:left="120"/>
        <w:spacing w:after="0"/>
        <w:tabs>
          <w:tab w:leader="none" w:pos="3740" w:val="left"/>
        </w:tabs>
        <w:rPr>
          <w:sz w:val="20"/>
          <w:szCs w:val="20"/>
          <w:color w:val="auto"/>
        </w:rPr>
      </w:pPr>
      <w:r>
        <w:rPr>
          <w:rFonts w:ascii="Arial" w:cs="Arial" w:eastAsia="Arial" w:hAnsi="Arial"/>
          <w:sz w:val="20"/>
          <w:szCs w:val="20"/>
          <w:color w:val="auto"/>
        </w:rPr>
        <w:t>Proceeds from Second Lien Term Loan</w:t>
      </w:r>
      <w:r>
        <w:rPr>
          <w:sz w:val="20"/>
          <w:szCs w:val="20"/>
          <w:color w:val="auto"/>
        </w:rPr>
        <w:tab/>
      </w:r>
      <w:r>
        <w:rPr>
          <w:rFonts w:ascii="Arial" w:cs="Arial" w:eastAsia="Arial" w:hAnsi="Arial"/>
          <w:sz w:val="18"/>
          <w:szCs w:val="18"/>
          <w:color w:val="auto"/>
        </w:rPr>
        <w:t>. . . . . . . . . . . . . . . . . . . . . . . . . . . . . . .</w:t>
      </w:r>
    </w:p>
    <w:p>
      <w:pPr>
        <w:ind w:left="120"/>
        <w:spacing w:after="0"/>
        <w:tabs>
          <w:tab w:leader="none" w:pos="4160" w:val="left"/>
        </w:tabs>
        <w:rPr>
          <w:sz w:val="20"/>
          <w:szCs w:val="20"/>
          <w:color w:val="auto"/>
        </w:rPr>
      </w:pPr>
      <w:r>
        <w:rPr>
          <w:rFonts w:ascii="Arial" w:cs="Arial" w:eastAsia="Arial" w:hAnsi="Arial"/>
          <w:sz w:val="20"/>
          <w:szCs w:val="20"/>
          <w:color w:val="auto"/>
        </w:rPr>
        <w:t>Repayment of debtor-in-possession facilities</w:t>
      </w:r>
      <w:r>
        <w:rPr>
          <w:sz w:val="20"/>
          <w:szCs w:val="20"/>
          <w:color w:val="auto"/>
        </w:rPr>
        <w:tab/>
      </w:r>
      <w:r>
        <w:rPr>
          <w:rFonts w:ascii="Arial" w:cs="Arial" w:eastAsia="Arial" w:hAnsi="Arial"/>
          <w:sz w:val="19"/>
          <w:szCs w:val="19"/>
          <w:color w:val="auto"/>
        </w:rPr>
        <w:t>. . . . . . . . . . . . . . . . . . . . . . . . . . .</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9"/>
          <w:szCs w:val="19"/>
          <w:color w:val="auto"/>
        </w:rPr>
        <w:t>Payment of legal, professional and other fees . . . . . . . . . . . . . . . . . . . . . . . . . . .</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9"/>
          <w:szCs w:val="19"/>
          <w:color w:val="auto"/>
        </w:rPr>
        <w:t>Debt issuance costs for the Revolving Credit Facility . . . . . . . . . . . . . . . . . . . . .</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9"/>
          <w:szCs w:val="19"/>
          <w:color w:val="auto"/>
        </w:rPr>
        <w:t>Debt issuance costs for the Second Lien Term Loan . . . . . . . . . . . . . . . . . . . . .</w:t>
      </w:r>
    </w:p>
    <w:p>
      <w:pPr>
        <w:ind w:left="120"/>
        <w:spacing w:after="0"/>
        <w:tabs>
          <w:tab w:leader="none" w:pos="6700" w:val="left"/>
        </w:tabs>
        <w:rPr>
          <w:sz w:val="20"/>
          <w:szCs w:val="20"/>
          <w:color w:val="auto"/>
        </w:rPr>
      </w:pPr>
      <w:r>
        <w:rPr>
          <w:rFonts w:ascii="Arial" w:cs="Arial" w:eastAsia="Arial" w:hAnsi="Arial"/>
          <w:sz w:val="20"/>
          <w:szCs w:val="20"/>
          <w:color w:val="auto"/>
        </w:rPr>
        <w:t>Acquisition of noncontrolling interest as part of the Settlement Agreement</w:t>
      </w:r>
      <w:r>
        <w:rPr>
          <w:sz w:val="20"/>
          <w:szCs w:val="20"/>
          <w:color w:val="auto"/>
        </w:rPr>
        <w:tab/>
      </w:r>
      <w:r>
        <w:rPr>
          <w:rFonts w:ascii="Arial" w:cs="Arial" w:eastAsia="Arial" w:hAnsi="Arial"/>
          <w:sz w:val="18"/>
          <w:szCs w:val="18"/>
          <w:color w:val="auto"/>
        </w:rPr>
        <w:t>. . .</w:t>
      </w:r>
    </w:p>
    <w:p>
      <w:pPr>
        <w:ind w:left="120"/>
        <w:spacing w:after="0"/>
        <w:rPr>
          <w:sz w:val="20"/>
          <w:szCs w:val="20"/>
          <w:color w:val="auto"/>
        </w:rPr>
      </w:pPr>
      <w:r>
        <w:rPr>
          <w:rFonts w:ascii="Arial" w:cs="Arial" w:eastAsia="Arial" w:hAnsi="Arial"/>
          <w:sz w:val="19"/>
          <w:szCs w:val="19"/>
          <w:color w:val="auto"/>
        </w:rPr>
        <w:t>Distribution to noncontrolling interest holder  . . . . . . . . . . . . . . . . . . . . . . . . . . . .</w:t>
      </w:r>
    </w:p>
    <w:p>
      <w:pPr>
        <w:ind w:left="120"/>
        <w:spacing w:after="0"/>
        <w:tabs>
          <w:tab w:leader="none" w:pos="4040" w:val="left"/>
        </w:tabs>
        <w:rPr>
          <w:sz w:val="20"/>
          <w:szCs w:val="20"/>
          <w:color w:val="auto"/>
        </w:rPr>
      </w:pPr>
      <w:r>
        <w:rPr>
          <w:rFonts w:ascii="Arial" w:cs="Arial" w:eastAsia="Arial" w:hAnsi="Arial"/>
          <w:sz w:val="20"/>
          <w:szCs w:val="20"/>
          <w:color w:val="auto"/>
        </w:rPr>
        <w:t>Payment of accrued interest and bank fees</w:t>
      </w:r>
      <w:r>
        <w:rPr>
          <w:sz w:val="20"/>
          <w:szCs w:val="20"/>
          <w:color w:val="auto"/>
        </w:rPr>
        <w:tab/>
      </w:r>
      <w:r>
        <w:rPr>
          <w:rFonts w:ascii="Arial" w:cs="Arial" w:eastAsia="Arial" w:hAnsi="Arial"/>
          <w:sz w:val="19"/>
          <w:szCs w:val="19"/>
          <w:color w:val="auto"/>
        </w:rPr>
        <w:t>. . . . . . . . . . . . . . . . . . . . . . . . . . . .</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Net change  </w:t>
      </w:r>
      <w:r>
        <w:rPr>
          <w:rFonts w:ascii="Arial" w:cs="Arial" w:eastAsia="Arial" w:hAnsi="Arial"/>
          <w:sz w:val="19"/>
          <w:szCs w:val="19"/>
          <w:color w:val="auto"/>
        </w:rPr>
        <w:t>. . . . . . . . . . . . . . . . . . . . . . . . . . . . . . . . . . . . . . . . . . . . . . . . . . . .</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jc w:val="right"/>
              <w:ind w:right="600"/>
              <w:spacing w:after="0"/>
              <w:rPr>
                <w:sz w:val="20"/>
                <w:szCs w:val="20"/>
                <w:color w:val="auto"/>
              </w:rPr>
            </w:pPr>
            <w:r>
              <w:rPr>
                <w:rFonts w:ascii="Arial" w:cs="Arial" w:eastAsia="Arial" w:hAnsi="Arial"/>
                <w:sz w:val="20"/>
                <w:szCs w:val="20"/>
                <w:color w:val="auto"/>
                <w:w w:val="89"/>
              </w:rPr>
              <w:t>$</w:t>
            </w:r>
          </w:p>
        </w:tc>
        <w:tc>
          <w:tcPr>
            <w:tcW w:w="1180" w:type="dxa"/>
            <w:vAlign w:val="bottom"/>
            <w:gridSpan w:val="2"/>
          </w:tcPr>
          <w:p>
            <w:pPr>
              <w:jc w:val="right"/>
              <w:ind w:right="60"/>
              <w:spacing w:after="0"/>
              <w:rPr>
                <w:sz w:val="20"/>
                <w:szCs w:val="20"/>
                <w:color w:val="auto"/>
              </w:rPr>
            </w:pPr>
            <w:r>
              <w:rPr>
                <w:rFonts w:ascii="Arial" w:cs="Arial" w:eastAsia="Arial" w:hAnsi="Arial"/>
                <w:sz w:val="20"/>
                <w:szCs w:val="20"/>
                <w:color w:val="auto"/>
              </w:rPr>
              <w:t>225</w:t>
            </w:r>
          </w:p>
        </w:tc>
      </w:tr>
      <w:tr>
        <w:trPr>
          <w:trHeight w:val="220"/>
        </w:trPr>
        <w:tc>
          <w:tcPr>
            <w:tcW w:w="820" w:type="dxa"/>
            <w:vAlign w:val="bottom"/>
          </w:tcPr>
          <w:p>
            <w:pPr>
              <w:spacing w:after="0"/>
              <w:rPr>
                <w:sz w:val="19"/>
                <w:szCs w:val="19"/>
                <w:color w:val="auto"/>
              </w:rPr>
            </w:pPr>
          </w:p>
        </w:tc>
        <w:tc>
          <w:tcPr>
            <w:tcW w:w="1180" w:type="dxa"/>
            <w:vAlign w:val="bottom"/>
            <w:gridSpan w:val="2"/>
          </w:tcPr>
          <w:p>
            <w:pPr>
              <w:jc w:val="right"/>
              <w:ind w:right="60"/>
              <w:spacing w:after="0" w:line="220" w:lineRule="exact"/>
              <w:rPr>
                <w:sz w:val="20"/>
                <w:szCs w:val="20"/>
                <w:color w:val="auto"/>
              </w:rPr>
            </w:pPr>
            <w:r>
              <w:rPr>
                <w:rFonts w:ascii="Arial" w:cs="Arial" w:eastAsia="Arial" w:hAnsi="Arial"/>
                <w:sz w:val="20"/>
                <w:szCs w:val="20"/>
                <w:color w:val="auto"/>
              </w:rPr>
              <w:t>446</w:t>
            </w:r>
          </w:p>
        </w:tc>
      </w:tr>
      <w:tr>
        <w:trPr>
          <w:trHeight w:val="220"/>
        </w:trPr>
        <w:tc>
          <w:tcPr>
            <w:tcW w:w="820" w:type="dxa"/>
            <w:vAlign w:val="bottom"/>
          </w:tcPr>
          <w:p>
            <w:pPr>
              <w:spacing w:after="0"/>
              <w:rPr>
                <w:sz w:val="19"/>
                <w:szCs w:val="19"/>
                <w:color w:val="auto"/>
              </w:rPr>
            </w:pPr>
          </w:p>
        </w:tc>
        <w:tc>
          <w:tcPr>
            <w:tcW w:w="1180" w:type="dxa"/>
            <w:vAlign w:val="bottom"/>
            <w:gridSpan w:val="2"/>
          </w:tcPr>
          <w:p>
            <w:pPr>
              <w:jc w:val="right"/>
              <w:ind w:right="60"/>
              <w:spacing w:after="0" w:line="220" w:lineRule="exact"/>
              <w:rPr>
                <w:sz w:val="20"/>
                <w:szCs w:val="20"/>
                <w:color w:val="auto"/>
              </w:rPr>
            </w:pPr>
            <w:r>
              <w:rPr>
                <w:rFonts w:ascii="Arial" w:cs="Arial" w:eastAsia="Arial" w:hAnsi="Arial"/>
                <w:sz w:val="20"/>
                <w:szCs w:val="20"/>
                <w:color w:val="auto"/>
              </w:rPr>
              <w:t>200</w:t>
            </w:r>
          </w:p>
        </w:tc>
      </w:tr>
      <w:tr>
        <w:trPr>
          <w:trHeight w:val="220"/>
        </w:trPr>
        <w:tc>
          <w:tcPr>
            <w:tcW w:w="820" w:type="dxa"/>
            <w:vAlign w:val="bottom"/>
          </w:tcPr>
          <w:p>
            <w:pPr>
              <w:spacing w:after="0"/>
              <w:rPr>
                <w:sz w:val="19"/>
                <w:szCs w:val="19"/>
                <w:color w:val="auto"/>
              </w:rPr>
            </w:pPr>
          </w:p>
        </w:tc>
        <w:tc>
          <w:tcPr>
            <w:tcW w:w="1180" w:type="dxa"/>
            <w:vAlign w:val="bottom"/>
            <w:gridSpan w:val="2"/>
          </w:tcPr>
          <w:p>
            <w:pPr>
              <w:jc w:val="right"/>
              <w:spacing w:after="0" w:line="220" w:lineRule="exact"/>
              <w:rPr>
                <w:sz w:val="20"/>
                <w:szCs w:val="20"/>
                <w:color w:val="auto"/>
              </w:rPr>
            </w:pPr>
            <w:r>
              <w:rPr>
                <w:rFonts w:ascii="Arial" w:cs="Arial" w:eastAsia="Arial" w:hAnsi="Arial"/>
                <w:sz w:val="20"/>
                <w:szCs w:val="20"/>
                <w:color w:val="auto"/>
              </w:rPr>
              <w:t>(733)</w:t>
            </w:r>
          </w:p>
        </w:tc>
      </w:tr>
      <w:tr>
        <w:trPr>
          <w:trHeight w:val="220"/>
        </w:trPr>
        <w:tc>
          <w:tcPr>
            <w:tcW w:w="820" w:type="dxa"/>
            <w:vAlign w:val="bottom"/>
          </w:tcPr>
          <w:p>
            <w:pPr>
              <w:spacing w:after="0"/>
              <w:rPr>
                <w:sz w:val="19"/>
                <w:szCs w:val="19"/>
                <w:color w:val="auto"/>
              </w:rPr>
            </w:pPr>
          </w:p>
        </w:tc>
        <w:tc>
          <w:tcPr>
            <w:tcW w:w="1180" w:type="dxa"/>
            <w:vAlign w:val="bottom"/>
            <w:gridSpan w:val="2"/>
          </w:tcPr>
          <w:p>
            <w:pPr>
              <w:jc w:val="right"/>
              <w:spacing w:after="0" w:line="220" w:lineRule="exact"/>
              <w:rPr>
                <w:sz w:val="20"/>
                <w:szCs w:val="20"/>
                <w:color w:val="auto"/>
              </w:rPr>
            </w:pPr>
            <w:r>
              <w:rPr>
                <w:rFonts w:ascii="Arial" w:cs="Arial" w:eastAsia="Arial" w:hAnsi="Arial"/>
                <w:sz w:val="20"/>
                <w:szCs w:val="20"/>
                <w:color w:val="auto"/>
              </w:rPr>
              <w:t>(15)</w:t>
            </w:r>
          </w:p>
        </w:tc>
      </w:tr>
      <w:tr>
        <w:trPr>
          <w:trHeight w:val="220"/>
        </w:trPr>
        <w:tc>
          <w:tcPr>
            <w:tcW w:w="820" w:type="dxa"/>
            <w:vAlign w:val="bottom"/>
          </w:tcPr>
          <w:p>
            <w:pPr>
              <w:spacing w:after="0"/>
              <w:rPr>
                <w:sz w:val="19"/>
                <w:szCs w:val="19"/>
                <w:color w:val="auto"/>
              </w:rPr>
            </w:pPr>
          </w:p>
        </w:tc>
        <w:tc>
          <w:tcPr>
            <w:tcW w:w="1180" w:type="dxa"/>
            <w:vAlign w:val="bottom"/>
            <w:gridSpan w:val="2"/>
          </w:tcPr>
          <w:p>
            <w:pPr>
              <w:jc w:val="right"/>
              <w:spacing w:after="0" w:line="220" w:lineRule="exact"/>
              <w:rPr>
                <w:sz w:val="20"/>
                <w:szCs w:val="20"/>
                <w:color w:val="auto"/>
              </w:rPr>
            </w:pPr>
            <w:r>
              <w:rPr>
                <w:rFonts w:ascii="Arial" w:cs="Arial" w:eastAsia="Arial" w:hAnsi="Arial"/>
                <w:sz w:val="20"/>
                <w:szCs w:val="20"/>
                <w:color w:val="auto"/>
              </w:rPr>
              <w:t>(18)</w:t>
            </w:r>
          </w:p>
        </w:tc>
      </w:tr>
      <w:tr>
        <w:trPr>
          <w:trHeight w:val="220"/>
        </w:trPr>
        <w:tc>
          <w:tcPr>
            <w:tcW w:w="820" w:type="dxa"/>
            <w:vAlign w:val="bottom"/>
          </w:tcPr>
          <w:p>
            <w:pPr>
              <w:spacing w:after="0"/>
              <w:rPr>
                <w:sz w:val="19"/>
                <w:szCs w:val="19"/>
                <w:color w:val="auto"/>
              </w:rPr>
            </w:pPr>
          </w:p>
        </w:tc>
        <w:tc>
          <w:tcPr>
            <w:tcW w:w="1180" w:type="dxa"/>
            <w:vAlign w:val="bottom"/>
            <w:gridSpan w:val="2"/>
          </w:tcPr>
          <w:p>
            <w:pPr>
              <w:jc w:val="right"/>
              <w:spacing w:after="0" w:line="220" w:lineRule="exact"/>
              <w:rPr>
                <w:sz w:val="20"/>
                <w:szCs w:val="20"/>
                <w:color w:val="auto"/>
              </w:rPr>
            </w:pPr>
            <w:r>
              <w:rPr>
                <w:rFonts w:ascii="Arial" w:cs="Arial" w:eastAsia="Arial" w:hAnsi="Arial"/>
                <w:sz w:val="20"/>
                <w:szCs w:val="20"/>
                <w:color w:val="auto"/>
              </w:rPr>
              <w:t>(2)</w:t>
            </w:r>
          </w:p>
        </w:tc>
      </w:tr>
      <w:tr>
        <w:trPr>
          <w:trHeight w:val="220"/>
        </w:trPr>
        <w:tc>
          <w:tcPr>
            <w:tcW w:w="820" w:type="dxa"/>
            <w:vAlign w:val="bottom"/>
          </w:tcPr>
          <w:p>
            <w:pPr>
              <w:spacing w:after="0"/>
              <w:rPr>
                <w:sz w:val="19"/>
                <w:szCs w:val="19"/>
                <w:color w:val="auto"/>
              </w:rPr>
            </w:pPr>
          </w:p>
        </w:tc>
        <w:tc>
          <w:tcPr>
            <w:tcW w:w="1180" w:type="dxa"/>
            <w:vAlign w:val="bottom"/>
            <w:gridSpan w:val="2"/>
          </w:tcPr>
          <w:p>
            <w:pPr>
              <w:jc w:val="right"/>
              <w:spacing w:after="0" w:line="220" w:lineRule="exact"/>
              <w:rPr>
                <w:sz w:val="20"/>
                <w:szCs w:val="20"/>
                <w:color w:val="auto"/>
              </w:rPr>
            </w:pPr>
            <w:r>
              <w:rPr>
                <w:rFonts w:ascii="Arial" w:cs="Arial" w:eastAsia="Arial" w:hAnsi="Arial"/>
                <w:sz w:val="20"/>
                <w:szCs w:val="20"/>
                <w:color w:val="auto"/>
              </w:rPr>
              <w:t>(2)</w:t>
            </w:r>
          </w:p>
        </w:tc>
      </w:tr>
      <w:tr>
        <w:trPr>
          <w:trHeight w:val="220"/>
        </w:trPr>
        <w:tc>
          <w:tcPr>
            <w:tcW w:w="820" w:type="dxa"/>
            <w:vAlign w:val="bottom"/>
          </w:tcPr>
          <w:p>
            <w:pPr>
              <w:spacing w:after="0"/>
              <w:rPr>
                <w:sz w:val="19"/>
                <w:szCs w:val="19"/>
                <w:color w:val="auto"/>
              </w:rPr>
            </w:pPr>
          </w:p>
        </w:tc>
        <w:tc>
          <w:tcPr>
            <w:tcW w:w="1180" w:type="dxa"/>
            <w:vAlign w:val="bottom"/>
            <w:gridSpan w:val="2"/>
          </w:tcPr>
          <w:p>
            <w:pPr>
              <w:jc w:val="right"/>
              <w:spacing w:after="0" w:line="220" w:lineRule="exact"/>
              <w:rPr>
                <w:sz w:val="20"/>
                <w:szCs w:val="20"/>
                <w:color w:val="auto"/>
              </w:rPr>
            </w:pPr>
            <w:r>
              <w:rPr>
                <w:rFonts w:ascii="Arial" w:cs="Arial" w:eastAsia="Arial" w:hAnsi="Arial"/>
                <w:sz w:val="20"/>
                <w:szCs w:val="20"/>
                <w:color w:val="auto"/>
              </w:rPr>
              <w:t>(3)</w:t>
            </w:r>
          </w:p>
        </w:tc>
      </w:tr>
      <w:tr>
        <w:trPr>
          <w:trHeight w:val="224"/>
        </w:trPr>
        <w:tc>
          <w:tcPr>
            <w:tcW w:w="820" w:type="dxa"/>
            <w:vAlign w:val="bottom"/>
          </w:tcPr>
          <w:p>
            <w:pPr>
              <w:spacing w:after="0"/>
              <w:rPr>
                <w:sz w:val="19"/>
                <w:szCs w:val="19"/>
                <w:color w:val="auto"/>
              </w:rPr>
            </w:pPr>
          </w:p>
        </w:tc>
        <w:tc>
          <w:tcPr>
            <w:tcW w:w="1180" w:type="dxa"/>
            <w:vAlign w:val="bottom"/>
            <w:gridSpan w:val="2"/>
          </w:tcPr>
          <w:p>
            <w:pPr>
              <w:jc w:val="right"/>
              <w:spacing w:after="0" w:line="224" w:lineRule="exact"/>
              <w:rPr>
                <w:sz w:val="20"/>
                <w:szCs w:val="20"/>
                <w:color w:val="auto"/>
              </w:rPr>
            </w:pPr>
            <w:r>
              <w:rPr>
                <w:rFonts w:ascii="Arial" w:cs="Arial" w:eastAsia="Arial" w:hAnsi="Arial"/>
                <w:sz w:val="20"/>
                <w:szCs w:val="20"/>
                <w:color w:val="auto"/>
              </w:rPr>
              <w:t>(1)</w:t>
            </w:r>
          </w:p>
        </w:tc>
      </w:tr>
      <w:tr>
        <w:trPr>
          <w:trHeight w:val="30"/>
        </w:trPr>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820" w:type="dxa"/>
            <w:vAlign w:val="bottom"/>
          </w:tcPr>
          <w:p>
            <w:pPr>
              <w:jc w:val="right"/>
              <w:ind w:right="600"/>
              <w:spacing w:after="0"/>
              <w:rPr>
                <w:sz w:val="20"/>
                <w:szCs w:val="20"/>
                <w:color w:val="auto"/>
              </w:rPr>
            </w:pPr>
            <w:r>
              <w:rPr>
                <w:rFonts w:ascii="Arial" w:cs="Arial" w:eastAsia="Arial" w:hAnsi="Arial"/>
                <w:sz w:val="20"/>
                <w:szCs w:val="20"/>
                <w:color w:val="auto"/>
                <w:w w:val="89"/>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97</w:t>
            </w:r>
          </w:p>
        </w:tc>
        <w:tc>
          <w:tcPr>
            <w:tcW w:w="60" w:type="dxa"/>
            <w:vAlign w:val="bottom"/>
          </w:tcPr>
          <w:p>
            <w:pPr>
              <w:spacing w:after="0"/>
              <w:rPr>
                <w:sz w:val="21"/>
                <w:szCs w:val="21"/>
                <w:color w:val="auto"/>
              </w:rPr>
            </w:pPr>
          </w:p>
        </w:tc>
      </w:tr>
      <w:tr>
        <w:trPr>
          <w:trHeight w:val="30"/>
        </w:trPr>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2">
            <w:col w:w="6980" w:space="200"/>
            <w:col w:w="2000"/>
          </w:cols>
          <w:pgMar w:left="1380" w:top="1290" w:right="1320" w:bottom="661" w:gutter="0" w:footer="0" w:header="0"/>
          <w:type w:val="continuous"/>
        </w:sectPr>
      </w:pPr>
    </w:p>
    <w:p>
      <w:pPr>
        <w:spacing w:after="0" w:line="56" w:lineRule="exact"/>
        <w:rPr>
          <w:sz w:val="20"/>
          <w:szCs w:val="20"/>
          <w:color w:val="auto"/>
        </w:rPr>
      </w:pPr>
    </w:p>
    <w:p>
      <w:pPr>
        <w:jc w:val="both"/>
        <w:ind w:left="500" w:right="160"/>
        <w:spacing w:after="0" w:line="248" w:lineRule="auto"/>
        <w:rPr>
          <w:sz w:val="20"/>
          <w:szCs w:val="20"/>
          <w:color w:val="auto"/>
        </w:rPr>
      </w:pPr>
      <w:r>
        <w:rPr>
          <w:rFonts w:ascii="Arial" w:cs="Arial" w:eastAsia="Arial" w:hAnsi="Arial"/>
          <w:sz w:val="20"/>
          <w:szCs w:val="20"/>
          <w:color w:val="auto"/>
        </w:rPr>
        <w:t>Our cash balance of $203 million at October 31, 2020 included $158 million of restricted cash, of which $118 million was used to temporarily collateralize letters of credit, $22 million was held for distributions to a JV partner and $18 million was reserved for legal and professional fees related to our Chapter 11 Cases.</w:t>
      </w:r>
    </w:p>
    <w:p>
      <w:pPr>
        <w:spacing w:after="0" w:line="209" w:lineRule="exact"/>
        <w:rPr>
          <w:sz w:val="20"/>
          <w:szCs w:val="20"/>
          <w:color w:val="auto"/>
        </w:rPr>
      </w:pPr>
    </w:p>
    <w:p>
      <w:pPr>
        <w:ind w:left="700" w:right="220" w:hanging="400"/>
        <w:spacing w:after="0" w:line="245" w:lineRule="auto"/>
        <w:tabs>
          <w:tab w:leader="none" w:pos="700" w:val="left"/>
        </w:tabs>
        <w:numPr>
          <w:ilvl w:val="0"/>
          <w:numId w:val="66"/>
        </w:numPr>
        <w:rPr>
          <w:rFonts w:ascii="Arial" w:cs="Arial" w:eastAsia="Arial" w:hAnsi="Arial"/>
          <w:sz w:val="20"/>
          <w:szCs w:val="20"/>
          <w:color w:val="auto"/>
        </w:rPr>
      </w:pPr>
      <w:r>
        <w:rPr>
          <w:rFonts w:ascii="Arial" w:cs="Arial" w:eastAsia="Arial" w:hAnsi="Arial"/>
          <w:sz w:val="20"/>
          <w:szCs w:val="20"/>
          <w:color w:val="auto"/>
        </w:rPr>
        <w:t>Represents the write-off of unamortized insurance premiums for our directors and officers policy, which was cancelled as a result of changing the composition of our Board of Directors.</w:t>
      </w:r>
    </w:p>
    <w:p>
      <w:pPr>
        <w:spacing w:after="0" w:line="206" w:lineRule="exact"/>
        <w:rPr>
          <w:rFonts w:ascii="Arial" w:cs="Arial" w:eastAsia="Arial" w:hAnsi="Arial"/>
          <w:sz w:val="20"/>
          <w:szCs w:val="20"/>
          <w:color w:val="auto"/>
        </w:rPr>
      </w:pPr>
    </w:p>
    <w:p>
      <w:pPr>
        <w:ind w:left="700" w:hanging="400"/>
        <w:spacing w:after="0"/>
        <w:tabs>
          <w:tab w:leader="none" w:pos="700" w:val="left"/>
        </w:tabs>
        <w:numPr>
          <w:ilvl w:val="0"/>
          <w:numId w:val="66"/>
        </w:numPr>
        <w:rPr>
          <w:rFonts w:ascii="Arial" w:cs="Arial" w:eastAsia="Arial" w:hAnsi="Arial"/>
          <w:sz w:val="20"/>
          <w:szCs w:val="20"/>
          <w:color w:val="auto"/>
        </w:rPr>
      </w:pPr>
      <w:r>
        <w:rPr>
          <w:rFonts w:ascii="Arial" w:cs="Arial" w:eastAsia="Arial" w:hAnsi="Arial"/>
          <w:sz w:val="20"/>
          <w:szCs w:val="20"/>
          <w:color w:val="auto"/>
        </w:rPr>
        <w:t>Represents the capitalization of debt issuance costs for our Revolving Credit Facility.</w:t>
      </w:r>
    </w:p>
    <w:p>
      <w:pPr>
        <w:spacing w:after="0" w:line="214" w:lineRule="exact"/>
        <w:rPr>
          <w:rFonts w:ascii="Arial" w:cs="Arial" w:eastAsia="Arial" w:hAnsi="Arial"/>
          <w:sz w:val="20"/>
          <w:szCs w:val="20"/>
          <w:color w:val="auto"/>
        </w:rPr>
      </w:pPr>
    </w:p>
    <w:p>
      <w:pPr>
        <w:jc w:val="both"/>
        <w:ind w:left="700" w:right="120" w:hanging="400"/>
        <w:spacing w:after="0" w:line="248" w:lineRule="auto"/>
        <w:tabs>
          <w:tab w:leader="none" w:pos="700" w:val="left"/>
        </w:tabs>
        <w:numPr>
          <w:ilvl w:val="0"/>
          <w:numId w:val="66"/>
        </w:numPr>
        <w:rPr>
          <w:rFonts w:ascii="Arial" w:cs="Arial" w:eastAsia="Arial" w:hAnsi="Arial"/>
          <w:sz w:val="20"/>
          <w:szCs w:val="20"/>
          <w:color w:val="auto"/>
        </w:rPr>
      </w:pPr>
      <w:r>
        <w:rPr>
          <w:rFonts w:ascii="Arial" w:cs="Arial" w:eastAsia="Arial" w:hAnsi="Arial"/>
          <w:sz w:val="20"/>
          <w:szCs w:val="20"/>
          <w:color w:val="auto"/>
        </w:rPr>
        <w:t xml:space="preserve">Represents the payoff of $733 million of debtor-in-possession financing including $83 million of borrowings that were outstanding under our Senior DIP Facility and $650 million of borrowings that were outstanding under our Junior DIP Facility. Refer to </w:t>
      </w:r>
      <w:r>
        <w:rPr>
          <w:rFonts w:ascii="Arial" w:cs="Arial" w:eastAsia="Arial" w:hAnsi="Arial"/>
          <w:sz w:val="20"/>
          <w:szCs w:val="20"/>
          <w:i w:val="1"/>
          <w:iCs w:val="1"/>
          <w:color w:val="auto"/>
        </w:rPr>
        <w:t>Note 15 Chapter 11 Proceedings</w:t>
      </w:r>
      <w:r>
        <w:rPr>
          <w:rFonts w:ascii="Arial" w:cs="Arial" w:eastAsia="Arial" w:hAnsi="Arial"/>
          <w:sz w:val="20"/>
          <w:szCs w:val="20"/>
          <w:color w:val="auto"/>
        </w:rPr>
        <w:t xml:space="preserve"> for more information on our debtor-in-possession credit agreements.</w:t>
      </w:r>
    </w:p>
    <w:p>
      <w:pPr>
        <w:spacing w:after="0" w:line="209" w:lineRule="exact"/>
        <w:rPr>
          <w:rFonts w:ascii="Arial" w:cs="Arial" w:eastAsia="Arial" w:hAnsi="Arial"/>
          <w:sz w:val="20"/>
          <w:szCs w:val="20"/>
          <w:color w:val="auto"/>
        </w:rPr>
      </w:pPr>
    </w:p>
    <w:p>
      <w:pPr>
        <w:ind w:left="700" w:right="380" w:hanging="400"/>
        <w:spacing w:after="0" w:line="271" w:lineRule="auto"/>
        <w:tabs>
          <w:tab w:leader="none" w:pos="700" w:val="left"/>
        </w:tabs>
        <w:numPr>
          <w:ilvl w:val="0"/>
          <w:numId w:val="66"/>
        </w:numPr>
        <w:rPr>
          <w:rFonts w:ascii="Arial" w:cs="Arial" w:eastAsia="Arial" w:hAnsi="Arial"/>
          <w:sz w:val="19"/>
          <w:szCs w:val="19"/>
          <w:color w:val="auto"/>
        </w:rPr>
      </w:pPr>
      <w:r>
        <w:rPr>
          <w:rFonts w:ascii="Arial" w:cs="Arial" w:eastAsia="Arial" w:hAnsi="Arial"/>
          <w:sz w:val="19"/>
          <w:szCs w:val="19"/>
          <w:color w:val="auto"/>
        </w:rPr>
        <w:t>Reflects the payment of $15 million for legal, professional and other fees related to our bankruptcy proceedings upon emergence and $1 million for accrued interest and bank fees.</w:t>
      </w:r>
    </w:p>
    <w:p>
      <w:pPr>
        <w:spacing w:after="0" w:line="182" w:lineRule="exact"/>
        <w:rPr>
          <w:rFonts w:ascii="Arial" w:cs="Arial" w:eastAsia="Arial" w:hAnsi="Arial"/>
          <w:sz w:val="19"/>
          <w:szCs w:val="19"/>
          <w:color w:val="auto"/>
        </w:rPr>
      </w:pPr>
    </w:p>
    <w:p>
      <w:pPr>
        <w:ind w:left="700" w:hanging="400"/>
        <w:spacing w:after="0"/>
        <w:tabs>
          <w:tab w:leader="none" w:pos="700" w:val="left"/>
        </w:tabs>
        <w:numPr>
          <w:ilvl w:val="0"/>
          <w:numId w:val="66"/>
        </w:numPr>
        <w:rPr>
          <w:rFonts w:ascii="Arial" w:cs="Arial" w:eastAsia="Arial" w:hAnsi="Arial"/>
          <w:sz w:val="20"/>
          <w:szCs w:val="20"/>
          <w:color w:val="auto"/>
        </w:rPr>
      </w:pPr>
      <w:r>
        <w:rPr>
          <w:rFonts w:ascii="Arial" w:cs="Arial" w:eastAsia="Arial" w:hAnsi="Arial"/>
          <w:sz w:val="20"/>
          <w:szCs w:val="20"/>
          <w:color w:val="auto"/>
        </w:rPr>
        <w:t>Our exit financing at emergence included the following:</w:t>
      </w:r>
    </w:p>
    <w:p>
      <w:pPr>
        <w:spacing w:after="0" w:line="170" w:lineRule="exact"/>
        <w:rPr>
          <w:sz w:val="20"/>
          <w:szCs w:val="20"/>
          <w:color w:val="auto"/>
        </w:rPr>
      </w:pPr>
    </w:p>
    <w:p>
      <w:pPr>
        <w:ind w:left="6900"/>
        <w:spacing w:after="0"/>
        <w:rPr>
          <w:sz w:val="20"/>
          <w:szCs w:val="20"/>
          <w:color w:val="auto"/>
        </w:rPr>
      </w:pPr>
      <w:r>
        <w:rPr>
          <w:rFonts w:ascii="Arial" w:cs="Arial" w:eastAsia="Arial" w:hAnsi="Arial"/>
          <w:sz w:val="20"/>
          <w:szCs w:val="20"/>
          <w:b w:val="1"/>
          <w:bCs w:val="1"/>
          <w:color w:val="auto"/>
        </w:rPr>
        <w:t>October 31, 2020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3985260</wp:posOffset>
                </wp:positionH>
                <wp:positionV relativeFrom="paragraph">
                  <wp:posOffset>17145</wp:posOffset>
                </wp:positionV>
                <wp:extent cx="180594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5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3.8pt,1.35pt" to="456pt,1.35pt" o:allowincell="f" strokecolor="#000000" strokeweight="1pt"/>
            </w:pict>
          </mc:Fallback>
        </mc:AlternateContent>
      </w:r>
    </w:p>
    <w:p>
      <w:pPr>
        <w:spacing w:after="0" w:line="26"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6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780" w:type="dxa"/>
            <w:vAlign w:val="bottom"/>
            <w:gridSpan w:val="2"/>
          </w:tcPr>
          <w:p>
            <w:pPr>
              <w:jc w:val="right"/>
              <w:ind w:right="1020"/>
              <w:spacing w:after="0"/>
              <w:rPr>
                <w:sz w:val="20"/>
                <w:szCs w:val="20"/>
                <w:color w:val="auto"/>
              </w:rPr>
            </w:pPr>
            <w:r>
              <w:rPr>
                <w:rFonts w:ascii="Arial" w:cs="Arial" w:eastAsia="Arial" w:hAnsi="Arial"/>
                <w:sz w:val="16"/>
                <w:szCs w:val="16"/>
                <w:color w:val="auto"/>
                <w:w w:val="97"/>
              </w:rPr>
              <w:t>in millions)</w:t>
            </w:r>
          </w:p>
        </w:tc>
      </w:tr>
      <w:tr>
        <w:trPr>
          <w:trHeight w:val="250"/>
        </w:trPr>
        <w:tc>
          <w:tcPr>
            <w:tcW w:w="6160" w:type="dxa"/>
            <w:vAlign w:val="bottom"/>
          </w:tcPr>
          <w:p>
            <w:pPr>
              <w:jc w:val="right"/>
              <w:ind w:right="100"/>
              <w:spacing w:after="0"/>
              <w:rPr>
                <w:sz w:val="20"/>
                <w:szCs w:val="20"/>
                <w:color w:val="auto"/>
              </w:rPr>
            </w:pPr>
            <w:r>
              <w:rPr>
                <w:rFonts w:ascii="Arial" w:cs="Arial" w:eastAsia="Arial" w:hAnsi="Arial"/>
                <w:sz w:val="20"/>
                <w:szCs w:val="20"/>
                <w:color w:val="auto"/>
                <w:w w:val="96"/>
              </w:rPr>
              <w:t>Revolving Credit Facility . . . . . . . . . . . . . . . . . . . . . . . . . . . . . . . . . . . .</w:t>
            </w:r>
          </w:p>
        </w:tc>
        <w:tc>
          <w:tcPr>
            <w:tcW w:w="1120" w:type="dxa"/>
            <w:vAlign w:val="bottom"/>
          </w:tcPr>
          <w:p>
            <w:pPr>
              <w:jc w:val="right"/>
              <w:ind w:right="925"/>
              <w:spacing w:after="0"/>
              <w:rPr>
                <w:sz w:val="20"/>
                <w:szCs w:val="20"/>
                <w:color w:val="auto"/>
              </w:rPr>
            </w:pPr>
            <w:r>
              <w:rPr>
                <w:rFonts w:ascii="Arial" w:cs="Arial" w:eastAsia="Arial" w:hAnsi="Arial"/>
                <w:sz w:val="20"/>
                <w:szCs w:val="20"/>
                <w:color w:val="auto"/>
                <w:w w:val="71"/>
              </w:rPr>
              <w:t>$</w:t>
            </w:r>
          </w:p>
        </w:tc>
        <w:tc>
          <w:tcPr>
            <w:tcW w:w="1720" w:type="dxa"/>
            <w:vAlign w:val="bottom"/>
          </w:tcPr>
          <w:p>
            <w:pPr>
              <w:jc w:val="right"/>
              <w:spacing w:after="0"/>
              <w:rPr>
                <w:sz w:val="20"/>
                <w:szCs w:val="20"/>
                <w:color w:val="auto"/>
              </w:rPr>
            </w:pPr>
            <w:r>
              <w:rPr>
                <w:rFonts w:ascii="Arial" w:cs="Arial" w:eastAsia="Arial" w:hAnsi="Arial"/>
                <w:sz w:val="20"/>
                <w:szCs w:val="20"/>
                <w:color w:val="auto"/>
              </w:rPr>
              <w:t>225</w:t>
            </w:r>
          </w:p>
        </w:tc>
        <w:tc>
          <w:tcPr>
            <w:tcW w:w="60" w:type="dxa"/>
            <w:vAlign w:val="bottom"/>
          </w:tcPr>
          <w:p>
            <w:pPr>
              <w:spacing w:after="0"/>
              <w:rPr>
                <w:sz w:val="21"/>
                <w:szCs w:val="21"/>
                <w:color w:val="auto"/>
              </w:rPr>
            </w:pPr>
          </w:p>
        </w:tc>
      </w:tr>
      <w:tr>
        <w:trPr>
          <w:trHeight w:val="240"/>
        </w:trPr>
        <w:tc>
          <w:tcPr>
            <w:tcW w:w="6160" w:type="dxa"/>
            <w:vAlign w:val="bottom"/>
          </w:tcPr>
          <w:p>
            <w:pPr>
              <w:jc w:val="right"/>
              <w:ind w:right="100"/>
              <w:spacing w:after="0"/>
              <w:rPr>
                <w:sz w:val="20"/>
                <w:szCs w:val="20"/>
                <w:color w:val="auto"/>
              </w:rPr>
            </w:pPr>
            <w:r>
              <w:rPr>
                <w:rFonts w:ascii="Arial" w:cs="Arial" w:eastAsia="Arial" w:hAnsi="Arial"/>
                <w:sz w:val="20"/>
                <w:szCs w:val="20"/>
                <w:color w:val="auto"/>
                <w:w w:val="96"/>
              </w:rPr>
              <w:t>Second Lien Term Loan . . . . . . . . . . . . . . . . . . . . . . . . . . . . . . . . . . . .</w:t>
            </w:r>
          </w:p>
        </w:tc>
        <w:tc>
          <w:tcPr>
            <w:tcW w:w="1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20"/>
                <w:szCs w:val="20"/>
                <w:color w:val="auto"/>
              </w:rPr>
              <w:t>200</w:t>
            </w:r>
          </w:p>
        </w:tc>
        <w:tc>
          <w:tcPr>
            <w:tcW w:w="60" w:type="dxa"/>
            <w:vAlign w:val="bottom"/>
          </w:tcPr>
          <w:p>
            <w:pPr>
              <w:spacing w:after="0"/>
              <w:rPr>
                <w:sz w:val="20"/>
                <w:szCs w:val="20"/>
                <w:color w:val="auto"/>
              </w:rPr>
            </w:pPr>
          </w:p>
        </w:tc>
      </w:tr>
      <w:tr>
        <w:trPr>
          <w:trHeight w:val="240"/>
        </w:trPr>
        <w:tc>
          <w:tcPr>
            <w:tcW w:w="6160" w:type="dxa"/>
            <w:vAlign w:val="bottom"/>
          </w:tcPr>
          <w:p>
            <w:pPr>
              <w:jc w:val="right"/>
              <w:ind w:right="100"/>
              <w:spacing w:after="0"/>
              <w:rPr>
                <w:sz w:val="20"/>
                <w:szCs w:val="20"/>
                <w:color w:val="auto"/>
              </w:rPr>
            </w:pPr>
            <w:r>
              <w:rPr>
                <w:rFonts w:ascii="Arial" w:cs="Arial" w:eastAsia="Arial" w:hAnsi="Arial"/>
                <w:sz w:val="20"/>
                <w:szCs w:val="20"/>
                <w:color w:val="auto"/>
                <w:w w:val="96"/>
              </w:rPr>
              <w:t>EHP Notes  . . . . . . . . . . . . . . . . . . . . . . . . . . . . . . . . . . . . . . . . . . . . . .</w:t>
            </w:r>
          </w:p>
        </w:tc>
        <w:tc>
          <w:tcPr>
            <w:tcW w:w="1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20"/>
                <w:szCs w:val="20"/>
                <w:color w:val="auto"/>
              </w:rPr>
              <w:t>300</w:t>
            </w:r>
          </w:p>
        </w:tc>
        <w:tc>
          <w:tcPr>
            <w:tcW w:w="60" w:type="dxa"/>
            <w:vAlign w:val="bottom"/>
          </w:tcPr>
          <w:p>
            <w:pPr>
              <w:spacing w:after="0"/>
              <w:rPr>
                <w:sz w:val="20"/>
                <w:szCs w:val="20"/>
                <w:color w:val="auto"/>
              </w:rPr>
            </w:pPr>
          </w:p>
        </w:tc>
      </w:tr>
      <w:tr>
        <w:trPr>
          <w:trHeight w:val="28"/>
        </w:trPr>
        <w:tc>
          <w:tcPr>
            <w:tcW w:w="61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6160" w:type="dxa"/>
            <w:vAlign w:val="bottom"/>
          </w:tcPr>
          <w:p>
            <w:pPr>
              <w:jc w:val="right"/>
              <w:ind w:right="100"/>
              <w:spacing w:after="0"/>
              <w:rPr>
                <w:sz w:val="20"/>
                <w:szCs w:val="20"/>
                <w:color w:val="auto"/>
              </w:rPr>
            </w:pPr>
            <w:r>
              <w:rPr>
                <w:rFonts w:ascii="Arial" w:cs="Arial" w:eastAsia="Arial" w:hAnsi="Arial"/>
                <w:sz w:val="20"/>
                <w:szCs w:val="20"/>
                <w:b w:val="1"/>
                <w:bCs w:val="1"/>
                <w:color w:val="auto"/>
              </w:rPr>
              <w:t xml:space="preserve">Long-term debt (principal amount) </w:t>
            </w:r>
            <w:r>
              <w:rPr>
                <w:rFonts w:ascii="Arial" w:cs="Arial" w:eastAsia="Arial" w:hAnsi="Arial"/>
                <w:sz w:val="20"/>
                <w:szCs w:val="20"/>
                <w:color w:val="auto"/>
              </w:rPr>
              <w:t>. . . . . . . . . . . . . . . . . . . . . . .</w:t>
            </w:r>
          </w:p>
        </w:tc>
        <w:tc>
          <w:tcPr>
            <w:tcW w:w="1120" w:type="dxa"/>
            <w:vAlign w:val="bottom"/>
          </w:tcPr>
          <w:p>
            <w:pPr>
              <w:jc w:val="right"/>
              <w:ind w:right="925"/>
              <w:spacing w:after="0"/>
              <w:rPr>
                <w:sz w:val="20"/>
                <w:szCs w:val="20"/>
                <w:color w:val="auto"/>
              </w:rPr>
            </w:pPr>
            <w:r>
              <w:rPr>
                <w:rFonts w:ascii="Arial" w:cs="Arial" w:eastAsia="Arial" w:hAnsi="Arial"/>
                <w:sz w:val="20"/>
                <w:szCs w:val="20"/>
                <w:b w:val="1"/>
                <w:bCs w:val="1"/>
                <w:color w:val="auto"/>
                <w:w w:val="71"/>
              </w:rPr>
              <w:t>$</w:t>
            </w:r>
          </w:p>
        </w:tc>
        <w:tc>
          <w:tcPr>
            <w:tcW w:w="1720" w:type="dxa"/>
            <w:vAlign w:val="bottom"/>
          </w:tcPr>
          <w:p>
            <w:pPr>
              <w:jc w:val="right"/>
              <w:spacing w:after="0"/>
              <w:rPr>
                <w:sz w:val="20"/>
                <w:szCs w:val="20"/>
                <w:color w:val="auto"/>
              </w:rPr>
            </w:pPr>
            <w:r>
              <w:rPr>
                <w:rFonts w:ascii="Arial" w:cs="Arial" w:eastAsia="Arial" w:hAnsi="Arial"/>
                <w:sz w:val="20"/>
                <w:szCs w:val="20"/>
                <w:b w:val="1"/>
                <w:bCs w:val="1"/>
                <w:color w:val="auto"/>
              </w:rPr>
              <w:t>725</w:t>
            </w:r>
          </w:p>
        </w:tc>
        <w:tc>
          <w:tcPr>
            <w:tcW w:w="60" w:type="dxa"/>
            <w:vAlign w:val="bottom"/>
          </w:tcPr>
          <w:p>
            <w:pPr>
              <w:spacing w:after="0"/>
              <w:rPr>
                <w:sz w:val="23"/>
                <w:szCs w:val="23"/>
                <w:color w:val="auto"/>
              </w:rPr>
            </w:pPr>
          </w:p>
        </w:tc>
      </w:tr>
      <w:tr>
        <w:trPr>
          <w:trHeight w:val="240"/>
        </w:trPr>
        <w:tc>
          <w:tcPr>
            <w:tcW w:w="6160" w:type="dxa"/>
            <w:vAlign w:val="bottom"/>
          </w:tcPr>
          <w:p>
            <w:pPr>
              <w:jc w:val="right"/>
              <w:ind w:right="100"/>
              <w:spacing w:after="0"/>
              <w:rPr>
                <w:sz w:val="20"/>
                <w:szCs w:val="20"/>
                <w:color w:val="auto"/>
              </w:rPr>
            </w:pPr>
            <w:r>
              <w:rPr>
                <w:rFonts w:ascii="Arial" w:cs="Arial" w:eastAsia="Arial" w:hAnsi="Arial"/>
                <w:sz w:val="20"/>
                <w:szCs w:val="20"/>
                <w:color w:val="auto"/>
                <w:w w:val="96"/>
              </w:rPr>
              <w:t>Debt issuance costs . . . . . . . . . . . . . . . . . . . . . . . . . . . . . . . . . . . . . . .</w:t>
            </w:r>
          </w:p>
        </w:tc>
        <w:tc>
          <w:tcPr>
            <w:tcW w:w="112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20"/>
                <w:szCs w:val="20"/>
                <w:color w:val="auto"/>
              </w:rPr>
              <w:t>(2)</w:t>
            </w:r>
          </w:p>
        </w:tc>
      </w:tr>
      <w:tr>
        <w:trPr>
          <w:trHeight w:val="28"/>
        </w:trPr>
        <w:tc>
          <w:tcPr>
            <w:tcW w:w="61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6160" w:type="dxa"/>
            <w:vAlign w:val="bottom"/>
          </w:tcPr>
          <w:p>
            <w:pPr>
              <w:jc w:val="right"/>
              <w:ind w:right="100"/>
              <w:spacing w:after="0"/>
              <w:rPr>
                <w:sz w:val="20"/>
                <w:szCs w:val="20"/>
                <w:color w:val="auto"/>
              </w:rPr>
            </w:pPr>
            <w:r>
              <w:rPr>
                <w:rFonts w:ascii="Arial" w:cs="Arial" w:eastAsia="Arial" w:hAnsi="Arial"/>
                <w:sz w:val="20"/>
                <w:szCs w:val="20"/>
                <w:b w:val="1"/>
                <w:bCs w:val="1"/>
                <w:color w:val="auto"/>
              </w:rPr>
              <w:t xml:space="preserve">Total long-term debt, net </w:t>
            </w:r>
            <w:r>
              <w:rPr>
                <w:rFonts w:ascii="Arial" w:cs="Arial" w:eastAsia="Arial" w:hAnsi="Arial"/>
                <w:sz w:val="20"/>
                <w:szCs w:val="20"/>
                <w:color w:val="auto"/>
              </w:rPr>
              <w:t>. . . . . . . . . . . . . . . . . . . . . . . . . . . . . . . .</w:t>
            </w:r>
          </w:p>
        </w:tc>
        <w:tc>
          <w:tcPr>
            <w:tcW w:w="1120" w:type="dxa"/>
            <w:vAlign w:val="bottom"/>
          </w:tcPr>
          <w:p>
            <w:pPr>
              <w:jc w:val="right"/>
              <w:ind w:right="925"/>
              <w:spacing w:after="0"/>
              <w:rPr>
                <w:sz w:val="20"/>
                <w:szCs w:val="20"/>
                <w:color w:val="auto"/>
              </w:rPr>
            </w:pPr>
            <w:r>
              <w:rPr>
                <w:rFonts w:ascii="Arial" w:cs="Arial" w:eastAsia="Arial" w:hAnsi="Arial"/>
                <w:sz w:val="20"/>
                <w:szCs w:val="20"/>
                <w:b w:val="1"/>
                <w:bCs w:val="1"/>
                <w:color w:val="auto"/>
                <w:w w:val="71"/>
              </w:rPr>
              <w:t>$</w:t>
            </w:r>
          </w:p>
        </w:tc>
        <w:tc>
          <w:tcPr>
            <w:tcW w:w="1720" w:type="dxa"/>
            <w:vAlign w:val="bottom"/>
          </w:tcPr>
          <w:p>
            <w:pPr>
              <w:jc w:val="right"/>
              <w:spacing w:after="0"/>
              <w:rPr>
                <w:sz w:val="20"/>
                <w:szCs w:val="20"/>
                <w:color w:val="auto"/>
              </w:rPr>
            </w:pPr>
            <w:r>
              <w:rPr>
                <w:rFonts w:ascii="Arial" w:cs="Arial" w:eastAsia="Arial" w:hAnsi="Arial"/>
                <w:sz w:val="20"/>
                <w:szCs w:val="20"/>
                <w:b w:val="1"/>
                <w:bCs w:val="1"/>
                <w:color w:val="auto"/>
              </w:rPr>
              <w:t>723</w:t>
            </w:r>
          </w:p>
        </w:tc>
        <w:tc>
          <w:tcPr>
            <w:tcW w:w="60" w:type="dxa"/>
            <w:vAlign w:val="bottom"/>
          </w:tcPr>
          <w:p>
            <w:pPr>
              <w:spacing w:after="0"/>
              <w:rPr>
                <w:sz w:val="23"/>
                <w:szCs w:val="23"/>
                <w:color w:val="auto"/>
              </w:rPr>
            </w:pPr>
          </w:p>
        </w:tc>
      </w:tr>
      <w:tr>
        <w:trPr>
          <w:trHeight w:val="28"/>
        </w:trPr>
        <w:tc>
          <w:tcPr>
            <w:tcW w:w="61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6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2" w:lineRule="exact"/>
        <w:rPr>
          <w:sz w:val="20"/>
          <w:szCs w:val="20"/>
          <w:color w:val="auto"/>
        </w:rPr>
      </w:pPr>
    </w:p>
    <w:p>
      <w:pPr>
        <w:ind w:left="300"/>
        <w:spacing w:after="0"/>
        <w:rPr>
          <w:sz w:val="20"/>
          <w:szCs w:val="20"/>
          <w:color w:val="auto"/>
        </w:rPr>
      </w:pPr>
      <w:r>
        <w:rPr>
          <w:rFonts w:ascii="Arial" w:cs="Arial" w:eastAsia="Arial" w:hAnsi="Arial"/>
          <w:sz w:val="20"/>
          <w:szCs w:val="20"/>
          <w:color w:val="auto"/>
        </w:rPr>
        <w:t xml:space="preserve">For additional information on our Successor debt, refer to </w:t>
      </w:r>
      <w:r>
        <w:rPr>
          <w:rFonts w:ascii="Arial" w:cs="Arial" w:eastAsia="Arial" w:hAnsi="Arial"/>
          <w:sz w:val="20"/>
          <w:szCs w:val="20"/>
          <w:i w:val="1"/>
          <w:iCs w:val="1"/>
          <w:color w:val="auto"/>
        </w:rPr>
        <w:t>Note 4 Debt</w:t>
      </w:r>
      <w:r>
        <w:rPr>
          <w:rFonts w:ascii="Arial" w:cs="Arial" w:eastAsia="Arial" w:hAnsi="Arial"/>
          <w:sz w:val="20"/>
          <w:szCs w:val="20"/>
          <w:color w:val="auto"/>
        </w:rPr>
        <w:t>.</w:t>
      </w:r>
    </w:p>
    <w:p>
      <w:pPr>
        <w:sectPr>
          <w:pgSz w:w="11880" w:h="15480" w:orient="portrait"/>
          <w:cols w:equalWidth="0" w:num="1">
            <w:col w:w="9180"/>
          </w:cols>
          <w:pgMar w:left="1380" w:top="1290" w:right="1320" w:bottom="66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153</w:t>
      </w:r>
    </w:p>
    <w:p>
      <w:pPr>
        <w:sectPr>
          <w:pgSz w:w="11880" w:h="15480" w:orient="portrait"/>
          <w:cols w:equalWidth="0" w:num="1">
            <w:col w:w="9180"/>
          </w:cols>
          <w:pgMar w:left="1380" w:top="1290" w:right="1320" w:bottom="661" w:gutter="0" w:footer="0" w:header="0"/>
          <w:type w:val="continuous"/>
        </w:sectPr>
      </w:pPr>
    </w:p>
    <w:bookmarkStart w:id="157" w:name="page158"/>
    <w:bookmarkEnd w:id="157"/>
    <w:tbl>
      <w:tblPr>
        <w:tblLayout w:type="fixed"/>
        <w:tblInd w:w="0" w:type="dxa"/>
        <w:tblCellMar>
          <w:top w:w="0" w:type="dxa"/>
          <w:left w:w="0" w:type="dxa"/>
          <w:bottom w:w="0" w:type="dxa"/>
          <w:right w:w="0" w:type="dxa"/>
        </w:tblCellMar>
      </w:tblPr>
      <w:tr>
        <w:trPr>
          <w:trHeight w:val="230"/>
        </w:trPr>
        <w:tc>
          <w:tcPr>
            <w:tcW w:w="8440" w:type="dxa"/>
            <w:vAlign w:val="bottom"/>
            <w:gridSpan w:val="3"/>
          </w:tcPr>
          <w:p>
            <w:pPr>
              <w:ind w:left="300"/>
              <w:spacing w:after="0"/>
              <w:rPr>
                <w:sz w:val="20"/>
                <w:szCs w:val="20"/>
                <w:color w:val="auto"/>
              </w:rPr>
            </w:pPr>
            <w:r>
              <w:rPr>
                <w:rFonts w:ascii="Arial" w:cs="Arial" w:eastAsia="Arial" w:hAnsi="Arial"/>
                <w:sz w:val="20"/>
                <w:szCs w:val="20"/>
                <w:color w:val="auto"/>
              </w:rPr>
              <w:t>(7)  Our liabilities subject to compromise at emergence included the following (in millions):</w:t>
            </w:r>
          </w:p>
        </w:tc>
        <w:tc>
          <w:tcPr>
            <w:tcW w:w="680" w:type="dxa"/>
            <w:vAlign w:val="bottom"/>
          </w:tcPr>
          <w:p>
            <w:pPr>
              <w:spacing w:after="0"/>
              <w:rPr>
                <w:sz w:val="19"/>
                <w:szCs w:val="19"/>
                <w:color w:val="auto"/>
              </w:rPr>
            </w:pPr>
          </w:p>
        </w:tc>
      </w:tr>
      <w:tr>
        <w:trPr>
          <w:trHeight w:val="440"/>
        </w:trPr>
        <w:tc>
          <w:tcPr>
            <w:tcW w:w="6900" w:type="dxa"/>
            <w:vAlign w:val="bottom"/>
            <w:gridSpan w:val="2"/>
          </w:tcPr>
          <w:p>
            <w:pPr>
              <w:spacing w:after="0"/>
              <w:rPr>
                <w:sz w:val="20"/>
                <w:szCs w:val="20"/>
                <w:color w:val="auto"/>
              </w:rPr>
            </w:pPr>
            <w:r>
              <w:rPr>
                <w:rFonts w:ascii="Arial" w:cs="Arial" w:eastAsia="Arial" w:hAnsi="Arial"/>
                <w:sz w:val="20"/>
                <w:szCs w:val="20"/>
                <w:color w:val="auto"/>
              </w:rPr>
              <w:t>Long-term debt (principal amount):</w:t>
            </w:r>
          </w:p>
        </w:tc>
        <w:tc>
          <w:tcPr>
            <w:tcW w:w="15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40"/>
        </w:trPr>
        <w:tc>
          <w:tcPr>
            <w:tcW w:w="580" w:type="dxa"/>
            <w:vAlign w:val="bottom"/>
          </w:tcPr>
          <w:p>
            <w:pPr>
              <w:ind w:left="120"/>
              <w:spacing w:after="0"/>
              <w:rPr>
                <w:sz w:val="20"/>
                <w:szCs w:val="20"/>
                <w:color w:val="auto"/>
              </w:rPr>
            </w:pPr>
            <w:r>
              <w:rPr>
                <w:rFonts w:ascii="Arial" w:cs="Arial" w:eastAsia="Arial" w:hAnsi="Arial"/>
                <w:sz w:val="20"/>
                <w:szCs w:val="20"/>
                <w:color w:val="auto"/>
                <w:w w:val="98"/>
              </w:rPr>
              <w:t>2017</w:t>
            </w:r>
          </w:p>
        </w:tc>
        <w:tc>
          <w:tcPr>
            <w:tcW w:w="6320" w:type="dxa"/>
            <w:vAlign w:val="bottom"/>
          </w:tcPr>
          <w:p>
            <w:pPr>
              <w:ind w:left="40"/>
              <w:spacing w:after="0"/>
              <w:rPr>
                <w:sz w:val="20"/>
                <w:szCs w:val="20"/>
                <w:color w:val="auto"/>
              </w:rPr>
            </w:pPr>
            <w:r>
              <w:rPr>
                <w:rFonts w:ascii="Arial" w:cs="Arial" w:eastAsia="Arial" w:hAnsi="Arial"/>
                <w:sz w:val="20"/>
                <w:szCs w:val="20"/>
                <w:color w:val="auto"/>
                <w:w w:val="99"/>
              </w:rPr>
              <w:t>Credit Agreement  . . . . . . . . . . . . . . . . . . . . . . . . . . . . . . . . . . . . . . . . . .</w:t>
            </w:r>
          </w:p>
        </w:tc>
        <w:tc>
          <w:tcPr>
            <w:tcW w:w="1540" w:type="dxa"/>
            <w:vAlign w:val="bottom"/>
          </w:tcPr>
          <w:p>
            <w:pPr>
              <w:jc w:val="right"/>
              <w:ind w:right="1320"/>
              <w:spacing w:after="0"/>
              <w:rPr>
                <w:sz w:val="20"/>
                <w:szCs w:val="20"/>
                <w:color w:val="auto"/>
              </w:rPr>
            </w:pPr>
            <w:r>
              <w:rPr>
                <w:rFonts w:ascii="Arial" w:cs="Arial" w:eastAsia="Arial" w:hAnsi="Arial"/>
                <w:sz w:val="20"/>
                <w:szCs w:val="20"/>
                <w:color w:val="auto"/>
                <w:w w:val="89"/>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1,300</w:t>
            </w:r>
          </w:p>
        </w:tc>
      </w:tr>
      <w:tr>
        <w:trPr>
          <w:trHeight w:val="240"/>
        </w:trPr>
        <w:tc>
          <w:tcPr>
            <w:tcW w:w="580" w:type="dxa"/>
            <w:vAlign w:val="bottom"/>
          </w:tcPr>
          <w:p>
            <w:pPr>
              <w:ind w:left="120"/>
              <w:spacing w:after="0"/>
              <w:rPr>
                <w:sz w:val="20"/>
                <w:szCs w:val="20"/>
                <w:color w:val="auto"/>
              </w:rPr>
            </w:pPr>
            <w:r>
              <w:rPr>
                <w:rFonts w:ascii="Arial" w:cs="Arial" w:eastAsia="Arial" w:hAnsi="Arial"/>
                <w:sz w:val="20"/>
                <w:szCs w:val="20"/>
                <w:color w:val="auto"/>
                <w:w w:val="98"/>
              </w:rPr>
              <w:t>2016</w:t>
            </w:r>
          </w:p>
        </w:tc>
        <w:tc>
          <w:tcPr>
            <w:tcW w:w="6320" w:type="dxa"/>
            <w:vAlign w:val="bottom"/>
          </w:tcPr>
          <w:p>
            <w:pPr>
              <w:ind w:left="40"/>
              <w:spacing w:after="0"/>
              <w:rPr>
                <w:sz w:val="20"/>
                <w:szCs w:val="20"/>
                <w:color w:val="auto"/>
              </w:rPr>
            </w:pPr>
            <w:r>
              <w:rPr>
                <w:rFonts w:ascii="Arial" w:cs="Arial" w:eastAsia="Arial" w:hAnsi="Arial"/>
                <w:sz w:val="20"/>
                <w:szCs w:val="20"/>
                <w:color w:val="auto"/>
                <w:w w:val="99"/>
              </w:rPr>
              <w:t>Credit Agreement  . . . . . . . . . . . . . . . . . . . . . . . . . . . . . . . . . . . . . . . . . .</w:t>
            </w:r>
          </w:p>
        </w:tc>
        <w:tc>
          <w:tcPr>
            <w:tcW w:w="15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1,000</w:t>
            </w:r>
          </w:p>
        </w:tc>
      </w:tr>
      <w:tr>
        <w:trPr>
          <w:trHeight w:val="240"/>
        </w:trPr>
        <w:tc>
          <w:tcPr>
            <w:tcW w:w="6900" w:type="dxa"/>
            <w:vAlign w:val="bottom"/>
            <w:gridSpan w:val="2"/>
          </w:tcPr>
          <w:p>
            <w:pPr>
              <w:ind w:left="120"/>
              <w:spacing w:after="0"/>
              <w:rPr>
                <w:sz w:val="20"/>
                <w:szCs w:val="20"/>
                <w:color w:val="auto"/>
              </w:rPr>
            </w:pPr>
            <w:r>
              <w:rPr>
                <w:rFonts w:ascii="Arial" w:cs="Arial" w:eastAsia="Arial" w:hAnsi="Arial"/>
                <w:sz w:val="20"/>
                <w:szCs w:val="20"/>
                <w:color w:val="auto"/>
                <w:w w:val="99"/>
              </w:rPr>
              <w:t>Second Lien Notes . . . . . . . . . . . . . . . . . . . . . . . . . . . . . . . . . . . . . . . . . . . . . .</w:t>
            </w:r>
          </w:p>
        </w:tc>
        <w:tc>
          <w:tcPr>
            <w:tcW w:w="15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1,808</w:t>
            </w:r>
          </w:p>
        </w:tc>
      </w:tr>
      <w:tr>
        <w:trPr>
          <w:trHeight w:val="240"/>
        </w:trPr>
        <w:tc>
          <w:tcPr>
            <w:tcW w:w="580" w:type="dxa"/>
            <w:vAlign w:val="bottom"/>
          </w:tcPr>
          <w:p>
            <w:pPr>
              <w:ind w:left="120"/>
              <w:spacing w:after="0"/>
              <w:rPr>
                <w:sz w:val="20"/>
                <w:szCs w:val="20"/>
                <w:color w:val="auto"/>
              </w:rPr>
            </w:pPr>
            <w:r>
              <w:rPr>
                <w:rFonts w:ascii="Arial" w:cs="Arial" w:eastAsia="Arial" w:hAnsi="Arial"/>
                <w:sz w:val="20"/>
                <w:szCs w:val="20"/>
                <w:color w:val="auto"/>
                <w:w w:val="98"/>
              </w:rPr>
              <w:t>2021</w:t>
            </w:r>
          </w:p>
        </w:tc>
        <w:tc>
          <w:tcPr>
            <w:tcW w:w="6320" w:type="dxa"/>
            <w:vAlign w:val="bottom"/>
          </w:tcPr>
          <w:p>
            <w:pPr>
              <w:ind w:left="40"/>
              <w:spacing w:after="0"/>
              <w:rPr>
                <w:sz w:val="20"/>
                <w:szCs w:val="20"/>
                <w:color w:val="auto"/>
              </w:rPr>
            </w:pPr>
            <w:r>
              <w:rPr>
                <w:rFonts w:ascii="Arial" w:cs="Arial" w:eastAsia="Arial" w:hAnsi="Arial"/>
                <w:sz w:val="20"/>
                <w:szCs w:val="20"/>
                <w:color w:val="auto"/>
                <w:w w:val="98"/>
              </w:rPr>
              <w:t>Notes  . . . . . . . . . . . . . . . . . . . . . . . . . . . . . . . . . . . . . . . . . . . . . . . . . . . .</w:t>
            </w:r>
          </w:p>
        </w:tc>
        <w:tc>
          <w:tcPr>
            <w:tcW w:w="15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100</w:t>
            </w:r>
          </w:p>
        </w:tc>
      </w:tr>
      <w:tr>
        <w:trPr>
          <w:trHeight w:val="240"/>
        </w:trPr>
        <w:tc>
          <w:tcPr>
            <w:tcW w:w="580" w:type="dxa"/>
            <w:vAlign w:val="bottom"/>
          </w:tcPr>
          <w:p>
            <w:pPr>
              <w:ind w:left="120"/>
              <w:spacing w:after="0"/>
              <w:rPr>
                <w:sz w:val="20"/>
                <w:szCs w:val="20"/>
                <w:color w:val="auto"/>
              </w:rPr>
            </w:pPr>
            <w:r>
              <w:rPr>
                <w:rFonts w:ascii="Arial" w:cs="Arial" w:eastAsia="Arial" w:hAnsi="Arial"/>
                <w:sz w:val="20"/>
                <w:szCs w:val="20"/>
                <w:color w:val="auto"/>
                <w:w w:val="98"/>
              </w:rPr>
              <w:t>2024</w:t>
            </w:r>
          </w:p>
        </w:tc>
        <w:tc>
          <w:tcPr>
            <w:tcW w:w="6320" w:type="dxa"/>
            <w:vAlign w:val="bottom"/>
          </w:tcPr>
          <w:p>
            <w:pPr>
              <w:ind w:left="40"/>
              <w:spacing w:after="0"/>
              <w:rPr>
                <w:sz w:val="20"/>
                <w:szCs w:val="20"/>
                <w:color w:val="auto"/>
              </w:rPr>
            </w:pPr>
            <w:r>
              <w:rPr>
                <w:rFonts w:ascii="Arial" w:cs="Arial" w:eastAsia="Arial" w:hAnsi="Arial"/>
                <w:sz w:val="20"/>
                <w:szCs w:val="20"/>
                <w:color w:val="auto"/>
                <w:w w:val="98"/>
              </w:rPr>
              <w:t>Notes  . . . . . . . . . . . . . . . . . . . . . . . . . . . . . . . . . . . . . . . . . . . . . . . . . . . .</w:t>
            </w:r>
          </w:p>
        </w:tc>
        <w:tc>
          <w:tcPr>
            <w:tcW w:w="15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144</w:t>
            </w:r>
          </w:p>
        </w:tc>
      </w:tr>
      <w:tr>
        <w:trPr>
          <w:trHeight w:val="240"/>
        </w:trPr>
        <w:tc>
          <w:tcPr>
            <w:tcW w:w="6900" w:type="dxa"/>
            <w:vAlign w:val="bottom"/>
            <w:gridSpan w:val="2"/>
          </w:tcPr>
          <w:p>
            <w:pPr>
              <w:ind w:left="120"/>
              <w:spacing w:after="0"/>
              <w:rPr>
                <w:sz w:val="20"/>
                <w:szCs w:val="20"/>
                <w:color w:val="auto"/>
              </w:rPr>
            </w:pPr>
            <w:r>
              <w:rPr>
                <w:rFonts w:ascii="Arial" w:cs="Arial" w:eastAsia="Arial" w:hAnsi="Arial"/>
                <w:sz w:val="20"/>
                <w:szCs w:val="20"/>
                <w:color w:val="auto"/>
                <w:w w:val="98"/>
              </w:rPr>
              <w:t>Accrued interest  . . . . . . . . . . . . . . . . . . . . . . . . . . . . . . . . . . . . . . . . . . . . . . . .</w:t>
            </w:r>
          </w:p>
        </w:tc>
        <w:tc>
          <w:tcPr>
            <w:tcW w:w="15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164</w:t>
            </w:r>
          </w:p>
        </w:tc>
      </w:tr>
      <w:tr>
        <w:trPr>
          <w:trHeight w:val="30"/>
        </w:trPr>
        <w:tc>
          <w:tcPr>
            <w:tcW w:w="6900" w:type="dxa"/>
            <w:vAlign w:val="bottom"/>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70"/>
        </w:trPr>
        <w:tc>
          <w:tcPr>
            <w:tcW w:w="6900" w:type="dxa"/>
            <w:vAlign w:val="bottom"/>
            <w:gridSpan w:val="2"/>
          </w:tcPr>
          <w:p>
            <w:pPr>
              <w:ind w:left="120"/>
              <w:spacing w:after="0"/>
              <w:rPr>
                <w:sz w:val="20"/>
                <w:szCs w:val="20"/>
                <w:color w:val="auto"/>
              </w:rPr>
            </w:pPr>
            <w:r>
              <w:rPr>
                <w:rFonts w:ascii="Arial" w:cs="Arial" w:eastAsia="Arial" w:hAnsi="Arial"/>
                <w:sz w:val="20"/>
                <w:szCs w:val="20"/>
                <w:b w:val="1"/>
                <w:bCs w:val="1"/>
                <w:color w:val="auto"/>
              </w:rPr>
              <w:t xml:space="preserve">Total liabilities subject to compromise  </w:t>
            </w:r>
            <w:r>
              <w:rPr>
                <w:rFonts w:ascii="Arial" w:cs="Arial" w:eastAsia="Arial" w:hAnsi="Arial"/>
                <w:sz w:val="20"/>
                <w:szCs w:val="20"/>
                <w:color w:val="auto"/>
              </w:rPr>
              <w:t>. . . . . . . . . . . . . . . . . . . . . . . . . . .</w:t>
            </w:r>
          </w:p>
        </w:tc>
        <w:tc>
          <w:tcPr>
            <w:tcW w:w="1540" w:type="dxa"/>
            <w:vAlign w:val="bottom"/>
          </w:tcPr>
          <w:p>
            <w:pPr>
              <w:jc w:val="right"/>
              <w:ind w:right="1320"/>
              <w:spacing w:after="0"/>
              <w:rPr>
                <w:sz w:val="20"/>
                <w:szCs w:val="20"/>
                <w:color w:val="auto"/>
              </w:rPr>
            </w:pPr>
            <w:r>
              <w:rPr>
                <w:rFonts w:ascii="Arial" w:cs="Arial" w:eastAsia="Arial" w:hAnsi="Arial"/>
                <w:sz w:val="20"/>
                <w:szCs w:val="20"/>
                <w:b w:val="1"/>
                <w:bCs w:val="1"/>
                <w:color w:val="auto"/>
                <w:w w:val="89"/>
              </w:rPr>
              <w:t>$</w:t>
            </w:r>
          </w:p>
        </w:tc>
        <w:tc>
          <w:tcPr>
            <w:tcW w:w="680" w:type="dxa"/>
            <w:vAlign w:val="bottom"/>
          </w:tcPr>
          <w:p>
            <w:pPr>
              <w:jc w:val="right"/>
              <w:spacing w:after="0"/>
              <w:rPr>
                <w:sz w:val="20"/>
                <w:szCs w:val="20"/>
                <w:color w:val="auto"/>
              </w:rPr>
            </w:pPr>
            <w:r>
              <w:rPr>
                <w:rFonts w:ascii="Arial" w:cs="Arial" w:eastAsia="Arial" w:hAnsi="Arial"/>
                <w:sz w:val="20"/>
                <w:szCs w:val="20"/>
                <w:b w:val="1"/>
                <w:bCs w:val="1"/>
                <w:color w:val="auto"/>
              </w:rPr>
              <w:t>4,516</w:t>
            </w:r>
          </w:p>
        </w:tc>
      </w:tr>
      <w:tr>
        <w:trPr>
          <w:trHeight w:val="30"/>
        </w:trPr>
        <w:tc>
          <w:tcPr>
            <w:tcW w:w="58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
        </w:trPr>
        <w:tc>
          <w:tcPr>
            <w:tcW w:w="58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700" w:right="60" w:hanging="400"/>
        <w:spacing w:after="0" w:line="249" w:lineRule="auto"/>
        <w:tabs>
          <w:tab w:leader="none" w:pos="700" w:val="left"/>
        </w:tabs>
        <w:numPr>
          <w:ilvl w:val="0"/>
          <w:numId w:val="67"/>
        </w:numPr>
        <w:rPr>
          <w:rFonts w:ascii="Arial" w:cs="Arial" w:eastAsia="Arial" w:hAnsi="Arial"/>
          <w:sz w:val="20"/>
          <w:szCs w:val="20"/>
          <w:color w:val="auto"/>
        </w:rPr>
      </w:pPr>
      <w:r>
        <w:rPr>
          <w:rFonts w:ascii="Arial" w:cs="Arial" w:eastAsia="Arial" w:hAnsi="Arial"/>
          <w:sz w:val="20"/>
          <w:szCs w:val="20"/>
          <w:color w:val="auto"/>
        </w:rPr>
        <w:t>Represents the acquisition of the noncontrolling interest in our Ares JV. In accordance with the Settlement Agreement, we exercised a conversion right upon our emergence from bankruptcy, allowing us to acquire all (but not less than all) of the equity interests in the Ares JV held by ECR in exchange for the EHP Notes, 17.3 million shares of common stock and approximately $2 million in cash.</w:t>
      </w:r>
    </w:p>
    <w:p>
      <w:pPr>
        <w:spacing w:after="0" w:line="202" w:lineRule="exact"/>
        <w:rPr>
          <w:rFonts w:ascii="Arial" w:cs="Arial" w:eastAsia="Arial" w:hAnsi="Arial"/>
          <w:sz w:val="20"/>
          <w:szCs w:val="20"/>
          <w:color w:val="auto"/>
        </w:rPr>
      </w:pPr>
    </w:p>
    <w:p>
      <w:pPr>
        <w:ind w:left="700" w:hanging="400"/>
        <w:spacing w:after="0"/>
        <w:tabs>
          <w:tab w:leader="none" w:pos="700" w:val="left"/>
        </w:tabs>
        <w:numPr>
          <w:ilvl w:val="0"/>
          <w:numId w:val="67"/>
        </w:numPr>
        <w:rPr>
          <w:rFonts w:ascii="Arial" w:cs="Arial" w:eastAsia="Arial" w:hAnsi="Arial"/>
          <w:sz w:val="20"/>
          <w:szCs w:val="20"/>
          <w:color w:val="auto"/>
        </w:rPr>
      </w:pPr>
      <w:r>
        <w:rPr>
          <w:rFonts w:ascii="Arial" w:cs="Arial" w:eastAsia="Arial" w:hAnsi="Arial"/>
          <w:sz w:val="20"/>
          <w:szCs w:val="20"/>
          <w:color w:val="auto"/>
        </w:rPr>
        <w:t>Represents the elimination of Predecessor additional paid-in capital.</w:t>
      </w:r>
    </w:p>
    <w:p>
      <w:pPr>
        <w:spacing w:after="0" w:line="214" w:lineRule="exact"/>
        <w:rPr>
          <w:rFonts w:ascii="Arial" w:cs="Arial" w:eastAsia="Arial" w:hAnsi="Arial"/>
          <w:sz w:val="20"/>
          <w:szCs w:val="20"/>
          <w:color w:val="auto"/>
        </w:rPr>
      </w:pPr>
    </w:p>
    <w:p>
      <w:pPr>
        <w:ind w:left="700" w:right="440" w:hanging="400"/>
        <w:spacing w:after="0" w:line="245" w:lineRule="auto"/>
        <w:tabs>
          <w:tab w:leader="none" w:pos="700" w:val="left"/>
        </w:tabs>
        <w:numPr>
          <w:ilvl w:val="0"/>
          <w:numId w:val="67"/>
        </w:numPr>
        <w:rPr>
          <w:rFonts w:ascii="Arial" w:cs="Arial" w:eastAsia="Arial" w:hAnsi="Arial"/>
          <w:sz w:val="20"/>
          <w:szCs w:val="20"/>
          <w:color w:val="auto"/>
        </w:rPr>
      </w:pPr>
      <w:r>
        <w:rPr>
          <w:rFonts w:ascii="Arial" w:cs="Arial" w:eastAsia="Arial" w:hAnsi="Arial"/>
          <w:sz w:val="20"/>
          <w:szCs w:val="20"/>
          <w:color w:val="auto"/>
        </w:rPr>
        <w:t>Represents the fair value of 83.3 million shares of Successor common stock and Warrants issued in accordance with the Plan as follows (in millions):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780" w:type="dxa"/>
            <w:vAlign w:val="bottom"/>
          </w:tcPr>
          <w:p>
            <w:pPr>
              <w:jc w:val="right"/>
              <w:ind w:right="100"/>
              <w:spacing w:after="0"/>
              <w:rPr>
                <w:sz w:val="20"/>
                <w:szCs w:val="20"/>
                <w:color w:val="auto"/>
              </w:rPr>
            </w:pPr>
            <w:r>
              <w:rPr>
                <w:rFonts w:ascii="Arial" w:cs="Arial" w:eastAsia="Arial" w:hAnsi="Arial"/>
                <w:sz w:val="20"/>
                <w:szCs w:val="20"/>
                <w:color w:val="auto"/>
                <w:w w:val="95"/>
              </w:rPr>
              <w:t>Par value . . . . . . . . . . . . . . . . . . . . . . . . . . . . . . . . . . . . . . . . . . . . . . . . . . . . . .</w:t>
            </w:r>
          </w:p>
        </w:tc>
        <w:tc>
          <w:tcPr>
            <w:tcW w:w="920" w:type="dxa"/>
            <w:vAlign w:val="bottom"/>
          </w:tcPr>
          <w:p>
            <w:pPr>
              <w:jc w:val="right"/>
              <w:ind w:right="700"/>
              <w:spacing w:after="0"/>
              <w:rPr>
                <w:sz w:val="20"/>
                <w:szCs w:val="20"/>
                <w:color w:val="auto"/>
              </w:rPr>
            </w:pPr>
            <w:r>
              <w:rPr>
                <w:rFonts w:ascii="Arial" w:cs="Arial" w:eastAsia="Arial" w:hAnsi="Arial"/>
                <w:sz w:val="20"/>
                <w:szCs w:val="20"/>
                <w:color w:val="auto"/>
                <w:w w:val="89"/>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40"/>
        </w:trPr>
        <w:tc>
          <w:tcPr>
            <w:tcW w:w="6780" w:type="dxa"/>
            <w:vAlign w:val="bottom"/>
          </w:tcPr>
          <w:p>
            <w:pPr>
              <w:jc w:val="right"/>
              <w:ind w:right="100"/>
              <w:spacing w:after="0"/>
              <w:rPr>
                <w:sz w:val="20"/>
                <w:szCs w:val="20"/>
                <w:color w:val="auto"/>
              </w:rPr>
            </w:pPr>
            <w:r>
              <w:rPr>
                <w:rFonts w:ascii="Arial" w:cs="Arial" w:eastAsia="Arial" w:hAnsi="Arial"/>
                <w:sz w:val="20"/>
                <w:szCs w:val="20"/>
                <w:color w:val="auto"/>
                <w:w w:val="96"/>
              </w:rPr>
              <w:t>Additional paid-in capital  . . . . . . . . . . . . . . . . . . . . . . . . . . . . . . . . . . . . . . . . .</w:t>
            </w:r>
          </w:p>
        </w:tc>
        <w:tc>
          <w:tcPr>
            <w:tcW w:w="9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1,253</w:t>
            </w:r>
          </w:p>
        </w:tc>
      </w:tr>
      <w:tr>
        <w:trPr>
          <w:trHeight w:val="240"/>
        </w:trPr>
        <w:tc>
          <w:tcPr>
            <w:tcW w:w="6780" w:type="dxa"/>
            <w:vAlign w:val="bottom"/>
          </w:tcPr>
          <w:p>
            <w:pPr>
              <w:jc w:val="right"/>
              <w:ind w:right="100"/>
              <w:spacing w:after="0"/>
              <w:rPr>
                <w:sz w:val="20"/>
                <w:szCs w:val="20"/>
                <w:color w:val="auto"/>
              </w:rPr>
            </w:pPr>
            <w:r>
              <w:rPr>
                <w:rFonts w:ascii="Arial" w:cs="Arial" w:eastAsia="Arial" w:hAnsi="Arial"/>
                <w:sz w:val="20"/>
                <w:szCs w:val="20"/>
                <w:color w:val="auto"/>
                <w:w w:val="95"/>
              </w:rPr>
              <w:t>Warrants  . . . . . . . . . . . . . . . . . . . . . . . . . . . . . . . . . . . . . . . . . . . . . . . . . . . . . .</w:t>
            </w:r>
          </w:p>
        </w:tc>
        <w:tc>
          <w:tcPr>
            <w:tcW w:w="9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8"/>
        </w:trPr>
        <w:tc>
          <w:tcPr>
            <w:tcW w:w="67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2"/>
        </w:trPr>
        <w:tc>
          <w:tcPr>
            <w:tcW w:w="6780" w:type="dxa"/>
            <w:vAlign w:val="bottom"/>
          </w:tcPr>
          <w:p>
            <w:pPr>
              <w:jc w:val="right"/>
              <w:ind w:right="100"/>
              <w:spacing w:after="0"/>
              <w:rPr>
                <w:sz w:val="20"/>
                <w:szCs w:val="20"/>
                <w:color w:val="auto"/>
              </w:rPr>
            </w:pPr>
            <w:r>
              <w:rPr>
                <w:rFonts w:ascii="Arial" w:cs="Arial" w:eastAsia="Arial" w:hAnsi="Arial"/>
                <w:sz w:val="20"/>
                <w:szCs w:val="20"/>
                <w:b w:val="1"/>
                <w:bCs w:val="1"/>
                <w:color w:val="auto"/>
                <w:w w:val="98"/>
              </w:rPr>
              <w:t xml:space="preserve">Total  </w:t>
            </w:r>
            <w:r>
              <w:rPr>
                <w:rFonts w:ascii="Arial" w:cs="Arial" w:eastAsia="Arial" w:hAnsi="Arial"/>
                <w:sz w:val="20"/>
                <w:szCs w:val="20"/>
                <w:color w:val="auto"/>
                <w:w w:val="98"/>
              </w:rPr>
              <w:t>. . . . . . . . . . . . . . . . . . . . . . . . . . . . . . . . . . . . . . . . . . . . . . . . . . . . . . .</w:t>
            </w:r>
          </w:p>
        </w:tc>
        <w:tc>
          <w:tcPr>
            <w:tcW w:w="920" w:type="dxa"/>
            <w:vAlign w:val="bottom"/>
          </w:tcPr>
          <w:p>
            <w:pPr>
              <w:jc w:val="right"/>
              <w:ind w:right="700"/>
              <w:spacing w:after="0"/>
              <w:rPr>
                <w:sz w:val="20"/>
                <w:szCs w:val="20"/>
                <w:color w:val="auto"/>
              </w:rPr>
            </w:pPr>
            <w:r>
              <w:rPr>
                <w:rFonts w:ascii="Arial" w:cs="Arial" w:eastAsia="Arial" w:hAnsi="Arial"/>
                <w:sz w:val="20"/>
                <w:szCs w:val="20"/>
                <w:b w:val="1"/>
                <w:bCs w:val="1"/>
                <w:color w:val="auto"/>
                <w:w w:val="89"/>
              </w:rPr>
              <w:t>$</w:t>
            </w:r>
          </w:p>
        </w:tc>
        <w:tc>
          <w:tcPr>
            <w:tcW w:w="1300" w:type="dxa"/>
            <w:vAlign w:val="bottom"/>
          </w:tcPr>
          <w:p>
            <w:pPr>
              <w:jc w:val="right"/>
              <w:spacing w:after="0"/>
              <w:rPr>
                <w:sz w:val="20"/>
                <w:szCs w:val="20"/>
                <w:color w:val="auto"/>
              </w:rPr>
            </w:pPr>
            <w:r>
              <w:rPr>
                <w:rFonts w:ascii="Arial" w:cs="Arial" w:eastAsia="Arial" w:hAnsi="Arial"/>
                <w:sz w:val="20"/>
                <w:szCs w:val="20"/>
                <w:b w:val="1"/>
                <w:bCs w:val="1"/>
                <w:color w:val="auto"/>
              </w:rPr>
              <w:t>1,269</w:t>
            </w:r>
          </w:p>
        </w:tc>
      </w:tr>
      <w:tr>
        <w:trPr>
          <w:trHeight w:val="28"/>
        </w:trPr>
        <w:tc>
          <w:tcPr>
            <w:tcW w:w="67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700" w:right="100" w:hanging="400"/>
        <w:spacing w:after="0" w:line="245" w:lineRule="auto"/>
        <w:tabs>
          <w:tab w:leader="none" w:pos="700" w:val="left"/>
        </w:tabs>
        <w:numPr>
          <w:ilvl w:val="0"/>
          <w:numId w:val="68"/>
        </w:numPr>
        <w:rPr>
          <w:rFonts w:ascii="Arial" w:cs="Arial" w:eastAsia="Arial" w:hAnsi="Arial"/>
          <w:sz w:val="20"/>
          <w:szCs w:val="20"/>
          <w:color w:val="auto"/>
        </w:rPr>
      </w:pPr>
      <w:r>
        <w:rPr>
          <w:rFonts w:ascii="Arial" w:cs="Arial" w:eastAsia="Arial" w:hAnsi="Arial"/>
          <w:sz w:val="20"/>
          <w:szCs w:val="20"/>
          <w:color w:val="auto"/>
        </w:rPr>
        <w:t>Represents the decrease in accumulated deficit resulting from reorganization adjustments and the reclassification from Predecessor additional paid-in capital.</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Fresh Start Adjustments</w:t>
      </w:r>
    </w:p>
    <w:p>
      <w:pPr>
        <w:spacing w:after="0" w:line="214" w:lineRule="exact"/>
        <w:rPr>
          <w:sz w:val="20"/>
          <w:szCs w:val="20"/>
          <w:color w:val="auto"/>
        </w:rPr>
      </w:pPr>
    </w:p>
    <w:p>
      <w:pPr>
        <w:ind w:left="700" w:right="500" w:hanging="400"/>
        <w:spacing w:after="0" w:line="245" w:lineRule="auto"/>
        <w:tabs>
          <w:tab w:leader="none" w:pos="700" w:val="left"/>
        </w:tabs>
        <w:numPr>
          <w:ilvl w:val="0"/>
          <w:numId w:val="69"/>
        </w:numPr>
        <w:rPr>
          <w:rFonts w:ascii="Arial" w:cs="Arial" w:eastAsia="Arial" w:hAnsi="Arial"/>
          <w:sz w:val="20"/>
          <w:szCs w:val="20"/>
          <w:color w:val="auto"/>
        </w:rPr>
      </w:pPr>
      <w:r>
        <w:rPr>
          <w:rFonts w:ascii="Arial" w:cs="Arial" w:eastAsia="Arial" w:hAnsi="Arial"/>
          <w:sz w:val="20"/>
          <w:szCs w:val="20"/>
          <w:color w:val="auto"/>
        </w:rPr>
        <w:t>Represents fair value adjustments to property, plant and equipment (PP&amp;E), including the elimination of Predecessor accumulated depreciation, depletion and amortization.</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780" w:type="dxa"/>
            <w:vAlign w:val="bottom"/>
          </w:tcPr>
          <w:p>
            <w:pPr>
              <w:jc w:val="right"/>
              <w:ind w:right="500"/>
              <w:spacing w:after="0"/>
              <w:rPr>
                <w:sz w:val="20"/>
                <w:szCs w:val="20"/>
                <w:color w:val="auto"/>
              </w:rPr>
            </w:pPr>
            <w:r>
              <w:rPr>
                <w:rFonts w:ascii="Arial" w:cs="Arial" w:eastAsia="Arial" w:hAnsi="Arial"/>
                <w:sz w:val="20"/>
                <w:szCs w:val="20"/>
                <w:color w:val="auto"/>
              </w:rPr>
              <w:t>The fair value of our PP&amp;E at emergence consisted of the following:</w:t>
            </w:r>
          </w:p>
        </w:tc>
        <w:tc>
          <w:tcPr>
            <w:tcW w:w="9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40"/>
        </w:trPr>
        <w:tc>
          <w:tcPr>
            <w:tcW w:w="6780" w:type="dxa"/>
            <w:vAlign w:val="bottom"/>
          </w:tcPr>
          <w:p>
            <w:pPr>
              <w:jc w:val="right"/>
              <w:ind w:right="100"/>
              <w:spacing w:after="0"/>
              <w:rPr>
                <w:sz w:val="20"/>
                <w:szCs w:val="20"/>
                <w:color w:val="auto"/>
              </w:rPr>
            </w:pPr>
            <w:r>
              <w:rPr>
                <w:rFonts w:ascii="Arial" w:cs="Arial" w:eastAsia="Arial" w:hAnsi="Arial"/>
                <w:sz w:val="20"/>
                <w:szCs w:val="20"/>
                <w:color w:val="auto"/>
                <w:w w:val="97"/>
              </w:rPr>
              <w:t>Proved oil and natural gas properties . . . . . . . . . . . . . . . . . . . . . . . . . . . . . . .</w:t>
            </w:r>
          </w:p>
        </w:tc>
        <w:tc>
          <w:tcPr>
            <w:tcW w:w="920" w:type="dxa"/>
            <w:vAlign w:val="bottom"/>
          </w:tcPr>
          <w:p>
            <w:pPr>
              <w:jc w:val="right"/>
              <w:ind w:right="700"/>
              <w:spacing w:after="0"/>
              <w:rPr>
                <w:sz w:val="20"/>
                <w:szCs w:val="20"/>
                <w:color w:val="auto"/>
              </w:rPr>
            </w:pPr>
            <w:r>
              <w:rPr>
                <w:rFonts w:ascii="Arial" w:cs="Arial" w:eastAsia="Arial" w:hAnsi="Arial"/>
                <w:sz w:val="20"/>
                <w:szCs w:val="20"/>
                <w:color w:val="auto"/>
                <w:w w:val="89"/>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2,409</w:t>
            </w:r>
          </w:p>
        </w:tc>
      </w:tr>
      <w:tr>
        <w:trPr>
          <w:trHeight w:val="240"/>
        </w:trPr>
        <w:tc>
          <w:tcPr>
            <w:tcW w:w="6780" w:type="dxa"/>
            <w:vAlign w:val="bottom"/>
          </w:tcPr>
          <w:p>
            <w:pPr>
              <w:jc w:val="right"/>
              <w:ind w:right="100"/>
              <w:spacing w:after="0"/>
              <w:rPr>
                <w:sz w:val="20"/>
                <w:szCs w:val="20"/>
                <w:color w:val="auto"/>
              </w:rPr>
            </w:pPr>
            <w:r>
              <w:rPr>
                <w:rFonts w:ascii="Arial" w:cs="Arial" w:eastAsia="Arial" w:hAnsi="Arial"/>
                <w:sz w:val="20"/>
                <w:szCs w:val="20"/>
                <w:color w:val="auto"/>
                <w:w w:val="96"/>
              </w:rPr>
              <w:t>Facilities and other . . . . . . . . . . . . . . . . . . . . . . . . . . . . . . . . . . . . . . . . . . . . . .</w:t>
            </w:r>
          </w:p>
        </w:tc>
        <w:tc>
          <w:tcPr>
            <w:tcW w:w="9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273</w:t>
            </w:r>
          </w:p>
        </w:tc>
      </w:tr>
      <w:tr>
        <w:trPr>
          <w:trHeight w:val="28"/>
        </w:trPr>
        <w:tc>
          <w:tcPr>
            <w:tcW w:w="67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2"/>
        </w:trPr>
        <w:tc>
          <w:tcPr>
            <w:tcW w:w="6780" w:type="dxa"/>
            <w:vAlign w:val="bottom"/>
          </w:tcPr>
          <w:p>
            <w:pPr>
              <w:jc w:val="right"/>
              <w:ind w:right="100"/>
              <w:spacing w:after="0"/>
              <w:rPr>
                <w:sz w:val="20"/>
                <w:szCs w:val="20"/>
                <w:color w:val="auto"/>
              </w:rPr>
            </w:pPr>
            <w:r>
              <w:rPr>
                <w:rFonts w:ascii="Arial" w:cs="Arial" w:eastAsia="Arial" w:hAnsi="Arial"/>
                <w:sz w:val="20"/>
                <w:szCs w:val="20"/>
                <w:b w:val="1"/>
                <w:bCs w:val="1"/>
                <w:color w:val="auto"/>
                <w:w w:val="98"/>
              </w:rPr>
              <w:t xml:space="preserve">Total PP&amp;E </w:t>
            </w:r>
            <w:r>
              <w:rPr>
                <w:rFonts w:ascii="Arial" w:cs="Arial" w:eastAsia="Arial" w:hAnsi="Arial"/>
                <w:sz w:val="20"/>
                <w:szCs w:val="20"/>
                <w:color w:val="auto"/>
                <w:w w:val="98"/>
              </w:rPr>
              <w:t>. . . . . . . . . . . . . . . . . . . . . . . . . . . . . . . . . . . . . . . . . . . . . . . . . .</w:t>
            </w:r>
          </w:p>
        </w:tc>
        <w:tc>
          <w:tcPr>
            <w:tcW w:w="920" w:type="dxa"/>
            <w:vAlign w:val="bottom"/>
          </w:tcPr>
          <w:p>
            <w:pPr>
              <w:jc w:val="right"/>
              <w:ind w:right="700"/>
              <w:spacing w:after="0"/>
              <w:rPr>
                <w:sz w:val="20"/>
                <w:szCs w:val="20"/>
                <w:color w:val="auto"/>
              </w:rPr>
            </w:pPr>
            <w:r>
              <w:rPr>
                <w:rFonts w:ascii="Arial" w:cs="Arial" w:eastAsia="Arial" w:hAnsi="Arial"/>
                <w:sz w:val="20"/>
                <w:szCs w:val="20"/>
                <w:b w:val="1"/>
                <w:bCs w:val="1"/>
                <w:color w:val="auto"/>
                <w:w w:val="89"/>
              </w:rPr>
              <w:t>$</w:t>
            </w:r>
          </w:p>
        </w:tc>
        <w:tc>
          <w:tcPr>
            <w:tcW w:w="1300" w:type="dxa"/>
            <w:vAlign w:val="bottom"/>
          </w:tcPr>
          <w:p>
            <w:pPr>
              <w:jc w:val="right"/>
              <w:spacing w:after="0"/>
              <w:rPr>
                <w:sz w:val="20"/>
                <w:szCs w:val="20"/>
                <w:color w:val="auto"/>
              </w:rPr>
            </w:pPr>
            <w:r>
              <w:rPr>
                <w:rFonts w:ascii="Arial" w:cs="Arial" w:eastAsia="Arial" w:hAnsi="Arial"/>
                <w:sz w:val="20"/>
                <w:szCs w:val="20"/>
                <w:b w:val="1"/>
                <w:bCs w:val="1"/>
                <w:color w:val="auto"/>
              </w:rPr>
              <w:t>2,682</w:t>
            </w:r>
          </w:p>
        </w:tc>
      </w:tr>
      <w:tr>
        <w:trPr>
          <w:trHeight w:val="28"/>
        </w:trPr>
        <w:tc>
          <w:tcPr>
            <w:tcW w:w="67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700" w:right="520" w:hanging="400"/>
        <w:spacing w:after="0" w:line="245" w:lineRule="auto"/>
        <w:tabs>
          <w:tab w:leader="none" w:pos="700" w:val="left"/>
        </w:tabs>
        <w:numPr>
          <w:ilvl w:val="0"/>
          <w:numId w:val="70"/>
        </w:numPr>
        <w:rPr>
          <w:rFonts w:ascii="Arial" w:cs="Arial" w:eastAsia="Arial" w:hAnsi="Arial"/>
          <w:sz w:val="20"/>
          <w:szCs w:val="20"/>
          <w:color w:val="auto"/>
        </w:rPr>
      </w:pPr>
      <w:r>
        <w:rPr>
          <w:rFonts w:ascii="Arial" w:cs="Arial" w:eastAsia="Arial" w:hAnsi="Arial"/>
          <w:sz w:val="20"/>
          <w:szCs w:val="20"/>
          <w:color w:val="auto"/>
        </w:rPr>
        <w:t>Represents an adjustment to our right of use assets as if our lease agreements were new leases on our emergence date.</w:t>
      </w:r>
    </w:p>
    <w:p>
      <w:pPr>
        <w:spacing w:after="0" w:line="210" w:lineRule="exact"/>
        <w:rPr>
          <w:rFonts w:ascii="Arial" w:cs="Arial" w:eastAsia="Arial" w:hAnsi="Arial"/>
          <w:sz w:val="20"/>
          <w:szCs w:val="20"/>
          <w:color w:val="auto"/>
        </w:rPr>
      </w:pPr>
    </w:p>
    <w:p>
      <w:pPr>
        <w:ind w:left="700" w:right="40" w:hanging="400"/>
        <w:spacing w:after="0" w:line="248" w:lineRule="auto"/>
        <w:tabs>
          <w:tab w:leader="none" w:pos="700" w:val="left"/>
        </w:tabs>
        <w:numPr>
          <w:ilvl w:val="0"/>
          <w:numId w:val="70"/>
        </w:numPr>
        <w:rPr>
          <w:rFonts w:ascii="Arial" w:cs="Arial" w:eastAsia="Arial" w:hAnsi="Arial"/>
          <w:sz w:val="20"/>
          <w:szCs w:val="20"/>
          <w:color w:val="auto"/>
        </w:rPr>
      </w:pPr>
      <w:r>
        <w:rPr>
          <w:rFonts w:ascii="Arial" w:cs="Arial" w:eastAsia="Arial" w:hAnsi="Arial"/>
          <w:sz w:val="20"/>
          <w:szCs w:val="20"/>
          <w:color w:val="auto"/>
        </w:rPr>
        <w:t>Represents a $20 million fair value adjustment to the current portion of asset retirement obligations partially offset by a $5 million decrease in our liability for self-insured medical. Also included are fair value adjustments for our postretirement benefits and a remeasurement of the current portion of our lease liability.</w:t>
      </w:r>
    </w:p>
    <w:p>
      <w:pPr>
        <w:sectPr>
          <w:pgSz w:w="11880" w:h="15480" w:orient="portrait"/>
          <w:cols w:equalWidth="0" w:num="1">
            <w:col w:w="9120"/>
          </w:cols>
          <w:pgMar w:left="1380" w:top="1310" w:right="138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154</w:t>
      </w:r>
    </w:p>
    <w:p>
      <w:pPr>
        <w:sectPr>
          <w:pgSz w:w="11880" w:h="15480" w:orient="portrait"/>
          <w:cols w:equalWidth="0" w:num="1">
            <w:col w:w="9120"/>
          </w:cols>
          <w:pgMar w:left="1380" w:top="1310" w:right="1380" w:bottom="661" w:gutter="0" w:footer="0" w:header="0"/>
          <w:type w:val="continuous"/>
        </w:sectPr>
      </w:pPr>
    </w:p>
    <w:bookmarkStart w:id="158" w:name="page159"/>
    <w:bookmarkEnd w:id="158"/>
    <w:p>
      <w:pPr>
        <w:ind w:left="640" w:hanging="400"/>
        <w:spacing w:after="0" w:line="248" w:lineRule="auto"/>
        <w:tabs>
          <w:tab w:leader="none" w:pos="640" w:val="left"/>
        </w:tabs>
        <w:numPr>
          <w:ilvl w:val="0"/>
          <w:numId w:val="71"/>
        </w:numPr>
        <w:rPr>
          <w:rFonts w:ascii="Arial" w:cs="Arial" w:eastAsia="Arial" w:hAnsi="Arial"/>
          <w:sz w:val="20"/>
          <w:szCs w:val="20"/>
          <w:color w:val="auto"/>
        </w:rPr>
      </w:pPr>
      <w:r>
        <w:rPr>
          <w:rFonts w:ascii="Arial" w:cs="Arial" w:eastAsia="Arial" w:hAnsi="Arial"/>
          <w:sz w:val="20"/>
          <w:szCs w:val="20"/>
          <w:color w:val="auto"/>
        </w:rPr>
        <w:t>Represents a $36 million fair value adjustment related to the long-term portion of asset retirement obligations and $8 million related to environmental and other abandonment obligations. The adjustment also includes $5 million related to remeasuring our long-term lease liability as if our contracts were new leases.</w:t>
      </w:r>
    </w:p>
    <w:p>
      <w:pPr>
        <w:spacing w:after="0" w:line="203" w:lineRule="exact"/>
        <w:rPr>
          <w:rFonts w:ascii="Arial" w:cs="Arial" w:eastAsia="Arial" w:hAnsi="Arial"/>
          <w:sz w:val="20"/>
          <w:szCs w:val="20"/>
          <w:color w:val="auto"/>
        </w:rPr>
      </w:pPr>
    </w:p>
    <w:p>
      <w:pPr>
        <w:ind w:left="640" w:hanging="400"/>
        <w:spacing w:after="0"/>
        <w:tabs>
          <w:tab w:leader="none" w:pos="640" w:val="left"/>
        </w:tabs>
        <w:numPr>
          <w:ilvl w:val="0"/>
          <w:numId w:val="71"/>
        </w:numPr>
        <w:rPr>
          <w:rFonts w:ascii="Arial" w:cs="Arial" w:eastAsia="Arial" w:hAnsi="Arial"/>
          <w:sz w:val="20"/>
          <w:szCs w:val="20"/>
          <w:color w:val="auto"/>
        </w:rPr>
      </w:pPr>
      <w:r>
        <w:rPr>
          <w:rFonts w:ascii="Arial" w:cs="Arial" w:eastAsia="Arial" w:hAnsi="Arial"/>
          <w:sz w:val="20"/>
          <w:szCs w:val="20"/>
          <w:color w:val="auto"/>
        </w:rPr>
        <w:t>Represents the elimination of Predecessor accumulated deficit.</w:t>
      </w:r>
    </w:p>
    <w:p>
      <w:pPr>
        <w:spacing w:after="0" w:line="210" w:lineRule="exact"/>
        <w:rPr>
          <w:rFonts w:ascii="Arial" w:cs="Arial" w:eastAsia="Arial" w:hAnsi="Arial"/>
          <w:sz w:val="20"/>
          <w:szCs w:val="20"/>
          <w:color w:val="auto"/>
        </w:rPr>
      </w:pPr>
    </w:p>
    <w:p>
      <w:pPr>
        <w:ind w:left="640" w:hanging="400"/>
        <w:spacing w:after="0"/>
        <w:tabs>
          <w:tab w:leader="none" w:pos="640" w:val="left"/>
        </w:tabs>
        <w:numPr>
          <w:ilvl w:val="0"/>
          <w:numId w:val="71"/>
        </w:numPr>
        <w:rPr>
          <w:rFonts w:ascii="Arial" w:cs="Arial" w:eastAsia="Arial" w:hAnsi="Arial"/>
          <w:sz w:val="20"/>
          <w:szCs w:val="20"/>
          <w:color w:val="auto"/>
        </w:rPr>
      </w:pPr>
      <w:r>
        <w:rPr>
          <w:rFonts w:ascii="Arial" w:cs="Arial" w:eastAsia="Arial" w:hAnsi="Arial"/>
          <w:sz w:val="20"/>
          <w:szCs w:val="20"/>
          <w:color w:val="auto"/>
        </w:rPr>
        <w:t>Represents the elimination of Predecessor accumulated other comprehensive loss.</w:t>
      </w:r>
    </w:p>
    <w:p>
      <w:pPr>
        <w:spacing w:after="0" w:line="216" w:lineRule="exact"/>
        <w:rPr>
          <w:rFonts w:ascii="Arial" w:cs="Arial" w:eastAsia="Arial" w:hAnsi="Arial"/>
          <w:sz w:val="20"/>
          <w:szCs w:val="20"/>
          <w:color w:val="auto"/>
        </w:rPr>
      </w:pPr>
    </w:p>
    <w:p>
      <w:pPr>
        <w:ind w:left="640" w:right="580" w:hanging="400"/>
        <w:spacing w:after="0" w:line="243" w:lineRule="auto"/>
        <w:tabs>
          <w:tab w:leader="none" w:pos="640" w:val="left"/>
        </w:tabs>
        <w:numPr>
          <w:ilvl w:val="0"/>
          <w:numId w:val="71"/>
        </w:numPr>
        <w:rPr>
          <w:rFonts w:ascii="Arial" w:cs="Arial" w:eastAsia="Arial" w:hAnsi="Arial"/>
          <w:sz w:val="20"/>
          <w:szCs w:val="20"/>
          <w:color w:val="auto"/>
        </w:rPr>
      </w:pPr>
      <w:r>
        <w:rPr>
          <w:rFonts w:ascii="Arial" w:cs="Arial" w:eastAsia="Arial" w:hAnsi="Arial"/>
          <w:sz w:val="20"/>
          <w:szCs w:val="20"/>
          <w:color w:val="auto"/>
        </w:rPr>
        <w:t>Represents a fair value adjustment of the noncontrolling interest in the BSP JV based on discounted expected future cash flows.</w:t>
      </w:r>
    </w:p>
    <w:p>
      <w:pPr>
        <w:sectPr>
          <w:pgSz w:w="11880" w:h="15480" w:orient="portrait"/>
          <w:cols w:equalWidth="0" w:num="1">
            <w:col w:w="9040"/>
          </w:cols>
          <w:pgMar w:left="1440" w:top="1316" w:right="140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155</w:t>
      </w:r>
    </w:p>
    <w:p>
      <w:pPr>
        <w:sectPr>
          <w:pgSz w:w="11880" w:h="15480" w:orient="portrait"/>
          <w:cols w:equalWidth="0" w:num="1">
            <w:col w:w="9040"/>
          </w:cols>
          <w:pgMar w:left="1440" w:top="1316" w:right="1400" w:bottom="661" w:gutter="0" w:footer="0" w:header="0"/>
          <w:type w:val="continuous"/>
        </w:sectPr>
      </w:pPr>
    </w:p>
    <w:bookmarkStart w:id="159" w:name="page160"/>
    <w:bookmarkEnd w:id="159"/>
    <w:p>
      <w:pPr>
        <w:spacing w:after="0"/>
        <w:tabs>
          <w:tab w:leader="none" w:pos="1020" w:val="left"/>
        </w:tabs>
        <w:rPr>
          <w:sz w:val="20"/>
          <w:szCs w:val="20"/>
          <w:color w:val="auto"/>
        </w:rPr>
      </w:pPr>
      <w:r>
        <w:rPr>
          <w:rFonts w:ascii="Arial" w:cs="Arial" w:eastAsia="Arial" w:hAnsi="Arial"/>
          <w:sz w:val="20"/>
          <w:szCs w:val="20"/>
          <w:b w:val="1"/>
          <w:bCs w:val="1"/>
          <w:color w:val="auto"/>
        </w:rPr>
        <w:t>NOTE 17</w:t>
      </w:r>
      <w:r>
        <w:rPr>
          <w:sz w:val="20"/>
          <w:szCs w:val="20"/>
          <w:color w:val="auto"/>
        </w:rPr>
        <w:tab/>
      </w:r>
      <w:r>
        <w:rPr>
          <w:rFonts w:ascii="Arial" w:cs="Arial" w:eastAsia="Arial" w:hAnsi="Arial"/>
          <w:sz w:val="19"/>
          <w:szCs w:val="19"/>
          <w:b w:val="1"/>
          <w:bCs w:val="1"/>
          <w:color w:val="auto"/>
        </w:rPr>
        <w:t>SUBSEQUENT EVENTS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Dividends</w:t>
      </w:r>
    </w:p>
    <w:p>
      <w:pPr>
        <w:spacing w:after="0" w:line="216" w:lineRule="exact"/>
        <w:rPr>
          <w:sz w:val="20"/>
          <w:szCs w:val="20"/>
          <w:color w:val="auto"/>
        </w:rPr>
      </w:pPr>
    </w:p>
    <w:p>
      <w:pPr>
        <w:ind w:right="80" w:firstLine="300"/>
        <w:spacing w:after="0" w:line="247" w:lineRule="auto"/>
        <w:rPr>
          <w:sz w:val="20"/>
          <w:szCs w:val="20"/>
          <w:color w:val="auto"/>
        </w:rPr>
      </w:pPr>
      <w:r>
        <w:rPr>
          <w:rFonts w:ascii="Arial" w:cs="Arial" w:eastAsia="Arial" w:hAnsi="Arial"/>
          <w:sz w:val="20"/>
          <w:szCs w:val="20"/>
          <w:color w:val="auto"/>
        </w:rPr>
        <w:t>On February 23, 2023, our Board of Directors declared a cash dividend of $0.2825 per share of common stock. The dividend is payable to shareholders of record at the close of business on March 6, 2023 and is expected to be paid on March 16, 2023.</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Share Repurchase Program</w:t>
      </w:r>
    </w:p>
    <w:p>
      <w:pPr>
        <w:spacing w:after="0" w:line="216" w:lineRule="exact"/>
        <w:rPr>
          <w:sz w:val="20"/>
          <w:szCs w:val="20"/>
          <w:color w:val="auto"/>
        </w:rPr>
      </w:pPr>
    </w:p>
    <w:p>
      <w:pPr>
        <w:ind w:right="780" w:firstLine="300"/>
        <w:spacing w:after="0" w:line="243" w:lineRule="auto"/>
        <w:rPr>
          <w:sz w:val="20"/>
          <w:szCs w:val="20"/>
          <w:color w:val="auto"/>
        </w:rPr>
      </w:pPr>
      <w:r>
        <w:rPr>
          <w:rFonts w:ascii="Arial" w:cs="Arial" w:eastAsia="Arial" w:hAnsi="Arial"/>
          <w:sz w:val="20"/>
          <w:szCs w:val="20"/>
          <w:color w:val="auto"/>
        </w:rPr>
        <w:t>On February 23, 2023 our Board of Directors increased the Share Repurchase Program by $250 million to $1.1 billion and extended the program through June 30, 2024.</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Income Taxes</w:t>
      </w:r>
    </w:p>
    <w:p>
      <w:pPr>
        <w:spacing w:after="0" w:line="216" w:lineRule="exact"/>
        <w:rPr>
          <w:sz w:val="20"/>
          <w:szCs w:val="20"/>
          <w:color w:val="auto"/>
        </w:rPr>
      </w:pPr>
    </w:p>
    <w:p>
      <w:pPr>
        <w:ind w:right="40" w:firstLine="300"/>
        <w:spacing w:after="0" w:line="248" w:lineRule="auto"/>
        <w:rPr>
          <w:sz w:val="20"/>
          <w:szCs w:val="20"/>
          <w:color w:val="auto"/>
        </w:rPr>
      </w:pPr>
      <w:r>
        <w:rPr>
          <w:rFonts w:ascii="Arial" w:cs="Arial" w:eastAsia="Arial" w:hAnsi="Arial"/>
          <w:sz w:val="20"/>
          <w:szCs w:val="20"/>
          <w:color w:val="auto"/>
        </w:rPr>
        <w:t xml:space="preserve">In February 2023, the original tax treatment of the Lost Hills divestiture was amended. As a result, we are no longer limited on the realization of the tax loss and will release our $35 million valuation allowance in the first quarter of 2023. See </w:t>
      </w:r>
      <w:r>
        <w:rPr>
          <w:rFonts w:ascii="Arial" w:cs="Arial" w:eastAsia="Arial" w:hAnsi="Arial"/>
          <w:sz w:val="20"/>
          <w:szCs w:val="20"/>
          <w:i w:val="1"/>
          <w:iCs w:val="1"/>
          <w:color w:val="auto"/>
        </w:rPr>
        <w:t>Note 3 Divestitures and Acquisitions</w:t>
      </w:r>
      <w:r>
        <w:rPr>
          <w:rFonts w:ascii="Arial" w:cs="Arial" w:eastAsia="Arial" w:hAnsi="Arial"/>
          <w:sz w:val="20"/>
          <w:szCs w:val="20"/>
          <w:color w:val="auto"/>
        </w:rPr>
        <w:t xml:space="preserve"> for more information on our Lost Hills divestiture and </w:t>
      </w:r>
      <w:r>
        <w:rPr>
          <w:rFonts w:ascii="Arial" w:cs="Arial" w:eastAsia="Arial" w:hAnsi="Arial"/>
          <w:sz w:val="20"/>
          <w:szCs w:val="20"/>
          <w:i w:val="1"/>
          <w:iCs w:val="1"/>
          <w:color w:val="auto"/>
        </w:rPr>
        <w:t>Note 9 Income Taxes</w:t>
      </w:r>
      <w:r>
        <w:rPr>
          <w:rFonts w:ascii="Arial" w:cs="Arial" w:eastAsia="Arial" w:hAnsi="Arial"/>
          <w:sz w:val="20"/>
          <w:szCs w:val="20"/>
          <w:color w:val="auto"/>
        </w:rPr>
        <w:t xml:space="preserve"> for more information on our valuation allowance.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Stock-Based Compensation</w:t>
      </w:r>
    </w:p>
    <w:p>
      <w:pPr>
        <w:spacing w:after="0" w:line="214" w:lineRule="exact"/>
        <w:rPr>
          <w:sz w:val="20"/>
          <w:szCs w:val="20"/>
          <w:color w:val="auto"/>
        </w:rPr>
      </w:pPr>
    </w:p>
    <w:p>
      <w:pPr>
        <w:ind w:right="100" w:firstLine="300"/>
        <w:spacing w:after="0" w:line="248" w:lineRule="auto"/>
        <w:rPr>
          <w:sz w:val="20"/>
          <w:szCs w:val="20"/>
          <w:color w:val="auto"/>
        </w:rPr>
      </w:pPr>
      <w:r>
        <w:rPr>
          <w:rFonts w:ascii="Arial" w:cs="Arial" w:eastAsia="Arial" w:hAnsi="Arial"/>
          <w:sz w:val="20"/>
          <w:szCs w:val="20"/>
          <w:color w:val="auto"/>
        </w:rPr>
        <w:t>In February 2023, certain of our executives were granted an aggregate of 329,000 RSUs and 493,000 PSUs. The PSUs cliff vest on either the second or the third anniversary of the grant date. The RSUs vest ratably over either two or three years, with units vesting on the anniversary date of each grant, generally subject to continued employment through the applicable vesting dates.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Oil and Gas Information (Unaudited)</w:t>
      </w:r>
    </w:p>
    <w:p>
      <w:pPr>
        <w:spacing w:after="0" w:line="214"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The following table sets forth our net operating and non-operating interests in quantities of proved developed and undeveloped reserves of oil (including condensate), NGLs and natural gas and changes in such quantities. Estimated reserves include our economic interests under PSCs in our Long Beach operations in the Wilmington field. All of our proved reserves are located within the state of California.</w:t>
      </w:r>
    </w:p>
    <w:p>
      <w:pPr>
        <w:sectPr>
          <w:pgSz w:w="11880" w:h="15480" w:orient="portrait"/>
          <w:cols w:equalWidth="0" w:num="1">
            <w:col w:w="9120"/>
          </w:cols>
          <w:pgMar w:left="1380" w:top="1310" w:right="138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156</w:t>
      </w:r>
    </w:p>
    <w:p>
      <w:pPr>
        <w:sectPr>
          <w:pgSz w:w="11880" w:h="15480" w:orient="portrait"/>
          <w:cols w:equalWidth="0" w:num="1">
            <w:col w:w="9120"/>
          </w:cols>
          <w:pgMar w:left="1380" w:top="1310" w:right="1380" w:bottom="661" w:gutter="0" w:footer="0" w:header="0"/>
          <w:type w:val="continuous"/>
        </w:sectPr>
      </w:pPr>
    </w:p>
    <w:bookmarkStart w:id="160" w:name="page161"/>
    <w:bookmarkEnd w:id="160"/>
    <w:tbl>
      <w:tblPr>
        <w:tblLayout w:type="fixed"/>
        <w:tblInd w:w="0" w:type="dxa"/>
        <w:tblCellMar>
          <w:top w:w="0" w:type="dxa"/>
          <w:left w:w="0" w:type="dxa"/>
          <w:bottom w:w="0" w:type="dxa"/>
          <w:right w:w="0" w:type="dxa"/>
        </w:tblCellMar>
      </w:tblPr>
      <w:tr>
        <w:trPr>
          <w:trHeight w:val="207"/>
        </w:trPr>
        <w:tc>
          <w:tcPr>
            <w:tcW w:w="5300" w:type="dxa"/>
            <w:vAlign w:val="bottom"/>
          </w:tcPr>
          <w:p>
            <w:pPr>
              <w:spacing w:after="0"/>
              <w:rPr>
                <w:sz w:val="20"/>
                <w:szCs w:val="20"/>
                <w:color w:val="auto"/>
              </w:rPr>
            </w:pPr>
            <w:r>
              <w:rPr>
                <w:rFonts w:ascii="Arial" w:cs="Arial" w:eastAsia="Arial" w:hAnsi="Arial"/>
                <w:sz w:val="18"/>
                <w:szCs w:val="18"/>
                <w:b w:val="1"/>
                <w:bCs w:val="1"/>
                <w:color w:val="auto"/>
              </w:rPr>
              <w:t>PROVED DEVELOPED AND UNDEVELOPED RESERVES</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0"/>
        </w:trPr>
        <w:tc>
          <w:tcPr>
            <w:tcW w:w="5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Natural</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300" w:type="dxa"/>
            <w:vAlign w:val="bottom"/>
          </w:tcPr>
          <w:p>
            <w:pPr>
              <w:spacing w:after="0"/>
              <w:rPr>
                <w:sz w:val="21"/>
                <w:szCs w:val="21"/>
                <w:color w:val="auto"/>
              </w:rPr>
            </w:pPr>
          </w:p>
        </w:tc>
        <w:tc>
          <w:tcPr>
            <w:tcW w:w="800" w:type="dxa"/>
            <w:vAlign w:val="bottom"/>
            <w:tcBorders>
              <w:bottom w:val="single" w:sz="8" w:color="auto"/>
            </w:tcBorders>
          </w:tcPr>
          <w:p>
            <w:pPr>
              <w:jc w:val="right"/>
              <w:ind w:right="132"/>
              <w:spacing w:after="0" w:line="243" w:lineRule="exact"/>
              <w:rPr>
                <w:sz w:val="20"/>
                <w:szCs w:val="20"/>
                <w:color w:val="auto"/>
              </w:rPr>
            </w:pPr>
            <w:r>
              <w:rPr>
                <w:rFonts w:ascii="Arial" w:cs="Arial" w:eastAsia="Arial" w:hAnsi="Arial"/>
                <w:sz w:val="28"/>
                <w:szCs w:val="28"/>
                <w:b w:val="1"/>
                <w:bCs w:val="1"/>
                <w:color w:val="auto"/>
                <w:vertAlign w:val="subscript"/>
              </w:rPr>
              <w:t>Oil</w:t>
            </w:r>
            <w:r>
              <w:rPr>
                <w:rFonts w:ascii="Arial" w:cs="Arial" w:eastAsia="Arial" w:hAnsi="Arial"/>
                <w:sz w:val="10"/>
                <w:szCs w:val="10"/>
                <w:b w:val="1"/>
                <w:bCs w:val="1"/>
                <w:color w:val="auto"/>
              </w:rPr>
              <w:t>(a)</w:t>
            </w:r>
          </w:p>
        </w:tc>
        <w:tc>
          <w:tcPr>
            <w:tcW w:w="80" w:type="dxa"/>
            <w:vAlign w:val="bottom"/>
          </w:tcPr>
          <w:p>
            <w:pPr>
              <w:spacing w:after="0"/>
              <w:rPr>
                <w:sz w:val="21"/>
                <w:szCs w:val="21"/>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NGLs</w:t>
            </w:r>
          </w:p>
        </w:tc>
        <w:tc>
          <w:tcPr>
            <w:tcW w:w="80" w:type="dxa"/>
            <w:vAlign w:val="bottom"/>
          </w:tcPr>
          <w:p>
            <w:pPr>
              <w:spacing w:after="0"/>
              <w:rPr>
                <w:sz w:val="21"/>
                <w:szCs w:val="21"/>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Gas</w:t>
            </w:r>
          </w:p>
        </w:tc>
        <w:tc>
          <w:tcPr>
            <w:tcW w:w="80" w:type="dxa"/>
            <w:vAlign w:val="bottom"/>
          </w:tcPr>
          <w:p>
            <w:pPr>
              <w:spacing w:after="0"/>
              <w:rPr>
                <w:sz w:val="21"/>
                <w:szCs w:val="21"/>
                <w:color w:val="auto"/>
              </w:rPr>
            </w:pPr>
          </w:p>
        </w:tc>
        <w:tc>
          <w:tcPr>
            <w:tcW w:w="900" w:type="dxa"/>
            <w:vAlign w:val="bottom"/>
            <w:tcBorders>
              <w:bottom w:val="single" w:sz="8" w:color="auto"/>
            </w:tcBorders>
          </w:tcPr>
          <w:p>
            <w:pPr>
              <w:jc w:val="right"/>
              <w:ind w:right="70"/>
              <w:spacing w:after="0" w:line="244" w:lineRule="exact"/>
              <w:rPr>
                <w:sz w:val="20"/>
                <w:szCs w:val="20"/>
                <w:color w:val="auto"/>
              </w:rPr>
            </w:pPr>
            <w:r>
              <w:rPr>
                <w:rFonts w:ascii="Arial" w:cs="Arial" w:eastAsia="Arial" w:hAnsi="Arial"/>
                <w:sz w:val="18"/>
                <w:szCs w:val="18"/>
                <w:b w:val="1"/>
                <w:bCs w:val="1"/>
                <w:color w:val="auto"/>
              </w:rPr>
              <w:t>Total</w:t>
            </w:r>
            <w:r>
              <w:rPr>
                <w:rFonts w:ascii="Arial" w:cs="Arial" w:eastAsia="Arial" w:hAnsi="Arial"/>
                <w:sz w:val="23"/>
                <w:szCs w:val="23"/>
                <w:b w:val="1"/>
                <w:bCs w:val="1"/>
                <w:color w:val="auto"/>
                <w:vertAlign w:val="superscript"/>
              </w:rPr>
              <w:t>(b)</w:t>
            </w:r>
          </w:p>
        </w:tc>
        <w:tc>
          <w:tcPr>
            <w:tcW w:w="0" w:type="dxa"/>
            <w:vAlign w:val="bottom"/>
          </w:tcPr>
          <w:p>
            <w:pPr>
              <w:spacing w:after="0"/>
              <w:rPr>
                <w:sz w:val="1"/>
                <w:szCs w:val="1"/>
                <w:color w:val="auto"/>
              </w:rPr>
            </w:pPr>
          </w:p>
        </w:tc>
      </w:tr>
      <w:tr>
        <w:trPr>
          <w:trHeight w:val="192"/>
        </w:trPr>
        <w:tc>
          <w:tcPr>
            <w:tcW w:w="530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(MMBbl)</w:t>
            </w:r>
          </w:p>
        </w:tc>
        <w:tc>
          <w:tcPr>
            <w:tcW w:w="980" w:type="dxa"/>
            <w:vAlign w:val="bottom"/>
          </w:tcPr>
          <w:p>
            <w:pPr>
              <w:jc w:val="right"/>
              <w:ind w:right="90"/>
              <w:spacing w:after="0"/>
              <w:rPr>
                <w:sz w:val="20"/>
                <w:szCs w:val="20"/>
                <w:color w:val="auto"/>
              </w:rPr>
            </w:pPr>
            <w:r>
              <w:rPr>
                <w:rFonts w:ascii="Arial" w:cs="Arial" w:eastAsia="Arial" w:hAnsi="Arial"/>
                <w:sz w:val="16"/>
                <w:szCs w:val="16"/>
                <w:color w:val="auto"/>
              </w:rPr>
              <w:t>(MMBbl)</w:t>
            </w:r>
          </w:p>
        </w:tc>
        <w:tc>
          <w:tcPr>
            <w:tcW w:w="80" w:type="dxa"/>
            <w:vAlign w:val="bottom"/>
          </w:tcPr>
          <w:p>
            <w:pPr>
              <w:spacing w:after="0"/>
              <w:rPr>
                <w:sz w:val="16"/>
                <w:szCs w:val="16"/>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6"/>
                <w:szCs w:val="16"/>
                <w:color w:val="auto"/>
              </w:rPr>
              <w:t>(Bcf)</w:t>
            </w:r>
          </w:p>
        </w:tc>
        <w:tc>
          <w:tcPr>
            <w:tcW w:w="900" w:type="dxa"/>
            <w:vAlign w:val="bottom"/>
          </w:tcPr>
          <w:p>
            <w:pPr>
              <w:jc w:val="right"/>
              <w:ind w:right="30"/>
              <w:spacing w:after="0"/>
              <w:rPr>
                <w:sz w:val="20"/>
                <w:szCs w:val="20"/>
                <w:color w:val="auto"/>
              </w:rPr>
            </w:pPr>
            <w:r>
              <w:rPr>
                <w:rFonts w:ascii="Arial" w:cs="Arial" w:eastAsia="Arial" w:hAnsi="Arial"/>
                <w:sz w:val="16"/>
                <w:szCs w:val="16"/>
                <w:color w:val="auto"/>
              </w:rPr>
              <w:t>(MMBoe)</w:t>
            </w:r>
          </w:p>
        </w:tc>
        <w:tc>
          <w:tcPr>
            <w:tcW w:w="0" w:type="dxa"/>
            <w:vAlign w:val="bottom"/>
          </w:tcPr>
          <w:p>
            <w:pPr>
              <w:spacing w:after="0"/>
              <w:rPr>
                <w:sz w:val="1"/>
                <w:szCs w:val="1"/>
                <w:color w:val="auto"/>
              </w:rPr>
            </w:pPr>
          </w:p>
        </w:tc>
      </w:tr>
      <w:tr>
        <w:trPr>
          <w:trHeight w:val="224"/>
        </w:trPr>
        <w:tc>
          <w:tcPr>
            <w:tcW w:w="5300" w:type="dxa"/>
            <w:vAlign w:val="bottom"/>
          </w:tcPr>
          <w:p>
            <w:pPr>
              <w:spacing w:after="0"/>
              <w:rPr>
                <w:sz w:val="20"/>
                <w:szCs w:val="20"/>
                <w:color w:val="auto"/>
              </w:rPr>
            </w:pPr>
            <w:r>
              <w:rPr>
                <w:rFonts w:ascii="Arial" w:cs="Arial" w:eastAsia="Arial" w:hAnsi="Arial"/>
                <w:sz w:val="18"/>
                <w:szCs w:val="18"/>
                <w:b w:val="1"/>
                <w:bCs w:val="1"/>
                <w:color w:val="auto"/>
              </w:rPr>
              <w:t xml:space="preserve">Balance at December 31, 2019 </w:t>
            </w:r>
            <w:r>
              <w:rPr>
                <w:rFonts w:ascii="Arial" w:cs="Arial" w:eastAsia="Arial" w:hAnsi="Arial"/>
                <w:sz w:val="18"/>
                <w:szCs w:val="18"/>
                <w:color w:val="auto"/>
              </w:rPr>
              <w:t>.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483</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654</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39"/>
        </w:trPr>
        <w:tc>
          <w:tcPr>
            <w:tcW w:w="5300" w:type="dxa"/>
            <w:vAlign w:val="bottom"/>
          </w:tcPr>
          <w:p>
            <w:pPr>
              <w:jc w:val="right"/>
              <w:ind w:right="110"/>
              <w:spacing w:after="0" w:line="239" w:lineRule="exact"/>
              <w:rPr>
                <w:sz w:val="20"/>
                <w:szCs w:val="20"/>
                <w:color w:val="auto"/>
              </w:rPr>
            </w:pPr>
            <w:r>
              <w:rPr>
                <w:rFonts w:ascii="Arial" w:cs="Arial" w:eastAsia="Arial" w:hAnsi="Arial"/>
                <w:sz w:val="18"/>
                <w:szCs w:val="18"/>
                <w:color w:val="auto"/>
                <w:w w:val="98"/>
              </w:rPr>
              <w:t>Revisions of previous estimates</w:t>
            </w:r>
            <w:r>
              <w:rPr>
                <w:rFonts w:ascii="Arial" w:cs="Arial" w:eastAsia="Arial" w:hAnsi="Arial"/>
                <w:sz w:val="23"/>
                <w:szCs w:val="23"/>
                <w:color w:val="auto"/>
                <w:w w:val="98"/>
                <w:vertAlign w:val="superscript"/>
              </w:rPr>
              <w:t>(c)</w:t>
            </w:r>
            <w:r>
              <w:rPr>
                <w:rFonts w:ascii="Arial" w:cs="Arial" w:eastAsia="Arial" w:hAnsi="Arial"/>
                <w:sz w:val="18"/>
                <w:szCs w:val="18"/>
                <w:color w:val="auto"/>
                <w:w w:val="98"/>
              </w:rPr>
              <w:t xml:space="preserve">  . . . . . . . . . . . . . . . . . . . . . . . .</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(164)</w:t>
            </w: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1"/>
        </w:trPr>
        <w:tc>
          <w:tcPr>
            <w:tcW w:w="5300" w:type="dxa"/>
            <w:vAlign w:val="bottom"/>
          </w:tcPr>
          <w:p>
            <w:pPr>
              <w:jc w:val="right"/>
              <w:ind w:right="110"/>
              <w:spacing w:after="0" w:line="201" w:lineRule="exact"/>
              <w:rPr>
                <w:sz w:val="20"/>
                <w:szCs w:val="20"/>
                <w:color w:val="auto"/>
              </w:rPr>
            </w:pPr>
            <w:r>
              <w:rPr>
                <w:rFonts w:ascii="Arial" w:cs="Arial" w:eastAsia="Arial" w:hAnsi="Arial"/>
                <w:sz w:val="18"/>
                <w:szCs w:val="18"/>
                <w:color w:val="auto"/>
                <w:w w:val="98"/>
              </w:rPr>
              <w:t>Improved recovery  . . . . . . . . . . . . . . . . . . . . . . . . . . . . . . . . . . . .</w:t>
            </w:r>
          </w:p>
        </w:tc>
        <w:tc>
          <w:tcPr>
            <w:tcW w:w="8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9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5300" w:type="dxa"/>
            <w:vAlign w:val="bottom"/>
          </w:tcPr>
          <w:p>
            <w:pPr>
              <w:jc w:val="right"/>
              <w:ind w:right="110"/>
              <w:spacing w:after="0"/>
              <w:rPr>
                <w:sz w:val="20"/>
                <w:szCs w:val="20"/>
                <w:color w:val="auto"/>
              </w:rPr>
            </w:pPr>
            <w:r>
              <w:rPr>
                <w:rFonts w:ascii="Arial" w:cs="Arial" w:eastAsia="Arial" w:hAnsi="Arial"/>
                <w:sz w:val="18"/>
                <w:szCs w:val="18"/>
                <w:color w:val="auto"/>
                <w:w w:val="98"/>
              </w:rPr>
              <w:t>Extensions and discoveries  .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0"/>
        </w:trPr>
        <w:tc>
          <w:tcPr>
            <w:tcW w:w="5300" w:type="dxa"/>
            <w:vAlign w:val="bottom"/>
          </w:tcPr>
          <w:p>
            <w:pPr>
              <w:jc w:val="right"/>
              <w:ind w:right="110"/>
              <w:spacing w:after="0"/>
              <w:rPr>
                <w:sz w:val="20"/>
                <w:szCs w:val="20"/>
                <w:color w:val="auto"/>
              </w:rPr>
            </w:pPr>
            <w:r>
              <w:rPr>
                <w:rFonts w:ascii="Arial" w:cs="Arial" w:eastAsia="Arial" w:hAnsi="Arial"/>
                <w:sz w:val="18"/>
                <w:szCs w:val="18"/>
                <w:color w:val="auto"/>
                <w:w w:val="97"/>
              </w:rPr>
              <w:t>Divestitures  . . . . . . . . . . . . . . . . . . . . . . . . . . . . . . . . . . . . . . . . . .</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(3)</w:t>
            </w: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0"/>
        </w:trPr>
        <w:tc>
          <w:tcPr>
            <w:tcW w:w="5300" w:type="dxa"/>
            <w:vAlign w:val="bottom"/>
          </w:tcPr>
          <w:p>
            <w:pPr>
              <w:jc w:val="right"/>
              <w:ind w:right="110"/>
              <w:spacing w:after="0"/>
              <w:rPr>
                <w:sz w:val="20"/>
                <w:szCs w:val="20"/>
                <w:color w:val="auto"/>
              </w:rPr>
            </w:pPr>
            <w:r>
              <w:rPr>
                <w:rFonts w:ascii="Arial" w:cs="Arial" w:eastAsia="Arial" w:hAnsi="Arial"/>
                <w:sz w:val="18"/>
                <w:szCs w:val="18"/>
                <w:color w:val="auto"/>
                <w:w w:val="98"/>
              </w:rPr>
              <w:t>Production . . . . . . . . . . . . . . .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4"/>
        </w:trPr>
        <w:tc>
          <w:tcPr>
            <w:tcW w:w="53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8"/>
              </w:rPr>
              <w:t xml:space="preserve">Balance at December 31, 2020 </w:t>
            </w:r>
            <w:r>
              <w:rPr>
                <w:rFonts w:ascii="Arial" w:cs="Arial" w:eastAsia="Arial" w:hAnsi="Arial"/>
                <w:sz w:val="18"/>
                <w:szCs w:val="18"/>
                <w:color w:val="auto"/>
                <w:w w:val="98"/>
              </w:rPr>
              <w:t>. . . . . . . . . . . . . . . . . . . . . . . . . .</w:t>
            </w: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5300" w:type="dxa"/>
            <w:vAlign w:val="bottom"/>
            <w:vMerge w:val="continue"/>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313</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527</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34"/>
        </w:trPr>
        <w:tc>
          <w:tcPr>
            <w:tcW w:w="53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5300" w:type="dxa"/>
            <w:vAlign w:val="bottom"/>
          </w:tcPr>
          <w:p>
            <w:pPr>
              <w:jc w:val="right"/>
              <w:ind w:right="110"/>
              <w:spacing w:after="0"/>
              <w:rPr>
                <w:sz w:val="20"/>
                <w:szCs w:val="20"/>
                <w:color w:val="auto"/>
              </w:rPr>
            </w:pPr>
            <w:r>
              <w:rPr>
                <w:rFonts w:ascii="Arial" w:cs="Arial" w:eastAsia="Arial" w:hAnsi="Arial"/>
                <w:sz w:val="18"/>
                <w:szCs w:val="18"/>
                <w:color w:val="auto"/>
                <w:w w:val="98"/>
              </w:rPr>
              <w:t>Revisions of previous estimates</w:t>
            </w:r>
            <w:r>
              <w:rPr>
                <w:rFonts w:ascii="Arial" w:cs="Arial" w:eastAsia="Arial" w:hAnsi="Arial"/>
                <w:sz w:val="23"/>
                <w:szCs w:val="23"/>
                <w:color w:val="auto"/>
                <w:w w:val="98"/>
                <w:vertAlign w:val="superscript"/>
              </w:rPr>
              <w:t>(c)</w:t>
            </w:r>
            <w:r>
              <w:rPr>
                <w:rFonts w:ascii="Arial" w:cs="Arial" w:eastAsia="Arial" w:hAnsi="Arial"/>
                <w:sz w:val="18"/>
                <w:szCs w:val="18"/>
                <w:color w:val="auto"/>
                <w:w w:val="98"/>
              </w:rPr>
              <w:t xml:space="preserve">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1"/>
        </w:trPr>
        <w:tc>
          <w:tcPr>
            <w:tcW w:w="5300" w:type="dxa"/>
            <w:vAlign w:val="bottom"/>
          </w:tcPr>
          <w:p>
            <w:pPr>
              <w:jc w:val="right"/>
              <w:ind w:right="110"/>
              <w:spacing w:after="0" w:line="201" w:lineRule="exact"/>
              <w:rPr>
                <w:sz w:val="20"/>
                <w:szCs w:val="20"/>
                <w:color w:val="auto"/>
              </w:rPr>
            </w:pPr>
            <w:r>
              <w:rPr>
                <w:rFonts w:ascii="Arial" w:cs="Arial" w:eastAsia="Arial" w:hAnsi="Arial"/>
                <w:sz w:val="18"/>
                <w:szCs w:val="18"/>
                <w:color w:val="auto"/>
                <w:w w:val="98"/>
              </w:rPr>
              <w:t>Improved recovery  . . . . . . . . . . . . . . . . . . . . . . . . . . . . . . . . . . . .</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9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0"/>
        </w:trPr>
        <w:tc>
          <w:tcPr>
            <w:tcW w:w="5300" w:type="dxa"/>
            <w:vAlign w:val="bottom"/>
          </w:tcPr>
          <w:p>
            <w:pPr>
              <w:jc w:val="right"/>
              <w:ind w:right="110"/>
              <w:spacing w:after="0"/>
              <w:rPr>
                <w:sz w:val="20"/>
                <w:szCs w:val="20"/>
                <w:color w:val="auto"/>
              </w:rPr>
            </w:pPr>
            <w:r>
              <w:rPr>
                <w:rFonts w:ascii="Arial" w:cs="Arial" w:eastAsia="Arial" w:hAnsi="Arial"/>
                <w:sz w:val="18"/>
                <w:szCs w:val="18"/>
                <w:color w:val="auto"/>
                <w:w w:val="98"/>
              </w:rPr>
              <w:t>Extensions and discoveries  .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0"/>
        </w:trPr>
        <w:tc>
          <w:tcPr>
            <w:tcW w:w="5300" w:type="dxa"/>
            <w:vAlign w:val="bottom"/>
          </w:tcPr>
          <w:p>
            <w:pPr>
              <w:jc w:val="right"/>
              <w:ind w:right="110"/>
              <w:spacing w:after="0"/>
              <w:rPr>
                <w:sz w:val="20"/>
                <w:szCs w:val="20"/>
                <w:color w:val="auto"/>
              </w:rPr>
            </w:pPr>
            <w:r>
              <w:rPr>
                <w:rFonts w:ascii="Arial" w:cs="Arial" w:eastAsia="Arial" w:hAnsi="Arial"/>
                <w:sz w:val="18"/>
                <w:szCs w:val="18"/>
                <w:color w:val="auto"/>
                <w:w w:val="99"/>
              </w:rPr>
              <w:t>Acquisitions and divestitures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0"/>
        </w:trPr>
        <w:tc>
          <w:tcPr>
            <w:tcW w:w="5300" w:type="dxa"/>
            <w:vAlign w:val="bottom"/>
          </w:tcPr>
          <w:p>
            <w:pPr>
              <w:jc w:val="right"/>
              <w:ind w:right="110"/>
              <w:spacing w:after="0"/>
              <w:rPr>
                <w:sz w:val="20"/>
                <w:szCs w:val="20"/>
                <w:color w:val="auto"/>
              </w:rPr>
            </w:pPr>
            <w:r>
              <w:rPr>
                <w:rFonts w:ascii="Arial" w:cs="Arial" w:eastAsia="Arial" w:hAnsi="Arial"/>
                <w:sz w:val="18"/>
                <w:szCs w:val="18"/>
                <w:color w:val="auto"/>
                <w:w w:val="98"/>
              </w:rPr>
              <w:t>Production . . . . . . . . . . . . . . .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4"/>
        </w:trPr>
        <w:tc>
          <w:tcPr>
            <w:tcW w:w="53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8"/>
              </w:rPr>
              <w:t xml:space="preserve">Balance at December 31, 2021 </w:t>
            </w:r>
            <w:r>
              <w:rPr>
                <w:rFonts w:ascii="Arial" w:cs="Arial" w:eastAsia="Arial" w:hAnsi="Arial"/>
                <w:sz w:val="18"/>
                <w:szCs w:val="18"/>
                <w:color w:val="auto"/>
                <w:w w:val="98"/>
              </w:rPr>
              <w:t>. . . . . . . . . . . . . . . . . . . . . . . . . .</w:t>
            </w: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5300" w:type="dxa"/>
            <w:vAlign w:val="bottom"/>
            <w:vMerge w:val="continue"/>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576</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34"/>
        </w:trPr>
        <w:tc>
          <w:tcPr>
            <w:tcW w:w="53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5300" w:type="dxa"/>
            <w:vAlign w:val="bottom"/>
          </w:tcPr>
          <w:p>
            <w:pPr>
              <w:jc w:val="right"/>
              <w:ind w:right="110"/>
              <w:spacing w:after="0"/>
              <w:rPr>
                <w:sz w:val="20"/>
                <w:szCs w:val="20"/>
                <w:color w:val="auto"/>
              </w:rPr>
            </w:pPr>
            <w:r>
              <w:rPr>
                <w:rFonts w:ascii="Arial" w:cs="Arial" w:eastAsia="Arial" w:hAnsi="Arial"/>
                <w:sz w:val="18"/>
                <w:szCs w:val="18"/>
                <w:color w:val="auto"/>
                <w:w w:val="98"/>
              </w:rPr>
              <w:t>Revisions of previous estimates</w:t>
            </w:r>
            <w:r>
              <w:rPr>
                <w:rFonts w:ascii="Arial" w:cs="Arial" w:eastAsia="Arial" w:hAnsi="Arial"/>
                <w:sz w:val="23"/>
                <w:szCs w:val="23"/>
                <w:color w:val="auto"/>
                <w:w w:val="98"/>
                <w:vertAlign w:val="superscript"/>
              </w:rPr>
              <w:t>(c)</w:t>
            </w:r>
            <w:r>
              <w:rPr>
                <w:rFonts w:ascii="Arial" w:cs="Arial" w:eastAsia="Arial" w:hAnsi="Arial"/>
                <w:sz w:val="18"/>
                <w:szCs w:val="18"/>
                <w:color w:val="auto"/>
                <w:w w:val="98"/>
              </w:rPr>
              <w:t xml:space="preserve">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1"/>
        </w:trPr>
        <w:tc>
          <w:tcPr>
            <w:tcW w:w="5300" w:type="dxa"/>
            <w:vAlign w:val="bottom"/>
          </w:tcPr>
          <w:p>
            <w:pPr>
              <w:jc w:val="right"/>
              <w:ind w:right="110"/>
              <w:spacing w:after="0" w:line="201" w:lineRule="exact"/>
              <w:rPr>
                <w:sz w:val="20"/>
                <w:szCs w:val="20"/>
                <w:color w:val="auto"/>
              </w:rPr>
            </w:pPr>
            <w:r>
              <w:rPr>
                <w:rFonts w:ascii="Arial" w:cs="Arial" w:eastAsia="Arial" w:hAnsi="Arial"/>
                <w:sz w:val="18"/>
                <w:szCs w:val="18"/>
                <w:color w:val="auto"/>
                <w:w w:val="98"/>
              </w:rPr>
              <w:t>Improved recovery  . . . . . . . . . . . . . . . . . . . . . . . . . . . . . . . . . . . .</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6</w:t>
            </w:r>
          </w:p>
        </w:tc>
        <w:tc>
          <w:tcPr>
            <w:tcW w:w="8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9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0"/>
        </w:trPr>
        <w:tc>
          <w:tcPr>
            <w:tcW w:w="5300" w:type="dxa"/>
            <w:vAlign w:val="bottom"/>
          </w:tcPr>
          <w:p>
            <w:pPr>
              <w:jc w:val="right"/>
              <w:ind w:right="110"/>
              <w:spacing w:after="0"/>
              <w:rPr>
                <w:sz w:val="20"/>
                <w:szCs w:val="20"/>
                <w:color w:val="auto"/>
              </w:rPr>
            </w:pPr>
            <w:r>
              <w:rPr>
                <w:rFonts w:ascii="Arial" w:cs="Arial" w:eastAsia="Arial" w:hAnsi="Arial"/>
                <w:sz w:val="18"/>
                <w:szCs w:val="18"/>
                <w:color w:val="auto"/>
                <w:w w:val="98"/>
              </w:rPr>
              <w:t>Extensions and discoveries  .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0"/>
        </w:trPr>
        <w:tc>
          <w:tcPr>
            <w:tcW w:w="5300" w:type="dxa"/>
            <w:vAlign w:val="bottom"/>
          </w:tcPr>
          <w:p>
            <w:pPr>
              <w:jc w:val="right"/>
              <w:ind w:right="110"/>
              <w:spacing w:after="0"/>
              <w:rPr>
                <w:sz w:val="20"/>
                <w:szCs w:val="20"/>
                <w:color w:val="auto"/>
              </w:rPr>
            </w:pPr>
            <w:r>
              <w:rPr>
                <w:rFonts w:ascii="Arial" w:cs="Arial" w:eastAsia="Arial" w:hAnsi="Arial"/>
                <w:sz w:val="18"/>
                <w:szCs w:val="18"/>
                <w:color w:val="auto"/>
                <w:w w:val="99"/>
              </w:rPr>
              <w:t>Acquisitions and divestitures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0"/>
        </w:trPr>
        <w:tc>
          <w:tcPr>
            <w:tcW w:w="5300" w:type="dxa"/>
            <w:vAlign w:val="bottom"/>
          </w:tcPr>
          <w:p>
            <w:pPr>
              <w:jc w:val="right"/>
              <w:ind w:right="110"/>
              <w:spacing w:after="0"/>
              <w:rPr>
                <w:sz w:val="20"/>
                <w:szCs w:val="20"/>
                <w:color w:val="auto"/>
              </w:rPr>
            </w:pPr>
            <w:r>
              <w:rPr>
                <w:rFonts w:ascii="Arial" w:cs="Arial" w:eastAsia="Arial" w:hAnsi="Arial"/>
                <w:sz w:val="18"/>
                <w:szCs w:val="18"/>
                <w:color w:val="auto"/>
                <w:w w:val="98"/>
              </w:rPr>
              <w:t>Production . . . . . . . . . . . . . . .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4"/>
        </w:trPr>
        <w:tc>
          <w:tcPr>
            <w:tcW w:w="53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8"/>
              </w:rPr>
              <w:t xml:space="preserve">Balance at December 31, 2022 </w:t>
            </w:r>
            <w:r>
              <w:rPr>
                <w:rFonts w:ascii="Arial" w:cs="Arial" w:eastAsia="Arial" w:hAnsi="Arial"/>
                <w:sz w:val="18"/>
                <w:szCs w:val="18"/>
                <w:color w:val="auto"/>
                <w:w w:val="98"/>
              </w:rPr>
              <w:t>. . . . . . . . . . . . . . . . . . . . . . . . . .</w:t>
            </w: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5300" w:type="dxa"/>
            <w:vAlign w:val="bottom"/>
            <w:vMerge w:val="continue"/>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511</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34"/>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PROVED DEVELOPED RESERVES</w:t>
            </w: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vMerge w:val="continue"/>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3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300" w:type="dxa"/>
            <w:vAlign w:val="bottom"/>
          </w:tcPr>
          <w:p>
            <w:pPr>
              <w:jc w:val="right"/>
              <w:ind w:right="110"/>
              <w:spacing w:after="0"/>
              <w:rPr>
                <w:sz w:val="20"/>
                <w:szCs w:val="20"/>
                <w:color w:val="auto"/>
              </w:rPr>
            </w:pPr>
            <w:r>
              <w:rPr>
                <w:rFonts w:ascii="Arial" w:cs="Arial" w:eastAsia="Arial" w:hAnsi="Arial"/>
                <w:sz w:val="18"/>
                <w:szCs w:val="18"/>
                <w:color w:val="auto"/>
                <w:w w:val="97"/>
              </w:rPr>
              <w:t>December 31, 2019 . . . . . . . .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357</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543</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34"/>
        </w:trPr>
        <w:tc>
          <w:tcPr>
            <w:tcW w:w="53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300" w:type="dxa"/>
            <w:vAlign w:val="bottom"/>
          </w:tcPr>
          <w:p>
            <w:pPr>
              <w:jc w:val="right"/>
              <w:ind w:right="110"/>
              <w:spacing w:after="0"/>
              <w:rPr>
                <w:sz w:val="20"/>
                <w:szCs w:val="20"/>
                <w:color w:val="auto"/>
              </w:rPr>
            </w:pPr>
            <w:r>
              <w:rPr>
                <w:rFonts w:ascii="Arial" w:cs="Arial" w:eastAsia="Arial" w:hAnsi="Arial"/>
                <w:sz w:val="18"/>
                <w:szCs w:val="18"/>
                <w:color w:val="auto"/>
                <w:w w:val="97"/>
              </w:rPr>
              <w:t>December 31, 2020 . . . . . . . .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460</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34"/>
        </w:trPr>
        <w:tc>
          <w:tcPr>
            <w:tcW w:w="53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300" w:type="dxa"/>
            <w:vAlign w:val="bottom"/>
          </w:tcPr>
          <w:p>
            <w:pPr>
              <w:jc w:val="right"/>
              <w:ind w:right="110"/>
              <w:spacing w:after="0"/>
              <w:rPr>
                <w:sz w:val="20"/>
                <w:szCs w:val="20"/>
                <w:color w:val="auto"/>
              </w:rPr>
            </w:pPr>
            <w:r>
              <w:rPr>
                <w:rFonts w:ascii="Arial" w:cs="Arial" w:eastAsia="Arial" w:hAnsi="Arial"/>
                <w:sz w:val="18"/>
                <w:szCs w:val="18"/>
                <w:color w:val="auto"/>
                <w:w w:val="97"/>
              </w:rPr>
              <w:t>December 31, 2021 . . . . . . . .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510</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34"/>
        </w:trPr>
        <w:tc>
          <w:tcPr>
            <w:tcW w:w="53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5"/>
              </w:rPr>
              <w:t>December 31, 2022</w:t>
            </w:r>
            <w:r>
              <w:rPr>
                <w:rFonts w:ascii="Arial" w:cs="Arial" w:eastAsia="Arial" w:hAnsi="Arial"/>
                <w:sz w:val="23"/>
                <w:szCs w:val="23"/>
                <w:b w:val="1"/>
                <w:bCs w:val="1"/>
                <w:color w:val="auto"/>
                <w:w w:val="95"/>
                <w:vertAlign w:val="superscript"/>
              </w:rPr>
              <w:t>(d)</w:t>
            </w:r>
            <w:r>
              <w:rPr>
                <w:rFonts w:ascii="Arial" w:cs="Arial" w:eastAsia="Arial" w:hAnsi="Arial"/>
                <w:sz w:val="18"/>
                <w:szCs w:val="18"/>
                <w:b w:val="1"/>
                <w:bCs w:val="1"/>
                <w:color w:val="auto"/>
                <w:w w:val="95"/>
              </w:rPr>
              <w:t xml:space="preserve">   </w:t>
            </w:r>
            <w:r>
              <w:rPr>
                <w:rFonts w:ascii="Arial" w:cs="Arial" w:eastAsia="Arial" w:hAnsi="Arial"/>
                <w:sz w:val="18"/>
                <w:szCs w:val="18"/>
                <w:color w:val="auto"/>
                <w:w w:val="95"/>
              </w:rPr>
              <w:t>. . . . . . . . . . . . . . . . . . . . . . . . . . . . . . . . . .</w:t>
            </w: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vMerge w:val="continue"/>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5300" w:type="dxa"/>
            <w:vAlign w:val="bottom"/>
            <w:vMerge w:val="continue"/>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458</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PROVED UNDEVELOPED RESERVES</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3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300" w:type="dxa"/>
            <w:vAlign w:val="bottom"/>
          </w:tcPr>
          <w:p>
            <w:pPr>
              <w:jc w:val="right"/>
              <w:ind w:right="110"/>
              <w:spacing w:after="0"/>
              <w:rPr>
                <w:sz w:val="20"/>
                <w:szCs w:val="20"/>
                <w:color w:val="auto"/>
              </w:rPr>
            </w:pPr>
            <w:r>
              <w:rPr>
                <w:rFonts w:ascii="Arial" w:cs="Arial" w:eastAsia="Arial" w:hAnsi="Arial"/>
                <w:sz w:val="18"/>
                <w:szCs w:val="18"/>
                <w:color w:val="auto"/>
                <w:w w:val="97"/>
              </w:rPr>
              <w:t>December 31, 2019 . . . . . . . .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34"/>
        </w:trPr>
        <w:tc>
          <w:tcPr>
            <w:tcW w:w="53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300" w:type="dxa"/>
            <w:vAlign w:val="bottom"/>
          </w:tcPr>
          <w:p>
            <w:pPr>
              <w:jc w:val="right"/>
              <w:ind w:right="110"/>
              <w:spacing w:after="0"/>
              <w:rPr>
                <w:sz w:val="20"/>
                <w:szCs w:val="20"/>
                <w:color w:val="auto"/>
              </w:rPr>
            </w:pPr>
            <w:r>
              <w:rPr>
                <w:rFonts w:ascii="Arial" w:cs="Arial" w:eastAsia="Arial" w:hAnsi="Arial"/>
                <w:sz w:val="18"/>
                <w:szCs w:val="18"/>
                <w:color w:val="auto"/>
                <w:w w:val="97"/>
              </w:rPr>
              <w:t>December 31, 2020 . . . . . . . .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4"/>
        </w:trPr>
        <w:tc>
          <w:tcPr>
            <w:tcW w:w="53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300" w:type="dxa"/>
            <w:vAlign w:val="bottom"/>
          </w:tcPr>
          <w:p>
            <w:pPr>
              <w:jc w:val="right"/>
              <w:ind w:right="110"/>
              <w:spacing w:after="0"/>
              <w:rPr>
                <w:sz w:val="20"/>
                <w:szCs w:val="20"/>
                <w:color w:val="auto"/>
              </w:rPr>
            </w:pPr>
            <w:r>
              <w:rPr>
                <w:rFonts w:ascii="Arial" w:cs="Arial" w:eastAsia="Arial" w:hAnsi="Arial"/>
                <w:sz w:val="18"/>
                <w:szCs w:val="18"/>
                <w:color w:val="auto"/>
                <w:w w:val="97"/>
              </w:rPr>
              <w:t>December 31, 2021 . . . . . . . .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4"/>
        </w:trPr>
        <w:tc>
          <w:tcPr>
            <w:tcW w:w="53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300" w:type="dxa"/>
            <w:vAlign w:val="bottom"/>
          </w:tcPr>
          <w:p>
            <w:pPr>
              <w:jc w:val="right"/>
              <w:ind w:right="110"/>
              <w:spacing w:after="0"/>
              <w:rPr>
                <w:sz w:val="20"/>
                <w:szCs w:val="20"/>
                <w:color w:val="auto"/>
              </w:rPr>
            </w:pPr>
            <w:r>
              <w:rPr>
                <w:rFonts w:ascii="Arial" w:cs="Arial" w:eastAsia="Arial" w:hAnsi="Arial"/>
                <w:sz w:val="18"/>
                <w:szCs w:val="18"/>
                <w:color w:val="auto"/>
                <w:w w:val="97"/>
              </w:rPr>
              <w:t>December 31, 2022 . . . . . . . .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4"/>
        </w:trPr>
        <w:tc>
          <w:tcPr>
            <w:tcW w:w="53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480" w:right="280" w:hanging="272"/>
        <w:spacing w:after="0" w:line="254" w:lineRule="auto"/>
        <w:tabs>
          <w:tab w:leader="none" w:pos="4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Includes proved reserves related to economic arrangements similar to PSCs of 92 MMBbl, 111 MMBbl, 85 MMBbl and 125 MMBbl at December 31, 2022, 2021, 2020 and 2019, respectively.</w:t>
      </w:r>
    </w:p>
    <w:p>
      <w:pPr>
        <w:spacing w:after="0" w:line="10" w:lineRule="exact"/>
        <w:rPr>
          <w:rFonts w:ascii="Arial" w:cs="Arial" w:eastAsia="Arial" w:hAnsi="Arial"/>
          <w:sz w:val="16"/>
          <w:szCs w:val="16"/>
          <w:color w:val="auto"/>
        </w:rPr>
      </w:pPr>
    </w:p>
    <w:p>
      <w:pPr>
        <w:ind w:left="480" w:right="80" w:hanging="272"/>
        <w:spacing w:after="0" w:line="254" w:lineRule="auto"/>
        <w:tabs>
          <w:tab w:leader="none" w:pos="4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Natural gas volumes have been converted to Boe based on the equivalence of energy content of six Mcf of natural gas to one Bbl of oil. Barrels of oil equivalence does not necessarily result in price equivalence.</w:t>
      </w:r>
    </w:p>
    <w:p>
      <w:pPr>
        <w:spacing w:after="0" w:line="10" w:lineRule="exact"/>
        <w:rPr>
          <w:rFonts w:ascii="Arial" w:cs="Arial" w:eastAsia="Arial" w:hAnsi="Arial"/>
          <w:sz w:val="16"/>
          <w:szCs w:val="16"/>
          <w:color w:val="auto"/>
        </w:rPr>
      </w:pPr>
    </w:p>
    <w:p>
      <w:pPr>
        <w:ind w:left="480" w:right="40" w:hanging="272"/>
        <w:spacing w:after="0" w:line="259" w:lineRule="auto"/>
        <w:tabs>
          <w:tab w:leader="none" w:pos="4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Commodity price changes affect the proved reserves we record. For example, higher prices generally increase the economically recoverable reserves in all of our operations, because the extra margin extends their expected lives and renders more projects economic. Partially offsetting this effect, higher prices decrease our share of proved cost recovery reserves under arrangements similar to production-sharing contracts at our Long Beach operations in the Wilmington field because fewer reserves are required to recover costs. Conversely, when prices drop, we experience the opposite effects. Performance-related revisions can include upward or downward changes to previous proved reserves estimates due to the evaluation or interpretation of recent geologic, production decline or operating performance data.</w:t>
      </w:r>
    </w:p>
    <w:p>
      <w:pPr>
        <w:spacing w:after="0" w:line="10" w:lineRule="exact"/>
        <w:rPr>
          <w:rFonts w:ascii="Arial" w:cs="Arial" w:eastAsia="Arial" w:hAnsi="Arial"/>
          <w:sz w:val="16"/>
          <w:szCs w:val="16"/>
          <w:color w:val="auto"/>
        </w:rPr>
      </w:pPr>
    </w:p>
    <w:p>
      <w:pPr>
        <w:ind w:left="480" w:right="80" w:hanging="272"/>
        <w:spacing w:after="0" w:line="258" w:lineRule="auto"/>
        <w:tabs>
          <w:tab w:leader="none" w:pos="4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Approximately 19% of proved developed oil reserves, 7% of proved developed NGLs reserves, 10% of proved developed natural gas reserves and, overall, 16% of total proved developed reserves at December 31, 2022 are non-producing. A majority of our non-producing reserves relate to steamfloods and waterfloods where full production response has not yet occurred due to the nature of such projects.</w:t>
      </w:r>
    </w:p>
    <w:p>
      <w:pPr>
        <w:sectPr>
          <w:pgSz w:w="11880" w:h="15480" w:orient="portrait"/>
          <w:cols w:equalWidth="0" w:num="1">
            <w:col w:w="9120"/>
          </w:cols>
          <w:pgMar w:left="1380" w:top="1309" w:right="1380" w:bottom="66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157</w:t>
      </w:r>
    </w:p>
    <w:p>
      <w:pPr>
        <w:sectPr>
          <w:pgSz w:w="11880" w:h="15480" w:orient="portrait"/>
          <w:cols w:equalWidth="0" w:num="1">
            <w:col w:w="9120"/>
          </w:cols>
          <w:pgMar w:left="1380" w:top="1309" w:right="1380" w:bottom="661" w:gutter="0" w:footer="0" w:header="0"/>
          <w:type w:val="continuous"/>
        </w:sectPr>
      </w:pPr>
    </w:p>
    <w:bookmarkStart w:id="161" w:name="page162"/>
    <w:bookmarkEnd w:id="161"/>
    <w:p>
      <w:pPr>
        <w:spacing w:after="0"/>
        <w:rPr>
          <w:sz w:val="20"/>
          <w:szCs w:val="20"/>
          <w:color w:val="auto"/>
        </w:rPr>
      </w:pPr>
      <w:r>
        <w:rPr>
          <w:rFonts w:ascii="Arial" w:cs="Arial" w:eastAsia="Arial" w:hAnsi="Arial"/>
          <w:sz w:val="20"/>
          <w:szCs w:val="20"/>
          <w:i w:val="1"/>
          <w:iCs w:val="1"/>
          <w:u w:val="single" w:color="auto"/>
          <w:color w:val="auto"/>
        </w:rPr>
        <w:t>2022</w:t>
      </w:r>
    </w:p>
    <w:p>
      <w:pPr>
        <w:spacing w:after="0" w:line="214"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i w:val="1"/>
          <w:iCs w:val="1"/>
          <w:color w:val="auto"/>
        </w:rPr>
        <w:t xml:space="preserve">Revisions of previous estimates </w:t>
      </w:r>
      <w:r>
        <w:rPr>
          <w:rFonts w:ascii="Arial" w:cs="Arial" w:eastAsia="Arial" w:hAnsi="Arial"/>
          <w:sz w:val="20"/>
          <w:szCs w:val="20"/>
          <w:color w:val="auto"/>
        </w:rPr>
        <w:t>– We had net positive price-related revisions of 6 MMBoe primarily</w:t>
      </w:r>
      <w:r>
        <w:rPr>
          <w:rFonts w:ascii="Arial" w:cs="Arial" w:eastAsia="Arial" w:hAnsi="Arial"/>
          <w:sz w:val="20"/>
          <w:szCs w:val="20"/>
          <w:i w:val="1"/>
          <w:iCs w:val="1"/>
          <w:color w:val="auto"/>
        </w:rPr>
        <w:t xml:space="preserve"> </w:t>
      </w:r>
      <w:r>
        <w:rPr>
          <w:rFonts w:ascii="Arial" w:cs="Arial" w:eastAsia="Arial" w:hAnsi="Arial"/>
          <w:sz w:val="20"/>
          <w:szCs w:val="20"/>
          <w:color w:val="auto"/>
        </w:rPr>
        <w:t>resulting from a higher commodity price environment in 2022 compared to 2021. The price revision reflects the extended economic lives of our fields, estimated using 2022 SEC pricing. Additionally, we have experienced higher vendor-related pricing and compensation-related cost increases due to inflation.</w:t>
      </w:r>
    </w:p>
    <w:p>
      <w:pPr>
        <w:spacing w:after="0" w:line="209"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We had 16 MMBoe of net negative performance-related revisions which included negative performance-related revisions of 31 MMBoe and positive performance-related revisions of 15 MMBoe. Our negative performance-related revisions primarily were due to wells and incremental waterflood response that underperformed forecasts and removal of proved undeveloped locations due to unsuccessful drilling results in certain areas. Our positive performance-related revisions primarily related to better-than-expected well performance and addition of proved undeveloped locations due to positive drilling results in certain areas. The majority of these revisions were located in the San Joaquin and Los Angeles basins.</w:t>
      </w:r>
    </w:p>
    <w:p>
      <w:pPr>
        <w:spacing w:after="0" w:line="211"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auto"/>
        </w:rPr>
        <w:t xml:space="preserve">We had 34 MMBoe of negative revisions to our proved reserves due to the impact of California regulatory changes and court challenges on our development plans. Of this amount, negative revisions of 20 MMBoe of proved reserves were due to the uncertainty of the outcome of the referendum and potential impact of Senate Bill No. 1137. The majority of these volumes are in the LA Basin. Negative revisions of 14 MMBoe to our proved reserves were due to challenges to Kern County’s ability to issue well permits in reliance on an existing EIR for CEQA purposes. The volumes affected by these court challenges are in Kern County. See </w:t>
      </w:r>
      <w:r>
        <w:rPr>
          <w:rFonts w:ascii="Arial" w:cs="Arial" w:eastAsia="Arial" w:hAnsi="Arial"/>
          <w:sz w:val="20"/>
          <w:szCs w:val="20"/>
          <w:i w:val="1"/>
          <w:iCs w:val="1"/>
          <w:color w:val="auto"/>
        </w:rPr>
        <w:t>Part I, Item 1 &amp; 2 Business and Properties, Regulation of the</w:t>
      </w:r>
      <w:r>
        <w:rPr>
          <w:rFonts w:ascii="Arial" w:cs="Arial" w:eastAsia="Arial" w:hAnsi="Arial"/>
          <w:sz w:val="20"/>
          <w:szCs w:val="20"/>
          <w:color w:val="auto"/>
        </w:rPr>
        <w:t xml:space="preserve"> </w:t>
      </w:r>
      <w:r>
        <w:rPr>
          <w:rFonts w:ascii="Arial" w:cs="Arial" w:eastAsia="Arial" w:hAnsi="Arial"/>
          <w:sz w:val="20"/>
          <w:szCs w:val="20"/>
          <w:i w:val="1"/>
          <w:iCs w:val="1"/>
          <w:color w:val="auto"/>
        </w:rPr>
        <w:t>Industries in Which We Operate, Regulation of Exploration and Production Activities</w:t>
      </w:r>
      <w:r>
        <w:rPr>
          <w:rFonts w:ascii="Arial" w:cs="Arial" w:eastAsia="Arial" w:hAnsi="Arial"/>
          <w:sz w:val="20"/>
          <w:szCs w:val="20"/>
          <w:color w:val="auto"/>
        </w:rPr>
        <w:t>.</w:t>
      </w:r>
    </w:p>
    <w:p>
      <w:pPr>
        <w:spacing w:after="0" w:line="209" w:lineRule="exact"/>
        <w:rPr>
          <w:sz w:val="20"/>
          <w:szCs w:val="20"/>
          <w:color w:val="auto"/>
        </w:rPr>
      </w:pPr>
    </w:p>
    <w:p>
      <w:pPr>
        <w:ind w:right="40" w:firstLine="300"/>
        <w:spacing w:after="0" w:line="247" w:lineRule="auto"/>
        <w:rPr>
          <w:sz w:val="20"/>
          <w:szCs w:val="20"/>
          <w:color w:val="auto"/>
        </w:rPr>
      </w:pPr>
      <w:r>
        <w:rPr>
          <w:rFonts w:ascii="Arial" w:cs="Arial" w:eastAsia="Arial" w:hAnsi="Arial"/>
          <w:sz w:val="20"/>
          <w:szCs w:val="20"/>
          <w:i w:val="1"/>
          <w:iCs w:val="1"/>
          <w:color w:val="auto"/>
        </w:rPr>
        <w:t xml:space="preserve">Extensions and discoveries </w:t>
      </w:r>
      <w:r>
        <w:rPr>
          <w:rFonts w:ascii="Arial" w:cs="Arial" w:eastAsia="Arial" w:hAnsi="Arial"/>
          <w:sz w:val="20"/>
          <w:szCs w:val="20"/>
          <w:color w:val="auto"/>
        </w:rPr>
        <w:t>– We added 16 MMBoe from extensions and discoveries resulting from</w:t>
      </w:r>
      <w:r>
        <w:rPr>
          <w:rFonts w:ascii="Arial" w:cs="Arial" w:eastAsia="Arial" w:hAnsi="Arial"/>
          <w:sz w:val="20"/>
          <w:szCs w:val="20"/>
          <w:i w:val="1"/>
          <w:iCs w:val="1"/>
          <w:color w:val="auto"/>
        </w:rPr>
        <w:t xml:space="preserve"> </w:t>
      </w:r>
      <w:r>
        <w:rPr>
          <w:rFonts w:ascii="Arial" w:cs="Arial" w:eastAsia="Arial" w:hAnsi="Arial"/>
          <w:sz w:val="20"/>
          <w:szCs w:val="20"/>
          <w:color w:val="auto"/>
        </w:rPr>
        <w:t>successful drilling and workovers in the San Joaquin and Los Angeles basins.</w:t>
      </w:r>
    </w:p>
    <w:p>
      <w:pPr>
        <w:spacing w:after="0" w:line="207" w:lineRule="exact"/>
        <w:rPr>
          <w:sz w:val="20"/>
          <w:szCs w:val="20"/>
          <w:color w:val="auto"/>
        </w:rPr>
      </w:pPr>
    </w:p>
    <w:p>
      <w:pPr>
        <w:ind w:right="100" w:firstLine="300"/>
        <w:spacing w:after="0" w:line="247" w:lineRule="auto"/>
        <w:rPr>
          <w:sz w:val="20"/>
          <w:szCs w:val="20"/>
          <w:color w:val="auto"/>
        </w:rPr>
      </w:pPr>
      <w:r>
        <w:rPr>
          <w:rFonts w:ascii="Arial" w:cs="Arial" w:eastAsia="Arial" w:hAnsi="Arial"/>
          <w:sz w:val="20"/>
          <w:szCs w:val="20"/>
          <w:i w:val="1"/>
          <w:iCs w:val="1"/>
          <w:color w:val="auto"/>
        </w:rPr>
        <w:t xml:space="preserve">Acquisitions and Divestitures </w:t>
      </w:r>
      <w:r>
        <w:rPr>
          <w:rFonts w:ascii="Arial" w:cs="Arial" w:eastAsia="Arial" w:hAnsi="Arial"/>
          <w:sz w:val="20"/>
          <w:szCs w:val="20"/>
          <w:color w:val="auto"/>
        </w:rPr>
        <w:t>– We had a reduction of 8 MMBoe which primarily related to our Lost</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Hills divestiture. See </w:t>
      </w:r>
      <w:r>
        <w:rPr>
          <w:rFonts w:ascii="Arial" w:cs="Arial" w:eastAsia="Arial" w:hAnsi="Arial"/>
          <w:sz w:val="20"/>
          <w:szCs w:val="20"/>
          <w:i w:val="1"/>
          <w:iCs w:val="1"/>
          <w:color w:val="auto"/>
        </w:rPr>
        <w:t>Note 3 Divestitures and Acquisitions</w:t>
      </w:r>
      <w:r>
        <w:rPr>
          <w:rFonts w:ascii="Arial" w:cs="Arial" w:eastAsia="Arial" w:hAnsi="Arial"/>
          <w:sz w:val="20"/>
          <w:szCs w:val="20"/>
          <w:color w:val="auto"/>
        </w:rPr>
        <w:t xml:space="preserve"> for more information on these transactions.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2021</w:t>
      </w:r>
    </w:p>
    <w:p>
      <w:pPr>
        <w:spacing w:after="0" w:line="212"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i w:val="1"/>
          <w:iCs w:val="1"/>
          <w:color w:val="auto"/>
        </w:rPr>
        <w:t xml:space="preserve">Revisions of previous estimates </w:t>
      </w:r>
      <w:r>
        <w:rPr>
          <w:rFonts w:ascii="Arial" w:cs="Arial" w:eastAsia="Arial" w:hAnsi="Arial"/>
          <w:sz w:val="20"/>
          <w:szCs w:val="20"/>
          <w:color w:val="auto"/>
        </w:rPr>
        <w:t>– We had positive price-related revisions of 64 MMBoe primarily</w:t>
      </w:r>
      <w:r>
        <w:rPr>
          <w:rFonts w:ascii="Arial" w:cs="Arial" w:eastAsia="Arial" w:hAnsi="Arial"/>
          <w:sz w:val="20"/>
          <w:szCs w:val="20"/>
          <w:i w:val="1"/>
          <w:iCs w:val="1"/>
          <w:color w:val="auto"/>
        </w:rPr>
        <w:t xml:space="preserve"> </w:t>
      </w:r>
      <w:r>
        <w:rPr>
          <w:rFonts w:ascii="Arial" w:cs="Arial" w:eastAsia="Arial" w:hAnsi="Arial"/>
          <w:sz w:val="20"/>
          <w:szCs w:val="20"/>
          <w:color w:val="auto"/>
        </w:rPr>
        <w:t>resulting from a higher commodity price environment in 2021 compared to 2020. The net price revision reflects the extended economic lives of our fields, estimated using 2021 SEC pricing, partially offset by higher operating costs.</w:t>
      </w:r>
    </w:p>
    <w:p>
      <w:pPr>
        <w:spacing w:after="0" w:line="208"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We had 9 MMBoe of net positive performance-related revisions which included positive performance-related revisions of 21 MMBoe and negative performance-related revisions of 12 MMBoe. Our positive performance-related revisions of 21 MMBoe primarily related to better-than-expected well performance and adding proved undeveloped locations due to positive drilling results in certain areas. The positive revision also included proved undeveloped reserves added to our five-year development plans in 2021. Our negative performance-related revisions primarily relate to wells and incremental waterflood response that underperformed forecasts and removal of proved undeveloped locations due to unsuccessful drilling results in certain areas. The majority of these revisions were located in the San Joaquin and Los Angeles basins.</w:t>
      </w:r>
    </w:p>
    <w:p>
      <w:pPr>
        <w:spacing w:after="0" w:line="211" w:lineRule="exact"/>
        <w:rPr>
          <w:sz w:val="20"/>
          <w:szCs w:val="20"/>
          <w:color w:val="auto"/>
        </w:rPr>
      </w:pPr>
    </w:p>
    <w:p>
      <w:pPr>
        <w:ind w:right="160" w:firstLine="300"/>
        <w:spacing w:after="0" w:line="245" w:lineRule="auto"/>
        <w:rPr>
          <w:sz w:val="20"/>
          <w:szCs w:val="20"/>
          <w:color w:val="auto"/>
        </w:rPr>
      </w:pPr>
      <w:r>
        <w:rPr>
          <w:rFonts w:ascii="Arial" w:cs="Arial" w:eastAsia="Arial" w:hAnsi="Arial"/>
          <w:sz w:val="20"/>
          <w:szCs w:val="20"/>
          <w:i w:val="1"/>
          <w:iCs w:val="1"/>
          <w:color w:val="auto"/>
        </w:rPr>
        <w:t xml:space="preserve">Extensions and discoveries </w:t>
      </w:r>
      <w:r>
        <w:rPr>
          <w:rFonts w:ascii="Arial" w:cs="Arial" w:eastAsia="Arial" w:hAnsi="Arial"/>
          <w:sz w:val="20"/>
          <w:szCs w:val="20"/>
          <w:color w:val="auto"/>
        </w:rPr>
        <w:t>– We added 5 MMBoe from extensions and discoveries resulting from</w:t>
      </w:r>
      <w:r>
        <w:rPr>
          <w:rFonts w:ascii="Arial" w:cs="Arial" w:eastAsia="Arial" w:hAnsi="Arial"/>
          <w:sz w:val="20"/>
          <w:szCs w:val="20"/>
          <w:i w:val="1"/>
          <w:iCs w:val="1"/>
          <w:color w:val="auto"/>
        </w:rPr>
        <w:t xml:space="preserve"> </w:t>
      </w:r>
      <w:r>
        <w:rPr>
          <w:rFonts w:ascii="Arial" w:cs="Arial" w:eastAsia="Arial" w:hAnsi="Arial"/>
          <w:sz w:val="20"/>
          <w:szCs w:val="20"/>
          <w:color w:val="auto"/>
        </w:rPr>
        <w:t>successful drilling and workovers in the San Joaquin and Los Angeles basins.</w:t>
      </w:r>
    </w:p>
    <w:p>
      <w:pPr>
        <w:sectPr>
          <w:pgSz w:w="11880" w:h="15480" w:orient="portrait"/>
          <w:cols w:equalWidth="0" w:num="1">
            <w:col w:w="9100"/>
          </w:cols>
          <w:pgMar w:left="1380" w:top="1290" w:right="140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158</w:t>
      </w:r>
    </w:p>
    <w:p>
      <w:pPr>
        <w:sectPr>
          <w:pgSz w:w="11880" w:h="15480" w:orient="portrait"/>
          <w:cols w:equalWidth="0" w:num="1">
            <w:col w:w="9100"/>
          </w:cols>
          <w:pgMar w:left="1380" w:top="1290" w:right="1400" w:bottom="661" w:gutter="0" w:footer="0" w:header="0"/>
          <w:type w:val="continuous"/>
        </w:sectPr>
      </w:pPr>
    </w:p>
    <w:bookmarkStart w:id="162" w:name="page163"/>
    <w:bookmarkEnd w:id="162"/>
    <w:p>
      <w:pPr>
        <w:ind w:right="100" w:firstLine="300"/>
        <w:spacing w:after="0" w:line="248" w:lineRule="auto"/>
        <w:rPr>
          <w:sz w:val="20"/>
          <w:szCs w:val="20"/>
          <w:color w:val="auto"/>
        </w:rPr>
      </w:pPr>
      <w:r>
        <w:rPr>
          <w:rFonts w:ascii="Arial" w:cs="Arial" w:eastAsia="Arial" w:hAnsi="Arial"/>
          <w:sz w:val="20"/>
          <w:szCs w:val="20"/>
          <w:i w:val="1"/>
          <w:iCs w:val="1"/>
          <w:color w:val="auto"/>
        </w:rPr>
        <w:t xml:space="preserve">Acquisitions and Divestitures </w:t>
      </w:r>
      <w:r>
        <w:rPr>
          <w:rFonts w:ascii="Arial" w:cs="Arial" w:eastAsia="Arial" w:hAnsi="Arial"/>
          <w:sz w:val="20"/>
          <w:szCs w:val="20"/>
          <w:color w:val="auto"/>
        </w:rPr>
        <w:t>– We had a reduction of 11 MMBoe in connection with our Ventura</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divestiture and added 6 MMBoe in connection with our acquisition of the working interest in certain wells from MIRA. See </w:t>
      </w:r>
      <w:r>
        <w:rPr>
          <w:rFonts w:ascii="Arial" w:cs="Arial" w:eastAsia="Arial" w:hAnsi="Arial"/>
          <w:sz w:val="20"/>
          <w:szCs w:val="20"/>
          <w:i w:val="1"/>
          <w:iCs w:val="1"/>
          <w:color w:val="auto"/>
        </w:rPr>
        <w:t>Note 3 Divestitures and Acquisitions</w:t>
      </w:r>
      <w:r>
        <w:rPr>
          <w:rFonts w:ascii="Arial" w:cs="Arial" w:eastAsia="Arial" w:hAnsi="Arial"/>
          <w:sz w:val="20"/>
          <w:szCs w:val="20"/>
          <w:color w:val="auto"/>
        </w:rPr>
        <w:t xml:space="preserve"> for more information on these transactions.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2020</w:t>
      </w:r>
    </w:p>
    <w:p>
      <w:pPr>
        <w:spacing w:after="0" w:line="214" w:lineRule="exact"/>
        <w:rPr>
          <w:sz w:val="20"/>
          <w:szCs w:val="20"/>
          <w:color w:val="auto"/>
        </w:rPr>
      </w:pPr>
    </w:p>
    <w:p>
      <w:pPr>
        <w:jc w:val="both"/>
        <w:ind w:right="160" w:firstLine="300"/>
        <w:spacing w:after="0" w:line="248" w:lineRule="auto"/>
        <w:rPr>
          <w:sz w:val="20"/>
          <w:szCs w:val="20"/>
          <w:color w:val="auto"/>
        </w:rPr>
      </w:pPr>
      <w:r>
        <w:rPr>
          <w:rFonts w:ascii="Arial" w:cs="Arial" w:eastAsia="Arial" w:hAnsi="Arial"/>
          <w:sz w:val="20"/>
          <w:szCs w:val="20"/>
          <w:i w:val="1"/>
          <w:iCs w:val="1"/>
          <w:color w:val="auto"/>
        </w:rPr>
        <w:t xml:space="preserve">Revisions of previous estimates </w:t>
      </w:r>
      <w:r>
        <w:rPr>
          <w:rFonts w:ascii="Arial" w:cs="Arial" w:eastAsia="Arial" w:hAnsi="Arial"/>
          <w:sz w:val="20"/>
          <w:szCs w:val="20"/>
          <w:color w:val="auto"/>
        </w:rPr>
        <w:t>– We had negative price-related revisions of 72 MMBoe primarily</w:t>
      </w:r>
      <w:r>
        <w:rPr>
          <w:rFonts w:ascii="Arial" w:cs="Arial" w:eastAsia="Arial" w:hAnsi="Arial"/>
          <w:sz w:val="20"/>
          <w:szCs w:val="20"/>
          <w:i w:val="1"/>
          <w:iCs w:val="1"/>
          <w:color w:val="auto"/>
        </w:rPr>
        <w:t xml:space="preserve"> </w:t>
      </w:r>
      <w:r>
        <w:rPr>
          <w:rFonts w:ascii="Arial" w:cs="Arial" w:eastAsia="Arial" w:hAnsi="Arial"/>
          <w:sz w:val="20"/>
          <w:szCs w:val="20"/>
          <w:color w:val="auto"/>
        </w:rPr>
        <w:t>resulting from a lower commodity price environment in 2020 compared to 2019. The net price revision reflects the shortened economic lives of our fields, as estimated using 2020 SEC pricing, which for oil was significantly lower than current prices, partially offset by our lower operating costs.</w:t>
      </w:r>
    </w:p>
    <w:p>
      <w:pPr>
        <w:spacing w:after="0" w:line="211"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auto"/>
        </w:rPr>
        <w:t>We had 61 MMBoe of net negative performance-related revisions which included negative performance-related revisions of 73 MMBoe and positive performance-related revisions of 12 MMBoe. Our negative performance-related revisions are primarily related to wells that underperformed their forecasts. A significant factor for this underperformance was a reduction in our capital program in 2020 due to the extremely low commodity price environment and constraints during our bankruptcy process. This led to higher overall decline rates due to injection curtailments, capacity limitations and reduced well maintenance. Our positive performance-related revisions of 12 MMBoe primarily related to better-than-expected well performance.</w:t>
      </w:r>
    </w:p>
    <w:p>
      <w:pPr>
        <w:spacing w:after="0" w:line="211" w:lineRule="exact"/>
        <w:rPr>
          <w:sz w:val="20"/>
          <w:szCs w:val="20"/>
          <w:color w:val="auto"/>
        </w:rPr>
      </w:pPr>
    </w:p>
    <w:p>
      <w:pPr>
        <w:ind w:right="140" w:firstLine="300"/>
        <w:spacing w:after="0" w:line="248" w:lineRule="auto"/>
        <w:rPr>
          <w:sz w:val="20"/>
          <w:szCs w:val="20"/>
          <w:color w:val="auto"/>
        </w:rPr>
      </w:pPr>
      <w:r>
        <w:rPr>
          <w:rFonts w:ascii="Arial" w:cs="Arial" w:eastAsia="Arial" w:hAnsi="Arial"/>
          <w:sz w:val="20"/>
          <w:szCs w:val="20"/>
          <w:color w:val="auto"/>
        </w:rPr>
        <w:t>We removed 52 MMBoe of proved undeveloped reserves, all of which were no longer included in our development plans because they did not meet internal investment thresholds at lower SEC prices. The majority of these revisions were located in the San Joaquin and Los Angeles basins.</w:t>
      </w:r>
    </w:p>
    <w:p>
      <w:pPr>
        <w:spacing w:after="0" w:line="205" w:lineRule="exact"/>
        <w:rPr>
          <w:sz w:val="20"/>
          <w:szCs w:val="20"/>
          <w:color w:val="auto"/>
        </w:rPr>
      </w:pPr>
    </w:p>
    <w:p>
      <w:pPr>
        <w:ind w:right="260" w:firstLine="300"/>
        <w:spacing w:after="0" w:line="249" w:lineRule="auto"/>
        <w:rPr>
          <w:sz w:val="20"/>
          <w:szCs w:val="20"/>
          <w:color w:val="auto"/>
        </w:rPr>
      </w:pPr>
      <w:r>
        <w:rPr>
          <w:rFonts w:ascii="Arial" w:cs="Arial" w:eastAsia="Arial" w:hAnsi="Arial"/>
          <w:sz w:val="20"/>
          <w:szCs w:val="20"/>
          <w:i w:val="1"/>
          <w:iCs w:val="1"/>
          <w:color w:val="auto"/>
        </w:rPr>
        <w:t xml:space="preserve">Extensions and discoveries </w:t>
      </w:r>
      <w:r>
        <w:rPr>
          <w:rFonts w:ascii="Arial" w:cs="Arial" w:eastAsia="Arial" w:hAnsi="Arial"/>
          <w:sz w:val="20"/>
          <w:szCs w:val="20"/>
          <w:color w:val="auto"/>
        </w:rPr>
        <w:t>– We added 25 MMBoe from extensions and discoveries,</w:t>
      </w:r>
      <w:r>
        <w:rPr>
          <w:rFonts w:ascii="Arial" w:cs="Arial" w:eastAsia="Arial" w:hAnsi="Arial"/>
          <w:sz w:val="20"/>
          <w:szCs w:val="20"/>
          <w:i w:val="1"/>
          <w:iCs w:val="1"/>
          <w:color w:val="auto"/>
        </w:rPr>
        <w:t xml:space="preserve"> </w:t>
      </w:r>
      <w:r>
        <w:rPr>
          <w:rFonts w:ascii="Arial" w:cs="Arial" w:eastAsia="Arial" w:hAnsi="Arial"/>
          <w:sz w:val="20"/>
          <w:szCs w:val="20"/>
          <w:color w:val="auto"/>
        </w:rPr>
        <w:t>approximately half of which resulted from the booking of proved undeveloped reserves in connection with fresh start accounting. Successful drilling and workovers in the San Joaquin and Los Angeles basins also contributed to the increase.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CAPITALIZED COSTS</w:t>
      </w:r>
    </w:p>
    <w:p>
      <w:pPr>
        <w:spacing w:after="0" w:line="214" w:lineRule="exact"/>
        <w:rPr>
          <w:sz w:val="20"/>
          <w:szCs w:val="20"/>
          <w:color w:val="auto"/>
        </w:rPr>
      </w:pPr>
    </w:p>
    <w:p>
      <w:pPr>
        <w:ind w:right="700" w:firstLine="300"/>
        <w:spacing w:after="0" w:line="245" w:lineRule="auto"/>
        <w:rPr>
          <w:sz w:val="20"/>
          <w:szCs w:val="20"/>
          <w:color w:val="auto"/>
        </w:rPr>
      </w:pPr>
      <w:r>
        <w:rPr>
          <w:rFonts w:ascii="Arial" w:cs="Arial" w:eastAsia="Arial" w:hAnsi="Arial"/>
          <w:sz w:val="20"/>
          <w:szCs w:val="20"/>
          <w:color w:val="auto"/>
        </w:rPr>
        <w:t>Capitalized costs relating to oil and natural gas producing activities and related accumulated depreciation, depletion and amortization (DD&amp;A)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6"/>
          </w:tcPr>
          <w:p>
            <w:pPr>
              <w:jc w:val="right"/>
              <w:ind w:right="803"/>
              <w:spacing w:after="0"/>
              <w:rPr>
                <w:sz w:val="20"/>
                <w:szCs w:val="20"/>
                <w:color w:val="auto"/>
              </w:rPr>
            </w:pPr>
            <w:r>
              <w:rPr>
                <w:rFonts w:ascii="Arial" w:cs="Arial" w:eastAsia="Arial" w:hAnsi="Arial"/>
                <w:sz w:val="20"/>
                <w:szCs w:val="20"/>
                <w:b w:val="1"/>
                <w:bCs w:val="1"/>
                <w:color w:val="auto"/>
              </w:rPr>
              <w:t>Successor</w:t>
            </w:r>
          </w:p>
        </w:tc>
        <w:tc>
          <w:tcPr>
            <w:tcW w:w="20" w:type="dxa"/>
            <w:vAlign w:val="bottom"/>
          </w:tcPr>
          <w:p>
            <w:pPr>
              <w:spacing w:after="0"/>
              <w:rPr>
                <w:sz w:val="21"/>
                <w:szCs w:val="21"/>
                <w:color w:val="auto"/>
              </w:rPr>
            </w:pPr>
          </w:p>
        </w:tc>
      </w:tr>
      <w:tr>
        <w:trPr>
          <w:trHeight w:val="212"/>
        </w:trPr>
        <w:tc>
          <w:tcPr>
            <w:tcW w:w="6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5"/>
          </w:tcPr>
          <w:p>
            <w:pPr>
              <w:jc w:val="center"/>
              <w:ind w:right="200"/>
              <w:spacing w:after="0" w:line="212" w:lineRule="exact"/>
              <w:rPr>
                <w:sz w:val="20"/>
                <w:szCs w:val="20"/>
                <w:color w:val="auto"/>
              </w:rPr>
            </w:pPr>
            <w:r>
              <w:rPr>
                <w:rFonts w:ascii="Arial" w:cs="Arial" w:eastAsia="Arial" w:hAnsi="Arial"/>
                <w:sz w:val="20"/>
                <w:szCs w:val="20"/>
                <w:b w:val="1"/>
                <w:bCs w:val="1"/>
                <w:color w:val="auto"/>
                <w:w w:val="99"/>
              </w:rPr>
              <w:t>December 31,</w:t>
            </w:r>
          </w:p>
        </w:tc>
        <w:tc>
          <w:tcPr>
            <w:tcW w:w="1320" w:type="dxa"/>
            <w:vAlign w:val="bottom"/>
            <w:gridSpan w:val="3"/>
          </w:tcPr>
          <w:p>
            <w:pPr>
              <w:jc w:val="center"/>
              <w:ind w:right="20"/>
              <w:spacing w:after="0" w:line="212" w:lineRule="exact"/>
              <w:rPr>
                <w:sz w:val="20"/>
                <w:szCs w:val="20"/>
                <w:color w:val="auto"/>
              </w:rPr>
            </w:pPr>
            <w:r>
              <w:rPr>
                <w:rFonts w:ascii="Arial" w:cs="Arial" w:eastAsia="Arial" w:hAnsi="Arial"/>
                <w:sz w:val="20"/>
                <w:szCs w:val="20"/>
                <w:b w:val="1"/>
                <w:bCs w:val="1"/>
                <w:color w:val="auto"/>
                <w:w w:val="99"/>
              </w:rPr>
              <w:t>December 31,</w:t>
            </w:r>
          </w:p>
        </w:tc>
      </w:tr>
      <w:tr>
        <w:trPr>
          <w:trHeight w:val="248"/>
        </w:trPr>
        <w:tc>
          <w:tcPr>
            <w:tcW w:w="6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03"/>
              <w:spacing w:after="0"/>
              <w:rPr>
                <w:sz w:val="20"/>
                <w:szCs w:val="20"/>
                <w:color w:val="auto"/>
              </w:rPr>
            </w:pPr>
            <w:r>
              <w:rPr>
                <w:rFonts w:ascii="Arial" w:cs="Arial" w:eastAsia="Arial" w:hAnsi="Arial"/>
                <w:sz w:val="20"/>
                <w:szCs w:val="20"/>
                <w:b w:val="1"/>
                <w:bCs w:val="1"/>
                <w:color w:val="auto"/>
              </w:rPr>
              <w:t>2022</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03"/>
              <w:spacing w:after="0"/>
              <w:rPr>
                <w:sz w:val="20"/>
                <w:szCs w:val="20"/>
                <w:color w:val="auto"/>
              </w:rPr>
            </w:pPr>
            <w:r>
              <w:rPr>
                <w:rFonts w:ascii="Arial" w:cs="Arial" w:eastAsia="Arial" w:hAnsi="Arial"/>
                <w:sz w:val="20"/>
                <w:szCs w:val="20"/>
                <w:b w:val="1"/>
                <w:bCs w:val="1"/>
                <w:color w:val="auto"/>
              </w:rPr>
              <w:t>2021</w:t>
            </w:r>
          </w:p>
        </w:tc>
        <w:tc>
          <w:tcPr>
            <w:tcW w:w="20" w:type="dxa"/>
            <w:vAlign w:val="bottom"/>
          </w:tcPr>
          <w:p>
            <w:pPr>
              <w:spacing w:after="0"/>
              <w:rPr>
                <w:sz w:val="21"/>
                <w:szCs w:val="21"/>
                <w:color w:val="auto"/>
              </w:rPr>
            </w:pPr>
          </w:p>
        </w:tc>
      </w:tr>
      <w:tr>
        <w:trPr>
          <w:trHeight w:val="192"/>
        </w:trPr>
        <w:tc>
          <w:tcPr>
            <w:tcW w:w="6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4"/>
          </w:tcPr>
          <w:p>
            <w:pPr>
              <w:jc w:val="center"/>
              <w:ind w:right="400"/>
              <w:spacing w:after="0"/>
              <w:rPr>
                <w:sz w:val="20"/>
                <w:szCs w:val="20"/>
                <w:color w:val="auto"/>
              </w:rPr>
            </w:pPr>
            <w:r>
              <w:rPr>
                <w:rFonts w:ascii="Arial" w:cs="Arial" w:eastAsia="Arial" w:hAnsi="Arial"/>
                <w:sz w:val="16"/>
                <w:szCs w:val="16"/>
                <w:color w:val="auto"/>
              </w:rPr>
              <w:t>(in millions)</w:t>
            </w:r>
          </w:p>
        </w:tc>
        <w:tc>
          <w:tcPr>
            <w:tcW w:w="2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rPr>
              <w:t>(in millions)</w:t>
            </w:r>
          </w:p>
        </w:tc>
      </w:tr>
      <w:tr>
        <w:trPr>
          <w:trHeight w:val="250"/>
        </w:trPr>
        <w:tc>
          <w:tcPr>
            <w:tcW w:w="6320" w:type="dxa"/>
            <w:vAlign w:val="bottom"/>
            <w:gridSpan w:val="2"/>
          </w:tcPr>
          <w:p>
            <w:pPr>
              <w:jc w:val="right"/>
              <w:ind w:right="200"/>
              <w:spacing w:after="0"/>
              <w:rPr>
                <w:sz w:val="20"/>
                <w:szCs w:val="20"/>
                <w:color w:val="auto"/>
              </w:rPr>
            </w:pPr>
            <w:r>
              <w:rPr>
                <w:rFonts w:ascii="Arial" w:cs="Arial" w:eastAsia="Arial" w:hAnsi="Arial"/>
                <w:sz w:val="20"/>
                <w:szCs w:val="20"/>
                <w:color w:val="auto"/>
                <w:w w:val="96"/>
              </w:rPr>
              <w:t>Proved properties  . . . . . . . . . . . . . . . . . . . . . . . . . . . . . . . . . . . . . . . . . .</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2,972</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2,626</w:t>
            </w:r>
          </w:p>
        </w:tc>
        <w:tc>
          <w:tcPr>
            <w:tcW w:w="20" w:type="dxa"/>
            <w:vAlign w:val="bottom"/>
          </w:tcPr>
          <w:p>
            <w:pPr>
              <w:spacing w:after="0"/>
              <w:rPr>
                <w:sz w:val="21"/>
                <w:szCs w:val="21"/>
                <w:color w:val="auto"/>
              </w:rPr>
            </w:pPr>
          </w:p>
        </w:tc>
      </w:tr>
      <w:tr>
        <w:trPr>
          <w:trHeight w:val="240"/>
        </w:trPr>
        <w:tc>
          <w:tcPr>
            <w:tcW w:w="6320" w:type="dxa"/>
            <w:vAlign w:val="bottom"/>
            <w:gridSpan w:val="2"/>
          </w:tcPr>
          <w:p>
            <w:pPr>
              <w:jc w:val="right"/>
              <w:ind w:right="200"/>
              <w:spacing w:after="0"/>
              <w:rPr>
                <w:sz w:val="20"/>
                <w:szCs w:val="20"/>
                <w:color w:val="auto"/>
              </w:rPr>
            </w:pPr>
            <w:r>
              <w:rPr>
                <w:rFonts w:ascii="Arial" w:cs="Arial" w:eastAsia="Arial" w:hAnsi="Arial"/>
                <w:sz w:val="20"/>
                <w:szCs w:val="20"/>
                <w:color w:val="auto"/>
                <w:w w:val="96"/>
              </w:rPr>
              <w:t>Unproved properties  . . . . . . . . . . . . . . . . . . . . . . . . . . . . . . . . . . . . . . . .</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8</w:t>
            </w:r>
          </w:p>
        </w:tc>
        <w:tc>
          <w:tcPr>
            <w:tcW w:w="20" w:type="dxa"/>
            <w:vAlign w:val="bottom"/>
          </w:tcPr>
          <w:p>
            <w:pPr>
              <w:spacing w:after="0"/>
              <w:rPr>
                <w:sz w:val="20"/>
                <w:szCs w:val="20"/>
                <w:color w:val="auto"/>
              </w:rPr>
            </w:pPr>
          </w:p>
        </w:tc>
      </w:tr>
      <w:tr>
        <w:trPr>
          <w:trHeight w:val="240"/>
        </w:trPr>
        <w:tc>
          <w:tcPr>
            <w:tcW w:w="6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8"/>
        </w:trPr>
        <w:tc>
          <w:tcPr>
            <w:tcW w:w="63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72"/>
        </w:trPr>
        <w:tc>
          <w:tcPr>
            <w:tcW w:w="632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w w:val="97"/>
              </w:rPr>
              <w:t xml:space="preserve">Total capitalized costs </w:t>
            </w:r>
            <w:r>
              <w:rPr>
                <w:rFonts w:ascii="Arial" w:cs="Arial" w:eastAsia="Arial" w:hAnsi="Arial"/>
                <w:sz w:val="20"/>
                <w:szCs w:val="20"/>
                <w:color w:val="auto"/>
                <w:w w:val="97"/>
              </w:rPr>
              <w:t>. . . . . . . . . . . . . . . . . . . . . . . . . . . . . . . . . . . . .</w:t>
            </w: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2,974</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2,627</w:t>
            </w:r>
          </w:p>
        </w:tc>
        <w:tc>
          <w:tcPr>
            <w:tcW w:w="20" w:type="dxa"/>
            <w:vAlign w:val="bottom"/>
          </w:tcPr>
          <w:p>
            <w:pPr>
              <w:spacing w:after="0"/>
              <w:rPr>
                <w:sz w:val="23"/>
                <w:szCs w:val="23"/>
                <w:color w:val="auto"/>
              </w:rPr>
            </w:pPr>
          </w:p>
        </w:tc>
      </w:tr>
      <w:tr>
        <w:trPr>
          <w:trHeight w:val="240"/>
        </w:trPr>
        <w:tc>
          <w:tcPr>
            <w:tcW w:w="6320" w:type="dxa"/>
            <w:vAlign w:val="bottom"/>
            <w:gridSpan w:val="2"/>
          </w:tcPr>
          <w:p>
            <w:pPr>
              <w:jc w:val="right"/>
              <w:ind w:right="200"/>
              <w:spacing w:after="0"/>
              <w:rPr>
                <w:sz w:val="20"/>
                <w:szCs w:val="20"/>
                <w:color w:val="auto"/>
              </w:rPr>
            </w:pPr>
            <w:r>
              <w:rPr>
                <w:rFonts w:ascii="Arial" w:cs="Arial" w:eastAsia="Arial" w:hAnsi="Arial"/>
                <w:sz w:val="20"/>
                <w:szCs w:val="20"/>
                <w:color w:val="auto"/>
              </w:rPr>
              <w:t>Accumulated depreciation, depletion and amortization  . . . . . . . . . . .</w:t>
            </w:r>
          </w:p>
        </w:tc>
        <w:tc>
          <w:tcPr>
            <w:tcW w:w="2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(394)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(219)</w:t>
            </w:r>
          </w:p>
        </w:tc>
      </w:tr>
      <w:tr>
        <w:trPr>
          <w:trHeight w:val="28"/>
        </w:trPr>
        <w:tc>
          <w:tcPr>
            <w:tcW w:w="63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72"/>
        </w:trPr>
        <w:tc>
          <w:tcPr>
            <w:tcW w:w="632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w w:val="96"/>
              </w:rPr>
              <w:t xml:space="preserve">Net capitalized costs </w:t>
            </w:r>
            <w:r>
              <w:rPr>
                <w:rFonts w:ascii="Arial" w:cs="Arial" w:eastAsia="Arial" w:hAnsi="Arial"/>
                <w:sz w:val="20"/>
                <w:szCs w:val="20"/>
                <w:color w:val="auto"/>
                <w:w w:val="96"/>
              </w:rPr>
              <w:t>. . . . . . . . . . . . . . . . . . . . . . . . . . . . . . . . . . . . . . .</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2,580</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2,408</w:t>
            </w:r>
          </w:p>
        </w:tc>
        <w:tc>
          <w:tcPr>
            <w:tcW w:w="20" w:type="dxa"/>
            <w:vAlign w:val="bottom"/>
          </w:tcPr>
          <w:p>
            <w:pPr>
              <w:spacing w:after="0"/>
              <w:rPr>
                <w:sz w:val="23"/>
                <w:szCs w:val="23"/>
                <w:color w:val="auto"/>
              </w:rPr>
            </w:pPr>
          </w:p>
        </w:tc>
      </w:tr>
      <w:tr>
        <w:trPr>
          <w:trHeight w:val="28"/>
        </w:trPr>
        <w:tc>
          <w:tcPr>
            <w:tcW w:w="63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40"/>
          </w:cols>
          <w:pgMar w:left="1380" w:top="1314" w:right="136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159</w:t>
      </w:r>
    </w:p>
    <w:p>
      <w:pPr>
        <w:sectPr>
          <w:pgSz w:w="11880" w:h="15480" w:orient="portrait"/>
          <w:cols w:equalWidth="0" w:num="1">
            <w:col w:w="9140"/>
          </w:cols>
          <w:pgMar w:left="1380" w:top="1314" w:right="1360" w:bottom="661" w:gutter="0" w:footer="0" w:header="0"/>
          <w:type w:val="continuous"/>
        </w:sectPr>
      </w:pPr>
    </w:p>
    <w:bookmarkStart w:id="163" w:name="page164"/>
    <w:bookmarkEnd w:id="163"/>
    <w:p>
      <w:pPr>
        <w:spacing w:after="0"/>
        <w:rPr>
          <w:sz w:val="20"/>
          <w:szCs w:val="20"/>
          <w:color w:val="auto"/>
        </w:rPr>
      </w:pPr>
      <w:r>
        <w:rPr>
          <w:rFonts w:ascii="Arial" w:cs="Arial" w:eastAsia="Arial" w:hAnsi="Arial"/>
          <w:sz w:val="20"/>
          <w:szCs w:val="20"/>
          <w:b w:val="1"/>
          <w:bCs w:val="1"/>
          <w:color w:val="auto"/>
        </w:rPr>
        <w:t>COSTS INCURRED</w:t>
      </w:r>
    </w:p>
    <w:p>
      <w:pPr>
        <w:spacing w:after="0" w:line="216" w:lineRule="exact"/>
        <w:rPr>
          <w:sz w:val="20"/>
          <w:szCs w:val="20"/>
          <w:color w:val="auto"/>
        </w:rPr>
      </w:pPr>
    </w:p>
    <w:p>
      <w:pPr>
        <w:ind w:right="160" w:firstLine="300"/>
        <w:spacing w:after="0" w:line="247" w:lineRule="auto"/>
        <w:rPr>
          <w:sz w:val="20"/>
          <w:szCs w:val="20"/>
          <w:color w:val="auto"/>
        </w:rPr>
      </w:pPr>
      <w:r>
        <w:rPr>
          <w:rFonts w:ascii="Arial" w:cs="Arial" w:eastAsia="Arial" w:hAnsi="Arial"/>
          <w:sz w:val="20"/>
          <w:szCs w:val="20"/>
          <w:color w:val="auto"/>
        </w:rPr>
        <w:t>Costs incurred relating to oil and natural gas activities include capital investments, exploration (whether expensed or capitalized), acquisitions and asset retirement obligations but exclude corporate items. The following table summarizes our costs incurred: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4637405</wp:posOffset>
                </wp:positionH>
                <wp:positionV relativeFrom="paragraph">
                  <wp:posOffset>100330</wp:posOffset>
                </wp:positionV>
                <wp:extent cx="0" cy="164465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4465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5.15pt,7.9pt" to="365.15pt,137.4pt" o:allowincell="f" strokecolor="#000000" strokeweight="0.5pt"/>
            </w:pict>
          </mc:Fallback>
        </mc:AlternateContent>
      </w:r>
    </w:p>
    <w:p>
      <w:pPr>
        <w:sectPr>
          <w:pgSz w:w="11880" w:h="15480" w:orient="portrait"/>
          <w:cols w:equalWidth="0" w:num="1">
            <w:col w:w="9180"/>
          </w:cols>
          <w:pgMar w:left="1380" w:top="1310" w:right="1320" w:bottom="661" w:gutter="0" w:footer="0" w:header="0"/>
        </w:sectPr>
      </w:pP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gridSpan w:val="3"/>
          </w:tcPr>
          <w:p>
            <w:pPr>
              <w:ind w:left="160"/>
              <w:spacing w:after="0"/>
              <w:rPr>
                <w:sz w:val="20"/>
                <w:szCs w:val="20"/>
                <w:color w:val="auto"/>
              </w:rPr>
            </w:pPr>
            <w:r>
              <w:rPr>
                <w:rFonts w:ascii="Arial" w:cs="Arial" w:eastAsia="Arial" w:hAnsi="Arial"/>
                <w:sz w:val="20"/>
                <w:szCs w:val="20"/>
                <w:b w:val="1"/>
                <w:bCs w:val="1"/>
                <w:color w:val="auto"/>
              </w:rPr>
              <w:t>Successor</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1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20"/>
                <w:szCs w:val="20"/>
                <w:b w:val="1"/>
                <w:bCs w:val="1"/>
                <w:color w:val="auto"/>
              </w:rPr>
              <w:t>Year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20"/>
                <w:szCs w:val="20"/>
                <w:b w:val="1"/>
                <w:bCs w:val="1"/>
                <w:color w:val="auto"/>
              </w:rPr>
              <w:t>Year ended</w:t>
            </w:r>
          </w:p>
        </w:tc>
        <w:tc>
          <w:tcPr>
            <w:tcW w:w="1820" w:type="dxa"/>
            <w:vAlign w:val="bottom"/>
            <w:gridSpan w:val="2"/>
          </w:tcPr>
          <w:p>
            <w:pPr>
              <w:spacing w:after="0"/>
              <w:rPr>
                <w:sz w:val="20"/>
                <w:szCs w:val="20"/>
                <w:color w:val="auto"/>
              </w:rPr>
            </w:pPr>
            <w:r>
              <w:rPr>
                <w:rFonts w:ascii="Arial" w:cs="Arial" w:eastAsia="Arial" w:hAnsi="Arial"/>
                <w:sz w:val="20"/>
                <w:szCs w:val="20"/>
                <w:b w:val="1"/>
                <w:bCs w:val="1"/>
                <w:color w:val="auto"/>
                <w:w w:val="98"/>
              </w:rPr>
              <w:t>November 1, 2020 -</w:t>
            </w:r>
          </w:p>
        </w:tc>
        <w:tc>
          <w:tcPr>
            <w:tcW w:w="0" w:type="dxa"/>
            <w:vAlign w:val="bottom"/>
          </w:tcPr>
          <w:p>
            <w:pPr>
              <w:spacing w:after="0"/>
              <w:rPr>
                <w:sz w:val="1"/>
                <w:szCs w:val="1"/>
                <w:color w:val="auto"/>
              </w:rPr>
            </w:pPr>
          </w:p>
        </w:tc>
      </w:tr>
      <w:tr>
        <w:trPr>
          <w:trHeight w:val="180"/>
        </w:trPr>
        <w:tc>
          <w:tcPr>
            <w:tcW w:w="1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760" w:type="dxa"/>
            <w:vAlign w:val="bottom"/>
            <w:gridSpan w:val="8"/>
          </w:tcPr>
          <w:p>
            <w:pPr>
              <w:jc w:val="right"/>
              <w:ind w:right="80"/>
              <w:spacing w:after="0" w:line="160" w:lineRule="exact"/>
              <w:rPr>
                <w:sz w:val="20"/>
                <w:szCs w:val="20"/>
                <w:color w:val="auto"/>
              </w:rPr>
            </w:pPr>
            <w:r>
              <w:rPr>
                <w:rFonts w:ascii="Arial" w:cs="Arial" w:eastAsia="Arial" w:hAnsi="Arial"/>
                <w:sz w:val="18"/>
                <w:szCs w:val="18"/>
                <w:b w:val="1"/>
                <w:bCs w:val="1"/>
                <w:color w:val="auto"/>
              </w:rPr>
              <w:t>December 31, December 31,</w:t>
            </w:r>
          </w:p>
        </w:tc>
        <w:tc>
          <w:tcPr>
            <w:tcW w:w="1820" w:type="dxa"/>
            <w:vAlign w:val="bottom"/>
            <w:gridSpan w:val="2"/>
          </w:tcPr>
          <w:p>
            <w:pPr>
              <w:ind w:left="20"/>
              <w:spacing w:after="0" w:line="180" w:lineRule="exact"/>
              <w:rPr>
                <w:sz w:val="20"/>
                <w:szCs w:val="20"/>
                <w:color w:val="auto"/>
              </w:rPr>
            </w:pPr>
            <w:r>
              <w:rPr>
                <w:rFonts w:ascii="Arial" w:cs="Arial" w:eastAsia="Arial" w:hAnsi="Arial"/>
                <w:sz w:val="20"/>
                <w:szCs w:val="20"/>
                <w:b w:val="1"/>
                <w:bCs w:val="1"/>
                <w:color w:val="auto"/>
                <w:w w:val="98"/>
              </w:rPr>
              <w:t>December 31, 2020</w:t>
            </w:r>
          </w:p>
        </w:tc>
        <w:tc>
          <w:tcPr>
            <w:tcW w:w="0" w:type="dxa"/>
            <w:vAlign w:val="bottom"/>
          </w:tcPr>
          <w:p>
            <w:pPr>
              <w:spacing w:after="0"/>
              <w:rPr>
                <w:sz w:val="1"/>
                <w:szCs w:val="1"/>
                <w:color w:val="auto"/>
              </w:rPr>
            </w:pPr>
          </w:p>
        </w:tc>
      </w:tr>
      <w:tr>
        <w:trPr>
          <w:trHeight w:val="240"/>
        </w:trPr>
        <w:tc>
          <w:tcPr>
            <w:tcW w:w="1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0"/>
              <w:spacing w:after="0"/>
              <w:rPr>
                <w:sz w:val="20"/>
                <w:szCs w:val="20"/>
                <w:color w:val="auto"/>
              </w:rPr>
            </w:pPr>
            <w:r>
              <w:rPr>
                <w:rFonts w:ascii="Arial" w:cs="Arial" w:eastAsia="Arial" w:hAnsi="Arial"/>
                <w:sz w:val="20"/>
                <w:szCs w:val="20"/>
                <w:b w:val="1"/>
                <w:bCs w:val="1"/>
                <w:color w:val="auto"/>
              </w:rPr>
              <w:t>2022</w:t>
            </w: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3"/>
              <w:spacing w:after="0"/>
              <w:rPr>
                <w:sz w:val="20"/>
                <w:szCs w:val="20"/>
                <w:color w:val="auto"/>
              </w:rPr>
            </w:pPr>
            <w:r>
              <w:rPr>
                <w:rFonts w:ascii="Arial" w:cs="Arial" w:eastAsia="Arial" w:hAnsi="Arial"/>
                <w:sz w:val="20"/>
                <w:szCs w:val="20"/>
                <w:b w:val="1"/>
                <w:bCs w:val="1"/>
                <w:color w:val="auto"/>
              </w:rPr>
              <w:t>2021</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0" w:type="dxa"/>
            <w:vAlign w:val="bottom"/>
            <w:gridSpan w:val="2"/>
            <w:vMerge w:val="restart"/>
          </w:tcPr>
          <w:p>
            <w:pPr>
              <w:spacing w:after="0"/>
              <w:rPr>
                <w:sz w:val="20"/>
                <w:szCs w:val="20"/>
                <w:color w:val="auto"/>
              </w:rPr>
            </w:pPr>
            <w:r>
              <w:rPr>
                <w:rFonts w:ascii="Arial" w:cs="Arial" w:eastAsia="Arial" w:hAnsi="Arial"/>
                <w:sz w:val="20"/>
                <w:szCs w:val="20"/>
                <w:color w:val="auto"/>
              </w:rPr>
              <w:t>Property acquisition costs</w:t>
            </w: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6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(in millions)</w:t>
            </w: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920" w:type="dxa"/>
            <w:vAlign w:val="bottom"/>
          </w:tcPr>
          <w:p>
            <w:pPr>
              <w:ind w:left="100"/>
              <w:spacing w:after="0" w:line="256" w:lineRule="exact"/>
              <w:rPr>
                <w:sz w:val="20"/>
                <w:szCs w:val="20"/>
                <w:color w:val="auto"/>
              </w:rPr>
            </w:pPr>
            <w:r>
              <w:rPr>
                <w:rFonts w:ascii="Arial" w:cs="Arial" w:eastAsia="Arial" w:hAnsi="Arial"/>
                <w:sz w:val="20"/>
                <w:szCs w:val="20"/>
                <w:color w:val="auto"/>
              </w:rPr>
              <w:t>Proved properties</w:t>
            </w:r>
            <w:r>
              <w:rPr>
                <w:rFonts w:ascii="Arial" w:cs="Arial" w:eastAsia="Arial" w:hAnsi="Arial"/>
                <w:sz w:val="26"/>
                <w:szCs w:val="26"/>
                <w:color w:val="auto"/>
                <w:vertAlign w:val="superscript"/>
              </w:rPr>
              <w:t>(a)</w:t>
            </w:r>
          </w:p>
        </w:tc>
        <w:tc>
          <w:tcPr>
            <w:tcW w:w="960" w:type="dxa"/>
            <w:vAlign w:val="bottom"/>
            <w:gridSpan w:val="3"/>
          </w:tcPr>
          <w:p>
            <w:pPr>
              <w:ind w:left="20"/>
              <w:spacing w:after="0"/>
              <w:rPr>
                <w:sz w:val="20"/>
                <w:szCs w:val="20"/>
                <w:color w:val="auto"/>
              </w:rPr>
            </w:pPr>
            <w:r>
              <w:rPr>
                <w:rFonts w:ascii="Arial" w:cs="Arial" w:eastAsia="Arial" w:hAnsi="Arial"/>
                <w:sz w:val="20"/>
                <w:szCs w:val="20"/>
                <w:color w:val="auto"/>
              </w:rPr>
              <w:t>. . . . . . $</w:t>
            </w:r>
          </w:p>
        </w:tc>
        <w:tc>
          <w:tcPr>
            <w:tcW w:w="1360" w:type="dxa"/>
            <w:vAlign w:val="bottom"/>
            <w:gridSpan w:val="4"/>
          </w:tcPr>
          <w:p>
            <w:pPr>
              <w:jc w:val="right"/>
              <w:ind w:right="40"/>
              <w:spacing w:after="0"/>
              <w:rPr>
                <w:sz w:val="20"/>
                <w:szCs w:val="20"/>
                <w:color w:val="auto"/>
              </w:rPr>
            </w:pPr>
            <w:r>
              <w:rPr>
                <w:rFonts w:ascii="Arial" w:cs="Arial" w:eastAsia="Arial" w:hAnsi="Arial"/>
                <w:sz w:val="20"/>
                <w:szCs w:val="20"/>
                <w:color w:val="auto"/>
              </w:rPr>
              <w:t>— $</w:t>
            </w:r>
          </w:p>
        </w:tc>
        <w:tc>
          <w:tcPr>
            <w:tcW w:w="1040" w:type="dxa"/>
            <w:vAlign w:val="bottom"/>
          </w:tcPr>
          <w:p>
            <w:pPr>
              <w:jc w:val="right"/>
              <w:spacing w:after="0"/>
              <w:rPr>
                <w:sz w:val="20"/>
                <w:szCs w:val="20"/>
                <w:color w:val="auto"/>
              </w:rPr>
            </w:pPr>
            <w:r>
              <w:rPr>
                <w:rFonts w:ascii="Arial" w:cs="Arial" w:eastAsia="Arial" w:hAnsi="Arial"/>
                <w:sz w:val="20"/>
                <w:szCs w:val="20"/>
                <w:color w:val="auto"/>
              </w:rPr>
              <w:t>53</w:t>
            </w:r>
          </w:p>
        </w:tc>
        <w:tc>
          <w:tcPr>
            <w:tcW w:w="80" w:type="dxa"/>
            <w:vAlign w:val="bottom"/>
          </w:tcPr>
          <w:p>
            <w:pPr>
              <w:spacing w:after="0"/>
              <w:rPr>
                <w:sz w:val="22"/>
                <w:szCs w:val="22"/>
                <w:color w:val="auto"/>
              </w:rPr>
            </w:pPr>
          </w:p>
        </w:tc>
        <w:tc>
          <w:tcPr>
            <w:tcW w:w="880" w:type="dxa"/>
            <w:vAlign w:val="bottom"/>
          </w:tcPr>
          <w:p>
            <w:pPr>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4"/>
        </w:trPr>
        <w:tc>
          <w:tcPr>
            <w:tcW w:w="1920" w:type="dxa"/>
            <w:vAlign w:val="bottom"/>
          </w:tcPr>
          <w:p>
            <w:pPr>
              <w:ind w:left="100"/>
              <w:spacing w:after="0" w:line="224" w:lineRule="exact"/>
              <w:rPr>
                <w:sz w:val="20"/>
                <w:szCs w:val="20"/>
                <w:color w:val="auto"/>
              </w:rPr>
            </w:pPr>
            <w:r>
              <w:rPr>
                <w:rFonts w:ascii="Arial" w:cs="Arial" w:eastAsia="Arial" w:hAnsi="Arial"/>
                <w:sz w:val="20"/>
                <w:szCs w:val="20"/>
                <w:color w:val="auto"/>
                <w:w w:val="99"/>
              </w:rPr>
              <w:t>Unproved properties</w:t>
            </w:r>
          </w:p>
        </w:tc>
        <w:tc>
          <w:tcPr>
            <w:tcW w:w="680" w:type="dxa"/>
            <w:vAlign w:val="bottom"/>
          </w:tcPr>
          <w:p>
            <w:pPr>
              <w:ind w:left="120"/>
              <w:spacing w:after="0" w:line="224" w:lineRule="exact"/>
              <w:rPr>
                <w:sz w:val="20"/>
                <w:szCs w:val="20"/>
                <w:color w:val="auto"/>
              </w:rPr>
            </w:pPr>
            <w:r>
              <w:rPr>
                <w:rFonts w:ascii="Arial" w:cs="Arial" w:eastAsia="Arial" w:hAnsi="Arial"/>
                <w:sz w:val="20"/>
                <w:szCs w:val="20"/>
                <w:color w:val="auto"/>
              </w:rPr>
              <w:t>. . . . .</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line="224" w:lineRule="exact"/>
              <w:rPr>
                <w:sz w:val="20"/>
                <w:szCs w:val="20"/>
                <w:color w:val="auto"/>
              </w:rPr>
            </w:pPr>
            <w:r>
              <w:rPr>
                <w:rFonts w:ascii="Arial" w:cs="Arial" w:eastAsia="Arial" w:hAnsi="Arial"/>
                <w:sz w:val="20"/>
                <w:szCs w:val="20"/>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80"/>
              <w:spacing w:after="0" w:line="224" w:lineRule="exact"/>
              <w:rPr>
                <w:sz w:val="20"/>
                <w:szCs w:val="20"/>
                <w:color w:val="auto"/>
              </w:rPr>
            </w:pPr>
            <w:r>
              <w:rPr>
                <w:rFonts w:ascii="Arial" w:cs="Arial" w:eastAsia="Arial" w:hAnsi="Arial"/>
                <w:sz w:val="20"/>
                <w:szCs w:val="20"/>
                <w:color w:val="auto"/>
              </w:rPr>
              <w:t>—</w:t>
            </w:r>
          </w:p>
        </w:tc>
        <w:tc>
          <w:tcPr>
            <w:tcW w:w="880" w:type="dxa"/>
            <w:vAlign w:val="bottom"/>
          </w:tcPr>
          <w:p>
            <w:pPr>
              <w:spacing w:after="0"/>
              <w:rPr>
                <w:sz w:val="19"/>
                <w:szCs w:val="19"/>
                <w:color w:val="auto"/>
              </w:rPr>
            </w:pPr>
          </w:p>
        </w:tc>
        <w:tc>
          <w:tcPr>
            <w:tcW w:w="940" w:type="dxa"/>
            <w:vAlign w:val="bottom"/>
          </w:tcPr>
          <w:p>
            <w:pPr>
              <w:jc w:val="right"/>
              <w:spacing w:after="0" w:line="224"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1920" w:type="dxa"/>
            <w:vAlign w:val="bottom"/>
          </w:tcPr>
          <w:p>
            <w:pPr>
              <w:spacing w:after="0"/>
              <w:rPr>
                <w:sz w:val="20"/>
                <w:szCs w:val="20"/>
                <w:color w:val="auto"/>
              </w:rPr>
            </w:pPr>
            <w:r>
              <w:rPr>
                <w:rFonts w:ascii="Arial" w:cs="Arial" w:eastAsia="Arial" w:hAnsi="Arial"/>
                <w:sz w:val="20"/>
                <w:szCs w:val="20"/>
                <w:color w:val="auto"/>
              </w:rPr>
              <w:t>Exploration costs . . .</w:t>
            </w:r>
          </w:p>
        </w:tc>
        <w:tc>
          <w:tcPr>
            <w:tcW w:w="680" w:type="dxa"/>
            <w:vAlign w:val="bottom"/>
          </w:tcPr>
          <w:p>
            <w:pPr>
              <w:ind w:left="20"/>
              <w:spacing w:after="0"/>
              <w:rPr>
                <w:sz w:val="20"/>
                <w:szCs w:val="20"/>
                <w:color w:val="auto"/>
              </w:rPr>
            </w:pPr>
            <w:r>
              <w:rPr>
                <w:rFonts w:ascii="Arial" w:cs="Arial" w:eastAsia="Arial" w:hAnsi="Arial"/>
                <w:sz w:val="20"/>
                <w:szCs w:val="20"/>
                <w:color w:val="auto"/>
              </w:rPr>
              <w:t>. . . . . .</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70"/>
        </w:trPr>
        <w:tc>
          <w:tcPr>
            <w:tcW w:w="1920" w:type="dxa"/>
            <w:vAlign w:val="bottom"/>
          </w:tcPr>
          <w:p>
            <w:pPr>
              <w:spacing w:after="0" w:line="270" w:lineRule="exact"/>
              <w:rPr>
                <w:sz w:val="20"/>
                <w:szCs w:val="20"/>
                <w:color w:val="auto"/>
              </w:rPr>
            </w:pPr>
            <w:r>
              <w:rPr>
                <w:rFonts w:ascii="Arial" w:cs="Arial" w:eastAsia="Arial" w:hAnsi="Arial"/>
                <w:sz w:val="20"/>
                <w:szCs w:val="20"/>
                <w:color w:val="auto"/>
                <w:w w:val="99"/>
              </w:rPr>
              <w:t>Development costs</w:t>
            </w:r>
            <w:r>
              <w:rPr>
                <w:rFonts w:ascii="Arial" w:cs="Arial" w:eastAsia="Arial" w:hAnsi="Arial"/>
                <w:sz w:val="26"/>
                <w:szCs w:val="26"/>
                <w:color w:val="auto"/>
                <w:w w:val="99"/>
                <w:vertAlign w:val="superscript"/>
              </w:rPr>
              <w:t>(b)</w:t>
            </w:r>
          </w:p>
        </w:tc>
        <w:tc>
          <w:tcPr>
            <w:tcW w:w="680" w:type="dxa"/>
            <w:vAlign w:val="bottom"/>
          </w:tcPr>
          <w:p>
            <w:pPr>
              <w:ind w:left="20"/>
              <w:spacing w:after="0"/>
              <w:rPr>
                <w:sz w:val="20"/>
                <w:szCs w:val="20"/>
                <w:color w:val="auto"/>
              </w:rPr>
            </w:pPr>
            <w:r>
              <w:rPr>
                <w:rFonts w:ascii="Arial" w:cs="Arial" w:eastAsia="Arial" w:hAnsi="Arial"/>
                <w:sz w:val="20"/>
                <w:szCs w:val="20"/>
                <w:color w:val="auto"/>
              </w:rPr>
              <w:t>. . . . . .</w:t>
            </w:r>
          </w:p>
        </w:tc>
        <w:tc>
          <w:tcPr>
            <w:tcW w:w="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389</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210</w:t>
            </w:r>
          </w:p>
        </w:tc>
        <w:tc>
          <w:tcPr>
            <w:tcW w:w="80" w:type="dxa"/>
            <w:vAlign w:val="bottom"/>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0"/>
                <w:szCs w:val="20"/>
                <w:color w:val="auto"/>
              </w:rPr>
            </w:pPr>
            <w:r>
              <w:rPr>
                <w:rFonts w:ascii="Arial" w:cs="Arial" w:eastAsia="Arial" w:hAnsi="Arial"/>
                <w:sz w:val="20"/>
                <w:szCs w:val="20"/>
                <w:b w:val="1"/>
                <w:bCs w:val="1"/>
                <w:color w:val="auto"/>
              </w:rPr>
              <w:t xml:space="preserve">Costs incurred </w:t>
            </w:r>
            <w:r>
              <w:rPr>
                <w:rFonts w:ascii="Arial" w:cs="Arial" w:eastAsia="Arial" w:hAnsi="Arial"/>
                <w:sz w:val="20"/>
                <w:szCs w:val="20"/>
                <w:color w:val="auto"/>
              </w:rPr>
              <w:t>. . . .</w:t>
            </w:r>
          </w:p>
        </w:tc>
        <w:tc>
          <w:tcPr>
            <w:tcW w:w="960" w:type="dxa"/>
            <w:vAlign w:val="bottom"/>
            <w:gridSpan w:val="3"/>
          </w:tcPr>
          <w:p>
            <w:pPr>
              <w:ind w:left="20"/>
              <w:spacing w:after="0"/>
              <w:rPr>
                <w:sz w:val="20"/>
                <w:szCs w:val="20"/>
                <w:color w:val="auto"/>
              </w:rPr>
            </w:pPr>
            <w:r>
              <w:rPr>
                <w:rFonts w:ascii="Arial" w:cs="Arial" w:eastAsia="Arial" w:hAnsi="Arial"/>
                <w:sz w:val="20"/>
                <w:szCs w:val="20"/>
                <w:color w:val="auto"/>
              </w:rPr>
              <w:t>. . . . . . $</w:t>
            </w:r>
          </w:p>
        </w:tc>
        <w:tc>
          <w:tcPr>
            <w:tcW w:w="1020" w:type="dxa"/>
            <w:vAlign w:val="bottom"/>
          </w:tcPr>
          <w:p>
            <w:pPr>
              <w:jc w:val="right"/>
              <w:spacing w:after="0"/>
              <w:rPr>
                <w:sz w:val="20"/>
                <w:szCs w:val="20"/>
                <w:color w:val="auto"/>
              </w:rPr>
            </w:pPr>
            <w:r>
              <w:rPr>
                <w:rFonts w:ascii="Arial" w:cs="Arial" w:eastAsia="Arial" w:hAnsi="Arial"/>
                <w:sz w:val="20"/>
                <w:szCs w:val="20"/>
                <w:color w:val="auto"/>
              </w:rPr>
              <w:t>393</w:t>
            </w:r>
          </w:p>
        </w:tc>
        <w:tc>
          <w:tcPr>
            <w:tcW w:w="340" w:type="dxa"/>
            <w:vAlign w:val="bottom"/>
            <w:gridSpan w:val="3"/>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270</w:t>
            </w:r>
          </w:p>
        </w:tc>
        <w:tc>
          <w:tcPr>
            <w:tcW w:w="80" w:type="dxa"/>
            <w:vAlign w:val="bottom"/>
          </w:tcPr>
          <w:p>
            <w:pPr>
              <w:spacing w:after="0"/>
              <w:rPr>
                <w:sz w:val="23"/>
                <w:szCs w:val="23"/>
                <w:color w:val="auto"/>
              </w:rPr>
            </w:pPr>
          </w:p>
        </w:tc>
        <w:tc>
          <w:tcPr>
            <w:tcW w:w="880" w:type="dxa"/>
            <w:vAlign w:val="bottom"/>
          </w:tcPr>
          <w:p>
            <w:pPr>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30"/>
        </w:trPr>
        <w:tc>
          <w:tcPr>
            <w:tcW w:w="1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Predecessor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19050</wp:posOffset>
                </wp:positionV>
                <wp:extent cx="102425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2425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5pt" to="81pt,1.5pt" o:allowincell="f" strokecolor="#000000" strokeweight="1pt"/>
            </w:pict>
          </mc:Fallback>
        </mc:AlternateContent>
      </w:r>
    </w:p>
    <w:p>
      <w:pPr>
        <w:spacing w:after="0" w:line="112" w:lineRule="exact"/>
        <w:rPr>
          <w:sz w:val="20"/>
          <w:szCs w:val="20"/>
          <w:color w:val="auto"/>
        </w:rPr>
      </w:pPr>
    </w:p>
    <w:p>
      <w:pPr>
        <w:ind w:left="20" w:right="60" w:hanging="4"/>
        <w:spacing w:after="0" w:line="234" w:lineRule="auto"/>
        <w:rPr>
          <w:sz w:val="20"/>
          <w:szCs w:val="20"/>
          <w:color w:val="auto"/>
        </w:rPr>
      </w:pPr>
      <w:r>
        <w:rPr>
          <w:rFonts w:ascii="Arial" w:cs="Arial" w:eastAsia="Arial" w:hAnsi="Arial"/>
          <w:sz w:val="19"/>
          <w:szCs w:val="19"/>
          <w:b w:val="1"/>
          <w:bCs w:val="1"/>
          <w:color w:val="auto"/>
        </w:rPr>
        <w:t>January 1, 2020 - October 31, 2020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146685</wp:posOffset>
                </wp:positionV>
                <wp:extent cx="102425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2425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1.55pt" to="81pt,11.55pt" o:allowincell="f" strokecolor="#000000" strokeweight="1pt"/>
            </w:pict>
          </mc:Fallback>
        </mc:AlternateConten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60" w:type="dxa"/>
            <w:vAlign w:val="bottom"/>
          </w:tcPr>
          <w:p>
            <w:pPr>
              <w:spacing w:after="0"/>
              <w:rPr>
                <w:sz w:val="16"/>
                <w:szCs w:val="16"/>
                <w:color w:val="auto"/>
              </w:rPr>
            </w:pPr>
          </w:p>
        </w:tc>
        <w:tc>
          <w:tcPr>
            <w:tcW w:w="1320" w:type="dxa"/>
            <w:vAlign w:val="bottom"/>
          </w:tcPr>
          <w:p>
            <w:pPr>
              <w:jc w:val="right"/>
              <w:ind w:right="283"/>
              <w:spacing w:after="0"/>
              <w:rPr>
                <w:sz w:val="20"/>
                <w:szCs w:val="20"/>
                <w:color w:val="auto"/>
              </w:rPr>
            </w:pPr>
            <w:r>
              <w:rPr>
                <w:rFonts w:ascii="Arial" w:cs="Arial" w:eastAsia="Arial" w:hAnsi="Arial"/>
                <w:sz w:val="16"/>
                <w:szCs w:val="16"/>
                <w:color w:val="auto"/>
              </w:rPr>
              <w:t>(in millions)</w:t>
            </w:r>
          </w:p>
        </w:tc>
      </w:tr>
      <w:tr>
        <w:trPr>
          <w:trHeight w:val="248"/>
        </w:trPr>
        <w:tc>
          <w:tcPr>
            <w:tcW w:w="260" w:type="dxa"/>
            <w:vAlign w:val="bottom"/>
          </w:tcPr>
          <w:p>
            <w:pPr>
              <w:jc w:val="right"/>
              <w:ind w:right="40"/>
              <w:spacing w:after="0"/>
              <w:rPr>
                <w:sz w:val="20"/>
                <w:szCs w:val="20"/>
                <w:color w:val="auto"/>
              </w:rPr>
            </w:pPr>
            <w:r>
              <w:rPr>
                <w:rFonts w:ascii="Arial" w:cs="Arial" w:eastAsia="Arial" w:hAnsi="Arial"/>
                <w:sz w:val="20"/>
                <w:szCs w:val="20"/>
                <w:color w:val="auto"/>
                <w:w w:val="89"/>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40"/>
        </w:trPr>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40"/>
        </w:trPr>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40"/>
        </w:trPr>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30"/>
        </w:trPr>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70"/>
        </w:trPr>
        <w:tc>
          <w:tcPr>
            <w:tcW w:w="260" w:type="dxa"/>
            <w:vAlign w:val="bottom"/>
          </w:tcPr>
          <w:p>
            <w:pPr>
              <w:jc w:val="right"/>
              <w:ind w:right="40"/>
              <w:spacing w:after="0"/>
              <w:rPr>
                <w:sz w:val="20"/>
                <w:szCs w:val="20"/>
                <w:color w:val="auto"/>
              </w:rPr>
            </w:pPr>
            <w:r>
              <w:rPr>
                <w:rFonts w:ascii="Arial" w:cs="Arial" w:eastAsia="Arial" w:hAnsi="Arial"/>
                <w:sz w:val="20"/>
                <w:szCs w:val="20"/>
                <w:color w:val="auto"/>
                <w:w w:val="89"/>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30"/>
        </w:trPr>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sectPr>
          <w:pgSz w:w="11880" w:h="15480" w:orient="portrait"/>
          <w:cols w:equalWidth="0" w:num="2">
            <w:col w:w="7180" w:space="320"/>
            <w:col w:w="1680"/>
          </w:cols>
          <w:pgMar w:left="1380" w:top="1310" w:right="1320" w:bottom="661" w:gutter="0" w:footer="0" w:header="0"/>
          <w:type w:val="continuous"/>
        </w:sectPr>
      </w:pPr>
    </w:p>
    <w:p>
      <w:pPr>
        <w:ind w:left="400" w:hanging="320"/>
        <w:spacing w:after="0"/>
        <w:tabs>
          <w:tab w:leader="none" w:pos="4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Acquisition costs relates to our acquisition of MIRA’s working interests in certain wells in 2021.</w:t>
      </w:r>
    </w:p>
    <w:p>
      <w:pPr>
        <w:spacing w:after="0" w:line="21" w:lineRule="exact"/>
        <w:rPr>
          <w:rFonts w:ascii="Arial" w:cs="Arial" w:eastAsia="Arial" w:hAnsi="Arial"/>
          <w:sz w:val="16"/>
          <w:szCs w:val="16"/>
          <w:color w:val="auto"/>
        </w:rPr>
      </w:pPr>
    </w:p>
    <w:p>
      <w:pPr>
        <w:ind w:left="400" w:right="80" w:hanging="320"/>
        <w:spacing w:after="0" w:line="287" w:lineRule="auto"/>
        <w:tabs>
          <w:tab w:leader="none" w:pos="4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Development costs include a $24 million increase in ARO in 2022 (including assets held for sale). Development costs include a $19 million increase in ARO in 2021. There were no costs incurred for development costs related to ARO in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9" w:lineRule="exact"/>
        <w:rPr>
          <w:sz w:val="20"/>
          <w:szCs w:val="20"/>
          <w:color w:val="auto"/>
        </w:rPr>
      </w:pPr>
    </w:p>
    <w:p>
      <w:pPr>
        <w:ind w:right="800" w:firstLine="270"/>
        <w:spacing w:after="0" w:line="248" w:lineRule="auto"/>
        <w:rPr>
          <w:sz w:val="20"/>
          <w:szCs w:val="20"/>
          <w:color w:val="auto"/>
        </w:rPr>
      </w:pPr>
      <w:r>
        <w:rPr>
          <w:rFonts w:ascii="Arial" w:cs="Arial" w:eastAsia="Arial" w:hAnsi="Arial"/>
          <w:sz w:val="18"/>
          <w:szCs w:val="18"/>
          <w:color w:val="auto"/>
        </w:rPr>
        <w:t>Our oil and natural gas producing activities, which exclude items such as asset dispositions, corporate overhead and interest,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8"/>
                <w:szCs w:val="18"/>
                <w:b w:val="1"/>
                <w:bCs w:val="1"/>
                <w:color w:val="auto"/>
                <w:w w:val="98"/>
              </w:rPr>
              <w:t>Successor</w:t>
            </w: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8"/>
                <w:szCs w:val="18"/>
                <w:b w:val="1"/>
                <w:bCs w:val="1"/>
                <w:color w:val="auto"/>
              </w:rPr>
              <w:t>Predecessor</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5"/>
          </w:tcPr>
          <w:p>
            <w:pPr>
              <w:jc w:val="right"/>
              <w:ind w:right="480"/>
              <w:spacing w:after="0" w:line="193" w:lineRule="exact"/>
              <w:rPr>
                <w:sz w:val="20"/>
                <w:szCs w:val="20"/>
                <w:color w:val="auto"/>
              </w:rPr>
            </w:pPr>
            <w:r>
              <w:rPr>
                <w:rFonts w:ascii="Arial" w:cs="Arial" w:eastAsia="Arial" w:hAnsi="Arial"/>
                <w:sz w:val="18"/>
                <w:szCs w:val="18"/>
                <w:b w:val="1"/>
                <w:bCs w:val="1"/>
                <w:color w:val="auto"/>
              </w:rPr>
              <w:t>Year ended</w:t>
            </w:r>
          </w:p>
        </w:tc>
        <w:tc>
          <w:tcPr>
            <w:tcW w:w="180" w:type="dxa"/>
            <w:vAlign w:val="bottom"/>
          </w:tcPr>
          <w:p>
            <w:pPr>
              <w:spacing w:after="0"/>
              <w:rPr>
                <w:sz w:val="16"/>
                <w:szCs w:val="16"/>
                <w:color w:val="auto"/>
              </w:rPr>
            </w:pPr>
          </w:p>
        </w:tc>
        <w:tc>
          <w:tcPr>
            <w:tcW w:w="1540" w:type="dxa"/>
            <w:vAlign w:val="bottom"/>
            <w:gridSpan w:val="5"/>
          </w:tcPr>
          <w:p>
            <w:pPr>
              <w:jc w:val="center"/>
              <w:ind w:right="260"/>
              <w:spacing w:after="0" w:line="193" w:lineRule="exact"/>
              <w:rPr>
                <w:sz w:val="20"/>
                <w:szCs w:val="20"/>
                <w:color w:val="auto"/>
              </w:rPr>
            </w:pPr>
            <w:r>
              <w:rPr>
                <w:rFonts w:ascii="Arial" w:cs="Arial" w:eastAsia="Arial" w:hAnsi="Arial"/>
                <w:sz w:val="18"/>
                <w:szCs w:val="18"/>
                <w:b w:val="1"/>
                <w:bCs w:val="1"/>
                <w:color w:val="auto"/>
                <w:w w:val="98"/>
              </w:rPr>
              <w:t>Year ended</w:t>
            </w:r>
          </w:p>
        </w:tc>
        <w:tc>
          <w:tcPr>
            <w:tcW w:w="1800" w:type="dxa"/>
            <w:vAlign w:val="bottom"/>
            <w:tcBorders>
              <w:right w:val="single" w:sz="8" w:color="auto"/>
            </w:tcBorders>
            <w:gridSpan w:val="8"/>
            <w:vMerge w:val="restart"/>
          </w:tcPr>
          <w:p>
            <w:pPr>
              <w:jc w:val="right"/>
              <w:ind w:right="120"/>
              <w:spacing w:after="0"/>
              <w:rPr>
                <w:sz w:val="20"/>
                <w:szCs w:val="20"/>
                <w:color w:val="auto"/>
              </w:rPr>
            </w:pPr>
            <w:r>
              <w:rPr>
                <w:rFonts w:ascii="Arial" w:cs="Arial" w:eastAsia="Arial" w:hAnsi="Arial"/>
                <w:sz w:val="18"/>
                <w:szCs w:val="18"/>
                <w:b w:val="1"/>
                <w:bCs w:val="1"/>
                <w:color w:val="auto"/>
              </w:rPr>
              <w:t>November 1, 2020 -</w:t>
            </w:r>
          </w:p>
        </w:tc>
        <w:tc>
          <w:tcPr>
            <w:tcW w:w="140" w:type="dxa"/>
            <w:vAlign w:val="bottom"/>
          </w:tcPr>
          <w:p>
            <w:pPr>
              <w:spacing w:after="0"/>
              <w:rPr>
                <w:sz w:val="16"/>
                <w:szCs w:val="16"/>
                <w:color w:val="auto"/>
              </w:rPr>
            </w:pPr>
          </w:p>
        </w:tc>
        <w:tc>
          <w:tcPr>
            <w:tcW w:w="1680" w:type="dxa"/>
            <w:vAlign w:val="bottom"/>
            <w:gridSpan w:val="5"/>
            <w:vMerge w:val="restart"/>
          </w:tcPr>
          <w:p>
            <w:pPr>
              <w:jc w:val="right"/>
              <w:ind w:right="140"/>
              <w:spacing w:after="0"/>
              <w:rPr>
                <w:sz w:val="20"/>
                <w:szCs w:val="20"/>
                <w:color w:val="auto"/>
              </w:rPr>
            </w:pPr>
            <w:r>
              <w:rPr>
                <w:rFonts w:ascii="Arial" w:cs="Arial" w:eastAsia="Arial" w:hAnsi="Arial"/>
                <w:sz w:val="18"/>
                <w:szCs w:val="18"/>
                <w:b w:val="1"/>
                <w:bCs w:val="1"/>
                <w:color w:val="auto"/>
              </w:rPr>
              <w:t>January 1, 2020 -</w:t>
            </w:r>
          </w:p>
        </w:tc>
        <w:tc>
          <w:tcPr>
            <w:tcW w:w="0" w:type="dxa"/>
            <w:vAlign w:val="bottom"/>
          </w:tcPr>
          <w:p>
            <w:pPr>
              <w:spacing w:after="0"/>
              <w:rPr>
                <w:sz w:val="1"/>
                <w:szCs w:val="1"/>
                <w:color w:val="auto"/>
              </w:rPr>
            </w:pPr>
          </w:p>
        </w:tc>
      </w:tr>
      <w:tr>
        <w:trPr>
          <w:trHeight w:val="80"/>
        </w:trPr>
        <w:tc>
          <w:tcPr>
            <w:tcW w:w="2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0" w:type="dxa"/>
            <w:vAlign w:val="bottom"/>
            <w:gridSpan w:val="5"/>
            <w:vMerge w:val="restart"/>
          </w:tcPr>
          <w:p>
            <w:pPr>
              <w:jc w:val="right"/>
              <w:ind w:right="380"/>
              <w:spacing w:after="0" w:line="203" w:lineRule="exact"/>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6"/>
                <w:szCs w:val="6"/>
                <w:color w:val="auto"/>
              </w:rPr>
            </w:pPr>
          </w:p>
        </w:tc>
        <w:tc>
          <w:tcPr>
            <w:tcW w:w="1540" w:type="dxa"/>
            <w:vAlign w:val="bottom"/>
            <w:gridSpan w:val="5"/>
            <w:vMerge w:val="restart"/>
          </w:tcPr>
          <w:p>
            <w:pPr>
              <w:jc w:val="center"/>
              <w:ind w:right="260"/>
              <w:spacing w:after="0" w:line="203" w:lineRule="exact"/>
              <w:rPr>
                <w:sz w:val="20"/>
                <w:szCs w:val="20"/>
                <w:color w:val="auto"/>
              </w:rPr>
            </w:pPr>
            <w:r>
              <w:rPr>
                <w:rFonts w:ascii="Arial" w:cs="Arial" w:eastAsia="Arial" w:hAnsi="Arial"/>
                <w:sz w:val="18"/>
                <w:szCs w:val="18"/>
                <w:b w:val="1"/>
                <w:bCs w:val="1"/>
                <w:color w:val="auto"/>
                <w:w w:val="99"/>
              </w:rPr>
              <w:t>December 31,</w:t>
            </w:r>
          </w:p>
        </w:tc>
        <w:tc>
          <w:tcPr>
            <w:tcW w:w="1800" w:type="dxa"/>
            <w:vAlign w:val="bottom"/>
            <w:tcBorders>
              <w:right w:val="single" w:sz="8" w:color="auto"/>
            </w:tcBorders>
            <w:gridSpan w:val="8"/>
            <w:vMerge w:val="continue"/>
          </w:tcPr>
          <w:p>
            <w:pPr>
              <w:spacing w:after="0"/>
              <w:rPr>
                <w:sz w:val="6"/>
                <w:szCs w:val="6"/>
                <w:color w:val="auto"/>
              </w:rPr>
            </w:pPr>
          </w:p>
        </w:tc>
        <w:tc>
          <w:tcPr>
            <w:tcW w:w="1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2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0" w:type="dxa"/>
            <w:vAlign w:val="bottom"/>
            <w:gridSpan w:val="5"/>
            <w:vMerge w:val="continue"/>
          </w:tcPr>
          <w:p>
            <w:pPr>
              <w:spacing w:after="0"/>
              <w:rPr>
                <w:sz w:val="10"/>
                <w:szCs w:val="10"/>
                <w:color w:val="auto"/>
              </w:rPr>
            </w:pPr>
          </w:p>
        </w:tc>
        <w:tc>
          <w:tcPr>
            <w:tcW w:w="180" w:type="dxa"/>
            <w:vAlign w:val="bottom"/>
          </w:tcPr>
          <w:p>
            <w:pPr>
              <w:spacing w:after="0"/>
              <w:rPr>
                <w:sz w:val="10"/>
                <w:szCs w:val="10"/>
                <w:color w:val="auto"/>
              </w:rPr>
            </w:pPr>
          </w:p>
        </w:tc>
        <w:tc>
          <w:tcPr>
            <w:tcW w:w="1540" w:type="dxa"/>
            <w:vAlign w:val="bottom"/>
            <w:gridSpan w:val="5"/>
            <w:vMerge w:val="continue"/>
          </w:tcPr>
          <w:p>
            <w:pPr>
              <w:spacing w:after="0"/>
              <w:rPr>
                <w:sz w:val="10"/>
                <w:szCs w:val="10"/>
                <w:color w:val="auto"/>
              </w:rPr>
            </w:pPr>
          </w:p>
        </w:tc>
        <w:tc>
          <w:tcPr>
            <w:tcW w:w="1800" w:type="dxa"/>
            <w:vAlign w:val="bottom"/>
            <w:tcBorders>
              <w:right w:val="single" w:sz="8" w:color="auto"/>
            </w:tcBorders>
            <w:gridSpan w:val="8"/>
            <w:vMerge w:val="restart"/>
          </w:tcPr>
          <w:p>
            <w:pPr>
              <w:jc w:val="right"/>
              <w:ind w:right="140"/>
              <w:spacing w:after="0" w:line="148" w:lineRule="exact"/>
              <w:rPr>
                <w:sz w:val="20"/>
                <w:szCs w:val="20"/>
                <w:color w:val="auto"/>
              </w:rPr>
            </w:pPr>
            <w:r>
              <w:rPr>
                <w:rFonts w:ascii="Arial" w:cs="Arial" w:eastAsia="Arial" w:hAnsi="Arial"/>
                <w:sz w:val="17"/>
                <w:szCs w:val="17"/>
                <w:b w:val="1"/>
                <w:bCs w:val="1"/>
                <w:color w:val="auto"/>
              </w:rPr>
              <w:t>December 31, 2020</w:t>
            </w:r>
          </w:p>
        </w:tc>
        <w:tc>
          <w:tcPr>
            <w:tcW w:w="140" w:type="dxa"/>
            <w:vAlign w:val="bottom"/>
          </w:tcPr>
          <w:p>
            <w:pPr>
              <w:spacing w:after="0"/>
              <w:rPr>
                <w:sz w:val="10"/>
                <w:szCs w:val="10"/>
                <w:color w:val="auto"/>
              </w:rPr>
            </w:pPr>
          </w:p>
        </w:tc>
        <w:tc>
          <w:tcPr>
            <w:tcW w:w="1680" w:type="dxa"/>
            <w:vAlign w:val="bottom"/>
            <w:gridSpan w:val="5"/>
            <w:vMerge w:val="restart"/>
          </w:tcPr>
          <w:p>
            <w:pPr>
              <w:jc w:val="right"/>
              <w:ind w:right="140"/>
              <w:spacing w:after="0" w:line="148" w:lineRule="exact"/>
              <w:rPr>
                <w:sz w:val="20"/>
                <w:szCs w:val="20"/>
                <w:color w:val="auto"/>
              </w:rPr>
            </w:pPr>
            <w:r>
              <w:rPr>
                <w:rFonts w:ascii="Arial" w:cs="Arial" w:eastAsia="Arial" w:hAnsi="Arial"/>
                <w:sz w:val="17"/>
                <w:szCs w:val="17"/>
                <w:b w:val="1"/>
                <w:bCs w:val="1"/>
                <w:color w:val="auto"/>
              </w:rPr>
              <w:t>October 31, 2020</w:t>
            </w:r>
          </w:p>
        </w:tc>
        <w:tc>
          <w:tcPr>
            <w:tcW w:w="0" w:type="dxa"/>
            <w:vAlign w:val="bottom"/>
          </w:tcPr>
          <w:p>
            <w:pPr>
              <w:spacing w:after="0"/>
              <w:rPr>
                <w:sz w:val="1"/>
                <w:szCs w:val="1"/>
                <w:color w:val="auto"/>
              </w:rPr>
            </w:pPr>
          </w:p>
        </w:tc>
      </w:tr>
      <w:tr>
        <w:trPr>
          <w:trHeight w:val="24"/>
        </w:trPr>
        <w:tc>
          <w:tcPr>
            <w:tcW w:w="2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right w:val="single" w:sz="8" w:color="auto"/>
            </w:tcBorders>
            <w:gridSpan w:val="8"/>
            <w:vMerge w:val="continue"/>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ind w:right="33"/>
              <w:spacing w:after="0"/>
              <w:rPr>
                <w:sz w:val="20"/>
                <w:szCs w:val="20"/>
                <w:color w:val="auto"/>
              </w:rPr>
            </w:pPr>
            <w:r>
              <w:rPr>
                <w:rFonts w:ascii="Arial" w:cs="Arial" w:eastAsia="Arial" w:hAnsi="Arial"/>
                <w:sz w:val="18"/>
                <w:szCs w:val="18"/>
                <w:b w:val="1"/>
                <w:bCs w:val="1"/>
                <w:color w:val="auto"/>
              </w:rPr>
              <w:t>2022</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4"/>
          </w:tcPr>
          <w:p>
            <w:pPr>
              <w:jc w:val="center"/>
              <w:ind w:right="71"/>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2060" w:type="dxa"/>
            <w:vAlign w:val="bottom"/>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206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6"/>
                <w:szCs w:val="16"/>
                <w:color w:val="auto"/>
              </w:rPr>
              <w:t>(millions)</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6"/>
                <w:szCs w:val="16"/>
                <w:color w:val="auto"/>
                <w:w w:val="94"/>
              </w:rPr>
              <w:t>/Boe)</w:t>
            </w:r>
          </w:p>
        </w:tc>
        <w:tc>
          <w:tcPr>
            <w:tcW w:w="900" w:type="dxa"/>
            <w:vAlign w:val="bottom"/>
            <w:gridSpan w:val="3"/>
          </w:tcPr>
          <w:p>
            <w:pPr>
              <w:jc w:val="right"/>
              <w:ind w:right="200"/>
              <w:spacing w:after="0"/>
              <w:rPr>
                <w:sz w:val="20"/>
                <w:szCs w:val="20"/>
                <w:color w:val="auto"/>
              </w:rPr>
            </w:pPr>
            <w:r>
              <w:rPr>
                <w:rFonts w:ascii="Arial" w:cs="Arial" w:eastAsia="Arial" w:hAnsi="Arial"/>
                <w:sz w:val="16"/>
                <w:szCs w:val="16"/>
                <w:color w:val="auto"/>
              </w:rPr>
              <w:t>(millions)</w:t>
            </w:r>
          </w:p>
        </w:tc>
        <w:tc>
          <w:tcPr>
            <w:tcW w:w="10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w w:val="95"/>
              </w:rPr>
              <w:t>($/Boe)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3"/>
          </w:tcPr>
          <w:p>
            <w:pPr>
              <w:spacing w:after="0"/>
              <w:rPr>
                <w:sz w:val="20"/>
                <w:szCs w:val="20"/>
                <w:color w:val="auto"/>
              </w:rPr>
            </w:pPr>
            <w:r>
              <w:rPr>
                <w:rFonts w:ascii="Arial" w:cs="Arial" w:eastAsia="Arial" w:hAnsi="Arial"/>
                <w:sz w:val="16"/>
                <w:szCs w:val="16"/>
                <w:color w:val="auto"/>
              </w:rPr>
              <w:t>(millions)</w:t>
            </w:r>
          </w:p>
        </w:tc>
        <w:tc>
          <w:tcPr>
            <w:tcW w:w="100" w:type="dxa"/>
            <w:vAlign w:val="bottom"/>
          </w:tcPr>
          <w:p>
            <w:pPr>
              <w:spacing w:after="0"/>
              <w:rPr>
                <w:sz w:val="16"/>
                <w:szCs w:val="16"/>
                <w:color w:val="auto"/>
              </w:rPr>
            </w:pPr>
          </w:p>
        </w:tc>
        <w:tc>
          <w:tcPr>
            <w:tcW w:w="7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w w:val="95"/>
              </w:rPr>
              <w:t>($/Boe)</w:t>
            </w:r>
          </w:p>
        </w:tc>
        <w:tc>
          <w:tcPr>
            <w:tcW w:w="14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(millions)</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w w:val="95"/>
              </w:rPr>
              <w:t>($/Boe)</w:t>
            </w:r>
          </w:p>
        </w:tc>
        <w:tc>
          <w:tcPr>
            <w:tcW w:w="0" w:type="dxa"/>
            <w:vAlign w:val="bottom"/>
          </w:tcPr>
          <w:p>
            <w:pPr>
              <w:spacing w:after="0"/>
              <w:rPr>
                <w:sz w:val="1"/>
                <w:szCs w:val="1"/>
                <w:color w:val="auto"/>
              </w:rPr>
            </w:pPr>
          </w:p>
        </w:tc>
      </w:tr>
      <w:tr>
        <w:trPr>
          <w:trHeight w:val="233"/>
        </w:trPr>
        <w:tc>
          <w:tcPr>
            <w:tcW w:w="2060" w:type="dxa"/>
            <w:vAlign w:val="bottom"/>
          </w:tcPr>
          <w:p>
            <w:pPr>
              <w:spacing w:after="0" w:line="233" w:lineRule="exact"/>
              <w:rPr>
                <w:sz w:val="20"/>
                <w:szCs w:val="20"/>
                <w:color w:val="auto"/>
              </w:rPr>
            </w:pPr>
            <w:r>
              <w:rPr>
                <w:rFonts w:ascii="Arial" w:cs="Arial" w:eastAsia="Arial" w:hAnsi="Arial"/>
                <w:sz w:val="18"/>
                <w:szCs w:val="18"/>
                <w:color w:val="auto"/>
              </w:rPr>
              <w:t>Revenues</w:t>
            </w:r>
            <w:r>
              <w:rPr>
                <w:rFonts w:ascii="Arial" w:cs="Arial" w:eastAsia="Arial" w:hAnsi="Arial"/>
                <w:sz w:val="23"/>
                <w:szCs w:val="23"/>
                <w:color w:val="auto"/>
                <w:vertAlign w:val="superscript"/>
              </w:rPr>
              <w:t>(a)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1,901</w:t>
            </w: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57.51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1,729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47.55</w:t>
            </w:r>
          </w:p>
        </w:tc>
        <w:tc>
          <w:tcPr>
            <w:tcW w:w="32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235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37.49</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  1,196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34.98</w:t>
            </w:r>
          </w:p>
        </w:tc>
        <w:tc>
          <w:tcPr>
            <w:tcW w:w="0" w:type="dxa"/>
            <w:vAlign w:val="bottom"/>
          </w:tcPr>
          <w:p>
            <w:pPr>
              <w:spacing w:after="0"/>
              <w:rPr>
                <w:sz w:val="1"/>
                <w:szCs w:val="1"/>
                <w:color w:val="auto"/>
              </w:rPr>
            </w:pPr>
          </w:p>
        </w:tc>
      </w:tr>
      <w:tr>
        <w:trPr>
          <w:trHeight w:val="215"/>
        </w:trPr>
        <w:tc>
          <w:tcPr>
            <w:tcW w:w="2060" w:type="dxa"/>
            <w:vAlign w:val="bottom"/>
          </w:tcPr>
          <w:p>
            <w:pPr>
              <w:spacing w:after="0" w:line="215" w:lineRule="exact"/>
              <w:rPr>
                <w:sz w:val="20"/>
                <w:szCs w:val="20"/>
                <w:color w:val="auto"/>
              </w:rPr>
            </w:pPr>
            <w:r>
              <w:rPr>
                <w:rFonts w:ascii="Arial" w:cs="Arial" w:eastAsia="Arial" w:hAnsi="Arial"/>
                <w:sz w:val="18"/>
                <w:szCs w:val="18"/>
                <w:color w:val="auto"/>
              </w:rPr>
              <w:t>Operating costs</w:t>
            </w:r>
            <w:r>
              <w:rPr>
                <w:rFonts w:ascii="Arial" w:cs="Arial" w:eastAsia="Arial" w:hAnsi="Arial"/>
                <w:sz w:val="23"/>
                <w:szCs w:val="23"/>
                <w:color w:val="auto"/>
                <w:vertAlign w:val="superscript"/>
              </w:rPr>
              <w:t>(b)</w:t>
            </w:r>
          </w:p>
        </w:tc>
        <w:tc>
          <w:tcPr>
            <w:tcW w:w="180" w:type="dxa"/>
            <w:vAlign w:val="bottom"/>
          </w:tcPr>
          <w:p>
            <w:pPr>
              <w:spacing w:after="0"/>
              <w:rPr>
                <w:sz w:val="18"/>
                <w:szCs w:val="18"/>
                <w:color w:val="auto"/>
              </w:rPr>
            </w:pPr>
          </w:p>
        </w:tc>
        <w:tc>
          <w:tcPr>
            <w:tcW w:w="560" w:type="dxa"/>
            <w:vAlign w:val="bottom"/>
          </w:tcPr>
          <w:p>
            <w:pPr>
              <w:jc w:val="right"/>
              <w:spacing w:after="0" w:line="201" w:lineRule="exact"/>
              <w:rPr>
                <w:sz w:val="20"/>
                <w:szCs w:val="20"/>
                <w:color w:val="auto"/>
              </w:rPr>
            </w:pPr>
            <w:r>
              <w:rPr>
                <w:rFonts w:ascii="Arial" w:cs="Arial" w:eastAsia="Arial" w:hAnsi="Arial"/>
                <w:sz w:val="18"/>
                <w:szCs w:val="18"/>
                <w:color w:val="auto"/>
              </w:rPr>
              <w:t>785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23.75</w:t>
            </w:r>
          </w:p>
        </w:tc>
        <w:tc>
          <w:tcPr>
            <w:tcW w:w="180" w:type="dxa"/>
            <w:vAlign w:val="bottom"/>
          </w:tcPr>
          <w:p>
            <w:pPr>
              <w:spacing w:after="0"/>
              <w:rPr>
                <w:sz w:val="18"/>
                <w:szCs w:val="18"/>
                <w:color w:val="auto"/>
              </w:rPr>
            </w:pPr>
          </w:p>
        </w:tc>
        <w:tc>
          <w:tcPr>
            <w:tcW w:w="72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705</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19.39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160"/>
              <w:spacing w:after="0" w:line="201" w:lineRule="exact"/>
              <w:rPr>
                <w:sz w:val="20"/>
                <w:szCs w:val="20"/>
                <w:color w:val="auto"/>
              </w:rPr>
            </w:pPr>
            <w:r>
              <w:rPr>
                <w:rFonts w:ascii="Arial" w:cs="Arial" w:eastAsia="Arial" w:hAnsi="Arial"/>
                <w:sz w:val="18"/>
                <w:szCs w:val="18"/>
                <w:color w:val="auto"/>
              </w:rPr>
              <w:t>18.19</w:t>
            </w:r>
          </w:p>
        </w:tc>
        <w:tc>
          <w:tcPr>
            <w:tcW w:w="1040" w:type="dxa"/>
            <w:vAlign w:val="bottom"/>
            <w:gridSpan w:val="3"/>
          </w:tcPr>
          <w:p>
            <w:pPr>
              <w:jc w:val="right"/>
              <w:ind w:right="160"/>
              <w:spacing w:after="0" w:line="201" w:lineRule="exact"/>
              <w:rPr>
                <w:sz w:val="20"/>
                <w:szCs w:val="20"/>
                <w:color w:val="auto"/>
              </w:rPr>
            </w:pPr>
            <w:r>
              <w:rPr>
                <w:rFonts w:ascii="Arial" w:cs="Arial" w:eastAsia="Arial" w:hAnsi="Arial"/>
                <w:sz w:val="18"/>
                <w:szCs w:val="18"/>
                <w:color w:val="auto"/>
              </w:rPr>
              <w:t>511</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01"/>
        </w:trPr>
        <w:tc>
          <w:tcPr>
            <w:tcW w:w="2060" w:type="dxa"/>
            <w:vAlign w:val="bottom"/>
          </w:tcPr>
          <w:p>
            <w:pPr>
              <w:spacing w:after="0" w:line="201" w:lineRule="exact"/>
              <w:rPr>
                <w:sz w:val="20"/>
                <w:szCs w:val="20"/>
                <w:color w:val="auto"/>
              </w:rPr>
            </w:pPr>
            <w:r>
              <w:rPr>
                <w:rFonts w:ascii="Arial" w:cs="Arial" w:eastAsia="Arial" w:hAnsi="Arial"/>
                <w:sz w:val="18"/>
                <w:szCs w:val="18"/>
                <w:color w:val="auto"/>
              </w:rPr>
              <w:t>General and</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60" w:type="dxa"/>
            <w:vAlign w:val="bottom"/>
          </w:tcPr>
          <w:p>
            <w:pPr>
              <w:spacing w:after="0"/>
              <w:rPr>
                <w:sz w:val="20"/>
                <w:szCs w:val="20"/>
                <w:color w:val="auto"/>
              </w:rPr>
            </w:pPr>
            <w:r>
              <w:rPr>
                <w:rFonts w:ascii="Arial" w:cs="Arial" w:eastAsia="Arial" w:hAnsi="Arial"/>
                <w:sz w:val="18"/>
                <w:szCs w:val="18"/>
                <w:color w:val="auto"/>
              </w:rPr>
              <w:t>administrative</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expenses</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0.94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1.12</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5"/>
        </w:trPr>
        <w:tc>
          <w:tcPr>
            <w:tcW w:w="2060" w:type="dxa"/>
            <w:vAlign w:val="bottom"/>
          </w:tcPr>
          <w:p>
            <w:pPr>
              <w:spacing w:after="0"/>
              <w:rPr>
                <w:sz w:val="20"/>
                <w:szCs w:val="20"/>
                <w:color w:val="auto"/>
              </w:rPr>
            </w:pPr>
            <w:r>
              <w:rPr>
                <w:rFonts w:ascii="Arial" w:cs="Arial" w:eastAsia="Arial" w:hAnsi="Arial"/>
                <w:sz w:val="18"/>
                <w:szCs w:val="18"/>
                <w:color w:val="auto"/>
              </w:rPr>
              <w:t>Other operating</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Pr>
          <w:p>
            <w:pPr>
              <w:spacing w:after="0" w:line="230" w:lineRule="exact"/>
              <w:rPr>
                <w:sz w:val="20"/>
                <w:szCs w:val="20"/>
                <w:color w:val="auto"/>
              </w:rPr>
            </w:pPr>
            <w:r>
              <w:rPr>
                <w:rFonts w:ascii="Arial" w:cs="Arial" w:eastAsia="Arial" w:hAnsi="Arial"/>
                <w:sz w:val="18"/>
                <w:szCs w:val="18"/>
                <w:color w:val="auto"/>
              </w:rPr>
              <w:t>expenses</w:t>
            </w:r>
            <w:r>
              <w:rPr>
                <w:rFonts w:ascii="Arial" w:cs="Arial" w:eastAsia="Arial" w:hAnsi="Arial"/>
                <w:sz w:val="23"/>
                <w:szCs w:val="23"/>
                <w:color w:val="auto"/>
                <w:vertAlign w:val="superscript"/>
              </w:rPr>
              <w:t>(c)</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0.64</w:t>
            </w:r>
          </w:p>
        </w:tc>
        <w:tc>
          <w:tcPr>
            <w:tcW w:w="1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0.68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0.94</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1"/>
        </w:trPr>
        <w:tc>
          <w:tcPr>
            <w:tcW w:w="2060" w:type="dxa"/>
            <w:vAlign w:val="bottom"/>
          </w:tcPr>
          <w:p>
            <w:pPr>
              <w:spacing w:after="0" w:line="201" w:lineRule="exact"/>
              <w:rPr>
                <w:sz w:val="20"/>
                <w:szCs w:val="20"/>
                <w:color w:val="auto"/>
              </w:rPr>
            </w:pPr>
            <w:r>
              <w:rPr>
                <w:rFonts w:ascii="Arial" w:cs="Arial" w:eastAsia="Arial" w:hAnsi="Arial"/>
                <w:sz w:val="18"/>
                <w:szCs w:val="18"/>
                <w:color w:val="auto"/>
              </w:rPr>
              <w:t>Depreciation, depletion</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and amortization</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5.29</w:t>
            </w:r>
          </w:p>
        </w:tc>
        <w:tc>
          <w:tcPr>
            <w:tcW w:w="1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5.23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4.95</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15"/>
        </w:trPr>
        <w:tc>
          <w:tcPr>
            <w:tcW w:w="2060" w:type="dxa"/>
            <w:vAlign w:val="bottom"/>
          </w:tcPr>
          <w:p>
            <w:pPr>
              <w:spacing w:after="0"/>
              <w:rPr>
                <w:sz w:val="20"/>
                <w:szCs w:val="20"/>
                <w:color w:val="auto"/>
              </w:rPr>
            </w:pPr>
            <w:r>
              <w:rPr>
                <w:rFonts w:ascii="Arial" w:cs="Arial" w:eastAsia="Arial" w:hAnsi="Arial"/>
                <w:sz w:val="18"/>
                <w:szCs w:val="18"/>
                <w:color w:val="auto"/>
              </w:rPr>
              <w:t>Taxes other than on</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income</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3.36</w:t>
            </w:r>
          </w:p>
        </w:tc>
        <w:tc>
          <w:tcPr>
            <w:tcW w:w="1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0.64</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5"/>
        </w:trPr>
        <w:tc>
          <w:tcPr>
            <w:tcW w:w="2060" w:type="dxa"/>
            <w:vAlign w:val="bottom"/>
          </w:tcPr>
          <w:p>
            <w:pPr>
              <w:spacing w:after="0"/>
              <w:rPr>
                <w:sz w:val="20"/>
                <w:szCs w:val="20"/>
                <w:color w:val="auto"/>
              </w:rPr>
            </w:pPr>
            <w:r>
              <w:rPr>
                <w:rFonts w:ascii="Arial" w:cs="Arial" w:eastAsia="Arial" w:hAnsi="Arial"/>
                <w:sz w:val="18"/>
                <w:szCs w:val="18"/>
                <w:color w:val="auto"/>
              </w:rPr>
              <w:t>Asset impairment</w:t>
            </w:r>
          </w:p>
        </w:tc>
        <w:tc>
          <w:tcPr>
            <w:tcW w:w="1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1,733</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50.69</w:t>
            </w:r>
          </w:p>
        </w:tc>
        <w:tc>
          <w:tcPr>
            <w:tcW w:w="0" w:type="dxa"/>
            <w:vAlign w:val="bottom"/>
          </w:tcPr>
          <w:p>
            <w:pPr>
              <w:spacing w:after="0"/>
              <w:rPr>
                <w:sz w:val="1"/>
                <w:szCs w:val="1"/>
                <w:color w:val="auto"/>
              </w:rPr>
            </w:pPr>
          </w:p>
        </w:tc>
      </w:tr>
      <w:tr>
        <w:trPr>
          <w:trHeight w:val="215"/>
        </w:trPr>
        <w:tc>
          <w:tcPr>
            <w:tcW w:w="2060" w:type="dxa"/>
            <w:vAlign w:val="bottom"/>
          </w:tcPr>
          <w:p>
            <w:pPr>
              <w:spacing w:after="0"/>
              <w:rPr>
                <w:sz w:val="20"/>
                <w:szCs w:val="20"/>
                <w:color w:val="auto"/>
              </w:rPr>
            </w:pPr>
            <w:r>
              <w:rPr>
                <w:rFonts w:ascii="Arial" w:cs="Arial" w:eastAsia="Arial" w:hAnsi="Arial"/>
                <w:sz w:val="18"/>
                <w:szCs w:val="18"/>
                <w:color w:val="auto"/>
              </w:rPr>
              <w:t>Accretion expense</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1.28</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15"/>
        </w:trPr>
        <w:tc>
          <w:tcPr>
            <w:tcW w:w="2060" w:type="dxa"/>
            <w:vAlign w:val="bottom"/>
          </w:tcPr>
          <w:p>
            <w:pPr>
              <w:spacing w:after="0"/>
              <w:rPr>
                <w:sz w:val="20"/>
                <w:szCs w:val="20"/>
                <w:color w:val="auto"/>
              </w:rPr>
            </w:pPr>
            <w:r>
              <w:rPr>
                <w:rFonts w:ascii="Arial" w:cs="Arial" w:eastAsia="Arial" w:hAnsi="Arial"/>
                <w:sz w:val="18"/>
                <w:szCs w:val="18"/>
                <w:color w:val="auto"/>
              </w:rPr>
              <w:t>Exploration expenses</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0.12</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0.16</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34"/>
        </w:trPr>
        <w:tc>
          <w:tcPr>
            <w:tcW w:w="2060" w:type="dxa"/>
            <w:vAlign w:val="bottom"/>
            <w:vMerge w:val="restart"/>
          </w:tcPr>
          <w:p>
            <w:pPr>
              <w:spacing w:after="0"/>
              <w:rPr>
                <w:sz w:val="20"/>
                <w:szCs w:val="20"/>
                <w:color w:val="auto"/>
              </w:rPr>
            </w:pPr>
            <w:r>
              <w:rPr>
                <w:rFonts w:ascii="Arial" w:cs="Arial" w:eastAsia="Arial" w:hAnsi="Arial"/>
                <w:sz w:val="18"/>
                <w:szCs w:val="18"/>
                <w:b w:val="1"/>
                <w:bCs w:val="1"/>
                <w:color w:val="auto"/>
              </w:rPr>
              <w:t>Pretax income</w:t>
            </w: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0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726</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21.96</w:t>
            </w:r>
          </w:p>
        </w:tc>
        <w:tc>
          <w:tcPr>
            <w:tcW w:w="18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16.91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10.21</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(45.46)</w:t>
            </w:r>
          </w:p>
        </w:tc>
        <w:tc>
          <w:tcPr>
            <w:tcW w:w="0" w:type="dxa"/>
            <w:vAlign w:val="bottom"/>
          </w:tcPr>
          <w:p>
            <w:pPr>
              <w:spacing w:after="0"/>
              <w:rPr>
                <w:sz w:val="1"/>
                <w:szCs w:val="1"/>
                <w:color w:val="auto"/>
              </w:rPr>
            </w:pPr>
          </w:p>
        </w:tc>
      </w:tr>
      <w:tr>
        <w:trPr>
          <w:trHeight w:val="249"/>
        </w:trPr>
        <w:tc>
          <w:tcPr>
            <w:tcW w:w="2060" w:type="dxa"/>
            <w:vAlign w:val="bottom"/>
          </w:tcPr>
          <w:p>
            <w:pPr>
              <w:spacing w:after="0" w:line="248" w:lineRule="exact"/>
              <w:rPr>
                <w:sz w:val="20"/>
                <w:szCs w:val="20"/>
                <w:color w:val="auto"/>
              </w:rPr>
            </w:pPr>
            <w:r>
              <w:rPr>
                <w:rFonts w:ascii="Arial" w:cs="Arial" w:eastAsia="Arial" w:hAnsi="Arial"/>
                <w:sz w:val="18"/>
                <w:szCs w:val="18"/>
                <w:color w:val="auto"/>
              </w:rPr>
              <w:t>Income tax expense</w:t>
            </w:r>
            <w:r>
              <w:rPr>
                <w:rFonts w:ascii="Arial" w:cs="Arial" w:eastAsia="Arial" w:hAnsi="Arial"/>
                <w:sz w:val="23"/>
                <w:szCs w:val="23"/>
                <w:color w:val="auto"/>
                <w:vertAlign w:val="superscript"/>
              </w:rPr>
              <w:t>(d)</w:t>
            </w:r>
          </w:p>
        </w:tc>
        <w:tc>
          <w:tcPr>
            <w:tcW w:w="18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240" w:type="dxa"/>
            <w:vAlign w:val="bottom"/>
          </w:tcPr>
          <w:p>
            <w:pPr>
              <w:spacing w:after="0"/>
              <w:rPr>
                <w:sz w:val="21"/>
                <w:szCs w:val="2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(5.72)</w:t>
            </w:r>
          </w:p>
        </w:tc>
        <w:tc>
          <w:tcPr>
            <w:tcW w:w="18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(3.96)</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7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(2.87)</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rPr>
                <w:sz w:val="20"/>
                <w:szCs w:val="20"/>
                <w:color w:val="auto"/>
              </w:rPr>
            </w:pPr>
            <w:r>
              <w:rPr>
                <w:rFonts w:ascii="Arial" w:cs="Arial" w:eastAsia="Arial" w:hAnsi="Arial"/>
                <w:sz w:val="18"/>
                <w:szCs w:val="18"/>
                <w:b w:val="1"/>
                <w:bCs w:val="1"/>
                <w:color w:val="auto"/>
              </w:rPr>
              <w:t>Results of operations</w:t>
            </w: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6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537</w:t>
            </w:r>
          </w:p>
        </w:tc>
        <w:tc>
          <w:tcPr>
            <w:tcW w:w="16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16.24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12.95</w:t>
            </w:r>
          </w:p>
        </w:tc>
        <w:tc>
          <w:tcPr>
            <w:tcW w:w="32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7.34</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  (1,119)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(32.74)</w:t>
            </w:r>
          </w:p>
        </w:tc>
        <w:tc>
          <w:tcPr>
            <w:tcW w:w="0" w:type="dxa"/>
            <w:vAlign w:val="bottom"/>
          </w:tcPr>
          <w:p>
            <w:pPr>
              <w:spacing w:after="0"/>
              <w:rPr>
                <w:sz w:val="1"/>
                <w:szCs w:val="1"/>
                <w:color w:val="auto"/>
              </w:rPr>
            </w:pPr>
          </w:p>
        </w:tc>
      </w:tr>
      <w:tr>
        <w:trPr>
          <w:trHeight w:val="34"/>
        </w:trPr>
        <w:tc>
          <w:tcPr>
            <w:tcW w:w="2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400" w:right="560" w:hanging="320"/>
        <w:spacing w:after="0" w:line="254" w:lineRule="auto"/>
        <w:tabs>
          <w:tab w:leader="none" w:pos="4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Revenues include oil, natural gas and NGL sales, cash settlements on our commodity derivatives and other revenue related to our oil and natural gas operations.</w:t>
      </w:r>
    </w:p>
    <w:p>
      <w:pPr>
        <w:spacing w:after="0" w:line="10" w:lineRule="exact"/>
        <w:rPr>
          <w:rFonts w:ascii="Arial" w:cs="Arial" w:eastAsia="Arial" w:hAnsi="Arial"/>
          <w:sz w:val="16"/>
          <w:szCs w:val="16"/>
          <w:color w:val="auto"/>
        </w:rPr>
      </w:pPr>
    </w:p>
    <w:p>
      <w:pPr>
        <w:ind w:left="400" w:right="380" w:hanging="320"/>
        <w:spacing w:after="0" w:line="254" w:lineRule="auto"/>
        <w:tabs>
          <w:tab w:leader="none" w:pos="4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Operating costs are the costs incurred in lifting the oil and natural gas to the surface and include gathering, processing, field storage and insurance on proved properties.</w:t>
      </w:r>
    </w:p>
    <w:p>
      <w:pPr>
        <w:spacing w:after="0" w:line="5" w:lineRule="exact"/>
        <w:rPr>
          <w:rFonts w:ascii="Arial" w:cs="Arial" w:eastAsia="Arial" w:hAnsi="Arial"/>
          <w:sz w:val="16"/>
          <w:szCs w:val="16"/>
          <w:color w:val="auto"/>
        </w:rPr>
      </w:pPr>
    </w:p>
    <w:p>
      <w:pPr>
        <w:ind w:left="400" w:hanging="320"/>
        <w:spacing w:after="0"/>
        <w:tabs>
          <w:tab w:leader="none" w:pos="4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Other operating expenses primarily include transportation costs.</w:t>
      </w:r>
    </w:p>
    <w:p>
      <w:pPr>
        <w:spacing w:after="0" w:line="21" w:lineRule="exact"/>
        <w:rPr>
          <w:rFonts w:ascii="Arial" w:cs="Arial" w:eastAsia="Arial" w:hAnsi="Arial"/>
          <w:sz w:val="16"/>
          <w:szCs w:val="16"/>
          <w:color w:val="auto"/>
        </w:rPr>
      </w:pPr>
    </w:p>
    <w:p>
      <w:pPr>
        <w:ind w:left="400" w:right="460" w:hanging="320"/>
        <w:spacing w:after="0" w:line="257" w:lineRule="auto"/>
        <w:tabs>
          <w:tab w:leader="none" w:pos="4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Income taxes are calculated on the basis of a stand-alone tax filing entity. The combined U.S. federal and California statutory tax rate was 26%. The effective tax rate for 2022 and 2021 includes the benefit of enhanced oil recovery and marginal well tax credits.</w:t>
      </w:r>
    </w:p>
    <w:p>
      <w:pPr>
        <w:sectPr>
          <w:pgSz w:w="11880" w:h="15480" w:orient="portrait"/>
          <w:cols w:equalWidth="0" w:num="1">
            <w:col w:w="9180"/>
          </w:cols>
          <w:pgMar w:left="1380" w:top="1310" w:right="1320" w:bottom="661" w:gutter="0" w:footer="0" w:header="0"/>
          <w:type w:val="continuous"/>
        </w:sectPr>
      </w:pPr>
    </w:p>
    <w:p>
      <w:pPr>
        <w:spacing w:after="0" w:line="253"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160</w:t>
      </w:r>
    </w:p>
    <w:p>
      <w:pPr>
        <w:sectPr>
          <w:pgSz w:w="11880" w:h="15480" w:orient="portrait"/>
          <w:cols w:equalWidth="0" w:num="1">
            <w:col w:w="9180"/>
          </w:cols>
          <w:pgMar w:left="1380" w:top="1310" w:right="1320" w:bottom="661" w:gutter="0" w:footer="0" w:header="0"/>
          <w:type w:val="continuous"/>
        </w:sectPr>
      </w:pPr>
    </w:p>
    <w:bookmarkStart w:id="164" w:name="page165"/>
    <w:bookmarkEnd w:id="164"/>
    <w:p>
      <w:pPr>
        <w:ind w:right="60"/>
        <w:spacing w:after="0" w:line="250" w:lineRule="auto"/>
        <w:rPr>
          <w:sz w:val="20"/>
          <w:szCs w:val="20"/>
          <w:color w:val="auto"/>
        </w:rPr>
      </w:pPr>
      <w:r>
        <w:rPr>
          <w:rFonts w:ascii="Arial" w:cs="Arial" w:eastAsia="Arial" w:hAnsi="Arial"/>
          <w:sz w:val="18"/>
          <w:szCs w:val="18"/>
          <w:b w:val="1"/>
          <w:bCs w:val="1"/>
          <w:color w:val="auto"/>
        </w:rPr>
        <w:t>STANDARDIZED MEASURE, INCLUDING YEAR-TO-YEAR CHANGES THEREIN, OF DISCOUNTED FUTURE NET CASH FLOWS</w:t>
      </w:r>
    </w:p>
    <w:p>
      <w:pPr>
        <w:spacing w:after="0" w:line="211" w:lineRule="exact"/>
        <w:rPr>
          <w:sz w:val="20"/>
          <w:szCs w:val="20"/>
          <w:color w:val="auto"/>
        </w:rPr>
      </w:pPr>
    </w:p>
    <w:p>
      <w:pPr>
        <w:ind w:right="40" w:firstLine="270"/>
        <w:spacing w:after="0" w:line="254" w:lineRule="auto"/>
        <w:rPr>
          <w:sz w:val="20"/>
          <w:szCs w:val="20"/>
          <w:color w:val="auto"/>
        </w:rPr>
      </w:pPr>
      <w:r>
        <w:rPr>
          <w:rFonts w:ascii="Arial" w:cs="Arial" w:eastAsia="Arial" w:hAnsi="Arial"/>
          <w:sz w:val="18"/>
          <w:szCs w:val="18"/>
          <w:color w:val="auto"/>
        </w:rPr>
        <w:t>For purposes of the following disclosures, discounted future net cash flows were computed by applying to our proved oil and natural gas reserves the unweighted arithmetic average of the first-day-of-the-month price for each month within the years ended December 31, 2022, 2021 and 2020, respectively. The realized prices used to calculate future cash flows vary by producing area and market conditions. Future operating and capital costs were determined using the current cost environment applied to expectations of future operating and development activities. Future income tax expense was computed by applying, generally, year-end statutory tax rates (adjusted for permanent differences and tax credits) to the estimated net future pre-tax cash flows, after allowing for the deductions for intangible drilling costs and tax DD&amp;A. The cash flows were discounted using a 10% discount factor. The calculations assumed the continuation of existing economic, operating and contractual conditions at December 31, 2022, 2021 and 2020. Such assumptions, which are prescribed by regulation, have not always proven accurate in the past. Other valid assumptions would give rise to substantially different results.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Standardized Measure of Discounted Future Net Cash Flows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spacing w:after="0"/>
              <w:rPr>
                <w:sz w:val="20"/>
                <w:szCs w:val="20"/>
                <w:color w:val="auto"/>
              </w:rPr>
            </w:pPr>
            <w:r>
              <w:rPr>
                <w:rFonts w:ascii="Arial" w:cs="Arial" w:eastAsia="Arial" w:hAnsi="Arial"/>
                <w:sz w:val="16"/>
                <w:szCs w:val="16"/>
                <w:b w:val="1"/>
                <w:bCs w:val="1"/>
                <w:color w:val="auto"/>
              </w:rPr>
              <w:t>Successor</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5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4"/>
          </w:tcPr>
          <w:p>
            <w:pPr>
              <w:spacing w:after="0" w:line="171" w:lineRule="exact"/>
              <w:rPr>
                <w:sz w:val="20"/>
                <w:szCs w:val="20"/>
                <w:color w:val="auto"/>
              </w:rPr>
            </w:pPr>
            <w:r>
              <w:rPr>
                <w:rFonts w:ascii="Arial" w:cs="Arial" w:eastAsia="Arial" w:hAnsi="Arial"/>
                <w:sz w:val="16"/>
                <w:szCs w:val="16"/>
                <w:b w:val="1"/>
                <w:bCs w:val="1"/>
                <w:color w:val="auto"/>
              </w:rPr>
              <w:t>December 31,</w:t>
            </w:r>
          </w:p>
        </w:tc>
        <w:tc>
          <w:tcPr>
            <w:tcW w:w="20" w:type="dxa"/>
            <w:vAlign w:val="bottom"/>
          </w:tcPr>
          <w:p>
            <w:pPr>
              <w:spacing w:after="0"/>
              <w:rPr>
                <w:sz w:val="14"/>
                <w:szCs w:val="14"/>
                <w:color w:val="auto"/>
              </w:rPr>
            </w:pPr>
          </w:p>
        </w:tc>
        <w:tc>
          <w:tcPr>
            <w:tcW w:w="1140" w:type="dxa"/>
            <w:vAlign w:val="bottom"/>
            <w:gridSpan w:val="4"/>
          </w:tcPr>
          <w:p>
            <w:pPr>
              <w:spacing w:after="0" w:line="171" w:lineRule="exact"/>
              <w:rPr>
                <w:sz w:val="20"/>
                <w:szCs w:val="20"/>
                <w:color w:val="auto"/>
              </w:rPr>
            </w:pPr>
            <w:r>
              <w:rPr>
                <w:rFonts w:ascii="Arial" w:cs="Arial" w:eastAsia="Arial" w:hAnsi="Arial"/>
                <w:sz w:val="16"/>
                <w:szCs w:val="16"/>
                <w:b w:val="1"/>
                <w:bCs w:val="1"/>
                <w:color w:val="auto"/>
              </w:rPr>
              <w:t>December 31,</w:t>
            </w:r>
          </w:p>
        </w:tc>
        <w:tc>
          <w:tcPr>
            <w:tcW w:w="1120" w:type="dxa"/>
            <w:vAlign w:val="bottom"/>
            <w:gridSpan w:val="5"/>
          </w:tcPr>
          <w:p>
            <w:pPr>
              <w:ind w:left="80"/>
              <w:spacing w:after="0" w:line="171" w:lineRule="exact"/>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181"/>
        </w:trPr>
        <w:tc>
          <w:tcPr>
            <w:tcW w:w="5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51"/>
              <w:spacing w:after="0" w:line="181" w:lineRule="exact"/>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252"/>
              <w:spacing w:after="0" w:line="181" w:lineRule="exact"/>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31"/>
              <w:spacing w:after="0" w:line="181" w:lineRule="exact"/>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5580" w:type="dxa"/>
            <w:vAlign w:val="bottom"/>
            <w:vMerge w:val="restart"/>
          </w:tcPr>
          <w:p>
            <w:pPr>
              <w:spacing w:after="0"/>
              <w:rPr>
                <w:sz w:val="20"/>
                <w:szCs w:val="20"/>
                <w:color w:val="auto"/>
              </w:rPr>
            </w:pPr>
            <w:r>
              <w:rPr>
                <w:rFonts w:ascii="Arial" w:cs="Arial" w:eastAsia="Arial" w:hAnsi="Arial"/>
                <w:sz w:val="16"/>
                <w:szCs w:val="16"/>
                <w:color w:val="auto"/>
              </w:rPr>
              <w:t>(in millions)</w:t>
            </w: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55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580" w:type="dxa"/>
            <w:vAlign w:val="bottom"/>
          </w:tcPr>
          <w:p>
            <w:pPr>
              <w:jc w:val="right"/>
              <w:ind w:right="91"/>
              <w:spacing w:after="0"/>
              <w:rPr>
                <w:sz w:val="20"/>
                <w:szCs w:val="20"/>
                <w:color w:val="auto"/>
              </w:rPr>
            </w:pPr>
            <w:r>
              <w:rPr>
                <w:rFonts w:ascii="Arial" w:cs="Arial" w:eastAsia="Arial" w:hAnsi="Arial"/>
                <w:sz w:val="18"/>
                <w:szCs w:val="18"/>
                <w:color w:val="auto"/>
                <w:w w:val="96"/>
              </w:rPr>
              <w:t>Future cash inflows . . . . . . . . . . . . . . . . . . . . . . . . . . . . . . . . . . . . . . . .</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35,190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28,031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15,532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80" w:type="dxa"/>
            <w:vAlign w:val="bottom"/>
          </w:tcPr>
          <w:p>
            <w:pPr>
              <w:spacing w:after="0"/>
              <w:rPr>
                <w:sz w:val="20"/>
                <w:szCs w:val="20"/>
                <w:color w:val="auto"/>
              </w:rPr>
            </w:pPr>
            <w:r>
              <w:rPr>
                <w:rFonts w:ascii="Arial" w:cs="Arial" w:eastAsia="Arial" w:hAnsi="Arial"/>
                <w:sz w:val="18"/>
                <w:szCs w:val="18"/>
                <w:color w:val="auto"/>
              </w:rPr>
              <w:t>Future costs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580" w:type="dxa"/>
            <w:vAlign w:val="bottom"/>
          </w:tcPr>
          <w:p>
            <w:pPr>
              <w:jc w:val="right"/>
              <w:ind w:right="91"/>
              <w:spacing w:after="0" w:line="239" w:lineRule="exact"/>
              <w:rPr>
                <w:sz w:val="20"/>
                <w:szCs w:val="20"/>
                <w:color w:val="auto"/>
              </w:rPr>
            </w:pPr>
            <w:r>
              <w:rPr>
                <w:rFonts w:ascii="Arial" w:cs="Arial" w:eastAsia="Arial" w:hAnsi="Arial"/>
                <w:sz w:val="18"/>
                <w:szCs w:val="18"/>
                <w:color w:val="auto"/>
                <w:w w:val="96"/>
              </w:rPr>
              <w:t>Operating costs</w:t>
            </w:r>
            <w:r>
              <w:rPr>
                <w:rFonts w:ascii="Arial" w:cs="Arial" w:eastAsia="Arial" w:hAnsi="Arial"/>
                <w:sz w:val="23"/>
                <w:szCs w:val="23"/>
                <w:color w:val="auto"/>
                <w:w w:val="96"/>
                <w:vertAlign w:val="superscript"/>
              </w:rPr>
              <w:t>(a)</w:t>
            </w:r>
            <w:r>
              <w:rPr>
                <w:rFonts w:ascii="Arial" w:cs="Arial" w:eastAsia="Arial" w:hAnsi="Arial"/>
                <w:sz w:val="18"/>
                <w:szCs w:val="18"/>
                <w:color w:val="auto"/>
                <w:w w:val="96"/>
              </w:rPr>
              <w:t xml:space="preserve"> . . . . . . . . . . . . . .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(15,294)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(13,508)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580" w:type="dxa"/>
            <w:vAlign w:val="bottom"/>
          </w:tcPr>
          <w:p>
            <w:pPr>
              <w:jc w:val="right"/>
              <w:ind w:right="91"/>
              <w:spacing w:after="0" w:line="220" w:lineRule="exact"/>
              <w:rPr>
                <w:sz w:val="20"/>
                <w:szCs w:val="20"/>
                <w:color w:val="auto"/>
              </w:rPr>
            </w:pPr>
            <w:r>
              <w:rPr>
                <w:rFonts w:ascii="Arial" w:cs="Arial" w:eastAsia="Arial" w:hAnsi="Arial"/>
                <w:sz w:val="18"/>
                <w:szCs w:val="18"/>
                <w:color w:val="auto"/>
                <w:w w:val="96"/>
              </w:rPr>
              <w:t>Development costs</w:t>
            </w:r>
            <w:r>
              <w:rPr>
                <w:rFonts w:ascii="Arial" w:cs="Arial" w:eastAsia="Arial" w:hAnsi="Arial"/>
                <w:sz w:val="23"/>
                <w:szCs w:val="23"/>
                <w:color w:val="auto"/>
                <w:w w:val="96"/>
                <w:vertAlign w:val="superscript"/>
              </w:rPr>
              <w:t>(b)</w:t>
            </w:r>
            <w:r>
              <w:rPr>
                <w:rFonts w:ascii="Arial" w:cs="Arial" w:eastAsia="Arial" w:hAnsi="Arial"/>
                <w:sz w:val="18"/>
                <w:szCs w:val="18"/>
                <w:color w:val="auto"/>
                <w:w w:val="96"/>
              </w:rPr>
              <w:t xml:space="preserve">  . . . . . . . . . . . . . . . . . . . . . . . . . . . . . . . . . . . . . .</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3"/>
          </w:tcPr>
          <w:p>
            <w:pPr>
              <w:jc w:val="right"/>
              <w:ind w:right="160"/>
              <w:spacing w:after="0" w:line="201" w:lineRule="exact"/>
              <w:rPr>
                <w:sz w:val="20"/>
                <w:szCs w:val="20"/>
                <w:color w:val="auto"/>
              </w:rPr>
            </w:pPr>
            <w:r>
              <w:rPr>
                <w:rFonts w:ascii="Arial" w:cs="Arial" w:eastAsia="Arial" w:hAnsi="Arial"/>
                <w:sz w:val="18"/>
                <w:szCs w:val="18"/>
                <w:color w:val="auto"/>
              </w:rPr>
              <w:t>(1,973)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80"/>
              <w:spacing w:after="0" w:line="201" w:lineRule="exact"/>
              <w:rPr>
                <w:sz w:val="20"/>
                <w:szCs w:val="20"/>
                <w:color w:val="auto"/>
              </w:rPr>
            </w:pPr>
            <w:r>
              <w:rPr>
                <w:rFonts w:ascii="Arial" w:cs="Arial" w:eastAsia="Arial" w:hAnsi="Arial"/>
                <w:sz w:val="18"/>
                <w:szCs w:val="18"/>
                <w:color w:val="auto"/>
              </w:rPr>
              <w:t>(2,607)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(2,392)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580" w:type="dxa"/>
            <w:vAlign w:val="bottom"/>
          </w:tcPr>
          <w:p>
            <w:pPr>
              <w:jc w:val="right"/>
              <w:ind w:right="91"/>
              <w:spacing w:after="0" w:line="201" w:lineRule="exact"/>
              <w:rPr>
                <w:sz w:val="20"/>
                <w:szCs w:val="20"/>
                <w:color w:val="auto"/>
              </w:rPr>
            </w:pPr>
            <w:r>
              <w:rPr>
                <w:rFonts w:ascii="Arial" w:cs="Arial" w:eastAsia="Arial" w:hAnsi="Arial"/>
                <w:sz w:val="18"/>
                <w:szCs w:val="18"/>
                <w:color w:val="auto"/>
                <w:w w:val="96"/>
              </w:rPr>
              <w:t>Future income tax expense . . . . . . . . . . . . . . . . . . . . . . . . . . . . . . . . . .</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3"/>
          </w:tcPr>
          <w:p>
            <w:pPr>
              <w:jc w:val="right"/>
              <w:ind w:right="160"/>
              <w:spacing w:after="0" w:line="201" w:lineRule="exact"/>
              <w:rPr>
                <w:sz w:val="20"/>
                <w:szCs w:val="20"/>
                <w:color w:val="auto"/>
              </w:rPr>
            </w:pPr>
            <w:r>
              <w:rPr>
                <w:rFonts w:ascii="Arial" w:cs="Arial" w:eastAsia="Arial" w:hAnsi="Arial"/>
                <w:sz w:val="18"/>
                <w:szCs w:val="18"/>
                <w:color w:val="auto"/>
              </w:rPr>
              <w:t>(4,843)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80"/>
              <w:spacing w:after="0" w:line="201" w:lineRule="exact"/>
              <w:rPr>
                <w:sz w:val="20"/>
                <w:szCs w:val="20"/>
                <w:color w:val="auto"/>
              </w:rPr>
            </w:pPr>
            <w:r>
              <w:rPr>
                <w:rFonts w:ascii="Arial" w:cs="Arial" w:eastAsia="Arial" w:hAnsi="Arial"/>
                <w:sz w:val="18"/>
                <w:szCs w:val="18"/>
                <w:color w:val="auto"/>
              </w:rPr>
              <w:t>(3,124)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(701)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55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5580" w:type="dxa"/>
            <w:vAlign w:val="bottom"/>
          </w:tcPr>
          <w:p>
            <w:pPr>
              <w:jc w:val="right"/>
              <w:ind w:right="91"/>
              <w:spacing w:after="0"/>
              <w:rPr>
                <w:sz w:val="20"/>
                <w:szCs w:val="20"/>
                <w:color w:val="auto"/>
              </w:rPr>
            </w:pPr>
            <w:r>
              <w:rPr>
                <w:rFonts w:ascii="Arial" w:cs="Arial" w:eastAsia="Arial" w:hAnsi="Arial"/>
                <w:sz w:val="18"/>
                <w:szCs w:val="18"/>
                <w:color w:val="auto"/>
                <w:w w:val="96"/>
              </w:rPr>
              <w:t>Future net cash flows  . . . . . . . . . . . . . . . . . . . . . . . . . . . . . . . . . . . . . .</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13,080</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8,792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580" w:type="dxa"/>
            <w:vAlign w:val="bottom"/>
          </w:tcPr>
          <w:p>
            <w:pPr>
              <w:jc w:val="right"/>
              <w:ind w:right="91"/>
              <w:spacing w:after="0"/>
              <w:rPr>
                <w:sz w:val="20"/>
                <w:szCs w:val="20"/>
                <w:color w:val="auto"/>
              </w:rPr>
            </w:pPr>
            <w:r>
              <w:rPr>
                <w:rFonts w:ascii="Arial" w:cs="Arial" w:eastAsia="Arial" w:hAnsi="Arial"/>
                <w:sz w:val="18"/>
                <w:szCs w:val="18"/>
                <w:color w:val="auto"/>
                <w:w w:val="97"/>
              </w:rPr>
              <w:t>Ten percent discount factor  . . . . . . . . . . . . . . . . . . . . . . . . . . . . . . . . .</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(6,354)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(4,243)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5580" w:type="dxa"/>
            <w:vAlign w:val="bottom"/>
            <w:vMerge w:val="restart"/>
          </w:tcPr>
          <w:p>
            <w:pPr>
              <w:jc w:val="right"/>
              <w:ind w:right="91"/>
              <w:spacing w:after="0"/>
              <w:rPr>
                <w:sz w:val="20"/>
                <w:szCs w:val="20"/>
                <w:color w:val="auto"/>
              </w:rPr>
            </w:pPr>
            <w:r>
              <w:rPr>
                <w:rFonts w:ascii="Arial" w:cs="Arial" w:eastAsia="Arial" w:hAnsi="Arial"/>
                <w:sz w:val="18"/>
                <w:szCs w:val="18"/>
                <w:b w:val="1"/>
                <w:bCs w:val="1"/>
                <w:color w:val="auto"/>
                <w:w w:val="99"/>
              </w:rPr>
              <w:t xml:space="preserve">Standardized measure of discounted future net cash flows </w:t>
            </w:r>
            <w:r>
              <w:rPr>
                <w:rFonts w:ascii="Arial" w:cs="Arial" w:eastAsia="Arial" w:hAnsi="Arial"/>
                <w:sz w:val="18"/>
                <w:szCs w:val="18"/>
                <w:color w:val="auto"/>
                <w:w w:val="99"/>
              </w:rPr>
              <w:t>. . . .</w:t>
            </w:r>
          </w:p>
        </w:tc>
        <w:tc>
          <w:tcPr>
            <w:tcW w:w="24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5580" w:type="dxa"/>
            <w:vAlign w:val="bottom"/>
            <w:vMerge w:val="continue"/>
          </w:tcPr>
          <w:p>
            <w:pPr>
              <w:spacing w:after="0"/>
              <w:rPr>
                <w:sz w:val="21"/>
                <w:szCs w:val="21"/>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6,726</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4,549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55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ind w:left="400" w:hanging="320"/>
        <w:spacing w:after="0"/>
        <w:tabs>
          <w:tab w:leader="none" w:pos="4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Includes general and administrative expenses related to our field operations and taxes other than on income.</w:t>
      </w:r>
    </w:p>
    <w:p>
      <w:pPr>
        <w:spacing w:after="0" w:line="16" w:lineRule="exact"/>
        <w:rPr>
          <w:rFonts w:ascii="Arial" w:cs="Arial" w:eastAsia="Arial" w:hAnsi="Arial"/>
          <w:sz w:val="16"/>
          <w:szCs w:val="16"/>
          <w:color w:val="auto"/>
        </w:rPr>
      </w:pPr>
    </w:p>
    <w:p>
      <w:pPr>
        <w:ind w:left="400" w:hanging="320"/>
        <w:spacing w:after="0"/>
        <w:tabs>
          <w:tab w:leader="none" w:pos="4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Includes asset retirement costs.</w:t>
      </w:r>
    </w:p>
    <w:p>
      <w:pPr>
        <w:spacing w:after="0" w:line="210" w:lineRule="exact"/>
        <w:rPr>
          <w:sz w:val="20"/>
          <w:szCs w:val="20"/>
          <w:color w:val="auto"/>
        </w:rPr>
      </w:pPr>
    </w:p>
    <w:p>
      <w:pPr>
        <w:ind w:right="640"/>
        <w:spacing w:after="0" w:line="239" w:lineRule="auto"/>
        <w:rPr>
          <w:sz w:val="20"/>
          <w:szCs w:val="20"/>
          <w:color w:val="auto"/>
        </w:rPr>
      </w:pPr>
      <w:r>
        <w:rPr>
          <w:rFonts w:ascii="Arial" w:cs="Arial" w:eastAsia="Arial" w:hAnsi="Arial"/>
          <w:sz w:val="20"/>
          <w:szCs w:val="20"/>
          <w:b w:val="1"/>
          <w:bCs w:val="1"/>
          <w:color w:val="auto"/>
        </w:rPr>
        <w:t>Changes in the Standardized Measure of Discounted Future Net Cash Flows from Proved Reserve Quantities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3"/>
          </w:tcPr>
          <w:p>
            <w:pPr>
              <w:ind w:left="80"/>
              <w:spacing w:after="0"/>
              <w:rPr>
                <w:sz w:val="20"/>
                <w:szCs w:val="20"/>
                <w:color w:val="auto"/>
              </w:rPr>
            </w:pPr>
            <w:r>
              <w:rPr>
                <w:rFonts w:ascii="Arial" w:cs="Arial" w:eastAsia="Arial" w:hAnsi="Arial"/>
                <w:sz w:val="16"/>
                <w:szCs w:val="16"/>
                <w:b w:val="1"/>
                <w:bCs w:val="1"/>
                <w:color w:val="auto"/>
              </w:rPr>
              <w:t>Successor</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5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5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11"/>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231"/>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1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8"/>
        </w:trPr>
        <w:tc>
          <w:tcPr>
            <w:tcW w:w="5780" w:type="dxa"/>
            <w:vAlign w:val="bottom"/>
            <w:vMerge w:val="restart"/>
          </w:tcPr>
          <w:p>
            <w:pPr>
              <w:jc w:val="right"/>
              <w:ind w:right="4891"/>
              <w:spacing w:after="0"/>
              <w:rPr>
                <w:sz w:val="20"/>
                <w:szCs w:val="20"/>
                <w:color w:val="auto"/>
              </w:rPr>
            </w:pPr>
            <w:r>
              <w:rPr>
                <w:rFonts w:ascii="Arial" w:cs="Arial" w:eastAsia="Arial" w:hAnsi="Arial"/>
                <w:sz w:val="16"/>
                <w:szCs w:val="16"/>
                <w:color w:val="auto"/>
                <w:w w:val="96"/>
              </w:rPr>
              <w:t>(in millions)</w:t>
            </w: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57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780" w:type="dxa"/>
            <w:vAlign w:val="bottom"/>
          </w:tcPr>
          <w:p>
            <w:pPr>
              <w:jc w:val="right"/>
              <w:ind w:right="111"/>
              <w:spacing w:after="0"/>
              <w:rPr>
                <w:sz w:val="20"/>
                <w:szCs w:val="20"/>
                <w:color w:val="auto"/>
              </w:rPr>
            </w:pPr>
            <w:r>
              <w:rPr>
                <w:rFonts w:ascii="Arial" w:cs="Arial" w:eastAsia="Arial" w:hAnsi="Arial"/>
                <w:sz w:val="18"/>
                <w:szCs w:val="18"/>
                <w:b w:val="1"/>
                <w:bCs w:val="1"/>
                <w:color w:val="auto"/>
                <w:w w:val="97"/>
              </w:rPr>
              <w:t xml:space="preserve">Beginning of year </w:t>
            </w:r>
            <w:r>
              <w:rPr>
                <w:rFonts w:ascii="Arial" w:cs="Arial" w:eastAsia="Arial" w:hAnsi="Arial"/>
                <w:sz w:val="18"/>
                <w:szCs w:val="18"/>
                <w:color w:val="auto"/>
                <w:w w:val="97"/>
              </w:rPr>
              <w:t>. . . . . . . . . . . . . . . . . . . . . . . . . . . . . . . . . . . . . . . . .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4,549</w:t>
            </w:r>
          </w:p>
        </w:tc>
        <w:tc>
          <w:tcPr>
            <w:tcW w:w="2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1,932</w:t>
            </w:r>
          </w:p>
        </w:tc>
        <w:tc>
          <w:tcPr>
            <w:tcW w:w="2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5,231</w:t>
            </w:r>
          </w:p>
        </w:tc>
        <w:tc>
          <w:tcPr>
            <w:tcW w:w="0" w:type="dxa"/>
            <w:vAlign w:val="bottom"/>
          </w:tcPr>
          <w:p>
            <w:pPr>
              <w:spacing w:after="0"/>
              <w:rPr>
                <w:sz w:val="1"/>
                <w:szCs w:val="1"/>
                <w:color w:val="auto"/>
              </w:rPr>
            </w:pPr>
          </w:p>
        </w:tc>
      </w:tr>
      <w:tr>
        <w:trPr>
          <w:trHeight w:val="220"/>
        </w:trPr>
        <w:tc>
          <w:tcPr>
            <w:tcW w:w="5780" w:type="dxa"/>
            <w:vAlign w:val="bottom"/>
          </w:tcPr>
          <w:p>
            <w:pPr>
              <w:jc w:val="right"/>
              <w:ind w:right="371"/>
              <w:spacing w:after="0"/>
              <w:rPr>
                <w:sz w:val="20"/>
                <w:szCs w:val="20"/>
                <w:color w:val="auto"/>
              </w:rPr>
            </w:pPr>
            <w:r>
              <w:rPr>
                <w:rFonts w:ascii="Arial" w:cs="Arial" w:eastAsia="Arial" w:hAnsi="Arial"/>
                <w:sz w:val="18"/>
                <w:szCs w:val="18"/>
                <w:color w:val="auto"/>
              </w:rPr>
              <w:t>Sales of oil and natural gas, net of production and other operating</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80" w:type="dxa"/>
            <w:vAlign w:val="bottom"/>
          </w:tcPr>
          <w:p>
            <w:pPr>
              <w:jc w:val="right"/>
              <w:ind w:right="111"/>
              <w:spacing w:after="0"/>
              <w:rPr>
                <w:sz w:val="20"/>
                <w:szCs w:val="20"/>
                <w:color w:val="auto"/>
              </w:rPr>
            </w:pPr>
            <w:r>
              <w:rPr>
                <w:rFonts w:ascii="Arial" w:cs="Arial" w:eastAsia="Arial" w:hAnsi="Arial"/>
                <w:sz w:val="18"/>
                <w:szCs w:val="18"/>
                <w:color w:val="auto"/>
                <w:w w:val="97"/>
              </w:rPr>
              <w:t>costs . . . . . . . . . . . . . . . . . . . . . . . . . . . . . . . . . . . . . . . . . . . . . . . . . . . . .</w:t>
            </w:r>
          </w:p>
        </w:tc>
        <w:tc>
          <w:tcPr>
            <w:tcW w:w="2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(1,156)</w:t>
            </w:r>
          </w:p>
        </w:tc>
        <w:tc>
          <w:tcPr>
            <w:tcW w:w="20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(543)</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20"/>
        </w:trPr>
        <w:tc>
          <w:tcPr>
            <w:tcW w:w="5780" w:type="dxa"/>
            <w:vAlign w:val="bottom"/>
          </w:tcPr>
          <w:p>
            <w:pPr>
              <w:jc w:val="right"/>
              <w:ind w:right="111"/>
              <w:spacing w:after="0"/>
              <w:rPr>
                <w:sz w:val="20"/>
                <w:szCs w:val="20"/>
                <w:color w:val="auto"/>
              </w:rPr>
            </w:pPr>
            <w:r>
              <w:rPr>
                <w:rFonts w:ascii="Arial" w:cs="Arial" w:eastAsia="Arial" w:hAnsi="Arial"/>
                <w:sz w:val="18"/>
                <w:szCs w:val="18"/>
                <w:color w:val="auto"/>
              </w:rPr>
              <w:t>Changes in price, net of production and other operating costs . . . . . .</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3,814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3,414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(3,940)</w:t>
            </w:r>
          </w:p>
        </w:tc>
        <w:tc>
          <w:tcPr>
            <w:tcW w:w="0" w:type="dxa"/>
            <w:vAlign w:val="bottom"/>
          </w:tcPr>
          <w:p>
            <w:pPr>
              <w:spacing w:after="0"/>
              <w:rPr>
                <w:sz w:val="1"/>
                <w:szCs w:val="1"/>
                <w:color w:val="auto"/>
              </w:rPr>
            </w:pPr>
          </w:p>
        </w:tc>
      </w:tr>
      <w:tr>
        <w:trPr>
          <w:trHeight w:val="220"/>
        </w:trPr>
        <w:tc>
          <w:tcPr>
            <w:tcW w:w="5780" w:type="dxa"/>
            <w:vAlign w:val="bottom"/>
          </w:tcPr>
          <w:p>
            <w:pPr>
              <w:jc w:val="right"/>
              <w:ind w:right="111"/>
              <w:spacing w:after="0"/>
              <w:rPr>
                <w:sz w:val="20"/>
                <w:szCs w:val="20"/>
                <w:color w:val="auto"/>
              </w:rPr>
            </w:pPr>
            <w:r>
              <w:rPr>
                <w:rFonts w:ascii="Arial" w:cs="Arial" w:eastAsia="Arial" w:hAnsi="Arial"/>
                <w:sz w:val="18"/>
                <w:szCs w:val="18"/>
                <w:color w:val="auto"/>
              </w:rPr>
              <w:t>Previously estimated development costs incurred . . . . . . . . . . . . . . . .</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20"/>
        </w:trPr>
        <w:tc>
          <w:tcPr>
            <w:tcW w:w="5780" w:type="dxa"/>
            <w:vAlign w:val="bottom"/>
          </w:tcPr>
          <w:p>
            <w:pPr>
              <w:jc w:val="right"/>
              <w:ind w:right="111"/>
              <w:spacing w:after="0"/>
              <w:rPr>
                <w:sz w:val="20"/>
                <w:szCs w:val="20"/>
                <w:color w:val="auto"/>
              </w:rPr>
            </w:pPr>
            <w:r>
              <w:rPr>
                <w:rFonts w:ascii="Arial" w:cs="Arial" w:eastAsia="Arial" w:hAnsi="Arial"/>
                <w:sz w:val="18"/>
                <w:szCs w:val="18"/>
                <w:color w:val="auto"/>
                <w:w w:val="99"/>
              </w:rPr>
              <w:t>Change in estimated future development costs  . . . . . . . . . . . . . . . . . .</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(401)</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20"/>
        </w:trPr>
        <w:tc>
          <w:tcPr>
            <w:tcW w:w="5780" w:type="dxa"/>
            <w:vAlign w:val="bottom"/>
          </w:tcPr>
          <w:p>
            <w:pPr>
              <w:jc w:val="right"/>
              <w:ind w:right="111"/>
              <w:spacing w:after="0"/>
              <w:rPr>
                <w:sz w:val="20"/>
                <w:szCs w:val="20"/>
                <w:color w:val="auto"/>
              </w:rPr>
            </w:pPr>
            <w:r>
              <w:rPr>
                <w:rFonts w:ascii="Arial" w:cs="Arial" w:eastAsia="Arial" w:hAnsi="Arial"/>
                <w:sz w:val="18"/>
                <w:szCs w:val="18"/>
                <w:color w:val="auto"/>
              </w:rPr>
              <w:t>Extensions, discoveries and improved recovery, net of costs . . . . . . .</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9"/>
        </w:trPr>
        <w:tc>
          <w:tcPr>
            <w:tcW w:w="5780" w:type="dxa"/>
            <w:vAlign w:val="bottom"/>
          </w:tcPr>
          <w:p>
            <w:pPr>
              <w:jc w:val="right"/>
              <w:ind w:right="111"/>
              <w:spacing w:after="0" w:line="239" w:lineRule="exact"/>
              <w:rPr>
                <w:sz w:val="20"/>
                <w:szCs w:val="20"/>
                <w:color w:val="auto"/>
              </w:rPr>
            </w:pPr>
            <w:r>
              <w:rPr>
                <w:rFonts w:ascii="Arial" w:cs="Arial" w:eastAsia="Arial" w:hAnsi="Arial"/>
                <w:sz w:val="18"/>
                <w:szCs w:val="18"/>
                <w:color w:val="auto"/>
                <w:w w:val="98"/>
              </w:rPr>
              <w:t>Revisions of previous quantity estimates</w:t>
            </w:r>
            <w:r>
              <w:rPr>
                <w:rFonts w:ascii="Arial" w:cs="Arial" w:eastAsia="Arial" w:hAnsi="Arial"/>
                <w:sz w:val="23"/>
                <w:szCs w:val="23"/>
                <w:color w:val="auto"/>
                <w:w w:val="98"/>
                <w:vertAlign w:val="superscript"/>
              </w:rPr>
              <w:t>(a)</w:t>
            </w:r>
            <w:r>
              <w:rPr>
                <w:rFonts w:ascii="Arial" w:cs="Arial" w:eastAsia="Arial" w:hAnsi="Arial"/>
                <w:sz w:val="18"/>
                <w:szCs w:val="18"/>
                <w:color w:val="auto"/>
                <w:w w:val="98"/>
              </w:rPr>
              <w:t xml:space="preserve">  . . . . . . . . . . . . . . . . . . . . . .</w:t>
            </w:r>
          </w:p>
        </w:tc>
        <w:tc>
          <w:tcPr>
            <w:tcW w:w="2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(1,041)</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1,114</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01"/>
        </w:trPr>
        <w:tc>
          <w:tcPr>
            <w:tcW w:w="5780" w:type="dxa"/>
            <w:vAlign w:val="bottom"/>
          </w:tcPr>
          <w:p>
            <w:pPr>
              <w:jc w:val="right"/>
              <w:ind w:right="111"/>
              <w:spacing w:after="0" w:line="201" w:lineRule="exact"/>
              <w:rPr>
                <w:sz w:val="20"/>
                <w:szCs w:val="20"/>
                <w:color w:val="auto"/>
              </w:rPr>
            </w:pPr>
            <w:r>
              <w:rPr>
                <w:rFonts w:ascii="Arial" w:cs="Arial" w:eastAsia="Arial" w:hAnsi="Arial"/>
                <w:sz w:val="18"/>
                <w:szCs w:val="18"/>
                <w:color w:val="auto"/>
                <w:w w:val="97"/>
              </w:rPr>
              <w:t>Accretion of discount . . . . . . . . . . . . . . . . . . . . . . . . . . . . . . . . . . . . . . . .</w:t>
            </w:r>
          </w:p>
        </w:tc>
        <w:tc>
          <w:tcPr>
            <w:tcW w:w="20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573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226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20"/>
        </w:trPr>
        <w:tc>
          <w:tcPr>
            <w:tcW w:w="5780" w:type="dxa"/>
            <w:vAlign w:val="bottom"/>
          </w:tcPr>
          <w:p>
            <w:pPr>
              <w:jc w:val="right"/>
              <w:ind w:right="111"/>
              <w:spacing w:after="0"/>
              <w:rPr>
                <w:sz w:val="20"/>
                <w:szCs w:val="20"/>
                <w:color w:val="auto"/>
              </w:rPr>
            </w:pPr>
            <w:r>
              <w:rPr>
                <w:rFonts w:ascii="Arial" w:cs="Arial" w:eastAsia="Arial" w:hAnsi="Arial"/>
                <w:sz w:val="18"/>
                <w:szCs w:val="18"/>
                <w:color w:val="auto"/>
                <w:w w:val="98"/>
              </w:rPr>
              <w:t>Net change in income taxes . . . . . . . . . . . . . . . . . . . . . . . . . . . . . . . . . .</w:t>
            </w:r>
          </w:p>
        </w:tc>
        <w:tc>
          <w:tcPr>
            <w:tcW w:w="2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(869)</w:t>
            </w:r>
          </w:p>
        </w:tc>
        <w:tc>
          <w:tcPr>
            <w:tcW w:w="20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(1,131)</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20"/>
        </w:trPr>
        <w:tc>
          <w:tcPr>
            <w:tcW w:w="5780" w:type="dxa"/>
            <w:vAlign w:val="bottom"/>
          </w:tcPr>
          <w:p>
            <w:pPr>
              <w:jc w:val="right"/>
              <w:ind w:right="111"/>
              <w:spacing w:after="0"/>
              <w:rPr>
                <w:sz w:val="20"/>
                <w:szCs w:val="20"/>
                <w:color w:val="auto"/>
              </w:rPr>
            </w:pPr>
            <w:r>
              <w:rPr>
                <w:rFonts w:ascii="Arial" w:cs="Arial" w:eastAsia="Arial" w:hAnsi="Arial"/>
                <w:sz w:val="18"/>
                <w:szCs w:val="18"/>
                <w:color w:val="auto"/>
                <w:w w:val="99"/>
              </w:rPr>
              <w:t>Purchases and sales of reserves in place . . . . . . . . . . . . . . . . . . . . . . .</w:t>
            </w:r>
          </w:p>
        </w:tc>
        <w:tc>
          <w:tcPr>
            <w:tcW w:w="2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0"/>
        </w:trPr>
        <w:tc>
          <w:tcPr>
            <w:tcW w:w="5780" w:type="dxa"/>
            <w:vAlign w:val="bottom"/>
          </w:tcPr>
          <w:p>
            <w:pPr>
              <w:jc w:val="right"/>
              <w:ind w:right="111"/>
              <w:spacing w:after="0"/>
              <w:rPr>
                <w:sz w:val="20"/>
                <w:szCs w:val="20"/>
                <w:color w:val="auto"/>
              </w:rPr>
            </w:pPr>
            <w:r>
              <w:rPr>
                <w:rFonts w:ascii="Arial" w:cs="Arial" w:eastAsia="Arial" w:hAnsi="Arial"/>
                <w:sz w:val="18"/>
                <w:szCs w:val="18"/>
                <w:color w:val="auto"/>
              </w:rPr>
              <w:t>Change in timing of estimated future production and other . . . . . . . . .</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34"/>
        </w:trPr>
        <w:tc>
          <w:tcPr>
            <w:tcW w:w="578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auto"/>
                <w:w w:val="96"/>
              </w:rPr>
              <w:t xml:space="preserve">Net change </w:t>
            </w:r>
            <w:r>
              <w:rPr>
                <w:rFonts w:ascii="Arial" w:cs="Arial" w:eastAsia="Arial" w:hAnsi="Arial"/>
                <w:sz w:val="18"/>
                <w:szCs w:val="18"/>
                <w:color w:val="auto"/>
                <w:w w:val="96"/>
              </w:rPr>
              <w:t>. . . . . . . . . . . . . . . . . . . . . . . . . . . . . . . . . . . . . . . . . . . . . . . .</w:t>
            </w: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57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2,177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2,617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(3,299)</w:t>
            </w:r>
          </w:p>
        </w:tc>
        <w:tc>
          <w:tcPr>
            <w:tcW w:w="0" w:type="dxa"/>
            <w:vAlign w:val="bottom"/>
          </w:tcPr>
          <w:p>
            <w:pPr>
              <w:spacing w:after="0"/>
              <w:rPr>
                <w:sz w:val="1"/>
                <w:szCs w:val="1"/>
                <w:color w:val="auto"/>
              </w:rPr>
            </w:pPr>
          </w:p>
        </w:tc>
      </w:tr>
      <w:tr>
        <w:trPr>
          <w:trHeight w:val="34"/>
        </w:trPr>
        <w:tc>
          <w:tcPr>
            <w:tcW w:w="578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auto"/>
                <w:w w:val="96"/>
              </w:rPr>
              <w:t xml:space="preserve">End of year </w:t>
            </w:r>
            <w:r>
              <w:rPr>
                <w:rFonts w:ascii="Arial" w:cs="Arial" w:eastAsia="Arial" w:hAnsi="Arial"/>
                <w:sz w:val="18"/>
                <w:szCs w:val="18"/>
                <w:color w:val="auto"/>
                <w:w w:val="96"/>
              </w:rPr>
              <w:t>. . . . . . . . . . . . . . . . . . . . . . . . . . . . . . . . . . . . . . . . . . . . . . . .</w:t>
            </w: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578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6,726</w:t>
            </w:r>
          </w:p>
        </w:tc>
        <w:tc>
          <w:tcPr>
            <w:tcW w:w="200" w:type="dxa"/>
            <w:vAlign w:val="bottom"/>
          </w:tcPr>
          <w:p>
            <w:pPr>
              <w:spacing w:after="0"/>
              <w:rPr>
                <w:sz w:val="21"/>
                <w:szCs w:val="21"/>
                <w:color w:val="auto"/>
              </w:rPr>
            </w:pP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4,549</w:t>
            </w:r>
          </w:p>
        </w:tc>
        <w:tc>
          <w:tcPr>
            <w:tcW w:w="2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34"/>
        </w:trPr>
        <w:tc>
          <w:tcPr>
            <w:tcW w:w="5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ind w:left="80"/>
        <w:spacing w:after="0"/>
        <w:tabs>
          <w:tab w:leader="none" w:pos="38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5"/>
          <w:szCs w:val="15"/>
          <w:color w:val="auto"/>
        </w:rPr>
        <w:t>Includes revisions related to performance and price changes.</w:t>
      </w:r>
    </w:p>
    <w:p>
      <w:pPr>
        <w:sectPr>
          <w:pgSz w:w="11880" w:h="15480" w:orient="portrait"/>
          <w:cols w:equalWidth="0" w:num="1">
            <w:col w:w="9100"/>
          </w:cols>
          <w:pgMar w:left="1380" w:top="1312" w:right="140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161</w:t>
      </w:r>
    </w:p>
    <w:p>
      <w:pPr>
        <w:sectPr>
          <w:pgSz w:w="11880" w:h="15480" w:orient="portrait"/>
          <w:cols w:equalWidth="0" w:num="1">
            <w:col w:w="9100"/>
          </w:cols>
          <w:pgMar w:left="1380" w:top="1312" w:right="1400" w:bottom="661" w:gutter="0" w:footer="0" w:header="0"/>
          <w:type w:val="continuous"/>
        </w:sectPr>
      </w:pPr>
    </w:p>
    <w:bookmarkStart w:id="165" w:name="page166"/>
    <w:bookmarkEnd w:id="165"/>
    <w:p>
      <w:pPr>
        <w:spacing w:after="0"/>
        <w:rPr>
          <w:sz w:val="20"/>
          <w:szCs w:val="20"/>
          <w:color w:val="auto"/>
        </w:rPr>
      </w:pPr>
      <w:r>
        <w:rPr>
          <w:rFonts w:ascii="Arial" w:cs="Arial" w:eastAsia="Arial" w:hAnsi="Arial"/>
          <w:sz w:val="20"/>
          <w:szCs w:val="20"/>
          <w:b w:val="1"/>
          <w:bCs w:val="1"/>
          <w:color w:val="auto"/>
        </w:rPr>
        <w:t>SCHEDULE II - VALUATION AND QUALIFYING ACCOUNTS</w:t>
      </w:r>
    </w:p>
    <w:p>
      <w:pPr>
        <w:spacing w:after="0" w:line="142" w:lineRule="exact"/>
        <w:rPr>
          <w:sz w:val="20"/>
          <w:szCs w:val="20"/>
          <w:color w:val="auto"/>
        </w:rPr>
      </w:pPr>
    </w:p>
    <w:tbl>
      <w:tblPr>
        <w:tblLayout w:type="fixed"/>
        <w:tblInd w:w="2380" w:type="dxa"/>
        <w:tblCellMar>
          <w:top w:w="0" w:type="dxa"/>
          <w:left w:w="0" w:type="dxa"/>
          <w:bottom w:w="0" w:type="dxa"/>
          <w:right w:w="0" w:type="dxa"/>
        </w:tblCellMar>
      </w:tblPr>
      <w:tr>
        <w:trPr>
          <w:trHeight w:val="230"/>
        </w:trPr>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20"/>
                <w:szCs w:val="20"/>
                <w:b w:val="1"/>
                <w:bCs w:val="1"/>
                <w:color w:val="auto"/>
              </w:rPr>
              <w:t>Charged</w:t>
            </w:r>
          </w:p>
        </w:tc>
        <w:tc>
          <w:tcPr>
            <w:tcW w:w="40" w:type="dxa"/>
            <w:vAlign w:val="bottom"/>
          </w:tcPr>
          <w:p>
            <w:pPr>
              <w:spacing w:after="0"/>
              <w:rPr>
                <w:sz w:val="19"/>
                <w:szCs w:val="19"/>
                <w:color w:val="auto"/>
              </w:rPr>
            </w:pPr>
          </w:p>
        </w:tc>
        <w:tc>
          <w:tcPr>
            <w:tcW w:w="2620" w:type="dxa"/>
            <w:vAlign w:val="bottom"/>
            <w:gridSpan w:val="3"/>
          </w:tcPr>
          <w:p>
            <w:pPr>
              <w:jc w:val="center"/>
              <w:ind w:right="1320"/>
              <w:spacing w:after="0"/>
              <w:rPr>
                <w:sz w:val="20"/>
                <w:szCs w:val="20"/>
                <w:color w:val="auto"/>
              </w:rPr>
            </w:pPr>
            <w:r>
              <w:rPr>
                <w:rFonts w:ascii="Arial" w:cs="Arial" w:eastAsia="Arial" w:hAnsi="Arial"/>
                <w:sz w:val="20"/>
                <w:szCs w:val="20"/>
                <w:b w:val="1"/>
                <w:bCs w:val="1"/>
                <w:color w:val="auto"/>
              </w:rPr>
              <w:t>Charged</w:t>
            </w:r>
          </w:p>
        </w:tc>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0"/>
        </w:trPr>
        <w:tc>
          <w:tcPr>
            <w:tcW w:w="1400" w:type="dxa"/>
            <w:vAlign w:val="bottom"/>
          </w:tcPr>
          <w:p>
            <w:pPr>
              <w:jc w:val="center"/>
              <w:spacing w:after="0" w:line="200" w:lineRule="exact"/>
              <w:rPr>
                <w:sz w:val="20"/>
                <w:szCs w:val="20"/>
                <w:color w:val="auto"/>
              </w:rPr>
            </w:pPr>
            <w:r>
              <w:rPr>
                <w:rFonts w:ascii="Arial" w:cs="Arial" w:eastAsia="Arial" w:hAnsi="Arial"/>
                <w:sz w:val="20"/>
                <w:szCs w:val="20"/>
                <w:b w:val="1"/>
                <w:bCs w:val="1"/>
                <w:color w:val="auto"/>
                <w:w w:val="99"/>
              </w:rPr>
              <w:t>Balance at</w:t>
            </w:r>
          </w:p>
        </w:tc>
        <w:tc>
          <w:tcPr>
            <w:tcW w:w="40" w:type="dxa"/>
            <w:vAlign w:val="bottom"/>
          </w:tcPr>
          <w:p>
            <w:pPr>
              <w:spacing w:after="0"/>
              <w:rPr>
                <w:sz w:val="17"/>
                <w:szCs w:val="17"/>
                <w:color w:val="auto"/>
              </w:rPr>
            </w:pPr>
          </w:p>
        </w:tc>
        <w:tc>
          <w:tcPr>
            <w:tcW w:w="1340" w:type="dxa"/>
            <w:vAlign w:val="bottom"/>
          </w:tcPr>
          <w:p>
            <w:pPr>
              <w:jc w:val="center"/>
              <w:spacing w:after="0" w:line="200" w:lineRule="exact"/>
              <w:rPr>
                <w:sz w:val="20"/>
                <w:szCs w:val="20"/>
                <w:color w:val="auto"/>
              </w:rPr>
            </w:pPr>
            <w:r>
              <w:rPr>
                <w:rFonts w:ascii="Arial" w:cs="Arial" w:eastAsia="Arial" w:hAnsi="Arial"/>
                <w:sz w:val="20"/>
                <w:szCs w:val="20"/>
                <w:b w:val="1"/>
                <w:bCs w:val="1"/>
                <w:color w:val="auto"/>
                <w:w w:val="99"/>
              </w:rPr>
              <w:t>(Credited) to</w:t>
            </w:r>
          </w:p>
        </w:tc>
        <w:tc>
          <w:tcPr>
            <w:tcW w:w="40" w:type="dxa"/>
            <w:vAlign w:val="bottom"/>
          </w:tcPr>
          <w:p>
            <w:pPr>
              <w:spacing w:after="0"/>
              <w:rPr>
                <w:sz w:val="17"/>
                <w:szCs w:val="17"/>
                <w:color w:val="auto"/>
              </w:rPr>
            </w:pPr>
          </w:p>
        </w:tc>
        <w:tc>
          <w:tcPr>
            <w:tcW w:w="2620" w:type="dxa"/>
            <w:vAlign w:val="bottom"/>
            <w:gridSpan w:val="3"/>
          </w:tcPr>
          <w:p>
            <w:pPr>
              <w:jc w:val="center"/>
              <w:ind w:right="1320"/>
              <w:spacing w:after="0" w:line="200" w:lineRule="exact"/>
              <w:rPr>
                <w:sz w:val="20"/>
                <w:szCs w:val="20"/>
                <w:color w:val="auto"/>
              </w:rPr>
            </w:pPr>
            <w:r>
              <w:rPr>
                <w:rFonts w:ascii="Arial" w:cs="Arial" w:eastAsia="Arial" w:hAnsi="Arial"/>
                <w:sz w:val="20"/>
                <w:szCs w:val="20"/>
                <w:b w:val="1"/>
                <w:bCs w:val="1"/>
                <w:color w:val="auto"/>
                <w:w w:val="99"/>
              </w:rPr>
              <w:t>(Credited) to</w:t>
            </w:r>
          </w:p>
        </w:tc>
        <w:tc>
          <w:tcPr>
            <w:tcW w:w="4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Arial" w:cs="Arial" w:eastAsia="Arial" w:hAnsi="Arial"/>
                <w:sz w:val="20"/>
                <w:szCs w:val="20"/>
                <w:b w:val="1"/>
                <w:bCs w:val="1"/>
                <w:color w:val="auto"/>
                <w:w w:val="99"/>
              </w:rPr>
              <w:t>Balance at</w:t>
            </w:r>
          </w:p>
        </w:tc>
      </w:tr>
      <w:tr>
        <w:trPr>
          <w:trHeight w:val="200"/>
        </w:trPr>
        <w:tc>
          <w:tcPr>
            <w:tcW w:w="1400" w:type="dxa"/>
            <w:vAlign w:val="bottom"/>
          </w:tcPr>
          <w:p>
            <w:pPr>
              <w:jc w:val="center"/>
              <w:spacing w:after="0" w:line="200" w:lineRule="exact"/>
              <w:rPr>
                <w:sz w:val="20"/>
                <w:szCs w:val="20"/>
                <w:color w:val="auto"/>
              </w:rPr>
            </w:pPr>
            <w:r>
              <w:rPr>
                <w:rFonts w:ascii="Arial" w:cs="Arial" w:eastAsia="Arial" w:hAnsi="Arial"/>
                <w:sz w:val="20"/>
                <w:szCs w:val="20"/>
                <w:b w:val="1"/>
                <w:bCs w:val="1"/>
                <w:color w:val="auto"/>
                <w:w w:val="99"/>
              </w:rPr>
              <w:t>Beginning of</w:t>
            </w:r>
          </w:p>
        </w:tc>
        <w:tc>
          <w:tcPr>
            <w:tcW w:w="40" w:type="dxa"/>
            <w:vAlign w:val="bottom"/>
          </w:tcPr>
          <w:p>
            <w:pPr>
              <w:spacing w:after="0"/>
              <w:rPr>
                <w:sz w:val="17"/>
                <w:szCs w:val="17"/>
                <w:color w:val="auto"/>
              </w:rPr>
            </w:pPr>
          </w:p>
        </w:tc>
        <w:tc>
          <w:tcPr>
            <w:tcW w:w="1340" w:type="dxa"/>
            <w:vAlign w:val="bottom"/>
          </w:tcPr>
          <w:p>
            <w:pPr>
              <w:jc w:val="center"/>
              <w:spacing w:after="0" w:line="200" w:lineRule="exact"/>
              <w:rPr>
                <w:sz w:val="20"/>
                <w:szCs w:val="20"/>
                <w:color w:val="auto"/>
              </w:rPr>
            </w:pPr>
            <w:r>
              <w:rPr>
                <w:rFonts w:ascii="Arial" w:cs="Arial" w:eastAsia="Arial" w:hAnsi="Arial"/>
                <w:sz w:val="20"/>
                <w:szCs w:val="20"/>
                <w:b w:val="1"/>
                <w:bCs w:val="1"/>
                <w:color w:val="auto"/>
                <w:w w:val="99"/>
              </w:rPr>
              <w:t>Costs and</w:t>
            </w:r>
          </w:p>
        </w:tc>
        <w:tc>
          <w:tcPr>
            <w:tcW w:w="40" w:type="dxa"/>
            <w:vAlign w:val="bottom"/>
          </w:tcPr>
          <w:p>
            <w:pPr>
              <w:spacing w:after="0"/>
              <w:rPr>
                <w:sz w:val="17"/>
                <w:szCs w:val="17"/>
                <w:color w:val="auto"/>
              </w:rPr>
            </w:pPr>
          </w:p>
        </w:tc>
        <w:tc>
          <w:tcPr>
            <w:tcW w:w="2620" w:type="dxa"/>
            <w:vAlign w:val="bottom"/>
            <w:gridSpan w:val="3"/>
          </w:tcPr>
          <w:p>
            <w:pPr>
              <w:jc w:val="center"/>
              <w:ind w:right="1320"/>
              <w:spacing w:after="0" w:line="200" w:lineRule="exact"/>
              <w:rPr>
                <w:sz w:val="20"/>
                <w:szCs w:val="20"/>
                <w:color w:val="auto"/>
              </w:rPr>
            </w:pPr>
            <w:r>
              <w:rPr>
                <w:rFonts w:ascii="Arial" w:cs="Arial" w:eastAsia="Arial" w:hAnsi="Arial"/>
                <w:sz w:val="20"/>
                <w:szCs w:val="20"/>
                <w:b w:val="1"/>
                <w:bCs w:val="1"/>
                <w:color w:val="auto"/>
              </w:rPr>
              <w:t>Other</w:t>
            </w:r>
          </w:p>
        </w:tc>
        <w:tc>
          <w:tcPr>
            <w:tcW w:w="4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Arial" w:cs="Arial" w:eastAsia="Arial" w:hAnsi="Arial"/>
                <w:sz w:val="20"/>
                <w:szCs w:val="20"/>
                <w:b w:val="1"/>
                <w:bCs w:val="1"/>
                <w:color w:val="auto"/>
                <w:w w:val="99"/>
              </w:rPr>
              <w:t>End of</w:t>
            </w:r>
          </w:p>
        </w:tc>
      </w:tr>
      <w:tr>
        <w:trPr>
          <w:trHeight w:val="228"/>
        </w:trPr>
        <w:tc>
          <w:tcPr>
            <w:tcW w:w="14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9"/>
              </w:rPr>
              <w:t>Period</w:t>
            </w:r>
          </w:p>
        </w:tc>
        <w:tc>
          <w:tcPr>
            <w:tcW w:w="40" w:type="dxa"/>
            <w:vAlign w:val="bottom"/>
          </w:tcPr>
          <w:p>
            <w:pPr>
              <w:spacing w:after="0"/>
              <w:rPr>
                <w:sz w:val="19"/>
                <w:szCs w:val="19"/>
                <w:color w:val="auto"/>
              </w:rPr>
            </w:pPr>
          </w:p>
        </w:tc>
        <w:tc>
          <w:tcPr>
            <w:tcW w:w="134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rPr>
              <w:t>Expenses</w:t>
            </w:r>
          </w:p>
        </w:tc>
        <w:tc>
          <w:tcPr>
            <w:tcW w:w="40" w:type="dxa"/>
            <w:vAlign w:val="bottom"/>
          </w:tcPr>
          <w:p>
            <w:pPr>
              <w:spacing w:after="0"/>
              <w:rPr>
                <w:sz w:val="19"/>
                <w:szCs w:val="19"/>
                <w:color w:val="auto"/>
              </w:rPr>
            </w:pPr>
          </w:p>
        </w:tc>
        <w:tc>
          <w:tcPr>
            <w:tcW w:w="2620" w:type="dxa"/>
            <w:vAlign w:val="bottom"/>
            <w:gridSpan w:val="3"/>
          </w:tcPr>
          <w:p>
            <w:pPr>
              <w:ind w:left="200"/>
              <w:spacing w:after="0" w:line="228" w:lineRule="exact"/>
              <w:rPr>
                <w:sz w:val="20"/>
                <w:szCs w:val="20"/>
                <w:color w:val="auto"/>
              </w:rPr>
            </w:pPr>
            <w:r>
              <w:rPr>
                <w:rFonts w:ascii="Arial" w:cs="Arial" w:eastAsia="Arial" w:hAnsi="Arial"/>
                <w:sz w:val="20"/>
                <w:szCs w:val="20"/>
                <w:b w:val="1"/>
                <w:bCs w:val="1"/>
                <w:color w:val="auto"/>
              </w:rPr>
              <w:t>Accounts    Deductions</w:t>
            </w:r>
          </w:p>
        </w:tc>
        <w:tc>
          <w:tcPr>
            <w:tcW w:w="40" w:type="dxa"/>
            <w:vAlign w:val="bottom"/>
          </w:tcPr>
          <w:p>
            <w:pPr>
              <w:spacing w:after="0"/>
              <w:rPr>
                <w:sz w:val="19"/>
                <w:szCs w:val="19"/>
                <w:color w:val="auto"/>
              </w:rPr>
            </w:pPr>
          </w:p>
        </w:tc>
        <w:tc>
          <w:tcPr>
            <w:tcW w:w="12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9"/>
              </w:rPr>
              <w:t>Period</w:t>
            </w:r>
          </w:p>
        </w:tc>
      </w:tr>
      <w:tr>
        <w:trPr>
          <w:trHeight w:val="20"/>
        </w:trPr>
        <w:tc>
          <w:tcPr>
            <w:tcW w:w="1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(in millions)</w:t>
      </w:r>
    </w:p>
    <w:p>
      <w:pPr>
        <w:sectPr>
          <w:pgSz w:w="11880" w:h="15480" w:orient="portrait"/>
          <w:cols w:equalWidth="0" w:num="1">
            <w:col w:w="9120"/>
          </w:cols>
          <w:pgMar w:left="1380" w:top="1310" w:right="1380" w:bottom="661" w:gutter="0" w:footer="0" w:header="0"/>
        </w:sectPr>
      </w:pP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Arial" w:cs="Arial" w:eastAsia="Arial" w:hAnsi="Arial"/>
                <w:sz w:val="20"/>
                <w:szCs w:val="20"/>
                <w:b w:val="1"/>
                <w:bCs w:val="1"/>
                <w:color w:val="auto"/>
              </w:rPr>
              <w:t>2022 (Successor)</w:t>
            </w: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380" w:type="dxa"/>
            <w:vAlign w:val="bottom"/>
            <w:vMerge w:val="restart"/>
          </w:tcPr>
          <w:p>
            <w:pPr>
              <w:spacing w:after="0"/>
              <w:rPr>
                <w:sz w:val="20"/>
                <w:szCs w:val="20"/>
                <w:color w:val="auto"/>
              </w:rPr>
            </w:pPr>
            <w:r>
              <w:rPr>
                <w:rFonts w:ascii="Arial" w:cs="Arial" w:eastAsia="Arial" w:hAnsi="Arial"/>
                <w:sz w:val="20"/>
                <w:szCs w:val="20"/>
                <w:color w:val="auto"/>
              </w:rPr>
              <w:t>Deferred tax valuation</w:t>
            </w:r>
          </w:p>
        </w:tc>
        <w:tc>
          <w:tcPr>
            <w:tcW w:w="6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238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380" w:type="dxa"/>
            <w:vAlign w:val="bottom"/>
          </w:tcPr>
          <w:p>
            <w:pPr>
              <w:spacing w:after="0"/>
              <w:rPr>
                <w:sz w:val="20"/>
                <w:szCs w:val="20"/>
                <w:color w:val="auto"/>
              </w:rPr>
            </w:pPr>
            <w:r>
              <w:rPr>
                <w:rFonts w:ascii="Arial" w:cs="Arial" w:eastAsia="Arial" w:hAnsi="Arial"/>
                <w:sz w:val="20"/>
                <w:szCs w:val="20"/>
                <w:color w:val="auto"/>
                <w:w w:val="96"/>
              </w:rPr>
              <w:t>allowance . . . . . . . . . . . . . .</w:t>
            </w:r>
          </w:p>
        </w:tc>
        <w:tc>
          <w:tcPr>
            <w:tcW w:w="620" w:type="dxa"/>
            <w:vAlign w:val="bottom"/>
          </w:tcPr>
          <w:p>
            <w:pPr>
              <w:jc w:val="right"/>
              <w:ind w:right="360"/>
              <w:spacing w:after="0"/>
              <w:rPr>
                <w:sz w:val="20"/>
                <w:szCs w:val="20"/>
                <w:color w:val="auto"/>
              </w:rPr>
            </w:pPr>
            <w:r>
              <w:rPr>
                <w:rFonts w:ascii="Arial" w:cs="Arial" w:eastAsia="Arial" w:hAnsi="Arial"/>
                <w:sz w:val="20"/>
                <w:szCs w:val="20"/>
                <w:color w:val="auto"/>
              </w:rPr>
              <w:t>$</w:t>
            </w:r>
          </w:p>
        </w:tc>
        <w:tc>
          <w:tcPr>
            <w:tcW w:w="980" w:type="dxa"/>
            <w:vAlign w:val="bottom"/>
            <w:gridSpan w:val="3"/>
          </w:tcPr>
          <w:p>
            <w:pPr>
              <w:jc w:val="right"/>
              <w:spacing w:after="0"/>
              <w:rPr>
                <w:sz w:val="20"/>
                <w:szCs w:val="20"/>
                <w:color w:val="auto"/>
              </w:rPr>
            </w:pPr>
            <w:r>
              <w:rPr>
                <w:rFonts w:ascii="Arial" w:cs="Arial" w:eastAsia="Arial" w:hAnsi="Arial"/>
                <w:sz w:val="20"/>
                <w:szCs w:val="20"/>
                <w:color w:val="auto"/>
              </w:rPr>
              <w:t>— $</w:t>
            </w:r>
          </w:p>
        </w:tc>
        <w:tc>
          <w:tcPr>
            <w:tcW w:w="0" w:type="dxa"/>
            <w:vAlign w:val="bottom"/>
          </w:tcPr>
          <w:p>
            <w:pPr>
              <w:spacing w:after="0"/>
              <w:rPr>
                <w:sz w:val="1"/>
                <w:szCs w:val="1"/>
                <w:color w:val="auto"/>
              </w:rPr>
            </w:pPr>
          </w:p>
        </w:tc>
      </w:tr>
      <w:tr>
        <w:trPr>
          <w:trHeight w:val="30"/>
        </w:trPr>
        <w:tc>
          <w:tcPr>
            <w:tcW w:w="2380" w:type="dxa"/>
            <w:vAlign w:val="bottom"/>
            <w:vMerge w:val="restart"/>
          </w:tcPr>
          <w:p>
            <w:pPr>
              <w:spacing w:after="0"/>
              <w:rPr>
                <w:sz w:val="20"/>
                <w:szCs w:val="20"/>
                <w:color w:val="auto"/>
              </w:rPr>
            </w:pPr>
            <w:r>
              <w:rPr>
                <w:rFonts w:ascii="Arial" w:cs="Arial" w:eastAsia="Arial" w:hAnsi="Arial"/>
                <w:sz w:val="20"/>
                <w:szCs w:val="20"/>
                <w:color w:val="auto"/>
              </w:rPr>
              <w:t>Other asset valuation</w:t>
            </w:r>
          </w:p>
        </w:tc>
        <w:tc>
          <w:tcPr>
            <w:tcW w:w="6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80" w:type="dxa"/>
            <w:vAlign w:val="bottom"/>
            <w:vMerge w:val="continue"/>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38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380" w:type="dxa"/>
            <w:vAlign w:val="bottom"/>
          </w:tcPr>
          <w:p>
            <w:pPr>
              <w:spacing w:after="0"/>
              <w:rPr>
                <w:sz w:val="20"/>
                <w:szCs w:val="20"/>
                <w:color w:val="auto"/>
              </w:rPr>
            </w:pPr>
            <w:r>
              <w:rPr>
                <w:rFonts w:ascii="Arial" w:cs="Arial" w:eastAsia="Arial" w:hAnsi="Arial"/>
                <w:sz w:val="20"/>
                <w:szCs w:val="20"/>
                <w:color w:val="auto"/>
                <w:w w:val="96"/>
              </w:rPr>
              <w:t>allowance . . . . . . . . . . . . . .</w:t>
            </w:r>
          </w:p>
        </w:tc>
        <w:tc>
          <w:tcPr>
            <w:tcW w:w="620" w:type="dxa"/>
            <w:vAlign w:val="bottom"/>
          </w:tcPr>
          <w:p>
            <w:pPr>
              <w:jc w:val="right"/>
              <w:ind w:right="360"/>
              <w:spacing w:after="0"/>
              <w:rPr>
                <w:sz w:val="20"/>
                <w:szCs w:val="20"/>
                <w:color w:val="auto"/>
              </w:rPr>
            </w:pPr>
            <w:r>
              <w:rPr>
                <w:rFonts w:ascii="Arial" w:cs="Arial" w:eastAsia="Arial" w:hAnsi="Arial"/>
                <w:sz w:val="20"/>
                <w:szCs w:val="20"/>
                <w:color w:val="auto"/>
              </w:rPr>
              <w:t>$</w:t>
            </w:r>
          </w:p>
        </w:tc>
        <w:tc>
          <w:tcPr>
            <w:tcW w:w="980" w:type="dxa"/>
            <w:vAlign w:val="bottom"/>
            <w:gridSpan w:val="3"/>
          </w:tcPr>
          <w:p>
            <w:pPr>
              <w:jc w:val="right"/>
              <w:spacing w:after="0"/>
              <w:rPr>
                <w:sz w:val="20"/>
                <w:szCs w:val="20"/>
                <w:color w:val="auto"/>
              </w:rPr>
            </w:pPr>
            <w:r>
              <w:rPr>
                <w:rFonts w:ascii="Arial" w:cs="Arial" w:eastAsia="Arial" w:hAnsi="Arial"/>
                <w:sz w:val="20"/>
                <w:szCs w:val="20"/>
                <w:color w:val="auto"/>
              </w:rPr>
              <w:t>— $</w:t>
            </w:r>
          </w:p>
        </w:tc>
        <w:tc>
          <w:tcPr>
            <w:tcW w:w="0" w:type="dxa"/>
            <w:vAlign w:val="bottom"/>
          </w:tcPr>
          <w:p>
            <w:pPr>
              <w:spacing w:after="0"/>
              <w:rPr>
                <w:sz w:val="1"/>
                <w:szCs w:val="1"/>
                <w:color w:val="auto"/>
              </w:rPr>
            </w:pPr>
          </w:p>
        </w:tc>
      </w:tr>
      <w:tr>
        <w:trPr>
          <w:trHeight w:val="30"/>
        </w:trPr>
        <w:tc>
          <w:tcPr>
            <w:tcW w:w="2380" w:type="dxa"/>
            <w:vAlign w:val="bottom"/>
            <w:vMerge w:val="restart"/>
          </w:tcPr>
          <w:p>
            <w:pPr>
              <w:spacing w:after="0"/>
              <w:rPr>
                <w:sz w:val="20"/>
                <w:szCs w:val="20"/>
                <w:color w:val="auto"/>
              </w:rPr>
            </w:pPr>
            <w:r>
              <w:rPr>
                <w:rFonts w:ascii="Arial" w:cs="Arial" w:eastAsia="Arial" w:hAnsi="Arial"/>
                <w:sz w:val="20"/>
                <w:szCs w:val="20"/>
                <w:b w:val="1"/>
                <w:bCs w:val="1"/>
                <w:color w:val="auto"/>
              </w:rPr>
              <w:t>2021 (Successor)</w:t>
            </w:r>
          </w:p>
        </w:tc>
        <w:tc>
          <w:tcPr>
            <w:tcW w:w="6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80" w:type="dxa"/>
            <w:vAlign w:val="bottom"/>
            <w:vMerge w:val="continue"/>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38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
        </w:trPr>
        <w:tc>
          <w:tcPr>
            <w:tcW w:w="2380" w:type="dxa"/>
            <w:vAlign w:val="bottom"/>
            <w:vMerge w:val="restart"/>
          </w:tcPr>
          <w:p>
            <w:pPr>
              <w:spacing w:after="0"/>
              <w:rPr>
                <w:sz w:val="20"/>
                <w:szCs w:val="20"/>
                <w:color w:val="auto"/>
              </w:rPr>
            </w:pPr>
            <w:r>
              <w:rPr>
                <w:rFonts w:ascii="Arial" w:cs="Arial" w:eastAsia="Arial" w:hAnsi="Arial"/>
                <w:sz w:val="20"/>
                <w:szCs w:val="20"/>
                <w:color w:val="auto"/>
              </w:rPr>
              <w:t>Deferred tax valuation</w:t>
            </w:r>
          </w:p>
        </w:tc>
        <w:tc>
          <w:tcPr>
            <w:tcW w:w="6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238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380" w:type="dxa"/>
            <w:vAlign w:val="bottom"/>
          </w:tcPr>
          <w:p>
            <w:pPr>
              <w:spacing w:after="0"/>
              <w:rPr>
                <w:sz w:val="20"/>
                <w:szCs w:val="20"/>
                <w:color w:val="auto"/>
              </w:rPr>
            </w:pPr>
            <w:r>
              <w:rPr>
                <w:rFonts w:ascii="Arial" w:cs="Arial" w:eastAsia="Arial" w:hAnsi="Arial"/>
                <w:sz w:val="20"/>
                <w:szCs w:val="20"/>
                <w:color w:val="auto"/>
                <w:w w:val="96"/>
              </w:rPr>
              <w:t>allowance . . . . . . . . . . . . . .</w:t>
            </w:r>
          </w:p>
        </w:tc>
        <w:tc>
          <w:tcPr>
            <w:tcW w:w="620" w:type="dxa"/>
            <w:vAlign w:val="bottom"/>
          </w:tcPr>
          <w:p>
            <w:pPr>
              <w:jc w:val="right"/>
              <w:ind w:right="360"/>
              <w:spacing w:after="0"/>
              <w:rPr>
                <w:sz w:val="20"/>
                <w:szCs w:val="20"/>
                <w:color w:val="auto"/>
              </w:rPr>
            </w:pPr>
            <w:r>
              <w:rPr>
                <w:rFonts w:ascii="Arial" w:cs="Arial" w:eastAsia="Arial" w:hAnsi="Arial"/>
                <w:sz w:val="20"/>
                <w:szCs w:val="20"/>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20"/>
                <w:szCs w:val="20"/>
                <w:color w:val="auto"/>
              </w:rPr>
              <w:t>549</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
        </w:trPr>
        <w:tc>
          <w:tcPr>
            <w:tcW w:w="2380" w:type="dxa"/>
            <w:vAlign w:val="bottom"/>
            <w:vMerge w:val="restart"/>
          </w:tcPr>
          <w:p>
            <w:pPr>
              <w:spacing w:after="0"/>
              <w:rPr>
                <w:sz w:val="20"/>
                <w:szCs w:val="20"/>
                <w:color w:val="auto"/>
              </w:rPr>
            </w:pPr>
            <w:r>
              <w:rPr>
                <w:rFonts w:ascii="Arial" w:cs="Arial" w:eastAsia="Arial" w:hAnsi="Arial"/>
                <w:sz w:val="20"/>
                <w:szCs w:val="20"/>
                <w:color w:val="auto"/>
              </w:rPr>
              <w:t>Other asset valuation</w:t>
            </w:r>
          </w:p>
        </w:tc>
        <w:tc>
          <w:tcPr>
            <w:tcW w:w="6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80" w:type="dxa"/>
            <w:vAlign w:val="bottom"/>
            <w:vMerge w:val="continue"/>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38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380" w:type="dxa"/>
            <w:vAlign w:val="bottom"/>
          </w:tcPr>
          <w:p>
            <w:pPr>
              <w:spacing w:after="0"/>
              <w:rPr>
                <w:sz w:val="20"/>
                <w:szCs w:val="20"/>
                <w:color w:val="auto"/>
              </w:rPr>
            </w:pPr>
            <w:r>
              <w:rPr>
                <w:rFonts w:ascii="Arial" w:cs="Arial" w:eastAsia="Arial" w:hAnsi="Arial"/>
                <w:sz w:val="20"/>
                <w:szCs w:val="20"/>
                <w:color w:val="auto"/>
                <w:w w:val="96"/>
              </w:rPr>
              <w:t>allowance . . . . . . . . . . . . . .</w:t>
            </w:r>
          </w:p>
        </w:tc>
        <w:tc>
          <w:tcPr>
            <w:tcW w:w="620" w:type="dxa"/>
            <w:vAlign w:val="bottom"/>
          </w:tcPr>
          <w:p>
            <w:pPr>
              <w:jc w:val="right"/>
              <w:ind w:right="360"/>
              <w:spacing w:after="0"/>
              <w:rPr>
                <w:sz w:val="20"/>
                <w:szCs w:val="20"/>
                <w:color w:val="auto"/>
              </w:rPr>
            </w:pPr>
            <w:r>
              <w:rPr>
                <w:rFonts w:ascii="Arial" w:cs="Arial" w:eastAsia="Arial" w:hAnsi="Arial"/>
                <w:sz w:val="20"/>
                <w:szCs w:val="20"/>
                <w:color w:val="auto"/>
              </w:rPr>
              <w:t>$</w:t>
            </w:r>
          </w:p>
        </w:tc>
        <w:tc>
          <w:tcPr>
            <w:tcW w:w="980" w:type="dxa"/>
            <w:vAlign w:val="bottom"/>
            <w:gridSpan w:val="3"/>
          </w:tcPr>
          <w:p>
            <w:pPr>
              <w:jc w:val="right"/>
              <w:spacing w:after="0"/>
              <w:rPr>
                <w:sz w:val="20"/>
                <w:szCs w:val="20"/>
                <w:color w:val="auto"/>
              </w:rPr>
            </w:pPr>
            <w:r>
              <w:rPr>
                <w:rFonts w:ascii="Arial" w:cs="Arial" w:eastAsia="Arial" w:hAnsi="Arial"/>
                <w:sz w:val="20"/>
                <w:szCs w:val="20"/>
                <w:color w:val="auto"/>
              </w:rPr>
              <w:t>— $</w:t>
            </w:r>
          </w:p>
        </w:tc>
        <w:tc>
          <w:tcPr>
            <w:tcW w:w="0" w:type="dxa"/>
            <w:vAlign w:val="bottom"/>
          </w:tcPr>
          <w:p>
            <w:pPr>
              <w:spacing w:after="0"/>
              <w:rPr>
                <w:sz w:val="1"/>
                <w:szCs w:val="1"/>
                <w:color w:val="auto"/>
              </w:rPr>
            </w:pPr>
          </w:p>
        </w:tc>
      </w:tr>
      <w:tr>
        <w:trPr>
          <w:trHeight w:val="28"/>
        </w:trPr>
        <w:tc>
          <w:tcPr>
            <w:tcW w:w="2380" w:type="dxa"/>
            <w:vAlign w:val="bottom"/>
            <w:vMerge w:val="restart"/>
          </w:tcPr>
          <w:p>
            <w:pPr>
              <w:spacing w:after="0"/>
              <w:rPr>
                <w:sz w:val="20"/>
                <w:szCs w:val="20"/>
                <w:color w:val="auto"/>
              </w:rPr>
            </w:pPr>
            <w:r>
              <w:rPr>
                <w:rFonts w:ascii="Arial" w:cs="Arial" w:eastAsia="Arial" w:hAnsi="Arial"/>
                <w:sz w:val="20"/>
                <w:szCs w:val="20"/>
                <w:b w:val="1"/>
                <w:bCs w:val="1"/>
                <w:color w:val="auto"/>
              </w:rPr>
              <w:t>November 1, 2020 -</w:t>
            </w:r>
          </w:p>
        </w:tc>
        <w:tc>
          <w:tcPr>
            <w:tcW w:w="6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80" w:type="dxa"/>
            <w:vAlign w:val="bottom"/>
            <w:vMerge w:val="continue"/>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38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380" w:type="dxa"/>
            <w:vAlign w:val="bottom"/>
          </w:tcPr>
          <w:p>
            <w:pPr>
              <w:spacing w:after="0"/>
              <w:rPr>
                <w:sz w:val="20"/>
                <w:szCs w:val="20"/>
                <w:color w:val="auto"/>
              </w:rPr>
            </w:pPr>
            <w:r>
              <w:rPr>
                <w:rFonts w:ascii="Arial" w:cs="Arial" w:eastAsia="Arial" w:hAnsi="Arial"/>
                <w:sz w:val="20"/>
                <w:szCs w:val="20"/>
                <w:b w:val="1"/>
                <w:bCs w:val="1"/>
                <w:color w:val="auto"/>
              </w:rPr>
              <w:t>December 31, 2020</w:t>
            </w: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380" w:type="dxa"/>
            <w:vAlign w:val="bottom"/>
          </w:tcPr>
          <w:p>
            <w:pPr>
              <w:spacing w:after="0"/>
              <w:rPr>
                <w:sz w:val="20"/>
                <w:szCs w:val="20"/>
                <w:color w:val="auto"/>
              </w:rPr>
            </w:pPr>
            <w:r>
              <w:rPr>
                <w:rFonts w:ascii="Arial" w:cs="Arial" w:eastAsia="Arial" w:hAnsi="Arial"/>
                <w:sz w:val="20"/>
                <w:szCs w:val="20"/>
                <w:b w:val="1"/>
                <w:bCs w:val="1"/>
                <w:color w:val="auto"/>
              </w:rPr>
              <w:t>(Successor)</w:t>
            </w: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380" w:type="dxa"/>
            <w:vAlign w:val="bottom"/>
            <w:vMerge w:val="restart"/>
          </w:tcPr>
          <w:p>
            <w:pPr>
              <w:spacing w:after="0"/>
              <w:rPr>
                <w:sz w:val="20"/>
                <w:szCs w:val="20"/>
                <w:color w:val="auto"/>
              </w:rPr>
            </w:pPr>
            <w:r>
              <w:rPr>
                <w:rFonts w:ascii="Arial" w:cs="Arial" w:eastAsia="Arial" w:hAnsi="Arial"/>
                <w:sz w:val="20"/>
                <w:szCs w:val="20"/>
                <w:color w:val="auto"/>
              </w:rPr>
              <w:t>Deferred tax valuation</w:t>
            </w:r>
          </w:p>
        </w:tc>
        <w:tc>
          <w:tcPr>
            <w:tcW w:w="6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38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380" w:type="dxa"/>
            <w:vAlign w:val="bottom"/>
          </w:tcPr>
          <w:p>
            <w:pPr>
              <w:spacing w:after="0"/>
              <w:rPr>
                <w:sz w:val="20"/>
                <w:szCs w:val="20"/>
                <w:color w:val="auto"/>
              </w:rPr>
            </w:pPr>
            <w:r>
              <w:rPr>
                <w:rFonts w:ascii="Arial" w:cs="Arial" w:eastAsia="Arial" w:hAnsi="Arial"/>
                <w:sz w:val="20"/>
                <w:szCs w:val="20"/>
                <w:color w:val="auto"/>
                <w:w w:val="96"/>
              </w:rPr>
              <w:t>allowance . . . . . . . . . . . . . .</w:t>
            </w:r>
          </w:p>
        </w:tc>
        <w:tc>
          <w:tcPr>
            <w:tcW w:w="620" w:type="dxa"/>
            <w:vAlign w:val="bottom"/>
          </w:tcPr>
          <w:p>
            <w:pPr>
              <w:jc w:val="right"/>
              <w:ind w:right="360"/>
              <w:spacing w:after="0"/>
              <w:rPr>
                <w:sz w:val="20"/>
                <w:szCs w:val="20"/>
                <w:color w:val="auto"/>
              </w:rPr>
            </w:pPr>
            <w:r>
              <w:rPr>
                <w:rFonts w:ascii="Arial" w:cs="Arial" w:eastAsia="Arial" w:hAnsi="Arial"/>
                <w:sz w:val="20"/>
                <w:szCs w:val="20"/>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20"/>
                <w:szCs w:val="20"/>
                <w:color w:val="auto"/>
              </w:rPr>
              <w:t>511</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
        </w:trPr>
        <w:tc>
          <w:tcPr>
            <w:tcW w:w="2380" w:type="dxa"/>
            <w:vAlign w:val="bottom"/>
            <w:vMerge w:val="restart"/>
          </w:tcPr>
          <w:p>
            <w:pPr>
              <w:spacing w:after="0"/>
              <w:rPr>
                <w:sz w:val="20"/>
                <w:szCs w:val="20"/>
                <w:color w:val="auto"/>
              </w:rPr>
            </w:pPr>
            <w:r>
              <w:rPr>
                <w:rFonts w:ascii="Arial" w:cs="Arial" w:eastAsia="Arial" w:hAnsi="Arial"/>
                <w:sz w:val="20"/>
                <w:szCs w:val="20"/>
                <w:color w:val="auto"/>
              </w:rPr>
              <w:t>Other asset valuation</w:t>
            </w:r>
          </w:p>
        </w:tc>
        <w:tc>
          <w:tcPr>
            <w:tcW w:w="6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80" w:type="dxa"/>
            <w:vAlign w:val="bottom"/>
            <w:vMerge w:val="continue"/>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38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380" w:type="dxa"/>
            <w:vAlign w:val="bottom"/>
          </w:tcPr>
          <w:p>
            <w:pPr>
              <w:spacing w:after="0"/>
              <w:rPr>
                <w:sz w:val="20"/>
                <w:szCs w:val="20"/>
                <w:color w:val="auto"/>
              </w:rPr>
            </w:pPr>
            <w:r>
              <w:rPr>
                <w:rFonts w:ascii="Arial" w:cs="Arial" w:eastAsia="Arial" w:hAnsi="Arial"/>
                <w:sz w:val="20"/>
                <w:szCs w:val="20"/>
                <w:color w:val="auto"/>
                <w:w w:val="96"/>
              </w:rPr>
              <w:t>allowance . . . . . . . . . . . . . .</w:t>
            </w:r>
          </w:p>
        </w:tc>
        <w:tc>
          <w:tcPr>
            <w:tcW w:w="620" w:type="dxa"/>
            <w:vAlign w:val="bottom"/>
          </w:tcPr>
          <w:p>
            <w:pPr>
              <w:jc w:val="right"/>
              <w:ind w:right="360"/>
              <w:spacing w:after="0"/>
              <w:rPr>
                <w:sz w:val="20"/>
                <w:szCs w:val="20"/>
                <w:color w:val="auto"/>
              </w:rPr>
            </w:pPr>
            <w:r>
              <w:rPr>
                <w:rFonts w:ascii="Arial" w:cs="Arial" w:eastAsia="Arial" w:hAnsi="Arial"/>
                <w:sz w:val="20"/>
                <w:szCs w:val="20"/>
                <w:color w:val="auto"/>
              </w:rPr>
              <w:t>$</w:t>
            </w:r>
          </w:p>
        </w:tc>
        <w:tc>
          <w:tcPr>
            <w:tcW w:w="980" w:type="dxa"/>
            <w:vAlign w:val="bottom"/>
            <w:gridSpan w:val="3"/>
          </w:tcPr>
          <w:p>
            <w:pPr>
              <w:jc w:val="right"/>
              <w:spacing w:after="0"/>
              <w:rPr>
                <w:sz w:val="20"/>
                <w:szCs w:val="20"/>
                <w:color w:val="auto"/>
              </w:rPr>
            </w:pPr>
            <w:r>
              <w:rPr>
                <w:rFonts w:ascii="Arial" w:cs="Arial" w:eastAsia="Arial" w:hAnsi="Arial"/>
                <w:sz w:val="20"/>
                <w:szCs w:val="20"/>
                <w:color w:val="auto"/>
              </w:rPr>
              <w:t>— $</w:t>
            </w:r>
          </w:p>
        </w:tc>
        <w:tc>
          <w:tcPr>
            <w:tcW w:w="0" w:type="dxa"/>
            <w:vAlign w:val="bottom"/>
          </w:tcPr>
          <w:p>
            <w:pPr>
              <w:spacing w:after="0"/>
              <w:rPr>
                <w:sz w:val="1"/>
                <w:szCs w:val="1"/>
                <w:color w:val="auto"/>
              </w:rPr>
            </w:pPr>
          </w:p>
        </w:tc>
      </w:tr>
      <w:tr>
        <w:trPr>
          <w:trHeight w:val="28"/>
        </w:trPr>
        <w:tc>
          <w:tcPr>
            <w:tcW w:w="2380" w:type="dxa"/>
            <w:vAlign w:val="bottom"/>
            <w:vMerge w:val="restart"/>
          </w:tcPr>
          <w:p>
            <w:pPr>
              <w:spacing w:after="0"/>
              <w:rPr>
                <w:sz w:val="20"/>
                <w:szCs w:val="20"/>
                <w:color w:val="auto"/>
              </w:rPr>
            </w:pPr>
            <w:r>
              <w:rPr>
                <w:rFonts w:ascii="Arial" w:cs="Arial" w:eastAsia="Arial" w:hAnsi="Arial"/>
                <w:sz w:val="20"/>
                <w:szCs w:val="20"/>
                <w:b w:val="1"/>
                <w:bCs w:val="1"/>
                <w:color w:val="auto"/>
              </w:rPr>
              <w:t>January 1, 2020 -</w:t>
            </w:r>
          </w:p>
        </w:tc>
        <w:tc>
          <w:tcPr>
            <w:tcW w:w="6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80" w:type="dxa"/>
            <w:vAlign w:val="bottom"/>
            <w:vMerge w:val="continue"/>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38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380" w:type="dxa"/>
            <w:vAlign w:val="bottom"/>
          </w:tcPr>
          <w:p>
            <w:pPr>
              <w:spacing w:after="0"/>
              <w:rPr>
                <w:sz w:val="20"/>
                <w:szCs w:val="20"/>
                <w:color w:val="auto"/>
              </w:rPr>
            </w:pPr>
            <w:r>
              <w:rPr>
                <w:rFonts w:ascii="Arial" w:cs="Arial" w:eastAsia="Arial" w:hAnsi="Arial"/>
                <w:sz w:val="20"/>
                <w:szCs w:val="20"/>
                <w:b w:val="1"/>
                <w:bCs w:val="1"/>
                <w:color w:val="auto"/>
              </w:rPr>
              <w:t>October 31, 2020</w:t>
            </w: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380" w:type="dxa"/>
            <w:vAlign w:val="bottom"/>
          </w:tcPr>
          <w:p>
            <w:pPr>
              <w:spacing w:after="0"/>
              <w:rPr>
                <w:sz w:val="20"/>
                <w:szCs w:val="20"/>
                <w:color w:val="auto"/>
              </w:rPr>
            </w:pPr>
            <w:r>
              <w:rPr>
                <w:rFonts w:ascii="Arial" w:cs="Arial" w:eastAsia="Arial" w:hAnsi="Arial"/>
                <w:sz w:val="20"/>
                <w:szCs w:val="20"/>
                <w:b w:val="1"/>
                <w:bCs w:val="1"/>
                <w:color w:val="auto"/>
              </w:rPr>
              <w:t>(Predecessor)</w:t>
            </w: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380" w:type="dxa"/>
            <w:vAlign w:val="bottom"/>
            <w:vMerge w:val="restart"/>
          </w:tcPr>
          <w:p>
            <w:pPr>
              <w:spacing w:after="0"/>
              <w:rPr>
                <w:sz w:val="20"/>
                <w:szCs w:val="20"/>
                <w:color w:val="auto"/>
              </w:rPr>
            </w:pPr>
            <w:r>
              <w:rPr>
                <w:rFonts w:ascii="Arial" w:cs="Arial" w:eastAsia="Arial" w:hAnsi="Arial"/>
                <w:sz w:val="20"/>
                <w:szCs w:val="20"/>
                <w:color w:val="auto"/>
              </w:rPr>
              <w:t>Deferred tax valuation</w:t>
            </w:r>
          </w:p>
        </w:tc>
        <w:tc>
          <w:tcPr>
            <w:tcW w:w="6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38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380" w:type="dxa"/>
            <w:vAlign w:val="bottom"/>
          </w:tcPr>
          <w:p>
            <w:pPr>
              <w:spacing w:after="0"/>
              <w:rPr>
                <w:sz w:val="20"/>
                <w:szCs w:val="20"/>
                <w:color w:val="auto"/>
              </w:rPr>
            </w:pPr>
            <w:r>
              <w:rPr>
                <w:rFonts w:ascii="Arial" w:cs="Arial" w:eastAsia="Arial" w:hAnsi="Arial"/>
                <w:sz w:val="20"/>
                <w:szCs w:val="20"/>
                <w:color w:val="auto"/>
                <w:w w:val="96"/>
              </w:rPr>
              <w:t>allowance . . . . . . . . . . . . . .</w:t>
            </w:r>
          </w:p>
        </w:tc>
        <w:tc>
          <w:tcPr>
            <w:tcW w:w="620" w:type="dxa"/>
            <w:vAlign w:val="bottom"/>
          </w:tcPr>
          <w:p>
            <w:pPr>
              <w:jc w:val="right"/>
              <w:ind w:right="360"/>
              <w:spacing w:after="0"/>
              <w:rPr>
                <w:sz w:val="20"/>
                <w:szCs w:val="20"/>
                <w:color w:val="auto"/>
              </w:rPr>
            </w:pPr>
            <w:r>
              <w:rPr>
                <w:rFonts w:ascii="Arial" w:cs="Arial" w:eastAsia="Arial" w:hAnsi="Arial"/>
                <w:sz w:val="20"/>
                <w:szCs w:val="20"/>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20"/>
                <w:szCs w:val="20"/>
                <w:color w:val="auto"/>
              </w:rPr>
              <w:t>646</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
        </w:trPr>
        <w:tc>
          <w:tcPr>
            <w:tcW w:w="2380" w:type="dxa"/>
            <w:vAlign w:val="bottom"/>
            <w:vMerge w:val="restart"/>
          </w:tcPr>
          <w:p>
            <w:pPr>
              <w:spacing w:after="0"/>
              <w:rPr>
                <w:sz w:val="20"/>
                <w:szCs w:val="20"/>
                <w:color w:val="auto"/>
              </w:rPr>
            </w:pPr>
            <w:r>
              <w:rPr>
                <w:rFonts w:ascii="Arial" w:cs="Arial" w:eastAsia="Arial" w:hAnsi="Arial"/>
                <w:sz w:val="20"/>
                <w:szCs w:val="20"/>
                <w:color w:val="auto"/>
              </w:rPr>
              <w:t>Other asset valuation</w:t>
            </w:r>
          </w:p>
        </w:tc>
        <w:tc>
          <w:tcPr>
            <w:tcW w:w="6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80" w:type="dxa"/>
            <w:vAlign w:val="bottom"/>
            <w:vMerge w:val="continue"/>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38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380" w:type="dxa"/>
            <w:vAlign w:val="bottom"/>
          </w:tcPr>
          <w:p>
            <w:pPr>
              <w:spacing w:after="0"/>
              <w:rPr>
                <w:sz w:val="20"/>
                <w:szCs w:val="20"/>
                <w:color w:val="auto"/>
              </w:rPr>
            </w:pPr>
            <w:r>
              <w:rPr>
                <w:rFonts w:ascii="Arial" w:cs="Arial" w:eastAsia="Arial" w:hAnsi="Arial"/>
                <w:sz w:val="20"/>
                <w:szCs w:val="20"/>
                <w:color w:val="auto"/>
                <w:w w:val="96"/>
              </w:rPr>
              <w:t>allowance . . . . . . . . . . . . . .</w:t>
            </w:r>
          </w:p>
        </w:tc>
        <w:tc>
          <w:tcPr>
            <w:tcW w:w="620" w:type="dxa"/>
            <w:vAlign w:val="bottom"/>
          </w:tcPr>
          <w:p>
            <w:pPr>
              <w:jc w:val="right"/>
              <w:ind w:right="36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22</w:t>
            </w:r>
          </w:p>
        </w:tc>
        <w:tc>
          <w:tcPr>
            <w:tcW w:w="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
        </w:trPr>
        <w:tc>
          <w:tcPr>
            <w:tcW w:w="23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jc w:val="right"/>
              <w:ind w:right="20"/>
              <w:spacing w:after="0"/>
              <w:rPr>
                <w:sz w:val="20"/>
                <w:szCs w:val="20"/>
                <w:color w:val="auto"/>
              </w:rPr>
            </w:pPr>
            <w:r>
              <w:rPr>
                <w:rFonts w:ascii="Arial" w:cs="Arial" w:eastAsia="Arial" w:hAnsi="Arial"/>
                <w:sz w:val="20"/>
                <w:szCs w:val="20"/>
                <w:color w:val="auto"/>
              </w:rPr>
              <w:t>35</w:t>
            </w:r>
          </w:p>
        </w:tc>
        <w:tc>
          <w:tcPr>
            <w:tcW w:w="560" w:type="dxa"/>
            <w:vAlign w:val="bottom"/>
          </w:tcPr>
          <w:p>
            <w:pPr>
              <w:jc w:val="right"/>
              <w:ind w:right="30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640" w:type="dxa"/>
            <w:vAlign w:val="bottom"/>
            <w:gridSpan w:val="2"/>
          </w:tcPr>
          <w:p>
            <w:pPr>
              <w:jc w:val="right"/>
              <w:ind w:right="440"/>
              <w:spacing w:after="0"/>
              <w:rPr>
                <w:sz w:val="20"/>
                <w:szCs w:val="20"/>
                <w:color w:val="auto"/>
              </w:rPr>
            </w:pPr>
            <w:r>
              <w:rPr>
                <w:rFonts w:ascii="Arial" w:cs="Arial" w:eastAsia="Arial" w:hAnsi="Arial"/>
                <w:sz w:val="20"/>
                <w:szCs w:val="20"/>
                <w:color w:val="auto"/>
              </w:rPr>
              <w:t>$</w:t>
            </w:r>
          </w:p>
        </w:tc>
        <w:tc>
          <w:tcPr>
            <w:tcW w:w="1300" w:type="dxa"/>
            <w:vAlign w:val="bottom"/>
            <w:gridSpan w:val="3"/>
          </w:tcPr>
          <w:p>
            <w:pPr>
              <w:ind w:left="460"/>
              <w:spacing w:after="0"/>
              <w:rPr>
                <w:sz w:val="20"/>
                <w:szCs w:val="20"/>
                <w:color w:val="auto"/>
              </w:rPr>
            </w:pPr>
            <w:r>
              <w:rPr>
                <w:rFonts w:ascii="Arial" w:cs="Arial" w:eastAsia="Arial" w:hAnsi="Arial"/>
                <w:sz w:val="20"/>
                <w:szCs w:val="20"/>
                <w:color w:val="auto"/>
              </w:rPr>
              <w:t>— $</w:t>
            </w:r>
          </w:p>
        </w:tc>
        <w:tc>
          <w:tcPr>
            <w:tcW w:w="66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30"/>
        </w:trPr>
        <w:tc>
          <w:tcPr>
            <w:tcW w:w="5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510"/>
        </w:trPr>
        <w:tc>
          <w:tcPr>
            <w:tcW w:w="520" w:type="dxa"/>
            <w:vAlign w:val="bottom"/>
          </w:tcPr>
          <w:p>
            <w:pPr>
              <w:jc w:val="right"/>
              <w:ind w:right="20"/>
              <w:spacing w:after="0"/>
              <w:rPr>
                <w:sz w:val="20"/>
                <w:szCs w:val="20"/>
                <w:color w:val="auto"/>
              </w:rPr>
            </w:pPr>
            <w:r>
              <w:rPr>
                <w:rFonts w:ascii="Arial" w:cs="Arial" w:eastAsia="Arial" w:hAnsi="Arial"/>
                <w:sz w:val="20"/>
                <w:szCs w:val="20"/>
                <w:color w:val="auto"/>
              </w:rPr>
              <w:t>1</w:t>
            </w:r>
          </w:p>
        </w:tc>
        <w:tc>
          <w:tcPr>
            <w:tcW w:w="560" w:type="dxa"/>
            <w:vAlign w:val="bottom"/>
          </w:tcPr>
          <w:p>
            <w:pPr>
              <w:jc w:val="right"/>
              <w:ind w:right="30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640" w:type="dxa"/>
            <w:vAlign w:val="bottom"/>
            <w:gridSpan w:val="2"/>
          </w:tcPr>
          <w:p>
            <w:pPr>
              <w:jc w:val="right"/>
              <w:ind w:right="440"/>
              <w:spacing w:after="0"/>
              <w:rPr>
                <w:sz w:val="20"/>
                <w:szCs w:val="20"/>
                <w:color w:val="auto"/>
              </w:rPr>
            </w:pPr>
            <w:r>
              <w:rPr>
                <w:rFonts w:ascii="Arial" w:cs="Arial" w:eastAsia="Arial" w:hAnsi="Arial"/>
                <w:sz w:val="20"/>
                <w:szCs w:val="20"/>
                <w:color w:val="auto"/>
              </w:rPr>
              <w:t>$</w:t>
            </w:r>
          </w:p>
        </w:tc>
        <w:tc>
          <w:tcPr>
            <w:tcW w:w="1300" w:type="dxa"/>
            <w:vAlign w:val="bottom"/>
            <w:gridSpan w:val="3"/>
          </w:tcPr>
          <w:p>
            <w:pPr>
              <w:ind w:left="460"/>
              <w:spacing w:after="0"/>
              <w:rPr>
                <w:sz w:val="20"/>
                <w:szCs w:val="20"/>
                <w:color w:val="auto"/>
              </w:rPr>
            </w:pPr>
            <w:r>
              <w:rPr>
                <w:rFonts w:ascii="Arial" w:cs="Arial" w:eastAsia="Arial" w:hAnsi="Arial"/>
                <w:sz w:val="20"/>
                <w:szCs w:val="20"/>
                <w:color w:val="auto"/>
              </w:rPr>
              <w:t>— $</w:t>
            </w:r>
          </w:p>
        </w:tc>
        <w:tc>
          <w:tcPr>
            <w:tcW w:w="6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30"/>
        </w:trPr>
        <w:tc>
          <w:tcPr>
            <w:tcW w:w="5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300"/>
        </w:trPr>
        <w:tc>
          <w:tcPr>
            <w:tcW w:w="5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510"/>
        </w:trPr>
        <w:tc>
          <w:tcPr>
            <w:tcW w:w="520" w:type="dxa"/>
            <w:vAlign w:val="bottom"/>
          </w:tcPr>
          <w:p>
            <w:pPr>
              <w:jc w:val="right"/>
              <w:spacing w:after="0"/>
              <w:rPr>
                <w:sz w:val="20"/>
                <w:szCs w:val="20"/>
                <w:color w:val="auto"/>
              </w:rPr>
            </w:pPr>
            <w:r>
              <w:rPr>
                <w:rFonts w:ascii="Arial" w:cs="Arial" w:eastAsia="Arial" w:hAnsi="Arial"/>
                <w:sz w:val="20"/>
                <w:szCs w:val="20"/>
                <w:color w:val="auto"/>
                <w:w w:val="94"/>
              </w:rPr>
              <w:t>(526)</w:t>
            </w:r>
          </w:p>
        </w:tc>
        <w:tc>
          <w:tcPr>
            <w:tcW w:w="560" w:type="dxa"/>
            <w:vAlign w:val="bottom"/>
          </w:tcPr>
          <w:p>
            <w:pPr>
              <w:jc w:val="right"/>
              <w:ind w:right="30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(23)</w:t>
            </w:r>
          </w:p>
        </w:tc>
        <w:tc>
          <w:tcPr>
            <w:tcW w:w="640" w:type="dxa"/>
            <w:vAlign w:val="bottom"/>
            <w:gridSpan w:val="2"/>
          </w:tcPr>
          <w:p>
            <w:pPr>
              <w:jc w:val="right"/>
              <w:ind w:right="440"/>
              <w:spacing w:after="0"/>
              <w:rPr>
                <w:sz w:val="20"/>
                <w:szCs w:val="20"/>
                <w:color w:val="auto"/>
              </w:rPr>
            </w:pPr>
            <w:r>
              <w:rPr>
                <w:rFonts w:ascii="Arial" w:cs="Arial" w:eastAsia="Arial" w:hAnsi="Arial"/>
                <w:sz w:val="20"/>
                <w:szCs w:val="20"/>
                <w:color w:val="auto"/>
              </w:rPr>
              <w:t>$</w:t>
            </w:r>
          </w:p>
        </w:tc>
        <w:tc>
          <w:tcPr>
            <w:tcW w:w="1300" w:type="dxa"/>
            <w:vAlign w:val="bottom"/>
            <w:gridSpan w:val="3"/>
          </w:tcPr>
          <w:p>
            <w:pPr>
              <w:ind w:left="460"/>
              <w:spacing w:after="0"/>
              <w:rPr>
                <w:sz w:val="20"/>
                <w:szCs w:val="20"/>
                <w:color w:val="auto"/>
              </w:rPr>
            </w:pPr>
            <w:r>
              <w:rPr>
                <w:rFonts w:ascii="Arial" w:cs="Arial" w:eastAsia="Arial" w:hAnsi="Arial"/>
                <w:sz w:val="20"/>
                <w:szCs w:val="20"/>
                <w:color w:val="auto"/>
              </w:rPr>
              <w:t>— $</w:t>
            </w: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30"/>
        </w:trPr>
        <w:tc>
          <w:tcPr>
            <w:tcW w:w="5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512"/>
        </w:trPr>
        <w:tc>
          <w:tcPr>
            <w:tcW w:w="1080" w:type="dxa"/>
            <w:vAlign w:val="bottom"/>
            <w:gridSpan w:val="2"/>
          </w:tcPr>
          <w:p>
            <w:pPr>
              <w:jc w:val="right"/>
              <w:ind w:right="300"/>
              <w:spacing w:after="0"/>
              <w:rPr>
                <w:sz w:val="20"/>
                <w:szCs w:val="20"/>
                <w:color w:val="auto"/>
              </w:rPr>
            </w:pPr>
            <w:r>
              <w:rPr>
                <w:rFonts w:ascii="Arial" w:cs="Arial" w:eastAsia="Arial" w:hAnsi="Arial"/>
                <w:sz w:val="20"/>
                <w:szCs w:val="20"/>
                <w:color w:val="auto"/>
              </w:rPr>
              <w:t>—  $</w:t>
            </w:r>
          </w:p>
        </w:tc>
        <w:tc>
          <w:tcPr>
            <w:tcW w:w="1400" w:type="dxa"/>
            <w:vAlign w:val="bottom"/>
            <w:gridSpan w:val="3"/>
          </w:tcPr>
          <w:p>
            <w:pPr>
              <w:jc w:val="right"/>
              <w:ind w:right="440"/>
              <w:spacing w:after="0"/>
              <w:rPr>
                <w:sz w:val="20"/>
                <w:szCs w:val="20"/>
                <w:color w:val="auto"/>
              </w:rPr>
            </w:pPr>
            <w:r>
              <w:rPr>
                <w:rFonts w:ascii="Arial" w:cs="Arial" w:eastAsia="Arial" w:hAnsi="Arial"/>
                <w:sz w:val="20"/>
                <w:szCs w:val="20"/>
                <w:color w:val="auto"/>
              </w:rPr>
              <w:t>—  $</w:t>
            </w:r>
          </w:p>
        </w:tc>
        <w:tc>
          <w:tcPr>
            <w:tcW w:w="1300" w:type="dxa"/>
            <w:vAlign w:val="bottom"/>
            <w:gridSpan w:val="3"/>
          </w:tcPr>
          <w:p>
            <w:pPr>
              <w:ind w:left="460"/>
              <w:spacing w:after="0"/>
              <w:rPr>
                <w:sz w:val="20"/>
                <w:szCs w:val="20"/>
                <w:color w:val="auto"/>
              </w:rPr>
            </w:pPr>
            <w:r>
              <w:rPr>
                <w:rFonts w:ascii="Arial" w:cs="Arial" w:eastAsia="Arial" w:hAnsi="Arial"/>
                <w:sz w:val="20"/>
                <w:szCs w:val="20"/>
                <w:color w:val="auto"/>
              </w:rPr>
              <w:t>— $</w:t>
            </w: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
        </w:trPr>
        <w:tc>
          <w:tcPr>
            <w:tcW w:w="5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-544195</wp:posOffset>
                </wp:positionH>
                <wp:positionV relativeFrom="paragraph">
                  <wp:posOffset>-1730375</wp:posOffset>
                </wp:positionV>
                <wp:extent cx="84264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26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8499pt,-136.2499pt" to="23.5pt,-136.2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323850</wp:posOffset>
                </wp:positionH>
                <wp:positionV relativeFrom="paragraph">
                  <wp:posOffset>-1730375</wp:posOffset>
                </wp:positionV>
                <wp:extent cx="842645"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26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5pt,-136.2499pt" to="91.85pt,-136.2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1191895</wp:posOffset>
                </wp:positionH>
                <wp:positionV relativeFrom="paragraph">
                  <wp:posOffset>-1730375</wp:posOffset>
                </wp:positionV>
                <wp:extent cx="80137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137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3.85pt,-136.2499pt" to="156.95pt,-136.2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2018665</wp:posOffset>
                </wp:positionH>
                <wp:positionV relativeFrom="paragraph">
                  <wp:posOffset>-1730375</wp:posOffset>
                </wp:positionV>
                <wp:extent cx="800735"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73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8.95pt,-136.2499pt" to="222pt,-136.2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-544195</wp:posOffset>
                </wp:positionH>
                <wp:positionV relativeFrom="paragraph">
                  <wp:posOffset>-1374775</wp:posOffset>
                </wp:positionV>
                <wp:extent cx="842645"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26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8499pt,-108.2499pt" to="23.5pt,-108.2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-544195</wp:posOffset>
                </wp:positionH>
                <wp:positionV relativeFrom="paragraph">
                  <wp:posOffset>-1349375</wp:posOffset>
                </wp:positionV>
                <wp:extent cx="842645"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26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8499pt,-106.2499pt" to="23.5pt,-106.2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-544195</wp:posOffset>
                </wp:positionH>
                <wp:positionV relativeFrom="paragraph">
                  <wp:posOffset>-993775</wp:posOffset>
                </wp:positionV>
                <wp:extent cx="842645"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26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8499pt,-78.2499pt" to="23.5pt,-78.2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-544195</wp:posOffset>
                </wp:positionH>
                <wp:positionV relativeFrom="paragraph">
                  <wp:posOffset>-968375</wp:posOffset>
                </wp:positionV>
                <wp:extent cx="84264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26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8499pt,-76.2499pt" to="23.5pt,-76.2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-544195</wp:posOffset>
                </wp:positionH>
                <wp:positionV relativeFrom="paragraph">
                  <wp:posOffset>-765175</wp:posOffset>
                </wp:positionV>
                <wp:extent cx="84264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26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8499pt,-60.2499pt" to="23.5pt,-60.2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-544195</wp:posOffset>
                </wp:positionH>
                <wp:positionV relativeFrom="paragraph">
                  <wp:posOffset>-409575</wp:posOffset>
                </wp:positionV>
                <wp:extent cx="84264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26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8499pt,-32.2499pt" to="23.5pt,-32.2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-544195</wp:posOffset>
                </wp:positionH>
                <wp:positionV relativeFrom="paragraph">
                  <wp:posOffset>-384175</wp:posOffset>
                </wp:positionV>
                <wp:extent cx="842645"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26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8499pt,-30.2499pt" to="23.5pt,-30.2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-544195</wp:posOffset>
                </wp:positionH>
                <wp:positionV relativeFrom="paragraph">
                  <wp:posOffset>-28575</wp:posOffset>
                </wp:positionV>
                <wp:extent cx="842645"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26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8499pt,-2.2499pt" to="23.5pt,-2.2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-544195</wp:posOffset>
                </wp:positionH>
                <wp:positionV relativeFrom="paragraph">
                  <wp:posOffset>-3175</wp:posOffset>
                </wp:positionV>
                <wp:extent cx="84264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26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8499pt,-0.2499pt" to="23.5pt,-0.2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-544195</wp:posOffset>
                </wp:positionH>
                <wp:positionV relativeFrom="paragraph">
                  <wp:posOffset>504825</wp:posOffset>
                </wp:positionV>
                <wp:extent cx="84264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26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8499pt,39.75pt" to="23.5pt,39.7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323850</wp:posOffset>
                </wp:positionH>
                <wp:positionV relativeFrom="paragraph">
                  <wp:posOffset>504825</wp:posOffset>
                </wp:positionV>
                <wp:extent cx="84264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26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5pt,39.75pt" to="91.85pt,39.7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1191895</wp:posOffset>
                </wp:positionH>
                <wp:positionV relativeFrom="paragraph">
                  <wp:posOffset>504825</wp:posOffset>
                </wp:positionV>
                <wp:extent cx="80137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137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3.85pt,39.75pt" to="156.95pt,39.7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2018665</wp:posOffset>
                </wp:positionH>
                <wp:positionV relativeFrom="paragraph">
                  <wp:posOffset>504825</wp:posOffset>
                </wp:positionV>
                <wp:extent cx="80073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73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8.95pt,39.75pt" to="222pt,39.7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340" w:type="dxa"/>
            <w:vAlign w:val="bottom"/>
          </w:tcPr>
          <w:p>
            <w:pPr>
              <w:jc w:val="right"/>
              <w:ind w:right="20"/>
              <w:spacing w:after="0"/>
              <w:rPr>
                <w:sz w:val="20"/>
                <w:szCs w:val="20"/>
                <w:color w:val="auto"/>
              </w:rPr>
            </w:pPr>
            <w:r>
              <w:rPr>
                <w:rFonts w:ascii="Arial" w:cs="Arial" w:eastAsia="Arial" w:hAnsi="Arial"/>
                <w:sz w:val="20"/>
                <w:szCs w:val="20"/>
                <w:color w:val="auto"/>
                <w:w w:val="89"/>
              </w:rPr>
              <w:t>35</w:t>
            </w:r>
          </w:p>
        </w:tc>
        <w:tc>
          <w:tcPr>
            <w:tcW w:w="600" w:type="dxa"/>
            <w:vAlign w:val="bottom"/>
          </w:tcPr>
          <w:p>
            <w:pPr>
              <w:jc w:val="right"/>
              <w:ind w:right="34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3</w:t>
            </w:r>
          </w:p>
        </w:tc>
        <w:tc>
          <w:tcPr>
            <w:tcW w:w="640" w:type="dxa"/>
            <w:vAlign w:val="bottom"/>
            <w:gridSpan w:val="2"/>
          </w:tcPr>
          <w:p>
            <w:pPr>
              <w:jc w:val="right"/>
              <w:ind w:right="440"/>
              <w:spacing w:after="0"/>
              <w:rPr>
                <w:sz w:val="20"/>
                <w:szCs w:val="20"/>
                <w:color w:val="auto"/>
              </w:rPr>
            </w:pPr>
            <w:r>
              <w:rPr>
                <w:rFonts w:ascii="Arial" w:cs="Arial" w:eastAsia="Arial" w:hAnsi="Arial"/>
                <w:sz w:val="20"/>
                <w:szCs w:val="20"/>
                <w:color w:val="auto"/>
              </w:rPr>
              <w:t>$</w:t>
            </w:r>
          </w:p>
        </w:tc>
        <w:tc>
          <w:tcPr>
            <w:tcW w:w="1240" w:type="dxa"/>
            <w:vAlign w:val="bottom"/>
            <w:gridSpan w:val="3"/>
          </w:tcPr>
          <w:p>
            <w:pPr>
              <w:ind w:left="460"/>
              <w:spacing w:after="0"/>
              <w:rPr>
                <w:sz w:val="20"/>
                <w:szCs w:val="20"/>
                <w:color w:val="auto"/>
              </w:rPr>
            </w:pPr>
            <w:r>
              <w:rPr>
                <w:rFonts w:ascii="Arial" w:cs="Arial" w:eastAsia="Arial" w:hAnsi="Arial"/>
                <w:sz w:val="20"/>
                <w:szCs w:val="20"/>
                <w:color w:val="auto"/>
              </w:rPr>
              <w:t>— $</w:t>
            </w:r>
          </w:p>
        </w:tc>
        <w:tc>
          <w:tcPr>
            <w:tcW w:w="720" w:type="dxa"/>
            <w:vAlign w:val="bottom"/>
          </w:tcPr>
          <w:p>
            <w:pPr>
              <w:jc w:val="right"/>
              <w:spacing w:after="0"/>
              <w:rPr>
                <w:sz w:val="20"/>
                <w:szCs w:val="20"/>
                <w:color w:val="auto"/>
              </w:rPr>
            </w:pPr>
            <w:r>
              <w:rPr>
                <w:rFonts w:ascii="Arial" w:cs="Arial" w:eastAsia="Arial" w:hAnsi="Arial"/>
                <w:sz w:val="20"/>
                <w:szCs w:val="20"/>
                <w:color w:val="auto"/>
              </w:rPr>
              <w:t>549</w:t>
            </w:r>
          </w:p>
        </w:tc>
      </w:tr>
      <w:tr>
        <w:trPr>
          <w:trHeight w:val="28"/>
        </w:trPr>
        <w:tc>
          <w:tcPr>
            <w:tcW w:w="3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512"/>
        </w:trPr>
        <w:tc>
          <w:tcPr>
            <w:tcW w:w="340" w:type="dxa"/>
            <w:vAlign w:val="bottom"/>
          </w:tcPr>
          <w:p>
            <w:pPr>
              <w:jc w:val="right"/>
              <w:ind w:right="20"/>
              <w:spacing w:after="0"/>
              <w:rPr>
                <w:sz w:val="20"/>
                <w:szCs w:val="20"/>
                <w:color w:val="auto"/>
              </w:rPr>
            </w:pPr>
            <w:r>
              <w:rPr>
                <w:rFonts w:ascii="Arial" w:cs="Arial" w:eastAsia="Arial" w:hAnsi="Arial"/>
                <w:sz w:val="20"/>
                <w:szCs w:val="20"/>
                <w:color w:val="auto"/>
                <w:w w:val="99"/>
              </w:rPr>
              <w:t>—</w:t>
            </w:r>
          </w:p>
        </w:tc>
        <w:tc>
          <w:tcPr>
            <w:tcW w:w="600" w:type="dxa"/>
            <w:vAlign w:val="bottom"/>
          </w:tcPr>
          <w:p>
            <w:pPr>
              <w:jc w:val="right"/>
              <w:ind w:right="34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640" w:type="dxa"/>
            <w:vAlign w:val="bottom"/>
            <w:gridSpan w:val="2"/>
          </w:tcPr>
          <w:p>
            <w:pPr>
              <w:jc w:val="right"/>
              <w:ind w:right="440"/>
              <w:spacing w:after="0"/>
              <w:rPr>
                <w:sz w:val="20"/>
                <w:szCs w:val="20"/>
                <w:color w:val="auto"/>
              </w:rPr>
            </w:pPr>
            <w:r>
              <w:rPr>
                <w:rFonts w:ascii="Arial" w:cs="Arial" w:eastAsia="Arial" w:hAnsi="Arial"/>
                <w:sz w:val="20"/>
                <w:szCs w:val="20"/>
                <w:color w:val="auto"/>
              </w:rPr>
              <w:t>$</w:t>
            </w:r>
          </w:p>
        </w:tc>
        <w:tc>
          <w:tcPr>
            <w:tcW w:w="1240" w:type="dxa"/>
            <w:vAlign w:val="bottom"/>
            <w:gridSpan w:val="3"/>
          </w:tcPr>
          <w:p>
            <w:pPr>
              <w:ind w:left="460"/>
              <w:spacing w:after="0"/>
              <w:rPr>
                <w:sz w:val="20"/>
                <w:szCs w:val="20"/>
                <w:color w:val="auto"/>
              </w:rPr>
            </w:pPr>
            <w:r>
              <w:rPr>
                <w:rFonts w:ascii="Arial" w:cs="Arial" w:eastAsia="Arial" w:hAnsi="Arial"/>
                <w:sz w:val="20"/>
                <w:szCs w:val="20"/>
                <w:color w:val="auto"/>
              </w:rPr>
              <w:t>— $</w:t>
            </w: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
        </w:trPr>
        <w:tc>
          <w:tcPr>
            <w:tcW w:w="3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-544195</wp:posOffset>
                </wp:positionH>
                <wp:positionV relativeFrom="paragraph">
                  <wp:posOffset>-409575</wp:posOffset>
                </wp:positionV>
                <wp:extent cx="84264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26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8499pt,-32.2499pt" to="23.5pt,-32.2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-544195</wp:posOffset>
                </wp:positionH>
                <wp:positionV relativeFrom="paragraph">
                  <wp:posOffset>-384175</wp:posOffset>
                </wp:positionV>
                <wp:extent cx="84264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26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8499pt,-30.2499pt" to="23.5pt,-30.2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-544195</wp:posOffset>
                </wp:positionH>
                <wp:positionV relativeFrom="paragraph">
                  <wp:posOffset>-28575</wp:posOffset>
                </wp:positionV>
                <wp:extent cx="842645"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26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8499pt,-2.2499pt" to="23.5pt,-2.2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-544195</wp:posOffset>
                </wp:positionH>
                <wp:positionV relativeFrom="paragraph">
                  <wp:posOffset>-3175</wp:posOffset>
                </wp:positionV>
                <wp:extent cx="842645"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26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8499pt,-0.2499pt" to="23.5pt,-0.2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-544195</wp:posOffset>
                </wp:positionH>
                <wp:positionV relativeFrom="paragraph">
                  <wp:posOffset>504825</wp:posOffset>
                </wp:positionV>
                <wp:extent cx="84264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26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8499pt,39.75pt" to="23.5pt,39.7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323850</wp:posOffset>
                </wp:positionH>
                <wp:positionV relativeFrom="paragraph">
                  <wp:posOffset>504825</wp:posOffset>
                </wp:positionV>
                <wp:extent cx="842645"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26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5pt,39.75pt" to="91.85pt,39.7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1191895</wp:posOffset>
                </wp:positionH>
                <wp:positionV relativeFrom="paragraph">
                  <wp:posOffset>504825</wp:posOffset>
                </wp:positionV>
                <wp:extent cx="80137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137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3.85pt,39.75pt" to="156.95pt,39.7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2018665</wp:posOffset>
                </wp:positionH>
                <wp:positionV relativeFrom="paragraph">
                  <wp:posOffset>504825</wp:posOffset>
                </wp:positionV>
                <wp:extent cx="80073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73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8.95pt,39.75pt" to="222pt,39.7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jc w:val="right"/>
              <w:spacing w:after="0"/>
              <w:rPr>
                <w:sz w:val="20"/>
                <w:szCs w:val="20"/>
                <w:color w:val="auto"/>
              </w:rPr>
            </w:pPr>
            <w:r>
              <w:rPr>
                <w:rFonts w:ascii="Arial" w:cs="Arial" w:eastAsia="Arial" w:hAnsi="Arial"/>
                <w:sz w:val="20"/>
                <w:szCs w:val="20"/>
                <w:color w:val="auto"/>
                <w:w w:val="94"/>
              </w:rPr>
              <w:t>(571)</w:t>
            </w:r>
          </w:p>
        </w:tc>
        <w:tc>
          <w:tcPr>
            <w:tcW w:w="540" w:type="dxa"/>
            <w:vAlign w:val="bottom"/>
          </w:tcPr>
          <w:p>
            <w:pPr>
              <w:jc w:val="right"/>
              <w:ind w:right="28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436</w:t>
            </w:r>
          </w:p>
        </w:tc>
        <w:tc>
          <w:tcPr>
            <w:tcW w:w="640" w:type="dxa"/>
            <w:vAlign w:val="bottom"/>
            <w:gridSpan w:val="2"/>
          </w:tcPr>
          <w:p>
            <w:pPr>
              <w:jc w:val="right"/>
              <w:ind w:right="440"/>
              <w:spacing w:after="0"/>
              <w:rPr>
                <w:sz w:val="20"/>
                <w:szCs w:val="20"/>
                <w:color w:val="auto"/>
              </w:rPr>
            </w:pPr>
            <w:r>
              <w:rPr>
                <w:rFonts w:ascii="Arial" w:cs="Arial" w:eastAsia="Arial" w:hAnsi="Arial"/>
                <w:sz w:val="20"/>
                <w:szCs w:val="20"/>
                <w:color w:val="auto"/>
              </w:rPr>
              <w:t>$</w:t>
            </w:r>
          </w:p>
        </w:tc>
        <w:tc>
          <w:tcPr>
            <w:tcW w:w="1240" w:type="dxa"/>
            <w:vAlign w:val="bottom"/>
            <w:gridSpan w:val="3"/>
          </w:tcPr>
          <w:p>
            <w:pPr>
              <w:ind w:left="460"/>
              <w:spacing w:after="0"/>
              <w:rPr>
                <w:sz w:val="20"/>
                <w:szCs w:val="20"/>
                <w:color w:val="auto"/>
              </w:rPr>
            </w:pPr>
            <w:r>
              <w:rPr>
                <w:rFonts w:ascii="Arial" w:cs="Arial" w:eastAsia="Arial" w:hAnsi="Arial"/>
                <w:sz w:val="20"/>
                <w:szCs w:val="20"/>
                <w:color w:val="auto"/>
              </w:rPr>
              <w:t>— $</w:t>
            </w:r>
          </w:p>
        </w:tc>
        <w:tc>
          <w:tcPr>
            <w:tcW w:w="720" w:type="dxa"/>
            <w:vAlign w:val="bottom"/>
          </w:tcPr>
          <w:p>
            <w:pPr>
              <w:jc w:val="right"/>
              <w:spacing w:after="0"/>
              <w:rPr>
                <w:sz w:val="20"/>
                <w:szCs w:val="20"/>
                <w:color w:val="auto"/>
              </w:rPr>
            </w:pPr>
            <w:r>
              <w:rPr>
                <w:rFonts w:ascii="Arial" w:cs="Arial" w:eastAsia="Arial" w:hAnsi="Arial"/>
                <w:sz w:val="20"/>
                <w:szCs w:val="20"/>
                <w:color w:val="auto"/>
              </w:rPr>
              <w:t>511</w:t>
            </w:r>
          </w:p>
        </w:tc>
      </w:tr>
      <w:tr>
        <w:trPr>
          <w:trHeight w:val="28"/>
        </w:trPr>
        <w:tc>
          <w:tcPr>
            <w:tcW w:w="5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5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512"/>
        </w:trPr>
        <w:tc>
          <w:tcPr>
            <w:tcW w:w="520" w:type="dxa"/>
            <w:vAlign w:val="bottom"/>
          </w:tcPr>
          <w:p>
            <w:pPr>
              <w:jc w:val="right"/>
              <w:spacing w:after="0"/>
              <w:rPr>
                <w:sz w:val="20"/>
                <w:szCs w:val="20"/>
                <w:color w:val="auto"/>
              </w:rPr>
            </w:pPr>
            <w:r>
              <w:rPr>
                <w:rFonts w:ascii="Arial" w:cs="Arial" w:eastAsia="Arial" w:hAnsi="Arial"/>
                <w:sz w:val="20"/>
                <w:szCs w:val="20"/>
                <w:color w:val="auto"/>
              </w:rPr>
              <w:t>(22)</w:t>
            </w:r>
          </w:p>
        </w:tc>
        <w:tc>
          <w:tcPr>
            <w:tcW w:w="540" w:type="dxa"/>
            <w:vAlign w:val="bottom"/>
          </w:tcPr>
          <w:p>
            <w:pPr>
              <w:jc w:val="right"/>
              <w:ind w:right="28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640" w:type="dxa"/>
            <w:vAlign w:val="bottom"/>
            <w:gridSpan w:val="2"/>
          </w:tcPr>
          <w:p>
            <w:pPr>
              <w:jc w:val="right"/>
              <w:ind w:right="440"/>
              <w:spacing w:after="0"/>
              <w:rPr>
                <w:sz w:val="20"/>
                <w:szCs w:val="20"/>
                <w:color w:val="auto"/>
              </w:rPr>
            </w:pPr>
            <w:r>
              <w:rPr>
                <w:rFonts w:ascii="Arial" w:cs="Arial" w:eastAsia="Arial" w:hAnsi="Arial"/>
                <w:sz w:val="20"/>
                <w:szCs w:val="20"/>
                <w:color w:val="auto"/>
              </w:rPr>
              <w:t>$</w:t>
            </w:r>
          </w:p>
        </w:tc>
        <w:tc>
          <w:tcPr>
            <w:tcW w:w="1240" w:type="dxa"/>
            <w:vAlign w:val="bottom"/>
            <w:gridSpan w:val="3"/>
          </w:tcPr>
          <w:p>
            <w:pPr>
              <w:ind w:left="460"/>
              <w:spacing w:after="0"/>
              <w:rPr>
                <w:sz w:val="20"/>
                <w:szCs w:val="20"/>
                <w:color w:val="auto"/>
              </w:rPr>
            </w:pPr>
            <w:r>
              <w:rPr>
                <w:rFonts w:ascii="Arial" w:cs="Arial" w:eastAsia="Arial" w:hAnsi="Arial"/>
                <w:sz w:val="20"/>
                <w:szCs w:val="20"/>
                <w:color w:val="auto"/>
              </w:rPr>
              <w:t>— $</w:t>
            </w: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
        </w:trPr>
        <w:tc>
          <w:tcPr>
            <w:tcW w:w="5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5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-544195</wp:posOffset>
                </wp:positionH>
                <wp:positionV relativeFrom="paragraph">
                  <wp:posOffset>-409575</wp:posOffset>
                </wp:positionV>
                <wp:extent cx="84264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26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8499pt,-32.2499pt" to="23.5pt,-32.2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-544195</wp:posOffset>
                </wp:positionH>
                <wp:positionV relativeFrom="paragraph">
                  <wp:posOffset>-384175</wp:posOffset>
                </wp:positionV>
                <wp:extent cx="842645"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26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8499pt,-30.2499pt" to="23.5pt,-30.2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-544195</wp:posOffset>
                </wp:positionH>
                <wp:positionV relativeFrom="paragraph">
                  <wp:posOffset>-28575</wp:posOffset>
                </wp:positionV>
                <wp:extent cx="842645"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26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8499pt,-2.2499pt" to="23.5pt,-2.2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-544195</wp:posOffset>
                </wp:positionH>
                <wp:positionV relativeFrom="paragraph">
                  <wp:posOffset>-3175</wp:posOffset>
                </wp:positionV>
                <wp:extent cx="842645"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26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8499pt,-0.2499pt" to="23.5pt,-0.2499pt" o:allowincell="f" strokecolor="#000000" strokeweight="0.5pt"/>
            </w:pict>
          </mc:Fallback>
        </mc:AlternateContent>
      </w:r>
    </w:p>
    <w:p>
      <w:pPr>
        <w:spacing w:after="0" w:line="200" w:lineRule="exact"/>
        <w:rPr>
          <w:sz w:val="20"/>
          <w:szCs w:val="20"/>
          <w:color w:val="auto"/>
        </w:rPr>
      </w:pPr>
    </w:p>
    <w:p>
      <w:pPr>
        <w:sectPr>
          <w:pgSz w:w="11880" w:h="15480" w:orient="portrait"/>
          <w:cols w:equalWidth="0" w:num="2">
            <w:col w:w="3980" w:space="700"/>
            <w:col w:w="4440"/>
          </w:cols>
          <w:pgMar w:left="1380" w:top="1310" w:right="1380" w:bottom="66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162</w:t>
      </w:r>
    </w:p>
    <w:p>
      <w:pPr>
        <w:sectPr>
          <w:pgSz w:w="11880" w:h="15480" w:orient="portrait"/>
          <w:cols w:equalWidth="0" w:num="1">
            <w:col w:w="9120"/>
          </w:cols>
          <w:pgMar w:left="1380" w:top="1310" w:right="1380" w:bottom="661" w:gutter="0" w:footer="0" w:header="0"/>
          <w:type w:val="continuous"/>
        </w:sectPr>
      </w:pPr>
    </w:p>
    <w:bookmarkStart w:id="166" w:name="page167"/>
    <w:bookmarkEnd w:id="166"/>
    <w:p>
      <w:pPr>
        <w:ind w:left="900" w:right="260" w:hanging="899"/>
        <w:spacing w:after="0" w:line="248" w:lineRule="auto"/>
        <w:tabs>
          <w:tab w:leader="none" w:pos="880" w:val="left"/>
        </w:tabs>
        <w:rPr>
          <w:sz w:val="20"/>
          <w:szCs w:val="20"/>
          <w:color w:val="auto"/>
        </w:rPr>
      </w:pPr>
      <w:r>
        <w:rPr>
          <w:rFonts w:ascii="Arial" w:cs="Arial" w:eastAsia="Arial" w:hAnsi="Arial"/>
          <w:sz w:val="20"/>
          <w:szCs w:val="20"/>
          <w:b w:val="1"/>
          <w:bCs w:val="1"/>
          <w:color w:val="auto"/>
        </w:rPr>
        <w:t>ITEM 9</w:t>
        <w:tab/>
        <w:t>CHANGES IN AND DISAGREEMENTS WITH ACCOUNTANTS ON ACCOUNTING AND FINANCIAL DISCLOSURE</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20"/>
          <w:szCs w:val="20"/>
          <w:color w:val="auto"/>
        </w:rPr>
        <w:t>None.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Annual Assessment of and Report on Internal Control Over Financial Reporting</w:t>
      </w:r>
    </w:p>
    <w:p>
      <w:pPr>
        <w:spacing w:after="0" w:line="216" w:lineRule="exact"/>
        <w:rPr>
          <w:sz w:val="20"/>
          <w:szCs w:val="20"/>
          <w:color w:val="auto"/>
        </w:rPr>
      </w:pPr>
    </w:p>
    <w:p>
      <w:pPr>
        <w:ind w:right="40" w:firstLine="300"/>
        <w:spacing w:after="0" w:line="263" w:lineRule="auto"/>
        <w:rPr>
          <w:sz w:val="20"/>
          <w:szCs w:val="20"/>
          <w:color w:val="auto"/>
        </w:rPr>
      </w:pPr>
      <w:r>
        <w:rPr>
          <w:rFonts w:ascii="Arial" w:cs="Arial" w:eastAsia="Arial" w:hAnsi="Arial"/>
          <w:sz w:val="19"/>
          <w:szCs w:val="19"/>
          <w:color w:val="auto"/>
        </w:rPr>
        <w:t>Our management is responsible for establishing and maintaining adequate internal control over financial reporting. Our system of internal control over financial reporting is designed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w:t>
      </w:r>
    </w:p>
    <w:p>
      <w:pPr>
        <w:spacing w:after="0" w:line="3" w:lineRule="exact"/>
        <w:rPr>
          <w:sz w:val="20"/>
          <w:szCs w:val="20"/>
          <w:color w:val="auto"/>
        </w:rPr>
      </w:pPr>
    </w:p>
    <w:p>
      <w:pPr>
        <w:ind w:right="300"/>
        <w:spacing w:after="0" w:line="249" w:lineRule="auto"/>
        <w:tabs>
          <w:tab w:leader="none" w:pos="234" w:val="left"/>
        </w:tabs>
        <w:numPr>
          <w:ilvl w:val="0"/>
          <w:numId w:val="76"/>
        </w:numPr>
        <w:rPr>
          <w:rFonts w:ascii="Arial" w:cs="Arial" w:eastAsia="Arial" w:hAnsi="Arial"/>
          <w:sz w:val="20"/>
          <w:szCs w:val="20"/>
          <w:color w:val="auto"/>
        </w:rPr>
      </w:pPr>
      <w:r>
        <w:rPr>
          <w:rFonts w:ascii="Arial" w:cs="Arial" w:eastAsia="Arial" w:hAnsi="Arial"/>
          <w:sz w:val="20"/>
          <w:szCs w:val="20"/>
          <w:color w:val="auto"/>
        </w:rPr>
        <w:t>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210" w:lineRule="exact"/>
        <w:rPr>
          <w:sz w:val="20"/>
          <w:szCs w:val="20"/>
          <w:color w:val="auto"/>
        </w:rPr>
      </w:pPr>
    </w:p>
    <w:p>
      <w:pPr>
        <w:ind w:right="20" w:firstLine="300"/>
        <w:spacing w:after="0" w:line="248"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9"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Our management has assessed the effectiveness of our internal control system as of December 31, 2022 based on the criteria for effective internal control over financial reporting described in Internal Control – Integrated Framework issued in 2013 by the Committee of Sponsoring Organizations of the Treadway Commission (COSO). Based on this assessment, our management believes that, as of December 31, 2022, our system of internal control over financial reporting is effective.</w:t>
      </w:r>
    </w:p>
    <w:p>
      <w:pPr>
        <w:spacing w:after="0" w:line="207" w:lineRule="exact"/>
        <w:rPr>
          <w:sz w:val="20"/>
          <w:szCs w:val="20"/>
          <w:color w:val="auto"/>
        </w:rPr>
      </w:pPr>
    </w:p>
    <w:p>
      <w:pPr>
        <w:ind w:right="300" w:firstLine="300"/>
        <w:spacing w:after="0" w:line="245" w:lineRule="auto"/>
        <w:rPr>
          <w:sz w:val="20"/>
          <w:szCs w:val="20"/>
          <w:color w:val="auto"/>
        </w:rPr>
      </w:pPr>
      <w:r>
        <w:rPr>
          <w:rFonts w:ascii="Arial" w:cs="Arial" w:eastAsia="Arial" w:hAnsi="Arial"/>
          <w:sz w:val="20"/>
          <w:szCs w:val="20"/>
          <w:color w:val="auto"/>
        </w:rPr>
        <w:t xml:space="preserve">Our independent auditors, KPMG LLP, have issued a report on our internal control over financial reporting, which is set forth in </w:t>
      </w:r>
      <w:r>
        <w:rPr>
          <w:rFonts w:ascii="Arial" w:cs="Arial" w:eastAsia="Arial" w:hAnsi="Arial"/>
          <w:sz w:val="20"/>
          <w:szCs w:val="20"/>
          <w:i w:val="1"/>
          <w:iCs w:val="1"/>
          <w:color w:val="auto"/>
        </w:rPr>
        <w:t>Item 8 – Financial Statements and Supplementary Data.</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214" w:lineRule="exact"/>
        <w:rPr>
          <w:sz w:val="20"/>
          <w:szCs w:val="20"/>
          <w:color w:val="auto"/>
        </w:rPr>
      </w:pPr>
    </w:p>
    <w:p>
      <w:pPr>
        <w:ind w:right="40" w:firstLine="300"/>
        <w:spacing w:after="0" w:line="263" w:lineRule="auto"/>
        <w:rPr>
          <w:sz w:val="20"/>
          <w:szCs w:val="20"/>
          <w:color w:val="auto"/>
        </w:rPr>
      </w:pPr>
      <w:r>
        <w:rPr>
          <w:rFonts w:ascii="Arial" w:cs="Arial" w:eastAsia="Arial" w:hAnsi="Arial"/>
          <w:sz w:val="19"/>
          <w:szCs w:val="19"/>
          <w:color w:val="auto"/>
        </w:rPr>
        <w:t>Our management, with the participation of our Chief Executive Officer (CEO) and Chief Financial Officer (CFO), has evaluated the effectiveness of our disclosure controls and procedures (as defined in Rules</w:t>
      </w:r>
    </w:p>
    <w:p>
      <w:pPr>
        <w:spacing w:after="0" w:line="1" w:lineRule="exact"/>
        <w:rPr>
          <w:sz w:val="20"/>
          <w:szCs w:val="20"/>
          <w:color w:val="auto"/>
        </w:rPr>
      </w:pPr>
    </w:p>
    <w:p>
      <w:pPr>
        <w:ind w:right="80"/>
        <w:spacing w:after="0" w:line="264" w:lineRule="auto"/>
        <w:rPr>
          <w:sz w:val="20"/>
          <w:szCs w:val="20"/>
          <w:color w:val="auto"/>
        </w:rPr>
      </w:pPr>
      <w:r>
        <w:rPr>
          <w:rFonts w:ascii="Arial" w:cs="Arial" w:eastAsia="Arial" w:hAnsi="Arial"/>
          <w:sz w:val="19"/>
          <w:szCs w:val="19"/>
          <w:color w:val="auto"/>
        </w:rPr>
        <w:t>13a-15(e) and 15d-15(e) under the Securities Exchange Act of 1934, as amended (Exchange Act)), as of the end of the period covered by this Annual Report on Form 10-K. Based on that evaluation, our CEO and CFO have concluded that, as of December 31, 2022, our disclosure controls and procedures are effective and are designed to provide reasonable assurance that information we are required to disclose in reports that we file or submit under the Exchange Act is recorded, processed, summarized, and reported within the time periods specified in the rules and forms of the Securities and Exchange Commission (SEC), and that such information is accumulated and communicated to our management, including our CEO and CFO, as appropriate, to allow timely decisions regarding required disclosure.</w:t>
      </w:r>
    </w:p>
    <w:p>
      <w:pPr>
        <w:sectPr>
          <w:pgSz w:w="11880" w:h="15480" w:orient="portrait"/>
          <w:cols w:equalWidth="0" w:num="1">
            <w:col w:w="9120"/>
          </w:cols>
          <w:pgMar w:left="1380" w:top="1312" w:right="138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163</w:t>
      </w:r>
    </w:p>
    <w:p>
      <w:pPr>
        <w:sectPr>
          <w:pgSz w:w="11880" w:h="15480" w:orient="portrait"/>
          <w:cols w:equalWidth="0" w:num="1">
            <w:col w:w="9120"/>
          </w:cols>
          <w:pgMar w:left="1380" w:top="1312" w:right="1380" w:bottom="661" w:gutter="0" w:footer="0" w:header="0"/>
          <w:type w:val="continuous"/>
        </w:sectPr>
      </w:pPr>
    </w:p>
    <w:bookmarkStart w:id="167" w:name="page168"/>
    <w:bookmarkEnd w:id="167"/>
    <w:p>
      <w:pPr>
        <w:spacing w:after="0"/>
        <w:rPr>
          <w:sz w:val="20"/>
          <w:szCs w:val="20"/>
          <w:color w:val="auto"/>
        </w:rPr>
      </w:pPr>
      <w:r>
        <w:rPr>
          <w:rFonts w:ascii="Arial" w:cs="Arial" w:eastAsia="Arial" w:hAnsi="Arial"/>
          <w:sz w:val="20"/>
          <w:szCs w:val="20"/>
          <w:b w:val="1"/>
          <w:bCs w:val="1"/>
          <w:color w:val="auto"/>
        </w:rPr>
        <w:t>Changes in Internal Control</w:t>
      </w:r>
    </w:p>
    <w:p>
      <w:pPr>
        <w:spacing w:after="0" w:line="216" w:lineRule="exact"/>
        <w:rPr>
          <w:sz w:val="20"/>
          <w:szCs w:val="20"/>
          <w:color w:val="auto"/>
        </w:rPr>
      </w:pPr>
    </w:p>
    <w:p>
      <w:pPr>
        <w:ind w:firstLine="300"/>
        <w:spacing w:after="0" w:line="248" w:lineRule="auto"/>
        <w:rPr>
          <w:sz w:val="20"/>
          <w:szCs w:val="20"/>
          <w:color w:val="auto"/>
        </w:rPr>
      </w:pPr>
      <w:r>
        <w:rPr>
          <w:rFonts w:ascii="Arial" w:cs="Arial" w:eastAsia="Arial" w:hAnsi="Arial"/>
          <w:sz w:val="20"/>
          <w:szCs w:val="20"/>
          <w:color w:val="auto"/>
        </w:rPr>
        <w:t>There were no changes in our internal control over financial reporting (as defined in Rules 13a-15(f) and 15d-15(f) of the Exchange Act of 1934) identified in management’s evaluation pursuant to Rules 13a-15(d) or 15d-15(d) of the Exchange Act during the three months ended December 31, 2022 that have materially affected, or are reasonably likely to materially affect, our internal control over financial reporting.</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Limitations on Effectiveness of Controls and Procedures</w:t>
      </w:r>
    </w:p>
    <w:p>
      <w:pPr>
        <w:spacing w:after="0" w:line="216" w:lineRule="exact"/>
        <w:rPr>
          <w:sz w:val="20"/>
          <w:szCs w:val="20"/>
          <w:color w:val="auto"/>
        </w:rPr>
      </w:pPr>
    </w:p>
    <w:p>
      <w:pPr>
        <w:ind w:right="80" w:firstLine="300"/>
        <w:spacing w:after="0" w:line="247" w:lineRule="auto"/>
        <w:rPr>
          <w:sz w:val="20"/>
          <w:szCs w:val="20"/>
          <w:color w:val="auto"/>
        </w:rPr>
      </w:pPr>
      <w:r>
        <w:rPr>
          <w:rFonts w:ascii="Arial" w:cs="Arial" w:eastAsia="Arial" w:hAnsi="Arial"/>
          <w:sz w:val="20"/>
          <w:szCs w:val="20"/>
          <w:color w:val="auto"/>
        </w:rPr>
        <w:t>In designing and evaluating the disclosure controls and procedures, management recognizes that any controls and procedures, no matter how well designed and operated, can provide only reasonable assurance of achieving the desired control objectives.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9B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Management Team Realignment</w:t>
      </w:r>
    </w:p>
    <w:p>
      <w:pPr>
        <w:spacing w:after="0" w:line="215" w:lineRule="exact"/>
        <w:rPr>
          <w:sz w:val="20"/>
          <w:szCs w:val="20"/>
          <w:color w:val="auto"/>
        </w:rPr>
      </w:pPr>
    </w:p>
    <w:p>
      <w:pPr>
        <w:ind w:right="340" w:firstLine="300"/>
        <w:spacing w:after="0" w:line="249" w:lineRule="auto"/>
        <w:rPr>
          <w:sz w:val="20"/>
          <w:szCs w:val="20"/>
          <w:color w:val="auto"/>
        </w:rPr>
      </w:pPr>
      <w:r>
        <w:rPr>
          <w:rFonts w:ascii="Arial" w:cs="Arial" w:eastAsia="Arial" w:hAnsi="Arial"/>
          <w:sz w:val="20"/>
          <w:szCs w:val="20"/>
          <w:color w:val="auto"/>
        </w:rPr>
        <w:t>On February 24, 2023, the Company announced that Francisco J. Leon, the Company’s current Executive Vice President and Chief Financial Officer, will succeed Mark A. (Mac) McFarland as the Company’s President and Chief Executive Officer, and is expected to join the Company’s Board of Directors, effective at the Company’s 2023 Annual Meeting of Stockholders. Mr. McFarland will continue to serve as a non-executive member of the Company’s Board of Directors and chair of the board of the Company’s Carbon TerraVault subsidiary. The Company has an ongoing search for a Chief Financial Officer to succeed Mr. Leon.</w:t>
      </w:r>
    </w:p>
    <w:p>
      <w:pPr>
        <w:spacing w:after="0" w:line="210" w:lineRule="exact"/>
        <w:rPr>
          <w:sz w:val="20"/>
          <w:szCs w:val="20"/>
          <w:color w:val="auto"/>
        </w:rPr>
      </w:pPr>
    </w:p>
    <w:p>
      <w:pPr>
        <w:ind w:right="160" w:firstLine="300"/>
        <w:spacing w:after="0" w:line="249" w:lineRule="auto"/>
        <w:rPr>
          <w:sz w:val="20"/>
          <w:szCs w:val="20"/>
          <w:color w:val="auto"/>
        </w:rPr>
      </w:pPr>
      <w:r>
        <w:rPr>
          <w:rFonts w:ascii="Arial" w:cs="Arial" w:eastAsia="Arial" w:hAnsi="Arial"/>
          <w:sz w:val="20"/>
          <w:szCs w:val="20"/>
          <w:color w:val="auto"/>
        </w:rPr>
        <w:t>Mr. Leon, age 46, has been the Company’s Executive Vice President and Chief Financial Officer since August 2020. Prior to that, he served as the Company’s Executive Vice President, Corporate Development &amp; Strategic Planning from January 2018 to August 2020 and as the Company’s Vice President – Portfolio Management and Strategic Planning from December 2014 to January 2018. Mr. Leon holds an M.B.A. from the University of Texas, Austin and a bi-national Bachelor of Arts degree in International Business from San Diego State University and CETYS Universidad in Mexico.</w:t>
      </w:r>
    </w:p>
    <w:p>
      <w:pPr>
        <w:spacing w:after="0" w:line="208"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auto"/>
        </w:rPr>
        <w:t>The Company entered into a new employment agreement with Mr. Leon (the “CEO Employment Agreement”) in connection with his anticipated promotion to the position of President and Chief Executive Officer, which will supersede the employment agreement previously maintained by the Company and Mr. Leon, dated June 8, 2021, for his position of Executive Vice-President and Chief Financial Officer of the Company. The CEO Employment Agreement will initially govern his role as the Company’s Executive Vice-President and Chief Financial Officer but will automatically begin covering his new role as President and Chief Executive Officer in connection with his anticipated promotion on the date of the Company’s 2023 Annual Meeting of Stockholders.</w:t>
      </w:r>
    </w:p>
    <w:p>
      <w:pPr>
        <w:spacing w:after="0" w:line="211" w:lineRule="exact"/>
        <w:rPr>
          <w:sz w:val="20"/>
          <w:szCs w:val="20"/>
          <w:color w:val="auto"/>
        </w:rPr>
      </w:pPr>
    </w:p>
    <w:p>
      <w:pPr>
        <w:ind w:right="180" w:firstLine="300"/>
        <w:spacing w:after="0" w:line="248" w:lineRule="auto"/>
        <w:rPr>
          <w:sz w:val="20"/>
          <w:szCs w:val="20"/>
          <w:color w:val="auto"/>
        </w:rPr>
      </w:pPr>
      <w:r>
        <w:rPr>
          <w:rFonts w:ascii="Arial" w:cs="Arial" w:eastAsia="Arial" w:hAnsi="Arial"/>
          <w:sz w:val="20"/>
          <w:szCs w:val="20"/>
          <w:color w:val="auto"/>
        </w:rPr>
        <w:t>The CEO Employment Agreement provides for an initial two-year term beginning on February 23, 2023 (the “Effective Date”) and will automatically renew for an additional one-year term on each anniversary of the Effective Date unless the Company or Mr. Leon provides 90 days’ written notice to the other that no such automatic renewal shall occur.</w:t>
      </w:r>
    </w:p>
    <w:p>
      <w:pPr>
        <w:sectPr>
          <w:pgSz w:w="11880" w:h="15480" w:orient="portrait"/>
          <w:cols w:equalWidth="0" w:num="1">
            <w:col w:w="9100"/>
          </w:cols>
          <w:pgMar w:left="1380" w:top="1310" w:right="140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164</w:t>
      </w:r>
    </w:p>
    <w:p>
      <w:pPr>
        <w:sectPr>
          <w:pgSz w:w="11880" w:h="15480" w:orient="portrait"/>
          <w:cols w:equalWidth="0" w:num="1">
            <w:col w:w="9100"/>
          </w:cols>
          <w:pgMar w:left="1380" w:top="1310" w:right="1400" w:bottom="661" w:gutter="0" w:footer="0" w:header="0"/>
          <w:type w:val="continuous"/>
        </w:sectPr>
      </w:pPr>
    </w:p>
    <w:bookmarkStart w:id="168" w:name="page169"/>
    <w:bookmarkEnd w:id="168"/>
    <w:p>
      <w:pPr>
        <w:ind w:left="300"/>
        <w:spacing w:after="0"/>
        <w:rPr>
          <w:sz w:val="20"/>
          <w:szCs w:val="20"/>
          <w:color w:val="auto"/>
        </w:rPr>
      </w:pPr>
      <w:r>
        <w:rPr>
          <w:rFonts w:ascii="Arial" w:cs="Arial" w:eastAsia="Arial" w:hAnsi="Arial"/>
          <w:sz w:val="20"/>
          <w:szCs w:val="20"/>
          <w:color w:val="auto"/>
        </w:rPr>
        <w:t>The CEO Employment Agreement provides that Mr. Leon will receive an annual base salary of</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$750,000. Mr. Leon will also be eligible to receive: (i) an annual cash bonus with a target value equal to</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120% of his annual base salary; (ii) participation in those benefit plans and programs of the Company</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available to similarly situated executives; and (iii) at the same time as other executive officers of the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Company receive 2023 annual equity award grants, annual long-term incentive awards (to be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comprised 60% of performance stock units and 40% of restricted stock units) under the Company’s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2021 Long Term Incentive Plan (as amended, the “LTIP”) with a target grant value of 600% of his base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salary as in effect on the applicable grant date. The performance stock unit awards will vest over a</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three-year cliff vesting period beginning on the date of grant, and the restricted stock units will vest in</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three equal installments over a three-year vesting period beginning on the date of grant. In addition to</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his annual 2023 LTIP awards described above, Mr. Leon will also receive two separate awards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pursuant to the LTIP in 2023: (i) an award of restricted stock units valued at $1,200,000 and (ii) an</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award of performance units valued at $1,800,000, each award of which will vest over a two-year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vesting period.</w:t>
      </w:r>
    </w:p>
    <w:p>
      <w:pPr>
        <w:spacing w:after="0" w:line="176"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auto"/>
        </w:rPr>
        <w:t>The CEO Employment Agreement also provides for certain severance payments and benefits to be provided to Mr. Leon upon his termination of employment by the Company without “Cause” (including a termination of employment at the expiration of the term because the Company elected not to renew the CEO Employment Agreement) or the executive’s resignation for “Good Reason,” death or “Disability” (each quoted term as defined in the CEO Employment Agreement). Upon Mr. Leon’s termination of employment for any reason, the CEO Employment Agreement provides that the Company shall pay all unpaid base salary, any unreimbursed business expenses incurred prior to the date on which the employment terminates (as applicable, the “Termination Date”), and all benefits to which he is entitled under the terms of any applicable benefit plan (collectively, the “Accrued Benefits”).</w:t>
      </w:r>
    </w:p>
    <w:p>
      <w:pPr>
        <w:spacing w:after="0" w:line="173" w:lineRule="exact"/>
        <w:rPr>
          <w:sz w:val="20"/>
          <w:szCs w:val="20"/>
          <w:color w:val="auto"/>
        </w:rPr>
      </w:pPr>
    </w:p>
    <w:p>
      <w:pPr>
        <w:ind w:right="20" w:firstLine="300"/>
        <w:spacing w:after="0" w:line="250" w:lineRule="auto"/>
        <w:rPr>
          <w:sz w:val="20"/>
          <w:szCs w:val="20"/>
          <w:color w:val="auto"/>
        </w:rPr>
      </w:pPr>
      <w:r>
        <w:rPr>
          <w:rFonts w:ascii="Arial" w:cs="Arial" w:eastAsia="Arial" w:hAnsi="Arial"/>
          <w:sz w:val="20"/>
          <w:szCs w:val="20"/>
          <w:color w:val="auto"/>
        </w:rPr>
        <w:t>Upon Mr. Leon’s termination of employment by the Company without Cause (including a termination of employment at the expiration of the term because the Company elected not to renew the Employment Agreement), or by Mr. Leon for Good Reason, Mr. Leon will receive payment of any earned but unpaid annual bonus for the calendar year preceding the calendar year in which the Termination Date occurs and, so long as Mr. Leon executes a release of claims in favor of the Company and its affiliates and abides by the restrictive covenants within the CEO Employment Agreement, Mr. Leon shall receive severance payments, generally payable in monthly installments following the Termination Date consisting of: (i) cash payments equal to a predetermined multiple of annual base salary plus target annual bonus awards for the year in which the termination occurs (the multiple being two (2.0) times, increased to two and one-half (2.5) times if such termination of employment occurs within the one (1)-year period following a qualifying Change in Control (such term as defined in the CEO Employment Agreement); (ii) a pro-rata annual bonus for the calendar year in which the Termination Date occurs, based on actual performance levels earned for the applicable calendar year, (iii) reimbursement for the difference between the amount Mr. Leon pays to effect continued coverage (including coverage for his spouse and eligible dependents) under the Company’s group health plans pursuant to the Consolidated Omnibus Budget Reconciliation Act of 1985, as amended, and Mr. Leon’s contribution amount that similarly situated executives of the Company pay for the same or similar coverage under such group health plans, during the portion, if any, of the 24-month period for following the Termination Date that Mr. Leon elects to continue coverage, and</w:t>
      </w:r>
    </w:p>
    <w:p>
      <w:pPr>
        <w:spacing w:after="0" w:line="8" w:lineRule="exact"/>
        <w:rPr>
          <w:sz w:val="20"/>
          <w:szCs w:val="20"/>
          <w:color w:val="auto"/>
        </w:rPr>
      </w:pPr>
    </w:p>
    <w:p>
      <w:pPr>
        <w:ind w:right="80"/>
        <w:spacing w:after="0" w:line="245" w:lineRule="auto"/>
        <w:tabs>
          <w:tab w:leader="none" w:pos="334" w:val="left"/>
        </w:tabs>
        <w:numPr>
          <w:ilvl w:val="0"/>
          <w:numId w:val="77"/>
        </w:numPr>
        <w:rPr>
          <w:rFonts w:ascii="Arial" w:cs="Arial" w:eastAsia="Arial" w:hAnsi="Arial"/>
          <w:sz w:val="20"/>
          <w:szCs w:val="20"/>
          <w:color w:val="auto"/>
        </w:rPr>
      </w:pPr>
      <w:r>
        <w:rPr>
          <w:rFonts w:ascii="Arial" w:cs="Arial" w:eastAsia="Arial" w:hAnsi="Arial"/>
          <w:sz w:val="20"/>
          <w:szCs w:val="20"/>
          <w:color w:val="auto"/>
        </w:rPr>
        <w:t>full vesting of the restricted stock units and performance stock units previously granted to Mr. Leon during the 2021 calendar year under the LTIP and his original employment agreement.</w:t>
      </w:r>
    </w:p>
    <w:p>
      <w:pPr>
        <w:spacing w:after="0" w:line="170"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auto"/>
        </w:rPr>
        <w:t>If Mr. Leon’s employment is terminated due to death or Disability, then he will receive (i) the Accrued Benefits, (ii) payment of any earned but unpaid annual bonus for the calendar year preceding the calendar year in which the termination of employment occurs, and (iii) a pro-rata portion of the annual bonus for the calendar year in which the Termination Date occurs, based on actual performance for such calendar year and payable at the time such bonuses are paid to similarly situated executives of the Company.</w:t>
      </w:r>
    </w:p>
    <w:p>
      <w:pPr>
        <w:sectPr>
          <w:pgSz w:w="11880" w:h="15480" w:orient="portrait"/>
          <w:cols w:equalWidth="0" w:num="1">
            <w:col w:w="9120"/>
          </w:cols>
          <w:pgMar w:left="1380" w:top="1310" w:right="1380" w:bottom="661"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165</w:t>
      </w:r>
    </w:p>
    <w:p>
      <w:pPr>
        <w:sectPr>
          <w:pgSz w:w="11880" w:h="15480" w:orient="portrait"/>
          <w:cols w:equalWidth="0" w:num="1">
            <w:col w:w="9120"/>
          </w:cols>
          <w:pgMar w:left="1380" w:top="1310" w:right="1380" w:bottom="661" w:gutter="0" w:footer="0" w:header="0"/>
          <w:type w:val="continuous"/>
        </w:sectPr>
      </w:pPr>
    </w:p>
    <w:bookmarkStart w:id="169" w:name="page170"/>
    <w:bookmarkEnd w:id="169"/>
    <w:p>
      <w:pPr>
        <w:ind w:right="160" w:firstLine="300"/>
        <w:spacing w:after="0" w:line="247" w:lineRule="auto"/>
        <w:rPr>
          <w:sz w:val="20"/>
          <w:szCs w:val="20"/>
          <w:color w:val="auto"/>
        </w:rPr>
      </w:pPr>
      <w:r>
        <w:rPr>
          <w:rFonts w:ascii="Arial" w:cs="Arial" w:eastAsia="Arial" w:hAnsi="Arial"/>
          <w:sz w:val="20"/>
          <w:szCs w:val="20"/>
          <w:color w:val="auto"/>
        </w:rPr>
        <w:t>The foregoing description of the CEO Employment Agreement is qualified in its entirety by reference to the full and complete text of the CEO Employment Agreement, which is attached here as Exhibit 10.25 and incorporated herein by reference.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Retention Awards</w:t>
      </w:r>
    </w:p>
    <w:p>
      <w:pPr>
        <w:spacing w:after="0" w:line="215"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color w:val="auto"/>
        </w:rPr>
        <w:t>In order to incentivize the retention of certain key employees, on February 24, 2023, the Company entered into individual Retention Bonus Agreements with the following named executive officers: Jay A. Bys, Shawn M. Kerns and Michael L. Preston. Each Retention Bonus Agreement provides for the grant of a retention bonus in an aggregate amount that is equal to the annual base salary in effect for that employee at the time of grant. The retention bonus will be subject to installment vesting over an eighteen-month period, with twenty percent becoming vested on the six-month anniversary of the date of grant, an additional twenty percent becoming vested on the twelve-month anniversary of the date of grant, and the remaining sixty percent of the award becoming vested on the eighteen-month anniversary of the date of grant. Vested portions of the retention bonus will become immediately payable following the vesting date. During the retention period, if a participating employee is terminated by the Company without cause or due to the employee’s death or disability, any remaining unvested bonus award will immediately become vested and will be paid to the employee.</w:t>
      </w:r>
    </w:p>
    <w:p>
      <w:pPr>
        <w:spacing w:after="0" w:line="205" w:lineRule="exact"/>
        <w:rPr>
          <w:sz w:val="20"/>
          <w:szCs w:val="20"/>
          <w:color w:val="auto"/>
        </w:rPr>
      </w:pPr>
    </w:p>
    <w:p>
      <w:pPr>
        <w:ind w:right="200" w:firstLine="300"/>
        <w:spacing w:after="0" w:line="267" w:lineRule="auto"/>
        <w:rPr>
          <w:sz w:val="20"/>
          <w:szCs w:val="20"/>
          <w:color w:val="auto"/>
        </w:rPr>
      </w:pPr>
      <w:r>
        <w:rPr>
          <w:rFonts w:ascii="Arial" w:cs="Arial" w:eastAsia="Arial" w:hAnsi="Arial"/>
          <w:sz w:val="19"/>
          <w:szCs w:val="19"/>
          <w:color w:val="auto"/>
        </w:rPr>
        <w:t>The foregoing description of the retention bonus awards are qualified in their entirety by reference to the full and complete text of the form Retention Bonus Agreement that will govern each retention bonus award, which is attached hereto as Exhibit 10.28 and incorporated herein by reference.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9C DISCLOSURE REGARDING FOREIGN JURISDICTIONS THAT PREVENT INSPECTIONS</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Not applicable.</w:t>
      </w:r>
    </w:p>
    <w:p>
      <w:pPr>
        <w:sectPr>
          <w:pgSz w:w="11880" w:h="15480" w:orient="portrait"/>
          <w:cols w:equalWidth="0" w:num="1">
            <w:col w:w="9120"/>
          </w:cols>
          <w:pgMar w:left="1380" w:top="1316" w:right="138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166</w:t>
      </w:r>
    </w:p>
    <w:p>
      <w:pPr>
        <w:sectPr>
          <w:pgSz w:w="11880" w:h="15480" w:orient="portrait"/>
          <w:cols w:equalWidth="0" w:num="1">
            <w:col w:w="9120"/>
          </w:cols>
          <w:pgMar w:left="1380" w:top="1316" w:right="1380" w:bottom="661" w:gutter="0" w:footer="0" w:header="0"/>
          <w:type w:val="continuous"/>
        </w:sectPr>
      </w:pPr>
    </w:p>
    <w:bookmarkStart w:id="170" w:name="page171"/>
    <w:bookmarkEnd w:id="170"/>
    <w:p>
      <w:pPr>
        <w:spacing w:after="0"/>
        <w:rPr>
          <w:sz w:val="20"/>
          <w:szCs w:val="20"/>
          <w:color w:val="auto"/>
        </w:rPr>
      </w:pPr>
      <w:r>
        <w:rPr>
          <w:rFonts w:ascii="Arial" w:cs="Arial" w:eastAsia="Arial" w:hAnsi="Arial"/>
          <w:sz w:val="18"/>
          <w:szCs w:val="18"/>
          <w:b w:val="1"/>
          <w:bCs w:val="1"/>
          <w:color w:val="auto"/>
        </w:rPr>
        <w:t>PART III</w:t>
      </w:r>
    </w:p>
    <w:p>
      <w:pPr>
        <w:spacing w:after="0" w:line="21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information required by this item is incorporated by reference from our Proxy Statement for the 2023</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Annual Meeting of Stockholders, which will be filed with the SEC within 120 days of the fiscal year ended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(2023 Proxy Statement). See the list of our executive officers and related information below.</w:t>
      </w:r>
    </w:p>
    <w:p>
      <w:pPr>
        <w:spacing w:after="0" w:line="219" w:lineRule="exact"/>
        <w:rPr>
          <w:sz w:val="20"/>
          <w:szCs w:val="20"/>
          <w:color w:val="auto"/>
        </w:rPr>
      </w:pPr>
    </w:p>
    <w:p>
      <w:pPr>
        <w:ind w:right="40" w:firstLine="270"/>
        <w:spacing w:after="0" w:line="252" w:lineRule="auto"/>
        <w:rPr>
          <w:sz w:val="20"/>
          <w:szCs w:val="20"/>
          <w:color w:val="auto"/>
        </w:rPr>
      </w:pPr>
      <w:r>
        <w:rPr>
          <w:rFonts w:ascii="Arial" w:cs="Arial" w:eastAsia="Arial" w:hAnsi="Arial"/>
          <w:sz w:val="18"/>
          <w:szCs w:val="18"/>
          <w:color w:val="auto"/>
        </w:rPr>
        <w:t>Our board of directors has adopted a code of business conduct applicable to all officers, directors and employees, which is available on our website (www.crc.com). We intend to satisfy the disclosure requirement under Item 5.05 of Form 8-K regarding amendment to, or waiver from, a provision of our code of business conduct by posting such information on our website at the address specified above.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19" w:lineRule="exact"/>
        <w:rPr>
          <w:sz w:val="20"/>
          <w:szCs w:val="20"/>
          <w:color w:val="auto"/>
        </w:rPr>
      </w:pPr>
    </w:p>
    <w:p>
      <w:pPr>
        <w:ind w:right="220" w:firstLine="270"/>
        <w:spacing w:after="0" w:line="248" w:lineRule="auto"/>
        <w:rPr>
          <w:sz w:val="20"/>
          <w:szCs w:val="20"/>
          <w:color w:val="auto"/>
        </w:rPr>
      </w:pPr>
      <w:r>
        <w:rPr>
          <w:rFonts w:ascii="Arial" w:cs="Arial" w:eastAsia="Arial" w:hAnsi="Arial"/>
          <w:sz w:val="18"/>
          <w:szCs w:val="18"/>
          <w:color w:val="auto"/>
        </w:rPr>
        <w:t>Executive officers are appointed annually by the Board of Directors. The following table sets forth our current executive officers: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tcPr>
          <w:p>
            <w:pPr>
              <w:spacing w:after="0"/>
              <w:rPr>
                <w:sz w:val="20"/>
                <w:szCs w:val="20"/>
                <w:color w:val="auto"/>
              </w:rPr>
            </w:pPr>
            <w:r>
              <w:rPr>
                <w:rFonts w:ascii="Arial" w:cs="Arial" w:eastAsia="Arial" w:hAnsi="Arial"/>
                <w:sz w:val="18"/>
                <w:szCs w:val="18"/>
                <w:b w:val="1"/>
                <w:bCs w:val="1"/>
                <w:color w:val="auto"/>
              </w:rPr>
              <w:t>Age at</w:t>
            </w:r>
          </w:p>
        </w:tc>
      </w:tr>
      <w:tr>
        <w:trPr>
          <w:trHeight w:val="220"/>
        </w:trPr>
        <w:tc>
          <w:tcPr>
            <w:tcW w:w="16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Employment History</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9"/>
              </w:rPr>
              <w:t>February 24, 2023</w:t>
            </w:r>
          </w:p>
        </w:tc>
      </w:tr>
      <w:tr>
        <w:trPr>
          <w:trHeight w:val="24"/>
        </w:trPr>
        <w:tc>
          <w:tcPr>
            <w:tcW w:w="16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6"/>
        </w:trPr>
        <w:tc>
          <w:tcPr>
            <w:tcW w:w="1600" w:type="dxa"/>
            <w:vAlign w:val="bottom"/>
          </w:tcPr>
          <w:p>
            <w:pPr>
              <w:spacing w:after="0"/>
              <w:rPr>
                <w:sz w:val="20"/>
                <w:szCs w:val="20"/>
                <w:color w:val="auto"/>
              </w:rPr>
            </w:pPr>
            <w:r>
              <w:rPr>
                <w:rFonts w:ascii="Arial" w:cs="Arial" w:eastAsia="Arial" w:hAnsi="Arial"/>
                <w:sz w:val="18"/>
                <w:szCs w:val="18"/>
                <w:color w:val="auto"/>
              </w:rPr>
              <w:t>Mark A. (Mac)</w:t>
            </w:r>
          </w:p>
        </w:tc>
        <w:tc>
          <w:tcPr>
            <w:tcW w:w="240" w:type="dxa"/>
            <w:vAlign w:val="bottom"/>
          </w:tcPr>
          <w:p>
            <w:pPr>
              <w:spacing w:after="0"/>
              <w:rPr>
                <w:sz w:val="22"/>
                <w:szCs w:val="22"/>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 since 2021; Chairman</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53</w:t>
            </w:r>
          </w:p>
        </w:tc>
      </w:tr>
      <w:tr>
        <w:trPr>
          <w:trHeight w:val="220"/>
        </w:trPr>
        <w:tc>
          <w:tcPr>
            <w:tcW w:w="1600" w:type="dxa"/>
            <w:vAlign w:val="bottom"/>
          </w:tcPr>
          <w:p>
            <w:pPr>
              <w:spacing w:after="0"/>
              <w:rPr>
                <w:sz w:val="20"/>
                <w:szCs w:val="20"/>
                <w:color w:val="auto"/>
              </w:rPr>
            </w:pPr>
            <w:r>
              <w:rPr>
                <w:rFonts w:ascii="Arial" w:cs="Arial" w:eastAsia="Arial" w:hAnsi="Arial"/>
                <w:sz w:val="18"/>
                <w:szCs w:val="18"/>
                <w:color w:val="auto"/>
              </w:rPr>
              <w:t>McFarland</w:t>
            </w: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of the Board and Interim Chief Executive Officer 2020 to 2021; GenOn</w:t>
            </w: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Energy Executive Chairman since December 2018; GenOn Energy</w:t>
            </w: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 2017 to 2018; Luminant Holdings</w:t>
            </w: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Chief Executive Officer and Executive Vice President, Corporate</w:t>
            </w: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Development 2013 to 2016; Luminant Holdings Chief Commercial</w:t>
            </w: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Officer 2008 to 2013.</w:t>
            </w:r>
          </w:p>
        </w:tc>
        <w:tc>
          <w:tcPr>
            <w:tcW w:w="1560" w:type="dxa"/>
            <w:vAlign w:val="bottom"/>
          </w:tcPr>
          <w:p>
            <w:pPr>
              <w:spacing w:after="0"/>
              <w:rPr>
                <w:sz w:val="19"/>
                <w:szCs w:val="19"/>
                <w:color w:val="auto"/>
              </w:rPr>
            </w:pPr>
          </w:p>
        </w:tc>
      </w:tr>
      <w:tr>
        <w:trPr>
          <w:trHeight w:val="280"/>
        </w:trPr>
        <w:tc>
          <w:tcPr>
            <w:tcW w:w="1600" w:type="dxa"/>
            <w:vAlign w:val="bottom"/>
          </w:tcPr>
          <w:p>
            <w:pPr>
              <w:spacing w:after="0"/>
              <w:rPr>
                <w:sz w:val="20"/>
                <w:szCs w:val="20"/>
                <w:color w:val="auto"/>
              </w:rPr>
            </w:pPr>
            <w:r>
              <w:rPr>
                <w:rFonts w:ascii="Arial" w:cs="Arial" w:eastAsia="Arial" w:hAnsi="Arial"/>
                <w:sz w:val="18"/>
                <w:szCs w:val="18"/>
                <w:color w:val="auto"/>
              </w:rPr>
              <w:t>Francisco J. Leon</w:t>
            </w:r>
          </w:p>
        </w:tc>
        <w:tc>
          <w:tcPr>
            <w:tcW w:w="24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Executive Vice President and Chief Financial Officer since 2020;</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46</w:t>
            </w: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Executive Vice President - Corporate Development and Strategic</w:t>
            </w: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Planning 2018 to 2020; Vice President - Portfolio Management and</w:t>
            </w: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Strategic Planning 2014 to 2018; Occidental Director - Portfolio</w:t>
            </w: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Management 2012 to 2014; Occidental Director of Corporate</w:t>
            </w: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Development and M&amp;A 2010 to 2012; Occidental Manager of Business</w:t>
            </w: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Development 2008 to 2010.</w:t>
            </w:r>
          </w:p>
        </w:tc>
        <w:tc>
          <w:tcPr>
            <w:tcW w:w="1560" w:type="dxa"/>
            <w:vAlign w:val="bottom"/>
          </w:tcPr>
          <w:p>
            <w:pPr>
              <w:spacing w:after="0"/>
              <w:rPr>
                <w:sz w:val="19"/>
                <w:szCs w:val="19"/>
                <w:color w:val="auto"/>
              </w:rPr>
            </w:pPr>
          </w:p>
        </w:tc>
      </w:tr>
      <w:tr>
        <w:trPr>
          <w:trHeight w:val="280"/>
        </w:trPr>
        <w:tc>
          <w:tcPr>
            <w:tcW w:w="1600" w:type="dxa"/>
            <w:vAlign w:val="bottom"/>
          </w:tcPr>
          <w:p>
            <w:pPr>
              <w:spacing w:after="0"/>
              <w:rPr>
                <w:sz w:val="20"/>
                <w:szCs w:val="20"/>
                <w:color w:val="auto"/>
              </w:rPr>
            </w:pPr>
            <w:r>
              <w:rPr>
                <w:rFonts w:ascii="Arial" w:cs="Arial" w:eastAsia="Arial" w:hAnsi="Arial"/>
                <w:sz w:val="18"/>
                <w:szCs w:val="18"/>
                <w:color w:val="auto"/>
              </w:rPr>
              <w:t>Shawn M. Kerns</w:t>
            </w:r>
          </w:p>
        </w:tc>
        <w:tc>
          <w:tcPr>
            <w:tcW w:w="24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Executive Vice President and Chief Operating Officer since 2021;</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52</w:t>
            </w: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Executive Vice President - Operations and Engineering 2018 to 2021;</w:t>
            </w: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Executive Vice President - Corporate Development 2014 to 2018;</w:t>
            </w: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Vintage Production California President and General Manager 2012 to</w:t>
            </w: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2014; Occidental of Elk Hills General Manager 2010 to 2012;</w:t>
            </w: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Occidental of Elk Hills Asset Development Manager 2008 to 2010.</w:t>
            </w:r>
          </w:p>
        </w:tc>
        <w:tc>
          <w:tcPr>
            <w:tcW w:w="1560" w:type="dxa"/>
            <w:vAlign w:val="bottom"/>
          </w:tcPr>
          <w:p>
            <w:pPr>
              <w:spacing w:after="0"/>
              <w:rPr>
                <w:sz w:val="19"/>
                <w:szCs w:val="19"/>
                <w:color w:val="auto"/>
              </w:rPr>
            </w:pPr>
          </w:p>
        </w:tc>
      </w:tr>
      <w:tr>
        <w:trPr>
          <w:trHeight w:val="280"/>
        </w:trPr>
        <w:tc>
          <w:tcPr>
            <w:tcW w:w="1600" w:type="dxa"/>
            <w:vAlign w:val="bottom"/>
          </w:tcPr>
          <w:p>
            <w:pPr>
              <w:spacing w:after="0"/>
              <w:rPr>
                <w:sz w:val="20"/>
                <w:szCs w:val="20"/>
                <w:color w:val="auto"/>
              </w:rPr>
            </w:pPr>
            <w:r>
              <w:rPr>
                <w:rFonts w:ascii="Arial" w:cs="Arial" w:eastAsia="Arial" w:hAnsi="Arial"/>
                <w:sz w:val="18"/>
                <w:szCs w:val="18"/>
                <w:color w:val="auto"/>
              </w:rPr>
              <w:t>Michael L. Preston</w:t>
            </w:r>
          </w:p>
        </w:tc>
        <w:tc>
          <w:tcPr>
            <w:tcW w:w="24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Executive Vice President, Chief Strategy Officer and General Counsel</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58</w:t>
            </w: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since 2019; Executive Vice President, General Counsel and Corporate</w:t>
            </w: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Secretary 2014 to 2019; Occidental Oil and Gas Vice President and</w:t>
            </w: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General Counsel 2001 to 2014.</w:t>
            </w:r>
          </w:p>
        </w:tc>
        <w:tc>
          <w:tcPr>
            <w:tcW w:w="1560" w:type="dxa"/>
            <w:vAlign w:val="bottom"/>
          </w:tcPr>
          <w:p>
            <w:pPr>
              <w:spacing w:after="0"/>
              <w:rPr>
                <w:sz w:val="19"/>
                <w:szCs w:val="19"/>
                <w:color w:val="auto"/>
              </w:rPr>
            </w:pPr>
          </w:p>
        </w:tc>
      </w:tr>
      <w:tr>
        <w:trPr>
          <w:trHeight w:val="280"/>
        </w:trPr>
        <w:tc>
          <w:tcPr>
            <w:tcW w:w="1600" w:type="dxa"/>
            <w:vAlign w:val="bottom"/>
          </w:tcPr>
          <w:p>
            <w:pPr>
              <w:spacing w:after="0"/>
              <w:rPr>
                <w:sz w:val="20"/>
                <w:szCs w:val="20"/>
                <w:color w:val="auto"/>
              </w:rPr>
            </w:pPr>
            <w:r>
              <w:rPr>
                <w:rFonts w:ascii="Arial" w:cs="Arial" w:eastAsia="Arial" w:hAnsi="Arial"/>
                <w:sz w:val="18"/>
                <w:szCs w:val="18"/>
                <w:color w:val="auto"/>
              </w:rPr>
              <w:t>Jay A. Bys</w:t>
            </w:r>
          </w:p>
        </w:tc>
        <w:tc>
          <w:tcPr>
            <w:tcW w:w="24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Executive Vice President and Chief Commercial Officer since 2021;</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58</w:t>
            </w: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Private Energy Advisor 2019 to 2020 and 2015 to 2016; GenOn Energy</w:t>
            </w: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and affiliate companies Chief Commercial Officer 2017 to 2018;</w:t>
            </w: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Luminant Energy Vice President Origination and Capital Management</w:t>
            </w: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2007 to 2014; TXU, Enserch Energy various positions 1997 to 2007.</w:t>
            </w:r>
          </w:p>
        </w:tc>
        <w:tc>
          <w:tcPr>
            <w:tcW w:w="1560" w:type="dxa"/>
            <w:vAlign w:val="bottom"/>
          </w:tcPr>
          <w:p>
            <w:pPr>
              <w:spacing w:after="0"/>
              <w:rPr>
                <w:sz w:val="19"/>
                <w:szCs w:val="19"/>
                <w:color w:val="auto"/>
              </w:rPr>
            </w:pPr>
          </w:p>
        </w:tc>
      </w:tr>
      <w:tr>
        <w:trPr>
          <w:trHeight w:val="280"/>
        </w:trPr>
        <w:tc>
          <w:tcPr>
            <w:tcW w:w="1600" w:type="dxa"/>
            <w:vAlign w:val="bottom"/>
          </w:tcPr>
          <w:p>
            <w:pPr>
              <w:spacing w:after="0"/>
              <w:rPr>
                <w:sz w:val="20"/>
                <w:szCs w:val="20"/>
                <w:color w:val="auto"/>
              </w:rPr>
            </w:pPr>
            <w:r>
              <w:rPr>
                <w:rFonts w:ascii="Arial" w:cs="Arial" w:eastAsia="Arial" w:hAnsi="Arial"/>
                <w:sz w:val="18"/>
                <w:szCs w:val="18"/>
                <w:color w:val="auto"/>
              </w:rPr>
              <w:t>Chris D. Gould</w:t>
            </w:r>
          </w:p>
        </w:tc>
        <w:tc>
          <w:tcPr>
            <w:tcW w:w="24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Executive Vice President and Chief Sustainability Officer since 2021;</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52</w:t>
            </w: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Exelon Corporation Senior Vice President Corporate Strategy and</w:t>
            </w: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Chief Innovation and Sustainability Officer 2010 to 2021; Exelon</w:t>
            </w:r>
          </w:p>
        </w:tc>
        <w:tc>
          <w:tcPr>
            <w:tcW w:w="1560" w:type="dxa"/>
            <w:vAlign w:val="bottom"/>
          </w:tcPr>
          <w:p>
            <w:pPr>
              <w:spacing w:after="0"/>
              <w:rPr>
                <w:sz w:val="19"/>
                <w:szCs w:val="19"/>
                <w:color w:val="auto"/>
              </w:rPr>
            </w:pPr>
          </w:p>
        </w:tc>
      </w:tr>
    </w:tbl>
    <w:p>
      <w:pPr>
        <w:spacing w:after="0" w:line="19" w:lineRule="exact"/>
        <w:rPr>
          <w:sz w:val="20"/>
          <w:szCs w:val="20"/>
          <w:color w:val="auto"/>
        </w:rPr>
      </w:pPr>
    </w:p>
    <w:p>
      <w:pPr>
        <w:ind w:left="1840" w:right="1640"/>
        <w:spacing w:after="0" w:line="248" w:lineRule="auto"/>
        <w:rPr>
          <w:sz w:val="20"/>
          <w:szCs w:val="20"/>
          <w:color w:val="auto"/>
        </w:rPr>
      </w:pPr>
      <w:r>
        <w:rPr>
          <w:rFonts w:ascii="Arial" w:cs="Arial" w:eastAsia="Arial" w:hAnsi="Arial"/>
          <w:sz w:val="18"/>
          <w:szCs w:val="18"/>
          <w:color w:val="auto"/>
        </w:rPr>
        <w:t>Corporation Vice President, Corporate Financial Planning and Analysis 2008 to 2010.</w:t>
      </w:r>
    </w:p>
    <w:p>
      <w:pPr>
        <w:sectPr>
          <w:pgSz w:w="11880" w:h="15480" w:orient="portrait"/>
          <w:cols w:equalWidth="0" w:num="1">
            <w:col w:w="9120"/>
          </w:cols>
          <w:pgMar w:left="1380" w:top="1309" w:right="1380" w:bottom="661"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167</w:t>
      </w:r>
    </w:p>
    <w:p>
      <w:pPr>
        <w:sectPr>
          <w:pgSz w:w="11880" w:h="15480" w:orient="portrait"/>
          <w:cols w:equalWidth="0" w:num="1">
            <w:col w:w="9120"/>
          </w:cols>
          <w:pgMar w:left="1380" w:top="1309" w:right="1380" w:bottom="661" w:gutter="0" w:footer="0" w:header="0"/>
          <w:type w:val="continuous"/>
        </w:sectPr>
      </w:pPr>
    </w:p>
    <w:bookmarkStart w:id="171" w:name="page172"/>
    <w:bookmarkEnd w:id="171"/>
    <w:p>
      <w:pPr>
        <w:spacing w:after="0"/>
        <w:tabs>
          <w:tab w:leader="none" w:pos="880" w:val="left"/>
        </w:tabs>
        <w:rPr>
          <w:sz w:val="20"/>
          <w:szCs w:val="20"/>
          <w:color w:val="auto"/>
        </w:rPr>
      </w:pPr>
      <w:r>
        <w:rPr>
          <w:rFonts w:ascii="Arial" w:cs="Arial" w:eastAsia="Arial" w:hAnsi="Arial"/>
          <w:sz w:val="20"/>
          <w:szCs w:val="20"/>
          <w:b w:val="1"/>
          <w:bCs w:val="1"/>
          <w:color w:val="auto"/>
        </w:rPr>
        <w:t>ITEM 11</w:t>
      </w:r>
      <w:r>
        <w:rPr>
          <w:sz w:val="20"/>
          <w:szCs w:val="20"/>
          <w:color w:val="auto"/>
        </w:rPr>
        <w:tab/>
      </w:r>
      <w:r>
        <w:rPr>
          <w:rFonts w:ascii="Arial" w:cs="Arial" w:eastAsia="Arial" w:hAnsi="Arial"/>
          <w:sz w:val="19"/>
          <w:szCs w:val="19"/>
          <w:b w:val="1"/>
          <w:bCs w:val="1"/>
          <w:color w:val="auto"/>
        </w:rPr>
        <w:t>EXECUTIVE COMPENSATION</w:t>
      </w:r>
    </w:p>
    <w:p>
      <w:pPr>
        <w:spacing w:after="0" w:line="216" w:lineRule="exact"/>
        <w:rPr>
          <w:sz w:val="20"/>
          <w:szCs w:val="20"/>
          <w:color w:val="auto"/>
        </w:rPr>
      </w:pPr>
    </w:p>
    <w:p>
      <w:pPr>
        <w:ind w:right="100" w:firstLine="300"/>
        <w:spacing w:after="0" w:line="249" w:lineRule="auto"/>
        <w:rPr>
          <w:sz w:val="20"/>
          <w:szCs w:val="20"/>
          <w:color w:val="auto"/>
        </w:rPr>
      </w:pPr>
      <w:r>
        <w:rPr>
          <w:rFonts w:ascii="Arial" w:cs="Arial" w:eastAsia="Arial" w:hAnsi="Arial"/>
          <w:sz w:val="20"/>
          <w:szCs w:val="20"/>
          <w:color w:val="auto"/>
        </w:rPr>
        <w:t xml:space="preserve">The information required by this item is incorporated by reference from our 2023 Proxy Statement. Pursuant to the rules and regulations under the Exchange Act, the information in the </w:t>
      </w:r>
      <w:r>
        <w:rPr>
          <w:rFonts w:ascii="Arial" w:cs="Arial" w:eastAsia="Arial" w:hAnsi="Arial"/>
          <w:sz w:val="20"/>
          <w:szCs w:val="20"/>
          <w:i w:val="1"/>
          <w:iCs w:val="1"/>
          <w:color w:val="auto"/>
        </w:rPr>
        <w:t>Compensation</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Discussion and Analysis – Compensation Committee Report </w:t>
      </w:r>
      <w:r>
        <w:rPr>
          <w:rFonts w:ascii="Arial" w:cs="Arial" w:eastAsia="Arial" w:hAnsi="Arial"/>
          <w:sz w:val="20"/>
          <w:szCs w:val="20"/>
          <w:color w:val="auto"/>
        </w:rPr>
        <w:t>section shall not be deemed to be</w:t>
      </w:r>
      <w:r>
        <w:rPr>
          <w:rFonts w:ascii="Arial" w:cs="Arial" w:eastAsia="Arial" w:hAnsi="Arial"/>
          <w:sz w:val="20"/>
          <w:szCs w:val="20"/>
          <w:i w:val="1"/>
          <w:iCs w:val="1"/>
          <w:color w:val="auto"/>
        </w:rPr>
        <w:t xml:space="preserve"> </w:t>
      </w:r>
      <w:r>
        <w:rPr>
          <w:rFonts w:ascii="Arial" w:cs="Arial" w:eastAsia="Arial" w:hAnsi="Arial"/>
          <w:sz w:val="20"/>
          <w:szCs w:val="20"/>
          <w:color w:val="auto"/>
        </w:rPr>
        <w:t>“soliciting material,” or to be “filed” with the SEC, or subject to Regulation 14A or 14C under the Exchange Act or to the liabilities under Section 18 of the Exchange Act, nor shall it be deemed incorporated by reference into any filing under the Securities Act of 1933.</w:t>
      </w:r>
    </w:p>
    <w:p>
      <w:pPr>
        <w:spacing w:after="0" w:line="204" w:lineRule="exact"/>
        <w:rPr>
          <w:sz w:val="20"/>
          <w:szCs w:val="20"/>
          <w:color w:val="auto"/>
        </w:rPr>
      </w:pPr>
    </w:p>
    <w:p>
      <w:pPr>
        <w:ind w:left="900" w:right="400" w:hanging="899"/>
        <w:spacing w:after="0" w:line="248" w:lineRule="auto"/>
        <w:tabs>
          <w:tab w:leader="none" w:pos="880" w:val="left"/>
        </w:tabs>
        <w:rPr>
          <w:sz w:val="20"/>
          <w:szCs w:val="20"/>
          <w:color w:val="auto"/>
        </w:rPr>
      </w:pPr>
      <w:r>
        <w:rPr>
          <w:rFonts w:ascii="Arial" w:cs="Arial" w:eastAsia="Arial" w:hAnsi="Arial"/>
          <w:sz w:val="20"/>
          <w:szCs w:val="20"/>
          <w:b w:val="1"/>
          <w:bCs w:val="1"/>
          <w:color w:val="auto"/>
        </w:rPr>
        <w:t>ITEM 12</w:t>
        <w:tab/>
        <w:t>SECURITY OWNERSHIP OF CERTAIN BENEFICIAL OWNERS AND MANAGEMENT AND RELATED STOCKHOLDER MATTERS</w:t>
      </w:r>
    </w:p>
    <w:p>
      <w:pPr>
        <w:spacing w:after="0" w:line="209" w:lineRule="exact"/>
        <w:rPr>
          <w:sz w:val="20"/>
          <w:szCs w:val="20"/>
          <w:color w:val="auto"/>
        </w:rPr>
      </w:pPr>
    </w:p>
    <w:p>
      <w:pPr>
        <w:ind w:right="100" w:firstLine="300"/>
        <w:spacing w:after="0" w:line="248" w:lineRule="auto"/>
        <w:rPr>
          <w:sz w:val="20"/>
          <w:szCs w:val="20"/>
          <w:color w:val="auto"/>
        </w:rPr>
      </w:pPr>
      <w:r>
        <w:rPr>
          <w:rFonts w:ascii="Arial" w:cs="Arial" w:eastAsia="Arial" w:hAnsi="Arial"/>
          <w:sz w:val="20"/>
          <w:szCs w:val="20"/>
          <w:color w:val="auto"/>
        </w:rPr>
        <w:t xml:space="preserve">The information required by this item is incorporated by reference from our 2023 Proxy Statement. See also </w:t>
      </w:r>
      <w:r>
        <w:rPr>
          <w:rFonts w:ascii="Arial" w:cs="Arial" w:eastAsia="Arial" w:hAnsi="Arial"/>
          <w:sz w:val="20"/>
          <w:szCs w:val="20"/>
          <w:i w:val="1"/>
          <w:iCs w:val="1"/>
          <w:color w:val="auto"/>
        </w:rPr>
        <w:t>Part II, Item 5 – Market for Registrant’s Common Equity, Related Stockholder Matters and</w:t>
      </w:r>
      <w:r>
        <w:rPr>
          <w:rFonts w:ascii="Arial" w:cs="Arial" w:eastAsia="Arial" w:hAnsi="Arial"/>
          <w:sz w:val="20"/>
          <w:szCs w:val="20"/>
          <w:color w:val="auto"/>
        </w:rPr>
        <w:t xml:space="preserve"> </w:t>
      </w:r>
      <w:r>
        <w:rPr>
          <w:rFonts w:ascii="Arial" w:cs="Arial" w:eastAsia="Arial" w:hAnsi="Arial"/>
          <w:sz w:val="20"/>
          <w:szCs w:val="20"/>
          <w:i w:val="1"/>
          <w:iCs w:val="1"/>
          <w:color w:val="auto"/>
        </w:rPr>
        <w:t>Issuer Purchases of Equity Securities – Securities Authorized for Issuance Under Equity Compensation Plans</w:t>
      </w:r>
      <w:r>
        <w:rPr>
          <w:rFonts w:ascii="Arial" w:cs="Arial" w:eastAsia="Arial" w:hAnsi="Arial"/>
          <w:sz w:val="20"/>
          <w:szCs w:val="20"/>
          <w:color w:val="auto"/>
        </w:rPr>
        <w:t>.</w:t>
      </w:r>
    </w:p>
    <w:p>
      <w:pPr>
        <w:spacing w:after="0" w:line="205" w:lineRule="exact"/>
        <w:rPr>
          <w:sz w:val="20"/>
          <w:szCs w:val="20"/>
          <w:color w:val="auto"/>
        </w:rPr>
      </w:pPr>
    </w:p>
    <w:p>
      <w:pPr>
        <w:ind w:left="900" w:right="900" w:hanging="899"/>
        <w:spacing w:after="0" w:line="250" w:lineRule="auto"/>
        <w:tabs>
          <w:tab w:leader="none" w:pos="880" w:val="left"/>
        </w:tabs>
        <w:rPr>
          <w:sz w:val="20"/>
          <w:szCs w:val="20"/>
          <w:color w:val="auto"/>
        </w:rPr>
      </w:pPr>
      <w:r>
        <w:rPr>
          <w:rFonts w:ascii="Arial" w:cs="Arial" w:eastAsia="Arial" w:hAnsi="Arial"/>
          <w:sz w:val="20"/>
          <w:szCs w:val="20"/>
          <w:b w:val="1"/>
          <w:bCs w:val="1"/>
          <w:color w:val="auto"/>
        </w:rPr>
        <w:t>ITEM 13</w:t>
        <w:tab/>
        <w:t>CERTAIN RELATIONSHIPS AND RELATED TRANSACTIONS AND DIRECTOR INDEPENDENCE</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20"/>
          <w:szCs w:val="20"/>
          <w:color w:val="auto"/>
        </w:rPr>
        <w:t>The information required by this item is incorporated by reference from our 2023 Proxy Statement</w:t>
      </w:r>
      <w:r>
        <w:rPr>
          <w:rFonts w:ascii="Arial" w:cs="Arial" w:eastAsia="Arial" w:hAnsi="Arial"/>
          <w:sz w:val="20"/>
          <w:szCs w:val="20"/>
          <w:i w:val="1"/>
          <w:iCs w:val="1"/>
          <w:color w:val="auto"/>
        </w:rPr>
        <w:t>.</w:t>
      </w:r>
    </w:p>
    <w:p>
      <w:pPr>
        <w:spacing w:after="0" w:line="210"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ITEM 14</w:t>
        <w:tab/>
        <w:t>PRINCIPAL ACCOUNTANT FEES AND SERVICES</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9"/>
          <w:szCs w:val="19"/>
          <w:color w:val="auto"/>
        </w:rPr>
        <w:t>Our independent registered public accounting firm is KPMG LLP, Los Angeles, CA, Auditor ID: 185.</w:t>
      </w:r>
    </w:p>
    <w:p>
      <w:pPr>
        <w:spacing w:after="0" w:line="217" w:lineRule="exact"/>
        <w:rPr>
          <w:sz w:val="20"/>
          <w:szCs w:val="20"/>
          <w:color w:val="auto"/>
        </w:rPr>
      </w:pPr>
    </w:p>
    <w:p>
      <w:pPr>
        <w:ind w:left="300"/>
        <w:spacing w:after="0"/>
        <w:rPr>
          <w:sz w:val="20"/>
          <w:szCs w:val="20"/>
          <w:color w:val="auto"/>
        </w:rPr>
      </w:pPr>
      <w:r>
        <w:rPr>
          <w:rFonts w:ascii="Arial" w:cs="Arial" w:eastAsia="Arial" w:hAnsi="Arial"/>
          <w:sz w:val="20"/>
          <w:szCs w:val="20"/>
          <w:color w:val="auto"/>
        </w:rPr>
        <w:t>The information required by this item is incorporated by reference from our 2023 Proxy Statement.</w:t>
      </w:r>
    </w:p>
    <w:p>
      <w:pPr>
        <w:sectPr>
          <w:pgSz w:w="11880" w:h="15480" w:orient="portrait"/>
          <w:cols w:equalWidth="0" w:num="1">
            <w:col w:w="9080"/>
          </w:cols>
          <w:pgMar w:left="1380" w:top="1310" w:right="142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168</w:t>
      </w:r>
    </w:p>
    <w:p>
      <w:pPr>
        <w:sectPr>
          <w:pgSz w:w="11880" w:h="15480" w:orient="portrait"/>
          <w:cols w:equalWidth="0" w:num="1">
            <w:col w:w="9080"/>
          </w:cols>
          <w:pgMar w:left="1380" w:top="1310" w:right="1420" w:bottom="661" w:gutter="0" w:footer="0" w:header="0"/>
          <w:type w:val="continuous"/>
        </w:sectPr>
      </w:pPr>
    </w:p>
    <w:bookmarkStart w:id="172" w:name="page173"/>
    <w:bookmarkEnd w:id="172"/>
    <w:p>
      <w:pPr>
        <w:spacing w:after="0"/>
        <w:rPr>
          <w:sz w:val="20"/>
          <w:szCs w:val="20"/>
          <w:color w:val="auto"/>
        </w:rPr>
      </w:pPr>
      <w:r>
        <w:rPr>
          <w:rFonts w:ascii="Arial" w:cs="Arial" w:eastAsia="Arial" w:hAnsi="Arial"/>
          <w:sz w:val="18"/>
          <w:szCs w:val="18"/>
          <w:b w:val="1"/>
          <w:bCs w:val="1"/>
          <w:color w:val="auto"/>
        </w:rPr>
        <w:t>PART IV</w:t>
      </w:r>
    </w:p>
    <w:p>
      <w:pPr>
        <w:spacing w:after="0" w:line="21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w:t>
      </w:r>
    </w:p>
    <w:p>
      <w:pPr>
        <w:spacing w:after="0" w:line="216" w:lineRule="exact"/>
        <w:rPr>
          <w:sz w:val="20"/>
          <w:szCs w:val="20"/>
          <w:color w:val="auto"/>
        </w:rPr>
      </w:pPr>
    </w:p>
    <w:p>
      <w:pPr>
        <w:ind w:firstLine="270"/>
        <w:spacing w:after="0" w:line="252" w:lineRule="auto"/>
        <w:rPr>
          <w:sz w:val="20"/>
          <w:szCs w:val="20"/>
          <w:color w:val="auto"/>
        </w:rPr>
      </w:pPr>
      <w:r>
        <w:rPr>
          <w:rFonts w:ascii="Arial" w:cs="Arial" w:eastAsia="Arial" w:hAnsi="Arial"/>
          <w:sz w:val="18"/>
          <w:szCs w:val="18"/>
          <w:color w:val="auto"/>
        </w:rPr>
        <w:t>The agreements included as exhibits to this report are included to provide information about their terms and not to provide any other factual or disclosure information about us or the other parties to the agreements. The agreements contain representations and warranties by each of the parties to the applicable agreement that were made solely for the benefit of the other agreement parties and:</w:t>
      </w:r>
    </w:p>
    <w:p>
      <w:pPr>
        <w:spacing w:after="0" w:line="208" w:lineRule="exact"/>
        <w:rPr>
          <w:sz w:val="20"/>
          <w:szCs w:val="20"/>
          <w:color w:val="auto"/>
        </w:rPr>
      </w:pPr>
    </w:p>
    <w:p>
      <w:pPr>
        <w:ind w:left="540" w:right="80" w:hanging="270"/>
        <w:spacing w:after="0" w:line="248" w:lineRule="auto"/>
        <w:tabs>
          <w:tab w:leader="none" w:pos="5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should not be treated as categorical statements of fact, but rather as a way of allocating the risk among the parties if those statements prove to be inaccurate;</w:t>
      </w:r>
    </w:p>
    <w:p>
      <w:pPr>
        <w:spacing w:after="0" w:line="209" w:lineRule="exact"/>
        <w:rPr>
          <w:rFonts w:ascii="Arial" w:cs="Arial" w:eastAsia="Arial" w:hAnsi="Arial"/>
          <w:sz w:val="18"/>
          <w:szCs w:val="18"/>
          <w:color w:val="auto"/>
        </w:rPr>
      </w:pPr>
    </w:p>
    <w:p>
      <w:pPr>
        <w:ind w:left="540" w:right="220" w:hanging="270"/>
        <w:spacing w:after="0" w:line="248" w:lineRule="auto"/>
        <w:tabs>
          <w:tab w:leader="none" w:pos="5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have been qualified by disclosures that were made to the other party in connection with the negotiation of the applicable agreement, which disclosures are not necessarily reflected in the agreement;</w:t>
      </w:r>
    </w:p>
    <w:p>
      <w:pPr>
        <w:spacing w:after="0" w:line="209" w:lineRule="exact"/>
        <w:rPr>
          <w:rFonts w:ascii="Arial" w:cs="Arial" w:eastAsia="Arial" w:hAnsi="Arial"/>
          <w:sz w:val="18"/>
          <w:szCs w:val="18"/>
          <w:color w:val="auto"/>
        </w:rPr>
      </w:pPr>
    </w:p>
    <w:p>
      <w:pPr>
        <w:ind w:left="540" w:right="200" w:hanging="270"/>
        <w:spacing w:after="0" w:line="248" w:lineRule="auto"/>
        <w:tabs>
          <w:tab w:leader="none" w:pos="5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may apply standards of materiality in a way that is different from the way the Company and investors may view materiality; and</w:t>
      </w:r>
    </w:p>
    <w:p>
      <w:pPr>
        <w:spacing w:after="0" w:line="209" w:lineRule="exact"/>
        <w:rPr>
          <w:rFonts w:ascii="Arial" w:cs="Arial" w:eastAsia="Arial" w:hAnsi="Arial"/>
          <w:sz w:val="18"/>
          <w:szCs w:val="18"/>
          <w:color w:val="auto"/>
        </w:rPr>
      </w:pPr>
    </w:p>
    <w:p>
      <w:pPr>
        <w:ind w:left="540" w:right="60" w:hanging="270"/>
        <w:spacing w:after="0" w:line="248" w:lineRule="auto"/>
        <w:tabs>
          <w:tab w:leader="none" w:pos="5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were made only as of the date of the applicable agreement or such other date or dates as may be specified in the agreement and are subject to more recent developments.</w:t>
      </w:r>
    </w:p>
    <w:p>
      <w:pPr>
        <w:spacing w:after="0" w:line="203" w:lineRule="exact"/>
        <w:rPr>
          <w:rFonts w:ascii="Arial" w:cs="Arial" w:eastAsia="Arial" w:hAnsi="Arial"/>
          <w:sz w:val="18"/>
          <w:szCs w:val="18"/>
          <w:color w:val="auto"/>
        </w:rPr>
      </w:pPr>
    </w:p>
    <w:p>
      <w:pPr>
        <w:ind w:left="280" w:hanging="280"/>
        <w:spacing w:after="0"/>
        <w:tabs>
          <w:tab w:leader="none" w:pos="28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(1) and (2). Financial Statements</w:t>
      </w:r>
    </w:p>
    <w:p>
      <w:pPr>
        <w:spacing w:after="0" w:line="210" w:lineRule="exact"/>
        <w:rPr>
          <w:rFonts w:ascii="Arial" w:cs="Arial" w:eastAsia="Arial" w:hAnsi="Arial"/>
          <w:sz w:val="18"/>
          <w:szCs w:val="18"/>
          <w:b w:val="1"/>
          <w:bCs w:val="1"/>
          <w:color w:val="auto"/>
        </w:rPr>
      </w:pPr>
    </w:p>
    <w:p>
      <w:pPr>
        <w:ind w:left="280"/>
        <w:spacing w:after="0"/>
        <w:rPr>
          <w:rFonts w:ascii="Arial" w:cs="Arial" w:eastAsia="Arial" w:hAnsi="Arial"/>
          <w:sz w:val="18"/>
          <w:szCs w:val="18"/>
          <w:b w:val="1"/>
          <w:bCs w:val="1"/>
          <w:color w:val="auto"/>
        </w:rPr>
      </w:pPr>
      <w:r>
        <w:rPr>
          <w:rFonts w:ascii="Arial" w:cs="Arial" w:eastAsia="Arial" w:hAnsi="Arial"/>
          <w:sz w:val="18"/>
          <w:szCs w:val="18"/>
          <w:color w:val="auto"/>
        </w:rPr>
        <w:t>Reference is made to Item 8 of the Table of Contents of this report where these documents are listed.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(3). Exhibits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color w:val="auto"/>
              </w:rPr>
              <w:t>Exhibit</w:t>
            </w:r>
          </w:p>
        </w:tc>
        <w:tc>
          <w:tcPr>
            <w:tcW w:w="8280" w:type="dxa"/>
            <w:vAlign w:val="bottom"/>
          </w:tcPr>
          <w:p>
            <w:pPr>
              <w:spacing w:after="0"/>
              <w:rPr>
                <w:sz w:val="18"/>
                <w:szCs w:val="18"/>
                <w:color w:val="auto"/>
              </w:rPr>
            </w:pPr>
          </w:p>
        </w:tc>
      </w:tr>
      <w:tr>
        <w:trPr>
          <w:trHeight w:val="208"/>
        </w:trPr>
        <w:tc>
          <w:tcPr>
            <w:tcW w:w="840" w:type="dxa"/>
            <w:vAlign w:val="bottom"/>
            <w:tcBorders>
              <w:bottom w:val="single" w:sz="8" w:color="auto"/>
            </w:tcBorders>
          </w:tcPr>
          <w:p>
            <w:pPr>
              <w:spacing w:after="0" w:line="201" w:lineRule="exact"/>
              <w:rPr>
                <w:sz w:val="20"/>
                <w:szCs w:val="20"/>
                <w:color w:val="auto"/>
              </w:rPr>
            </w:pPr>
            <w:r>
              <w:rPr>
                <w:rFonts w:ascii="Arial" w:cs="Arial" w:eastAsia="Arial" w:hAnsi="Arial"/>
                <w:sz w:val="18"/>
                <w:szCs w:val="18"/>
                <w:color w:val="auto"/>
              </w:rPr>
              <w:t>Number</w:t>
            </w:r>
          </w:p>
        </w:tc>
        <w:tc>
          <w:tcPr>
            <w:tcW w:w="8280" w:type="dxa"/>
            <w:vAlign w:val="bottom"/>
            <w:tcBorders>
              <w:bottom w:val="single" w:sz="8" w:color="auto"/>
            </w:tcBorders>
          </w:tcPr>
          <w:p>
            <w:pPr>
              <w:ind w:left="200"/>
              <w:spacing w:after="0" w:line="201" w:lineRule="exact"/>
              <w:rPr>
                <w:sz w:val="20"/>
                <w:szCs w:val="20"/>
                <w:color w:val="auto"/>
              </w:rPr>
            </w:pPr>
            <w:r>
              <w:rPr>
                <w:rFonts w:ascii="Arial" w:cs="Arial" w:eastAsia="Arial" w:hAnsi="Arial"/>
                <w:sz w:val="18"/>
                <w:szCs w:val="18"/>
                <w:color w:val="auto"/>
              </w:rPr>
              <w:t>Exhibit Description</w:t>
            </w:r>
          </w:p>
        </w:tc>
      </w:tr>
      <w:tr>
        <w:trPr>
          <w:trHeight w:val="232"/>
        </w:trPr>
        <w:tc>
          <w:tcPr>
            <w:tcW w:w="840" w:type="dxa"/>
            <w:vAlign w:val="bottom"/>
          </w:tcPr>
          <w:p>
            <w:pPr>
              <w:ind w:left="140"/>
              <w:spacing w:after="0"/>
              <w:rPr>
                <w:sz w:val="20"/>
                <w:szCs w:val="20"/>
                <w:color w:val="auto"/>
              </w:rPr>
            </w:pPr>
            <w:r>
              <w:rPr>
                <w:rFonts w:ascii="Arial" w:cs="Arial" w:eastAsia="Arial" w:hAnsi="Arial"/>
                <w:sz w:val="18"/>
                <w:szCs w:val="18"/>
                <w:color w:val="auto"/>
              </w:rPr>
              <w:t>2.1</w:t>
            </w:r>
          </w:p>
        </w:tc>
        <w:tc>
          <w:tcPr>
            <w:tcW w:w="8280" w:type="dxa"/>
            <w:vAlign w:val="bottom"/>
          </w:tcPr>
          <w:p>
            <w:pPr>
              <w:ind w:left="200"/>
              <w:spacing w:after="0"/>
              <w:rPr>
                <w:sz w:val="20"/>
                <w:szCs w:val="20"/>
                <w:color w:val="auto"/>
              </w:rPr>
            </w:pPr>
            <w:r>
              <w:rPr>
                <w:rFonts w:ascii="Arial" w:cs="Arial" w:eastAsia="Arial" w:hAnsi="Arial"/>
                <w:sz w:val="18"/>
                <w:szCs w:val="18"/>
                <w:color w:val="auto"/>
              </w:rPr>
              <w:t>Separation and Distribution Agreement, dated as of November 25, 2014, between Occidental</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Petroleum Corporation and California Resources Corporation (filed as Exhibit 2.1 to the Registrant’s</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rPr>
              <w:t>Current Report on Form 8-K filed December 1, 2014 and incorporated herein by reference).</w:t>
            </w:r>
          </w:p>
        </w:tc>
      </w:tr>
      <w:tr>
        <w:trPr>
          <w:trHeight w:val="259"/>
        </w:trPr>
        <w:tc>
          <w:tcPr>
            <w:tcW w:w="840" w:type="dxa"/>
            <w:vAlign w:val="bottom"/>
          </w:tcPr>
          <w:p>
            <w:pPr>
              <w:ind w:left="140"/>
              <w:spacing w:after="0"/>
              <w:rPr>
                <w:sz w:val="20"/>
                <w:szCs w:val="20"/>
                <w:color w:val="auto"/>
              </w:rPr>
            </w:pPr>
            <w:r>
              <w:rPr>
                <w:rFonts w:ascii="Arial" w:cs="Arial" w:eastAsia="Arial" w:hAnsi="Arial"/>
                <w:sz w:val="18"/>
                <w:szCs w:val="18"/>
                <w:color w:val="auto"/>
              </w:rPr>
              <w:t>2.2</w:t>
            </w:r>
          </w:p>
        </w:tc>
        <w:tc>
          <w:tcPr>
            <w:tcW w:w="8280" w:type="dxa"/>
            <w:vAlign w:val="bottom"/>
          </w:tcPr>
          <w:p>
            <w:pPr>
              <w:ind w:left="200"/>
              <w:spacing w:after="0"/>
              <w:rPr>
                <w:sz w:val="20"/>
                <w:szCs w:val="20"/>
                <w:color w:val="auto"/>
              </w:rPr>
            </w:pPr>
            <w:r>
              <w:rPr>
                <w:rFonts w:ascii="Arial" w:cs="Arial" w:eastAsia="Arial" w:hAnsi="Arial"/>
                <w:sz w:val="18"/>
                <w:szCs w:val="18"/>
                <w:color w:val="auto"/>
              </w:rPr>
              <w:t>Amended Debtors’ Joint Plan of Reorganization Under Chapter 11 of the Bankruptcy Code (filed as</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Exhibit 2.1 to the Registrant’s Current Report on Form 8-K filed October 19, 2020 and incorporated</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rPr>
              <w:t>herein by reference).</w:t>
            </w:r>
          </w:p>
        </w:tc>
      </w:tr>
      <w:tr>
        <w:trPr>
          <w:trHeight w:val="259"/>
        </w:trPr>
        <w:tc>
          <w:tcPr>
            <w:tcW w:w="840" w:type="dxa"/>
            <w:vAlign w:val="bottom"/>
          </w:tcPr>
          <w:p>
            <w:pPr>
              <w:ind w:left="140"/>
              <w:spacing w:after="0"/>
              <w:rPr>
                <w:sz w:val="20"/>
                <w:szCs w:val="20"/>
                <w:color w:val="auto"/>
              </w:rPr>
            </w:pPr>
            <w:r>
              <w:rPr>
                <w:rFonts w:ascii="Arial" w:cs="Arial" w:eastAsia="Arial" w:hAnsi="Arial"/>
                <w:sz w:val="18"/>
                <w:szCs w:val="18"/>
                <w:color w:val="auto"/>
              </w:rPr>
              <w:t>3.1</w:t>
            </w:r>
          </w:p>
        </w:tc>
        <w:tc>
          <w:tcPr>
            <w:tcW w:w="8280" w:type="dxa"/>
            <w:vAlign w:val="bottom"/>
          </w:tcPr>
          <w:p>
            <w:pPr>
              <w:ind w:left="200"/>
              <w:spacing w:after="0"/>
              <w:rPr>
                <w:sz w:val="20"/>
                <w:szCs w:val="20"/>
                <w:color w:val="auto"/>
              </w:rPr>
            </w:pPr>
            <w:r>
              <w:rPr>
                <w:rFonts w:ascii="Arial" w:cs="Arial" w:eastAsia="Arial" w:hAnsi="Arial"/>
                <w:sz w:val="18"/>
                <w:szCs w:val="18"/>
                <w:color w:val="auto"/>
              </w:rPr>
              <w:t>Amended and Restated Certificate of Incorporation of California Resources Corporation (filed as</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Exhibit 3.1 to the Registrant’s Registration Statement on Form 8-A filed October 27, 2020 and</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rPr>
              <w:t>incorporated herein by reference).</w:t>
            </w:r>
          </w:p>
        </w:tc>
      </w:tr>
      <w:tr>
        <w:trPr>
          <w:trHeight w:val="259"/>
        </w:trPr>
        <w:tc>
          <w:tcPr>
            <w:tcW w:w="840" w:type="dxa"/>
            <w:vAlign w:val="bottom"/>
          </w:tcPr>
          <w:p>
            <w:pPr>
              <w:ind w:left="140"/>
              <w:spacing w:after="0"/>
              <w:rPr>
                <w:sz w:val="20"/>
                <w:szCs w:val="20"/>
                <w:color w:val="auto"/>
              </w:rPr>
            </w:pPr>
            <w:r>
              <w:rPr>
                <w:rFonts w:ascii="Arial" w:cs="Arial" w:eastAsia="Arial" w:hAnsi="Arial"/>
                <w:sz w:val="18"/>
                <w:szCs w:val="18"/>
                <w:color w:val="auto"/>
              </w:rPr>
              <w:t>3.2</w:t>
            </w:r>
          </w:p>
        </w:tc>
        <w:tc>
          <w:tcPr>
            <w:tcW w:w="8280" w:type="dxa"/>
            <w:vAlign w:val="bottom"/>
          </w:tcPr>
          <w:p>
            <w:pPr>
              <w:ind w:left="200"/>
              <w:spacing w:after="0"/>
              <w:rPr>
                <w:sz w:val="20"/>
                <w:szCs w:val="20"/>
                <w:color w:val="auto"/>
              </w:rPr>
            </w:pPr>
            <w:r>
              <w:rPr>
                <w:rFonts w:ascii="Arial" w:cs="Arial" w:eastAsia="Arial" w:hAnsi="Arial"/>
                <w:sz w:val="18"/>
                <w:szCs w:val="18"/>
                <w:color w:val="auto"/>
              </w:rPr>
              <w:t>Certificate of Amendment of Amended and Restated Certificate of Incorporation of California</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Resources Corporation (filed as Exhibit 3.1 to Registrant’s Current Report on Form 8-K filed on</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rPr>
              <w:t>May 6, 2022 and incorporated by reference).</w:t>
            </w:r>
          </w:p>
        </w:tc>
      </w:tr>
      <w:tr>
        <w:trPr>
          <w:trHeight w:val="259"/>
        </w:trPr>
        <w:tc>
          <w:tcPr>
            <w:tcW w:w="840" w:type="dxa"/>
            <w:vAlign w:val="bottom"/>
          </w:tcPr>
          <w:p>
            <w:pPr>
              <w:ind w:left="140"/>
              <w:spacing w:after="0"/>
              <w:rPr>
                <w:sz w:val="20"/>
                <w:szCs w:val="20"/>
                <w:color w:val="auto"/>
              </w:rPr>
            </w:pPr>
            <w:r>
              <w:rPr>
                <w:rFonts w:ascii="Arial" w:cs="Arial" w:eastAsia="Arial" w:hAnsi="Arial"/>
                <w:sz w:val="18"/>
                <w:szCs w:val="18"/>
                <w:color w:val="auto"/>
              </w:rPr>
              <w:t>3.3</w:t>
            </w:r>
          </w:p>
        </w:tc>
        <w:tc>
          <w:tcPr>
            <w:tcW w:w="8280" w:type="dxa"/>
            <w:vAlign w:val="bottom"/>
          </w:tcPr>
          <w:p>
            <w:pPr>
              <w:ind w:left="200"/>
              <w:spacing w:after="0"/>
              <w:rPr>
                <w:sz w:val="20"/>
                <w:szCs w:val="20"/>
                <w:color w:val="auto"/>
              </w:rPr>
            </w:pPr>
            <w:r>
              <w:rPr>
                <w:rFonts w:ascii="Arial" w:cs="Arial" w:eastAsia="Arial" w:hAnsi="Arial"/>
                <w:sz w:val="18"/>
                <w:szCs w:val="18"/>
                <w:color w:val="auto"/>
              </w:rPr>
              <w:t>Amended and Restated Bylaws of California Resources Corporation (filed as Exhibit 3.2 to the</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Registrant’s Registration Statement on Form 8-A filed October 27, 2020 and incorporated herein by</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rPr>
              <w:t>reference).</w:t>
            </w:r>
          </w:p>
        </w:tc>
      </w:tr>
      <w:tr>
        <w:trPr>
          <w:trHeight w:val="259"/>
        </w:trPr>
        <w:tc>
          <w:tcPr>
            <w:tcW w:w="840" w:type="dxa"/>
            <w:vAlign w:val="bottom"/>
          </w:tcPr>
          <w:p>
            <w:pPr>
              <w:ind w:left="140"/>
              <w:spacing w:after="0"/>
              <w:rPr>
                <w:sz w:val="20"/>
                <w:szCs w:val="20"/>
                <w:color w:val="auto"/>
              </w:rPr>
            </w:pPr>
            <w:r>
              <w:rPr>
                <w:rFonts w:ascii="Arial" w:cs="Arial" w:eastAsia="Arial" w:hAnsi="Arial"/>
                <w:sz w:val="18"/>
                <w:szCs w:val="18"/>
                <w:color w:val="auto"/>
              </w:rPr>
              <w:t>4.1</w:t>
            </w:r>
          </w:p>
        </w:tc>
        <w:tc>
          <w:tcPr>
            <w:tcW w:w="8280" w:type="dxa"/>
            <w:vAlign w:val="bottom"/>
          </w:tcPr>
          <w:p>
            <w:pPr>
              <w:ind w:left="200"/>
              <w:spacing w:after="0"/>
              <w:rPr>
                <w:sz w:val="20"/>
                <w:szCs w:val="20"/>
                <w:color w:val="auto"/>
              </w:rPr>
            </w:pPr>
            <w:r>
              <w:rPr>
                <w:rFonts w:ascii="Arial" w:cs="Arial" w:eastAsia="Arial" w:hAnsi="Arial"/>
                <w:sz w:val="18"/>
                <w:szCs w:val="18"/>
                <w:color w:val="auto"/>
              </w:rPr>
              <w:t>Description of Registrant’s Securities (filed as Exhibit 4.1 to the Registrant’s Annual Report on</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rPr>
              <w:t>Form 10-K filed March 11, 2021 and incorporated herein by reference).</w:t>
            </w:r>
          </w:p>
        </w:tc>
      </w:tr>
      <w:tr>
        <w:trPr>
          <w:trHeight w:val="259"/>
        </w:trPr>
        <w:tc>
          <w:tcPr>
            <w:tcW w:w="840" w:type="dxa"/>
            <w:vAlign w:val="bottom"/>
          </w:tcPr>
          <w:p>
            <w:pPr>
              <w:ind w:left="140"/>
              <w:spacing w:after="0"/>
              <w:rPr>
                <w:sz w:val="20"/>
                <w:szCs w:val="20"/>
                <w:color w:val="auto"/>
              </w:rPr>
            </w:pPr>
            <w:r>
              <w:rPr>
                <w:rFonts w:ascii="Arial" w:cs="Arial" w:eastAsia="Arial" w:hAnsi="Arial"/>
                <w:sz w:val="18"/>
                <w:szCs w:val="18"/>
                <w:color w:val="auto"/>
              </w:rPr>
              <w:t>4.2</w:t>
            </w:r>
          </w:p>
        </w:tc>
        <w:tc>
          <w:tcPr>
            <w:tcW w:w="8280" w:type="dxa"/>
            <w:vAlign w:val="bottom"/>
          </w:tcPr>
          <w:p>
            <w:pPr>
              <w:ind w:left="200"/>
              <w:spacing w:after="0"/>
              <w:rPr>
                <w:sz w:val="20"/>
                <w:szCs w:val="20"/>
                <w:color w:val="auto"/>
              </w:rPr>
            </w:pPr>
            <w:r>
              <w:rPr>
                <w:rFonts w:ascii="Arial" w:cs="Arial" w:eastAsia="Arial" w:hAnsi="Arial"/>
                <w:sz w:val="18"/>
                <w:szCs w:val="18"/>
                <w:color w:val="auto"/>
              </w:rPr>
              <w:t>Indenture, dated January 20, 2021, by and among California Resources Corporation, the Guarantors</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and Wilmington Trust, National Association (filed as Exhibit 4.1 to the Registrant’s Current Report on</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rPr>
              <w:t>Form 8-K filed January 21, 2021 and incorporated herein by reference).</w:t>
            </w:r>
          </w:p>
        </w:tc>
      </w:tr>
      <w:tr>
        <w:trPr>
          <w:trHeight w:val="259"/>
        </w:trPr>
        <w:tc>
          <w:tcPr>
            <w:tcW w:w="840" w:type="dxa"/>
            <w:vAlign w:val="bottom"/>
          </w:tcPr>
          <w:p>
            <w:pPr>
              <w:ind w:left="140"/>
              <w:spacing w:after="0"/>
              <w:rPr>
                <w:sz w:val="20"/>
                <w:szCs w:val="20"/>
                <w:color w:val="auto"/>
              </w:rPr>
            </w:pPr>
            <w:r>
              <w:rPr>
                <w:rFonts w:ascii="Arial" w:cs="Arial" w:eastAsia="Arial" w:hAnsi="Arial"/>
                <w:sz w:val="18"/>
                <w:szCs w:val="18"/>
                <w:color w:val="auto"/>
              </w:rPr>
              <w:t>4.3</w:t>
            </w:r>
          </w:p>
        </w:tc>
        <w:tc>
          <w:tcPr>
            <w:tcW w:w="8280" w:type="dxa"/>
            <w:vAlign w:val="bottom"/>
          </w:tcPr>
          <w:p>
            <w:pPr>
              <w:ind w:left="200"/>
              <w:spacing w:after="0"/>
              <w:rPr>
                <w:sz w:val="20"/>
                <w:szCs w:val="20"/>
                <w:color w:val="auto"/>
              </w:rPr>
            </w:pPr>
            <w:r>
              <w:rPr>
                <w:rFonts w:ascii="Arial" w:cs="Arial" w:eastAsia="Arial" w:hAnsi="Arial"/>
                <w:sz w:val="18"/>
                <w:szCs w:val="18"/>
                <w:color w:val="auto"/>
              </w:rPr>
              <w:t>First Supplemental Indenture, dated January 20, 2021, by and among California Resources</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Corporation, the Guarantors, Elk Hills Power, LLC, EHP Midco Holding Company, LLC, EHP Topco</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Holding Company, LLC and Wilmington Trust, National Association (filed as Exhibit 4.2 to the</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Registrant’s Current Report on Form 8-K filed January 21, 2021 and incorporated herein by</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rPr>
              <w:t>reference).</w:t>
            </w:r>
          </w:p>
        </w:tc>
      </w:tr>
      <w:tr>
        <w:trPr>
          <w:trHeight w:val="259"/>
        </w:trPr>
        <w:tc>
          <w:tcPr>
            <w:tcW w:w="840" w:type="dxa"/>
            <w:vAlign w:val="bottom"/>
          </w:tcPr>
          <w:p>
            <w:pPr>
              <w:ind w:left="140"/>
              <w:spacing w:after="0"/>
              <w:rPr>
                <w:sz w:val="20"/>
                <w:szCs w:val="20"/>
                <w:color w:val="auto"/>
              </w:rPr>
            </w:pPr>
            <w:r>
              <w:rPr>
                <w:rFonts w:ascii="Arial" w:cs="Arial" w:eastAsia="Arial" w:hAnsi="Arial"/>
                <w:sz w:val="18"/>
                <w:szCs w:val="18"/>
                <w:color w:val="auto"/>
              </w:rPr>
              <w:t>10.1</w:t>
            </w:r>
          </w:p>
        </w:tc>
        <w:tc>
          <w:tcPr>
            <w:tcW w:w="8280" w:type="dxa"/>
            <w:vAlign w:val="bottom"/>
          </w:tcPr>
          <w:p>
            <w:pPr>
              <w:ind w:left="200"/>
              <w:spacing w:after="0"/>
              <w:rPr>
                <w:sz w:val="20"/>
                <w:szCs w:val="20"/>
                <w:color w:val="auto"/>
              </w:rPr>
            </w:pPr>
            <w:r>
              <w:rPr>
                <w:rFonts w:ascii="Arial" w:cs="Arial" w:eastAsia="Arial" w:hAnsi="Arial"/>
                <w:sz w:val="18"/>
                <w:szCs w:val="18"/>
                <w:color w:val="auto"/>
              </w:rPr>
              <w:t>Contractors’ Agreement, by and between the City of Long Beach, Humble Oil &amp; Refining Company,</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rPr>
              <w:t>Shell Oil Company, Socony Mobil Oil Company, Inc., Texaco, Inc., Union Oil Company of California,</w:t>
            </w:r>
          </w:p>
        </w:tc>
      </w:tr>
    </w:tbl>
    <w:p>
      <w:pPr>
        <w:ind w:left="1040" w:right="320"/>
        <w:spacing w:after="0" w:line="231" w:lineRule="auto"/>
        <w:rPr>
          <w:sz w:val="20"/>
          <w:szCs w:val="20"/>
          <w:color w:val="auto"/>
        </w:rPr>
      </w:pPr>
      <w:r>
        <w:rPr>
          <w:rFonts w:ascii="Arial" w:cs="Arial" w:eastAsia="Arial" w:hAnsi="Arial"/>
          <w:sz w:val="18"/>
          <w:szCs w:val="18"/>
          <w:color w:val="auto"/>
        </w:rPr>
        <w:t>Pauley Petroleum, Inc., Allied Chemical Corporation, Richfield Oil Corporation and Standard Oil Company of California (filed as Exhibit 10.12 to Amendment No. 2 to the Registrant’s Registration Statement on Form 10 filed August 20, 2014, and incorporated herein by reference).</w:t>
      </w:r>
    </w:p>
    <w:p>
      <w:pPr>
        <w:sectPr>
          <w:pgSz w:w="11880" w:h="15480" w:orient="portrait"/>
          <w:cols w:equalWidth="0" w:num="1">
            <w:col w:w="9120"/>
          </w:cols>
          <w:pgMar w:left="1380" w:top="1309" w:right="1380" w:bottom="661" w:gutter="0" w:footer="0" w:header="0"/>
        </w:sect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169</w:t>
      </w:r>
    </w:p>
    <w:p>
      <w:pPr>
        <w:sectPr>
          <w:pgSz w:w="11880" w:h="15480" w:orient="portrait"/>
          <w:cols w:equalWidth="0" w:num="1">
            <w:col w:w="9120"/>
          </w:cols>
          <w:pgMar w:left="1380" w:top="1309" w:right="1380" w:bottom="661" w:gutter="0" w:footer="0" w:header="0"/>
          <w:type w:val="continuous"/>
        </w:sectPr>
      </w:pPr>
    </w:p>
    <w:bookmarkStart w:id="173" w:name="page174"/>
    <w:bookmarkEnd w:id="173"/>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color w:val="auto"/>
              </w:rPr>
              <w:t>Exhibit</w:t>
            </w:r>
          </w:p>
        </w:tc>
        <w:tc>
          <w:tcPr>
            <w:tcW w:w="8280" w:type="dxa"/>
            <w:vAlign w:val="bottom"/>
          </w:tcPr>
          <w:p>
            <w:pPr>
              <w:spacing w:after="0"/>
              <w:rPr>
                <w:sz w:val="17"/>
                <w:szCs w:val="17"/>
                <w:color w:val="auto"/>
              </w:rPr>
            </w:pPr>
          </w:p>
        </w:tc>
      </w:tr>
      <w:tr>
        <w:trPr>
          <w:trHeight w:val="208"/>
        </w:trPr>
        <w:tc>
          <w:tcPr>
            <w:tcW w:w="840" w:type="dxa"/>
            <w:vAlign w:val="bottom"/>
            <w:tcBorders>
              <w:bottom w:val="single" w:sz="8" w:color="auto"/>
            </w:tcBorders>
          </w:tcPr>
          <w:p>
            <w:pPr>
              <w:spacing w:after="0" w:line="201" w:lineRule="exact"/>
              <w:rPr>
                <w:sz w:val="20"/>
                <w:szCs w:val="20"/>
                <w:color w:val="auto"/>
              </w:rPr>
            </w:pPr>
            <w:r>
              <w:rPr>
                <w:rFonts w:ascii="Arial" w:cs="Arial" w:eastAsia="Arial" w:hAnsi="Arial"/>
                <w:sz w:val="18"/>
                <w:szCs w:val="18"/>
                <w:color w:val="auto"/>
              </w:rPr>
              <w:t>Number</w:t>
            </w:r>
          </w:p>
        </w:tc>
        <w:tc>
          <w:tcPr>
            <w:tcW w:w="8280" w:type="dxa"/>
            <w:vAlign w:val="bottom"/>
            <w:tcBorders>
              <w:bottom w:val="single" w:sz="8" w:color="auto"/>
            </w:tcBorders>
          </w:tcPr>
          <w:p>
            <w:pPr>
              <w:ind w:left="200"/>
              <w:spacing w:after="0" w:line="201" w:lineRule="exact"/>
              <w:rPr>
                <w:sz w:val="20"/>
                <w:szCs w:val="20"/>
                <w:color w:val="auto"/>
              </w:rPr>
            </w:pPr>
            <w:r>
              <w:rPr>
                <w:rFonts w:ascii="Arial" w:cs="Arial" w:eastAsia="Arial" w:hAnsi="Arial"/>
                <w:sz w:val="18"/>
                <w:szCs w:val="18"/>
                <w:color w:val="auto"/>
              </w:rPr>
              <w:t>Exhibit Description</w:t>
            </w:r>
          </w:p>
        </w:tc>
      </w:tr>
      <w:tr>
        <w:trPr>
          <w:trHeight w:val="292"/>
        </w:trPr>
        <w:tc>
          <w:tcPr>
            <w:tcW w:w="840" w:type="dxa"/>
            <w:vAlign w:val="bottom"/>
          </w:tcPr>
          <w:p>
            <w:pPr>
              <w:ind w:left="100"/>
              <w:spacing w:after="0"/>
              <w:rPr>
                <w:sz w:val="20"/>
                <w:szCs w:val="20"/>
                <w:color w:val="auto"/>
              </w:rPr>
            </w:pPr>
            <w:r>
              <w:rPr>
                <w:rFonts w:ascii="Arial" w:cs="Arial" w:eastAsia="Arial" w:hAnsi="Arial"/>
                <w:sz w:val="18"/>
                <w:szCs w:val="18"/>
                <w:color w:val="auto"/>
              </w:rPr>
              <w:t>10.2</w:t>
            </w:r>
          </w:p>
        </w:tc>
        <w:tc>
          <w:tcPr>
            <w:tcW w:w="8280" w:type="dxa"/>
            <w:vAlign w:val="bottom"/>
          </w:tcPr>
          <w:p>
            <w:pPr>
              <w:ind w:left="200"/>
              <w:spacing w:after="0"/>
              <w:rPr>
                <w:sz w:val="20"/>
                <w:szCs w:val="20"/>
                <w:color w:val="auto"/>
              </w:rPr>
            </w:pPr>
            <w:r>
              <w:rPr>
                <w:rFonts w:ascii="Arial" w:cs="Arial" w:eastAsia="Arial" w:hAnsi="Arial"/>
                <w:sz w:val="18"/>
                <w:szCs w:val="18"/>
                <w:color w:val="auto"/>
              </w:rPr>
              <w:t>Agreement for Implementation of an Optimized Waterflood Program for the Long Beach Unit, dated</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November 5, 1991, by and among the State of California, by and through the State Lands</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Commission, the City of Long Beach, Atlantic Richfield Company and ARCO Long Beach, Inc. (filed</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as Exhibit 10.10 to Amendment No. 2 to the Registrant’s Registration Statement on Form 10 filed</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rPr>
              <w:t>August 20, 2014 and incorporated herein by reference.</w:t>
            </w:r>
          </w:p>
        </w:tc>
      </w:tr>
      <w:tr>
        <w:trPr>
          <w:trHeight w:val="259"/>
        </w:trPr>
        <w:tc>
          <w:tcPr>
            <w:tcW w:w="840" w:type="dxa"/>
            <w:vAlign w:val="bottom"/>
          </w:tcPr>
          <w:p>
            <w:pPr>
              <w:ind w:left="100"/>
              <w:spacing w:after="0"/>
              <w:rPr>
                <w:sz w:val="20"/>
                <w:szCs w:val="20"/>
                <w:color w:val="auto"/>
              </w:rPr>
            </w:pPr>
            <w:r>
              <w:rPr>
                <w:rFonts w:ascii="Arial" w:cs="Arial" w:eastAsia="Arial" w:hAnsi="Arial"/>
                <w:sz w:val="18"/>
                <w:szCs w:val="18"/>
                <w:color w:val="auto"/>
              </w:rPr>
              <w:t>10.3</w:t>
            </w:r>
          </w:p>
        </w:tc>
        <w:tc>
          <w:tcPr>
            <w:tcW w:w="8280" w:type="dxa"/>
            <w:vAlign w:val="bottom"/>
          </w:tcPr>
          <w:p>
            <w:pPr>
              <w:ind w:left="200"/>
              <w:spacing w:after="0"/>
              <w:rPr>
                <w:sz w:val="20"/>
                <w:szCs w:val="20"/>
                <w:color w:val="auto"/>
              </w:rPr>
            </w:pPr>
            <w:r>
              <w:rPr>
                <w:rFonts w:ascii="Arial" w:cs="Arial" w:eastAsia="Arial" w:hAnsi="Arial"/>
                <w:sz w:val="18"/>
                <w:szCs w:val="18"/>
                <w:color w:val="auto"/>
              </w:rPr>
              <w:t>Amendment to the Agreement for Implementation of an Optimized Waterflood Program for the Long</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Beach Unit, dated January 16, 2009, by and among the State of California, by and through the State</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Lands Commission, the City of Long Beach, and Oxy Long Beach, Inc. (filed as Exhibit 10.11 to</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Amendment No. 2 to the Registrant’s Registration Statement on Form 10 filed August 20, 2014, and</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rPr>
              <w:t>incorporated herein by reference).</w:t>
            </w:r>
          </w:p>
        </w:tc>
      </w:tr>
      <w:tr>
        <w:trPr>
          <w:trHeight w:val="259"/>
        </w:trPr>
        <w:tc>
          <w:tcPr>
            <w:tcW w:w="840" w:type="dxa"/>
            <w:vAlign w:val="bottom"/>
          </w:tcPr>
          <w:p>
            <w:pPr>
              <w:ind w:left="100"/>
              <w:spacing w:after="0"/>
              <w:rPr>
                <w:sz w:val="20"/>
                <w:szCs w:val="20"/>
                <w:color w:val="auto"/>
              </w:rPr>
            </w:pPr>
            <w:r>
              <w:rPr>
                <w:rFonts w:ascii="Arial" w:cs="Arial" w:eastAsia="Arial" w:hAnsi="Arial"/>
                <w:sz w:val="18"/>
                <w:szCs w:val="18"/>
                <w:color w:val="auto"/>
              </w:rPr>
              <w:t>10.4</w:t>
            </w:r>
          </w:p>
        </w:tc>
        <w:tc>
          <w:tcPr>
            <w:tcW w:w="8280" w:type="dxa"/>
            <w:vAlign w:val="bottom"/>
          </w:tcPr>
          <w:p>
            <w:pPr>
              <w:ind w:left="200"/>
              <w:spacing w:after="0"/>
              <w:rPr>
                <w:sz w:val="20"/>
                <w:szCs w:val="20"/>
                <w:color w:val="auto"/>
              </w:rPr>
            </w:pPr>
            <w:r>
              <w:rPr>
                <w:rFonts w:ascii="Arial" w:cs="Arial" w:eastAsia="Arial" w:hAnsi="Arial"/>
                <w:sz w:val="18"/>
                <w:szCs w:val="18"/>
                <w:color w:val="auto"/>
              </w:rPr>
              <w:t>Intellectual Property License Agreement, dated November 25, 2014, between Occidental Petroleum</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Corporation and California Resources Corporation (filed as Exhibit 10.7 to the Registrant’s Current</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rPr>
              <w:t>Report on Form 8-K filed December 1, 2014 and incorporated herein by reference).</w:t>
            </w:r>
          </w:p>
        </w:tc>
      </w:tr>
      <w:tr>
        <w:trPr>
          <w:trHeight w:val="259"/>
        </w:trPr>
        <w:tc>
          <w:tcPr>
            <w:tcW w:w="840" w:type="dxa"/>
            <w:vAlign w:val="bottom"/>
          </w:tcPr>
          <w:p>
            <w:pPr>
              <w:ind w:left="100"/>
              <w:spacing w:after="0"/>
              <w:rPr>
                <w:sz w:val="20"/>
                <w:szCs w:val="20"/>
                <w:color w:val="auto"/>
              </w:rPr>
            </w:pPr>
            <w:r>
              <w:rPr>
                <w:rFonts w:ascii="Arial" w:cs="Arial" w:eastAsia="Arial" w:hAnsi="Arial"/>
                <w:sz w:val="18"/>
                <w:szCs w:val="18"/>
                <w:color w:val="auto"/>
              </w:rPr>
              <w:t>10.5</w:t>
            </w:r>
          </w:p>
        </w:tc>
        <w:tc>
          <w:tcPr>
            <w:tcW w:w="8280" w:type="dxa"/>
            <w:vAlign w:val="bottom"/>
          </w:tcPr>
          <w:p>
            <w:pPr>
              <w:ind w:left="200"/>
              <w:spacing w:after="0"/>
              <w:rPr>
                <w:sz w:val="20"/>
                <w:szCs w:val="20"/>
                <w:color w:val="auto"/>
              </w:rPr>
            </w:pPr>
            <w:r>
              <w:rPr>
                <w:rFonts w:ascii="Arial" w:cs="Arial" w:eastAsia="Arial" w:hAnsi="Arial"/>
                <w:sz w:val="18"/>
                <w:szCs w:val="18"/>
                <w:color w:val="auto"/>
              </w:rPr>
              <w:t>Area of Mutual Interest Agreement, dated November 25, 2014, between Occidental Petroleum</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Corporation and California Resources Corporation (filed as Exhibit 10.5 to the Registrant’s Current</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rPr>
              <w:t>Report on Form 8-K filed December 1, 2014 and incorporated herein by reference).</w:t>
            </w:r>
          </w:p>
        </w:tc>
      </w:tr>
      <w:tr>
        <w:trPr>
          <w:trHeight w:val="259"/>
        </w:trPr>
        <w:tc>
          <w:tcPr>
            <w:tcW w:w="840" w:type="dxa"/>
            <w:vAlign w:val="bottom"/>
          </w:tcPr>
          <w:p>
            <w:pPr>
              <w:ind w:left="100"/>
              <w:spacing w:after="0"/>
              <w:rPr>
                <w:sz w:val="20"/>
                <w:szCs w:val="20"/>
                <w:color w:val="auto"/>
              </w:rPr>
            </w:pPr>
            <w:r>
              <w:rPr>
                <w:rFonts w:ascii="Arial" w:cs="Arial" w:eastAsia="Arial" w:hAnsi="Arial"/>
                <w:sz w:val="18"/>
                <w:szCs w:val="18"/>
                <w:color w:val="auto"/>
              </w:rPr>
              <w:t>10.6</w:t>
            </w:r>
          </w:p>
        </w:tc>
        <w:tc>
          <w:tcPr>
            <w:tcW w:w="8280" w:type="dxa"/>
            <w:vAlign w:val="bottom"/>
          </w:tcPr>
          <w:p>
            <w:pPr>
              <w:ind w:left="200"/>
              <w:spacing w:after="0"/>
              <w:rPr>
                <w:sz w:val="20"/>
                <w:szCs w:val="20"/>
                <w:color w:val="auto"/>
              </w:rPr>
            </w:pPr>
            <w:r>
              <w:rPr>
                <w:rFonts w:ascii="Arial" w:cs="Arial" w:eastAsia="Arial" w:hAnsi="Arial"/>
                <w:sz w:val="18"/>
                <w:szCs w:val="18"/>
                <w:color w:val="auto"/>
              </w:rPr>
              <w:t>Confidentiality and Trade Secret Protection Agreement, dated November 25, 2014, by and between</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Occidental Petroleum Corporation and California Resources Corporation, dated November 24, 2014</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(filed as Exhibit 10.6 to the Registrant’s Current Report on Form 8-K filed on December 1, 2014, and</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rPr>
              <w:t>incorporated herein by reference).</w:t>
            </w:r>
          </w:p>
        </w:tc>
      </w:tr>
      <w:tr>
        <w:trPr>
          <w:trHeight w:val="259"/>
        </w:trPr>
        <w:tc>
          <w:tcPr>
            <w:tcW w:w="840" w:type="dxa"/>
            <w:vAlign w:val="bottom"/>
          </w:tcPr>
          <w:p>
            <w:pPr>
              <w:ind w:left="100"/>
              <w:spacing w:after="0"/>
              <w:rPr>
                <w:sz w:val="20"/>
                <w:szCs w:val="20"/>
                <w:color w:val="auto"/>
              </w:rPr>
            </w:pPr>
            <w:r>
              <w:rPr>
                <w:rFonts w:ascii="Arial" w:cs="Arial" w:eastAsia="Arial" w:hAnsi="Arial"/>
                <w:sz w:val="18"/>
                <w:szCs w:val="18"/>
                <w:color w:val="auto"/>
              </w:rPr>
              <w:t>10.7</w:t>
            </w:r>
          </w:p>
        </w:tc>
        <w:tc>
          <w:tcPr>
            <w:tcW w:w="8280" w:type="dxa"/>
            <w:vAlign w:val="bottom"/>
          </w:tcPr>
          <w:p>
            <w:pPr>
              <w:ind w:left="200"/>
              <w:spacing w:after="0"/>
              <w:rPr>
                <w:sz w:val="20"/>
                <w:szCs w:val="20"/>
                <w:color w:val="auto"/>
              </w:rPr>
            </w:pPr>
            <w:r>
              <w:rPr>
                <w:rFonts w:ascii="Arial" w:cs="Arial" w:eastAsia="Arial" w:hAnsi="Arial"/>
                <w:sz w:val="18"/>
                <w:szCs w:val="18"/>
                <w:color w:val="auto"/>
                <w:w w:val="99"/>
              </w:rPr>
              <w:t>Credit Agreement, dated as of October 27, 2020, by and among California Resources Corporation, as</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the Borrower, the several lenders from time to time parties thereto and Citibank, N.A., as</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Administrative Agent, Collateral Agent and an Issuing Bank (filed as Exhibit 10.1 to the Registrant’s</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rPr>
              <w:t>Current Report on Form 8-K filed November 2, 2020 and incorporated herein by reference).</w:t>
            </w:r>
          </w:p>
        </w:tc>
      </w:tr>
      <w:tr>
        <w:trPr>
          <w:trHeight w:val="259"/>
        </w:trPr>
        <w:tc>
          <w:tcPr>
            <w:tcW w:w="840" w:type="dxa"/>
            <w:vAlign w:val="bottom"/>
          </w:tcPr>
          <w:p>
            <w:pPr>
              <w:ind w:left="100"/>
              <w:spacing w:after="0"/>
              <w:rPr>
                <w:sz w:val="20"/>
                <w:szCs w:val="20"/>
                <w:color w:val="auto"/>
              </w:rPr>
            </w:pPr>
            <w:r>
              <w:rPr>
                <w:rFonts w:ascii="Arial" w:cs="Arial" w:eastAsia="Arial" w:hAnsi="Arial"/>
                <w:sz w:val="18"/>
                <w:szCs w:val="18"/>
                <w:color w:val="auto"/>
              </w:rPr>
              <w:t>10.8</w:t>
            </w:r>
          </w:p>
        </w:tc>
        <w:tc>
          <w:tcPr>
            <w:tcW w:w="8280" w:type="dxa"/>
            <w:vAlign w:val="bottom"/>
          </w:tcPr>
          <w:p>
            <w:pPr>
              <w:ind w:left="200"/>
              <w:spacing w:after="0"/>
              <w:rPr>
                <w:sz w:val="20"/>
                <w:szCs w:val="20"/>
                <w:color w:val="auto"/>
              </w:rPr>
            </w:pPr>
            <w:r>
              <w:rPr>
                <w:rFonts w:ascii="Arial" w:cs="Arial" w:eastAsia="Arial" w:hAnsi="Arial"/>
                <w:sz w:val="18"/>
                <w:szCs w:val="18"/>
                <w:color w:val="auto"/>
                <w:w w:val="99"/>
              </w:rPr>
              <w:t>Warrant Agreement, dated as of October 27, 2020, by and between California Resources Corporation</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and American Stock Transfer &amp; Trust Company, LLC, as Warrant Agent (filed as Exhibit 10.4 to the</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Registrant’s Current Report on Form 8-K filed November 2, 2020 and incorporated herein by</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rPr>
              <w:t>reference).</w:t>
            </w:r>
          </w:p>
        </w:tc>
      </w:tr>
      <w:tr>
        <w:trPr>
          <w:trHeight w:val="259"/>
        </w:trPr>
        <w:tc>
          <w:tcPr>
            <w:tcW w:w="840" w:type="dxa"/>
            <w:vAlign w:val="bottom"/>
          </w:tcPr>
          <w:p>
            <w:pPr>
              <w:ind w:left="100"/>
              <w:spacing w:after="0"/>
              <w:rPr>
                <w:sz w:val="20"/>
                <w:szCs w:val="20"/>
                <w:color w:val="auto"/>
              </w:rPr>
            </w:pPr>
            <w:r>
              <w:rPr>
                <w:rFonts w:ascii="Arial" w:cs="Arial" w:eastAsia="Arial" w:hAnsi="Arial"/>
                <w:sz w:val="18"/>
                <w:szCs w:val="18"/>
                <w:color w:val="auto"/>
              </w:rPr>
              <w:t>10.9</w:t>
            </w:r>
          </w:p>
        </w:tc>
        <w:tc>
          <w:tcPr>
            <w:tcW w:w="8280" w:type="dxa"/>
            <w:vAlign w:val="bottom"/>
          </w:tcPr>
          <w:p>
            <w:pPr>
              <w:ind w:left="200"/>
              <w:spacing w:after="0"/>
              <w:rPr>
                <w:sz w:val="20"/>
                <w:szCs w:val="20"/>
                <w:color w:val="auto"/>
              </w:rPr>
            </w:pPr>
            <w:r>
              <w:rPr>
                <w:rFonts w:ascii="Arial" w:cs="Arial" w:eastAsia="Arial" w:hAnsi="Arial"/>
                <w:sz w:val="18"/>
                <w:szCs w:val="18"/>
                <w:color w:val="auto"/>
              </w:rPr>
              <w:t>Registration Rights Agreement, dated as of October 27, 2020, by and among California Resources</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Corporation and the holders party thereto (filed as Exhibit 10.1 to the Registrant’s Registration</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rPr>
              <w:t>Statement on Form 8-A filed October 27, 2020 and incorporated herein by reference).</w:t>
            </w:r>
          </w:p>
        </w:tc>
      </w:tr>
      <w:tr>
        <w:trPr>
          <w:trHeight w:val="259"/>
        </w:trPr>
        <w:tc>
          <w:tcPr>
            <w:tcW w:w="840" w:type="dxa"/>
            <w:vAlign w:val="bottom"/>
          </w:tcPr>
          <w:p>
            <w:pPr>
              <w:ind w:left="100"/>
              <w:spacing w:after="0"/>
              <w:rPr>
                <w:sz w:val="20"/>
                <w:szCs w:val="20"/>
                <w:color w:val="auto"/>
              </w:rPr>
            </w:pPr>
            <w:r>
              <w:rPr>
                <w:rFonts w:ascii="Arial" w:cs="Arial" w:eastAsia="Arial" w:hAnsi="Arial"/>
                <w:sz w:val="18"/>
                <w:szCs w:val="18"/>
                <w:color w:val="auto"/>
              </w:rPr>
              <w:t>10.11</w:t>
            </w:r>
          </w:p>
        </w:tc>
        <w:tc>
          <w:tcPr>
            <w:tcW w:w="8280" w:type="dxa"/>
            <w:vAlign w:val="bottom"/>
          </w:tcPr>
          <w:p>
            <w:pPr>
              <w:ind w:left="200"/>
              <w:spacing w:after="0"/>
              <w:rPr>
                <w:sz w:val="20"/>
                <w:szCs w:val="20"/>
                <w:color w:val="auto"/>
              </w:rPr>
            </w:pPr>
            <w:r>
              <w:rPr>
                <w:rFonts w:ascii="Arial" w:cs="Arial" w:eastAsia="Arial" w:hAnsi="Arial"/>
                <w:sz w:val="18"/>
                <w:szCs w:val="18"/>
                <w:color w:val="auto"/>
              </w:rPr>
              <w:t>First Amendment to the Credit Agreement, dated as of May 7, 2021, by and among California</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Resources Corporation, as the Borrower, the several lenders from time to time parties thereto and</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Citibank, N.A., as Administrative Agent, Collateral Agent and an Issuing Bank (filed as Exhibit 10.1 to</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the Registrant’s Current Report on Form 8-K filed May 10, 2021 and incorporated herein by</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rPr>
              <w:t>reference.)</w:t>
            </w:r>
          </w:p>
        </w:tc>
      </w:tr>
      <w:tr>
        <w:trPr>
          <w:trHeight w:val="259"/>
        </w:trPr>
        <w:tc>
          <w:tcPr>
            <w:tcW w:w="840" w:type="dxa"/>
            <w:vAlign w:val="bottom"/>
          </w:tcPr>
          <w:p>
            <w:pPr>
              <w:ind w:left="100"/>
              <w:spacing w:after="0"/>
              <w:rPr>
                <w:sz w:val="20"/>
                <w:szCs w:val="20"/>
                <w:color w:val="auto"/>
              </w:rPr>
            </w:pPr>
            <w:r>
              <w:rPr>
                <w:rFonts w:ascii="Arial" w:cs="Arial" w:eastAsia="Arial" w:hAnsi="Arial"/>
                <w:sz w:val="18"/>
                <w:szCs w:val="18"/>
                <w:color w:val="auto"/>
              </w:rPr>
              <w:t>10.11</w:t>
            </w:r>
          </w:p>
        </w:tc>
        <w:tc>
          <w:tcPr>
            <w:tcW w:w="8280" w:type="dxa"/>
            <w:vAlign w:val="bottom"/>
          </w:tcPr>
          <w:p>
            <w:pPr>
              <w:ind w:left="200"/>
              <w:spacing w:after="0"/>
              <w:rPr>
                <w:sz w:val="20"/>
                <w:szCs w:val="20"/>
                <w:color w:val="auto"/>
              </w:rPr>
            </w:pPr>
            <w:r>
              <w:rPr>
                <w:rFonts w:ascii="Arial" w:cs="Arial" w:eastAsia="Arial" w:hAnsi="Arial"/>
                <w:sz w:val="18"/>
                <w:szCs w:val="18"/>
                <w:color w:val="auto"/>
              </w:rPr>
              <w:t>Second Amendment to the Credit Agreement, dated as of February 11, 2022, by and among</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California Resources Corporation, as the Borrower, the several lenders from time to time parties</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thereto and Citibank, N.A., as Administrative Agent, Collateral Agent and an Issuing Bank (filed as</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Exhibit 10.1 to the Registrant’s Current Report on Form 8-K filed February 16, 2022 and incorporated</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rPr>
              <w:t>herein by reference.)</w:t>
            </w:r>
          </w:p>
        </w:tc>
      </w:tr>
      <w:tr>
        <w:trPr>
          <w:trHeight w:val="259"/>
        </w:trPr>
        <w:tc>
          <w:tcPr>
            <w:tcW w:w="840" w:type="dxa"/>
            <w:vAlign w:val="bottom"/>
          </w:tcPr>
          <w:p>
            <w:pPr>
              <w:ind w:left="100"/>
              <w:spacing w:after="0"/>
              <w:rPr>
                <w:sz w:val="20"/>
                <w:szCs w:val="20"/>
                <w:color w:val="auto"/>
              </w:rPr>
            </w:pPr>
            <w:r>
              <w:rPr>
                <w:rFonts w:ascii="Arial" w:cs="Arial" w:eastAsia="Arial" w:hAnsi="Arial"/>
                <w:sz w:val="18"/>
                <w:szCs w:val="18"/>
                <w:color w:val="auto"/>
              </w:rPr>
              <w:t>10.12</w:t>
            </w:r>
          </w:p>
        </w:tc>
        <w:tc>
          <w:tcPr>
            <w:tcW w:w="8280" w:type="dxa"/>
            <w:vAlign w:val="bottom"/>
          </w:tcPr>
          <w:p>
            <w:pPr>
              <w:ind w:left="200"/>
              <w:spacing w:after="0"/>
              <w:rPr>
                <w:sz w:val="20"/>
                <w:szCs w:val="20"/>
                <w:color w:val="auto"/>
              </w:rPr>
            </w:pPr>
            <w:r>
              <w:rPr>
                <w:rFonts w:ascii="Arial" w:cs="Arial" w:eastAsia="Arial" w:hAnsi="Arial"/>
                <w:sz w:val="18"/>
                <w:szCs w:val="18"/>
                <w:color w:val="auto"/>
              </w:rPr>
              <w:t>Third Amendment to the Credit Agreement, dated as of April 29, 2022, by and among California</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Resources Corporation, as the Borrower, the credit parties party thereto, the several lenders</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from time to time parties thereto and Citibank, N.A. as administrative agent (filed as Exhibit 10.2 to</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the Registrant’s Quarterly Report on Form 10-Q filed May 5, 2022 and incorporated herein by</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rPr>
              <w:t>reference).</w:t>
            </w:r>
          </w:p>
        </w:tc>
      </w:tr>
      <w:tr>
        <w:trPr>
          <w:trHeight w:val="259"/>
        </w:trPr>
        <w:tc>
          <w:tcPr>
            <w:tcW w:w="840" w:type="dxa"/>
            <w:vAlign w:val="bottom"/>
          </w:tcPr>
          <w:p>
            <w:pPr>
              <w:spacing w:after="0"/>
              <w:rPr>
                <w:sz w:val="22"/>
                <w:szCs w:val="22"/>
                <w:color w:val="auto"/>
              </w:rPr>
            </w:pPr>
          </w:p>
        </w:tc>
        <w:tc>
          <w:tcPr>
            <w:tcW w:w="8280" w:type="dxa"/>
            <w:vAlign w:val="bottom"/>
          </w:tcPr>
          <w:p>
            <w:pPr>
              <w:ind w:left="200"/>
              <w:spacing w:after="0"/>
              <w:rPr>
                <w:sz w:val="20"/>
                <w:szCs w:val="20"/>
                <w:color w:val="auto"/>
              </w:rPr>
            </w:pPr>
            <w:r>
              <w:rPr>
                <w:rFonts w:ascii="Arial" w:cs="Arial" w:eastAsia="Arial" w:hAnsi="Arial"/>
                <w:sz w:val="18"/>
                <w:szCs w:val="18"/>
                <w:color w:val="auto"/>
              </w:rPr>
              <w:t>The following are management contracts and compensatory plans required to be identified</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specifically as responsive to Item 601(b)(10)(iii)(A) of Regulation S-K pursuant to Item 15(b) of</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rPr>
              <w:t>Form 10-K.</w:t>
            </w:r>
          </w:p>
        </w:tc>
      </w:tr>
      <w:tr>
        <w:trPr>
          <w:trHeight w:val="259"/>
        </w:trPr>
        <w:tc>
          <w:tcPr>
            <w:tcW w:w="840" w:type="dxa"/>
            <w:vAlign w:val="bottom"/>
          </w:tcPr>
          <w:p>
            <w:pPr>
              <w:ind w:left="100"/>
              <w:spacing w:after="0"/>
              <w:rPr>
                <w:sz w:val="20"/>
                <w:szCs w:val="20"/>
                <w:color w:val="auto"/>
              </w:rPr>
            </w:pPr>
            <w:r>
              <w:rPr>
                <w:rFonts w:ascii="Arial" w:cs="Arial" w:eastAsia="Arial" w:hAnsi="Arial"/>
                <w:sz w:val="18"/>
                <w:szCs w:val="18"/>
                <w:color w:val="auto"/>
              </w:rPr>
              <w:t>10.13</w:t>
            </w:r>
          </w:p>
        </w:tc>
        <w:tc>
          <w:tcPr>
            <w:tcW w:w="8280" w:type="dxa"/>
            <w:vAlign w:val="bottom"/>
          </w:tcPr>
          <w:p>
            <w:pPr>
              <w:ind w:left="200"/>
              <w:spacing w:after="0"/>
              <w:rPr>
                <w:sz w:val="20"/>
                <w:szCs w:val="20"/>
                <w:color w:val="auto"/>
              </w:rPr>
            </w:pPr>
            <w:r>
              <w:rPr>
                <w:rFonts w:ascii="Arial" w:cs="Arial" w:eastAsia="Arial" w:hAnsi="Arial"/>
                <w:sz w:val="18"/>
                <w:szCs w:val="18"/>
                <w:color w:val="auto"/>
              </w:rPr>
              <w:t>Form of Indemnification Agreement by and between California Resources Corporation and its</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directors and executive officers (filed as Exhibit 10.1 to the Registrant’s Current Report on Form 8-K</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rPr>
              <w:t>filed October 27, 2020 and incorporated herein by reference).</w:t>
            </w:r>
          </w:p>
        </w:tc>
      </w:tr>
      <w:tr>
        <w:trPr>
          <w:trHeight w:val="259"/>
        </w:trPr>
        <w:tc>
          <w:tcPr>
            <w:tcW w:w="840" w:type="dxa"/>
            <w:vAlign w:val="bottom"/>
          </w:tcPr>
          <w:p>
            <w:pPr>
              <w:ind w:left="100"/>
              <w:spacing w:after="0"/>
              <w:rPr>
                <w:sz w:val="20"/>
                <w:szCs w:val="20"/>
                <w:color w:val="auto"/>
              </w:rPr>
            </w:pPr>
            <w:r>
              <w:rPr>
                <w:rFonts w:ascii="Arial" w:cs="Arial" w:eastAsia="Arial" w:hAnsi="Arial"/>
                <w:sz w:val="18"/>
                <w:szCs w:val="18"/>
                <w:color w:val="auto"/>
              </w:rPr>
              <w:t>10.14</w:t>
            </w:r>
          </w:p>
        </w:tc>
        <w:tc>
          <w:tcPr>
            <w:tcW w:w="8280" w:type="dxa"/>
            <w:vAlign w:val="bottom"/>
          </w:tcPr>
          <w:p>
            <w:pPr>
              <w:ind w:left="200"/>
              <w:spacing w:after="0"/>
              <w:rPr>
                <w:sz w:val="20"/>
                <w:szCs w:val="20"/>
                <w:color w:val="auto"/>
              </w:rPr>
            </w:pPr>
            <w:r>
              <w:rPr>
                <w:rFonts w:ascii="Arial" w:cs="Arial" w:eastAsia="Arial" w:hAnsi="Arial"/>
                <w:sz w:val="18"/>
                <w:szCs w:val="18"/>
                <w:color w:val="auto"/>
              </w:rPr>
              <w:t>California Resources Corporation 2021 Long Term Incentive Plan (filed as Exhibit 10.1 to the</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Registrant’s Current Report on Form 8-K filed January 22, 2021 and incorporated herein by</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rPr>
              <w:t>reference).</w:t>
            </w:r>
          </w:p>
        </w:tc>
      </w:tr>
    </w:tbl>
    <w:p>
      <w:pPr>
        <w:spacing w:after="0" w:line="200" w:lineRule="exact"/>
        <w:rPr>
          <w:sz w:val="20"/>
          <w:szCs w:val="20"/>
          <w:color w:val="auto"/>
        </w:rPr>
      </w:pPr>
    </w:p>
    <w:p>
      <w:pPr>
        <w:sectPr>
          <w:pgSz w:w="11880" w:h="15480" w:orient="portrait"/>
          <w:cols w:equalWidth="0" w:num="1">
            <w:col w:w="9120"/>
          </w:cols>
          <w:pgMar w:left="1380" w:top="1247" w:right="1380" w:bottom="661" w:gutter="0" w:footer="0" w:header="0"/>
        </w:sect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170</w:t>
      </w:r>
    </w:p>
    <w:p>
      <w:pPr>
        <w:sectPr>
          <w:pgSz w:w="11880" w:h="15480" w:orient="portrait"/>
          <w:cols w:equalWidth="0" w:num="1">
            <w:col w:w="9120"/>
          </w:cols>
          <w:pgMar w:left="1380" w:top="1247" w:right="1380" w:bottom="661" w:gutter="0" w:footer="0" w:header="0"/>
          <w:type w:val="continuous"/>
        </w:sectPr>
      </w:pPr>
    </w:p>
    <w:bookmarkStart w:id="174" w:name="page175"/>
    <w:bookmarkEnd w:id="174"/>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color w:val="auto"/>
              </w:rPr>
              <w:t>Exhibit</w:t>
            </w:r>
          </w:p>
        </w:tc>
        <w:tc>
          <w:tcPr>
            <w:tcW w:w="8280" w:type="dxa"/>
            <w:vAlign w:val="bottom"/>
          </w:tcPr>
          <w:p>
            <w:pPr>
              <w:spacing w:after="0"/>
              <w:rPr>
                <w:sz w:val="17"/>
                <w:szCs w:val="17"/>
                <w:color w:val="auto"/>
              </w:rPr>
            </w:pPr>
          </w:p>
        </w:tc>
      </w:tr>
      <w:tr>
        <w:trPr>
          <w:trHeight w:val="208"/>
        </w:trPr>
        <w:tc>
          <w:tcPr>
            <w:tcW w:w="840" w:type="dxa"/>
            <w:vAlign w:val="bottom"/>
            <w:tcBorders>
              <w:bottom w:val="single" w:sz="8" w:color="auto"/>
            </w:tcBorders>
          </w:tcPr>
          <w:p>
            <w:pPr>
              <w:spacing w:after="0" w:line="201" w:lineRule="exact"/>
              <w:rPr>
                <w:sz w:val="20"/>
                <w:szCs w:val="20"/>
                <w:color w:val="auto"/>
              </w:rPr>
            </w:pPr>
            <w:r>
              <w:rPr>
                <w:rFonts w:ascii="Arial" w:cs="Arial" w:eastAsia="Arial" w:hAnsi="Arial"/>
                <w:sz w:val="18"/>
                <w:szCs w:val="18"/>
                <w:color w:val="auto"/>
              </w:rPr>
              <w:t>Number</w:t>
            </w:r>
          </w:p>
        </w:tc>
        <w:tc>
          <w:tcPr>
            <w:tcW w:w="8280" w:type="dxa"/>
            <w:vAlign w:val="bottom"/>
            <w:tcBorders>
              <w:bottom w:val="single" w:sz="8" w:color="auto"/>
            </w:tcBorders>
          </w:tcPr>
          <w:p>
            <w:pPr>
              <w:ind w:left="200"/>
              <w:spacing w:after="0" w:line="201" w:lineRule="exact"/>
              <w:rPr>
                <w:sz w:val="20"/>
                <w:szCs w:val="20"/>
                <w:color w:val="auto"/>
              </w:rPr>
            </w:pPr>
            <w:r>
              <w:rPr>
                <w:rFonts w:ascii="Arial" w:cs="Arial" w:eastAsia="Arial" w:hAnsi="Arial"/>
                <w:sz w:val="18"/>
                <w:szCs w:val="18"/>
                <w:color w:val="auto"/>
              </w:rPr>
              <w:t>Exhibit Description</w:t>
            </w:r>
          </w:p>
        </w:tc>
      </w:tr>
      <w:tr>
        <w:trPr>
          <w:trHeight w:val="292"/>
        </w:trPr>
        <w:tc>
          <w:tcPr>
            <w:tcW w:w="840" w:type="dxa"/>
            <w:vAlign w:val="bottom"/>
          </w:tcPr>
          <w:p>
            <w:pPr>
              <w:ind w:left="100"/>
              <w:spacing w:after="0"/>
              <w:rPr>
                <w:sz w:val="20"/>
                <w:szCs w:val="20"/>
                <w:color w:val="auto"/>
              </w:rPr>
            </w:pPr>
            <w:r>
              <w:rPr>
                <w:rFonts w:ascii="Arial" w:cs="Arial" w:eastAsia="Arial" w:hAnsi="Arial"/>
                <w:sz w:val="18"/>
                <w:szCs w:val="18"/>
                <w:color w:val="auto"/>
              </w:rPr>
              <w:t>10.15</w:t>
            </w:r>
          </w:p>
        </w:tc>
        <w:tc>
          <w:tcPr>
            <w:tcW w:w="8280" w:type="dxa"/>
            <w:vAlign w:val="bottom"/>
          </w:tcPr>
          <w:p>
            <w:pPr>
              <w:ind w:left="200"/>
              <w:spacing w:after="0"/>
              <w:rPr>
                <w:sz w:val="20"/>
                <w:szCs w:val="20"/>
                <w:color w:val="auto"/>
              </w:rPr>
            </w:pPr>
            <w:r>
              <w:rPr>
                <w:rFonts w:ascii="Arial" w:cs="Arial" w:eastAsia="Arial" w:hAnsi="Arial"/>
                <w:sz w:val="18"/>
                <w:szCs w:val="18"/>
                <w:color w:val="auto"/>
              </w:rPr>
              <w:t>Form of California Resources Corporation 2021 Long Term Incentive Plan Restricted Stock Unit</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Award for Non-Employee Directors Grant Agreement (filed as Exhibit 10.45 to the Registrant’s</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rPr>
              <w:t>Annual Report on Form 10-K filed March 11, 2021 and incorporated herein by reference).</w:t>
            </w:r>
          </w:p>
        </w:tc>
      </w:tr>
      <w:tr>
        <w:trPr>
          <w:trHeight w:val="259"/>
        </w:trPr>
        <w:tc>
          <w:tcPr>
            <w:tcW w:w="840" w:type="dxa"/>
            <w:vAlign w:val="bottom"/>
          </w:tcPr>
          <w:p>
            <w:pPr>
              <w:ind w:left="100"/>
              <w:spacing w:after="0"/>
              <w:rPr>
                <w:sz w:val="20"/>
                <w:szCs w:val="20"/>
                <w:color w:val="auto"/>
              </w:rPr>
            </w:pPr>
            <w:r>
              <w:rPr>
                <w:rFonts w:ascii="Arial" w:cs="Arial" w:eastAsia="Arial" w:hAnsi="Arial"/>
                <w:sz w:val="18"/>
                <w:szCs w:val="18"/>
                <w:color w:val="auto"/>
              </w:rPr>
              <w:t>10.16</w:t>
            </w:r>
          </w:p>
        </w:tc>
        <w:tc>
          <w:tcPr>
            <w:tcW w:w="8280" w:type="dxa"/>
            <w:vAlign w:val="bottom"/>
          </w:tcPr>
          <w:p>
            <w:pPr>
              <w:ind w:left="200"/>
              <w:spacing w:after="0"/>
              <w:rPr>
                <w:sz w:val="20"/>
                <w:szCs w:val="20"/>
                <w:color w:val="auto"/>
              </w:rPr>
            </w:pPr>
            <w:r>
              <w:rPr>
                <w:rFonts w:ascii="Arial" w:cs="Arial" w:eastAsia="Arial" w:hAnsi="Arial"/>
                <w:sz w:val="18"/>
                <w:szCs w:val="18"/>
                <w:color w:val="auto"/>
              </w:rPr>
              <w:t>Form of California Resources Corporation 2021 Long Term Incentive Plan Restricted Stock Unit</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Award Term and Conditions (filed as Exhibit 10.46 to the Registrant’s Annual Report on Form 10-K</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rPr>
              <w:t>filed March 11, 2021 and incorporated herein by reference).</w:t>
            </w:r>
          </w:p>
        </w:tc>
      </w:tr>
      <w:tr>
        <w:trPr>
          <w:trHeight w:val="259"/>
        </w:trPr>
        <w:tc>
          <w:tcPr>
            <w:tcW w:w="840" w:type="dxa"/>
            <w:vAlign w:val="bottom"/>
          </w:tcPr>
          <w:p>
            <w:pPr>
              <w:ind w:left="100"/>
              <w:spacing w:after="0"/>
              <w:rPr>
                <w:sz w:val="20"/>
                <w:szCs w:val="20"/>
                <w:color w:val="auto"/>
              </w:rPr>
            </w:pPr>
            <w:r>
              <w:rPr>
                <w:rFonts w:ascii="Arial" w:cs="Arial" w:eastAsia="Arial" w:hAnsi="Arial"/>
                <w:sz w:val="18"/>
                <w:szCs w:val="18"/>
                <w:color w:val="auto"/>
              </w:rPr>
              <w:t>10.17</w:t>
            </w:r>
          </w:p>
        </w:tc>
        <w:tc>
          <w:tcPr>
            <w:tcW w:w="8280" w:type="dxa"/>
            <w:vAlign w:val="bottom"/>
          </w:tcPr>
          <w:p>
            <w:pPr>
              <w:ind w:left="200"/>
              <w:spacing w:after="0"/>
              <w:rPr>
                <w:sz w:val="20"/>
                <w:szCs w:val="20"/>
                <w:color w:val="auto"/>
              </w:rPr>
            </w:pPr>
            <w:r>
              <w:rPr>
                <w:rFonts w:ascii="Arial" w:cs="Arial" w:eastAsia="Arial" w:hAnsi="Arial"/>
                <w:sz w:val="18"/>
                <w:szCs w:val="18"/>
                <w:color w:val="auto"/>
              </w:rPr>
              <w:t>Form of California Resources Corporation 2021 Long Term Incentive Plan Restricted Stock Unit</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Award Term and Conditions (filed as Exhibit 10.47 to the Registrant’s Annual Report on Form 10-K</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rPr>
              <w:t>filed March 11, 2021 and incorporated herein by reference).</w:t>
            </w:r>
          </w:p>
        </w:tc>
      </w:tr>
      <w:tr>
        <w:trPr>
          <w:trHeight w:val="259"/>
        </w:trPr>
        <w:tc>
          <w:tcPr>
            <w:tcW w:w="840" w:type="dxa"/>
            <w:vAlign w:val="bottom"/>
          </w:tcPr>
          <w:p>
            <w:pPr>
              <w:ind w:left="100"/>
              <w:spacing w:after="0"/>
              <w:rPr>
                <w:sz w:val="20"/>
                <w:szCs w:val="20"/>
                <w:color w:val="auto"/>
              </w:rPr>
            </w:pPr>
            <w:r>
              <w:rPr>
                <w:rFonts w:ascii="Arial" w:cs="Arial" w:eastAsia="Arial" w:hAnsi="Arial"/>
                <w:sz w:val="18"/>
                <w:szCs w:val="18"/>
                <w:color w:val="auto"/>
              </w:rPr>
              <w:t>10.18</w:t>
            </w:r>
          </w:p>
        </w:tc>
        <w:tc>
          <w:tcPr>
            <w:tcW w:w="8280" w:type="dxa"/>
            <w:vAlign w:val="bottom"/>
          </w:tcPr>
          <w:p>
            <w:pPr>
              <w:ind w:left="200"/>
              <w:spacing w:after="0"/>
              <w:rPr>
                <w:sz w:val="20"/>
                <w:szCs w:val="20"/>
                <w:color w:val="auto"/>
              </w:rPr>
            </w:pPr>
            <w:r>
              <w:rPr>
                <w:rFonts w:ascii="Arial" w:cs="Arial" w:eastAsia="Arial" w:hAnsi="Arial"/>
                <w:sz w:val="18"/>
                <w:szCs w:val="18"/>
                <w:color w:val="auto"/>
              </w:rPr>
              <w:t>Form of California Resources Corporation 2021 Long Term Incentive Plan Performance Stock Unit</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Award Term and Conditions (filed as Exhibit 10.48 to the Registrant’s Annual Report on Form 10-K</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rPr>
              <w:t>filed March 11, 2021 and incorporated herein by reference).</w:t>
            </w:r>
          </w:p>
        </w:tc>
      </w:tr>
      <w:tr>
        <w:trPr>
          <w:trHeight w:val="259"/>
        </w:trPr>
        <w:tc>
          <w:tcPr>
            <w:tcW w:w="840" w:type="dxa"/>
            <w:vAlign w:val="bottom"/>
          </w:tcPr>
          <w:p>
            <w:pPr>
              <w:ind w:left="100"/>
              <w:spacing w:after="0"/>
              <w:rPr>
                <w:sz w:val="20"/>
                <w:szCs w:val="20"/>
                <w:color w:val="auto"/>
              </w:rPr>
            </w:pPr>
            <w:r>
              <w:rPr>
                <w:rFonts w:ascii="Arial" w:cs="Arial" w:eastAsia="Arial" w:hAnsi="Arial"/>
                <w:sz w:val="18"/>
                <w:szCs w:val="18"/>
                <w:color w:val="auto"/>
              </w:rPr>
              <w:t>10.19</w:t>
            </w:r>
          </w:p>
        </w:tc>
        <w:tc>
          <w:tcPr>
            <w:tcW w:w="8280" w:type="dxa"/>
            <w:vAlign w:val="bottom"/>
          </w:tcPr>
          <w:p>
            <w:pPr>
              <w:ind w:left="200"/>
              <w:spacing w:after="0"/>
              <w:rPr>
                <w:sz w:val="20"/>
                <w:szCs w:val="20"/>
                <w:color w:val="auto"/>
              </w:rPr>
            </w:pPr>
            <w:r>
              <w:rPr>
                <w:rFonts w:ascii="Arial" w:cs="Arial" w:eastAsia="Arial" w:hAnsi="Arial"/>
                <w:sz w:val="18"/>
                <w:szCs w:val="18"/>
                <w:color w:val="auto"/>
              </w:rPr>
              <w:t>Employment Agreement by and between Mark A. McFarland and California Resources Corporation,</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dated March 22, 2021 (filed as Exhibit 10.1 to the Registrant’s Current Report on Form 8-K filed</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rPr>
              <w:t>March 22, 2021 and incorporated herein by reference).</w:t>
            </w:r>
          </w:p>
        </w:tc>
      </w:tr>
      <w:tr>
        <w:trPr>
          <w:trHeight w:val="259"/>
        </w:trPr>
        <w:tc>
          <w:tcPr>
            <w:tcW w:w="840" w:type="dxa"/>
            <w:vAlign w:val="bottom"/>
          </w:tcPr>
          <w:p>
            <w:pPr>
              <w:ind w:left="100"/>
              <w:spacing w:after="0"/>
              <w:rPr>
                <w:sz w:val="20"/>
                <w:szCs w:val="20"/>
                <w:color w:val="auto"/>
              </w:rPr>
            </w:pPr>
            <w:r>
              <w:rPr>
                <w:rFonts w:ascii="Arial" w:cs="Arial" w:eastAsia="Arial" w:hAnsi="Arial"/>
                <w:sz w:val="18"/>
                <w:szCs w:val="18"/>
                <w:color w:val="auto"/>
              </w:rPr>
              <w:t>10.20</w:t>
            </w:r>
          </w:p>
        </w:tc>
        <w:tc>
          <w:tcPr>
            <w:tcW w:w="8280" w:type="dxa"/>
            <w:vAlign w:val="bottom"/>
          </w:tcPr>
          <w:p>
            <w:pPr>
              <w:ind w:left="200"/>
              <w:spacing w:after="0"/>
              <w:rPr>
                <w:sz w:val="20"/>
                <w:szCs w:val="20"/>
                <w:color w:val="auto"/>
              </w:rPr>
            </w:pPr>
            <w:r>
              <w:rPr>
                <w:rFonts w:ascii="Arial" w:cs="Arial" w:eastAsia="Arial" w:hAnsi="Arial"/>
                <w:sz w:val="18"/>
                <w:szCs w:val="18"/>
                <w:color w:val="auto"/>
              </w:rPr>
              <w:t>Employment Agreement by and between Shawn M. Kerns and California Resources Corporation,</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dated June 8, 2021 (filed as Exhibit 10.1 to the Registrant’s Current Report on Form 8-K filed</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rPr>
              <w:t>June 11, 2021 and incorporated herein by reference).</w:t>
            </w:r>
          </w:p>
        </w:tc>
      </w:tr>
      <w:tr>
        <w:trPr>
          <w:trHeight w:val="259"/>
        </w:trPr>
        <w:tc>
          <w:tcPr>
            <w:tcW w:w="840" w:type="dxa"/>
            <w:vAlign w:val="bottom"/>
          </w:tcPr>
          <w:p>
            <w:pPr>
              <w:ind w:left="100"/>
              <w:spacing w:after="0"/>
              <w:rPr>
                <w:sz w:val="20"/>
                <w:szCs w:val="20"/>
                <w:color w:val="auto"/>
              </w:rPr>
            </w:pPr>
            <w:r>
              <w:rPr>
                <w:rFonts w:ascii="Arial" w:cs="Arial" w:eastAsia="Arial" w:hAnsi="Arial"/>
                <w:sz w:val="18"/>
                <w:szCs w:val="18"/>
                <w:color w:val="auto"/>
              </w:rPr>
              <w:t>10.21</w:t>
            </w:r>
          </w:p>
        </w:tc>
        <w:tc>
          <w:tcPr>
            <w:tcW w:w="8280" w:type="dxa"/>
            <w:vAlign w:val="bottom"/>
          </w:tcPr>
          <w:p>
            <w:pPr>
              <w:ind w:left="200"/>
              <w:spacing w:after="0"/>
              <w:rPr>
                <w:sz w:val="20"/>
                <w:szCs w:val="20"/>
                <w:color w:val="auto"/>
              </w:rPr>
            </w:pPr>
            <w:r>
              <w:rPr>
                <w:rFonts w:ascii="Arial" w:cs="Arial" w:eastAsia="Arial" w:hAnsi="Arial"/>
                <w:sz w:val="18"/>
                <w:szCs w:val="18"/>
                <w:color w:val="auto"/>
              </w:rPr>
              <w:t>Employment Agreement by and between Francisco J. Leon and California Resources Corporation,</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dated June 8, 2021 (filed as Exhibit 10.2 to the Registrant’s Current Report on Form 8-K filed</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rPr>
              <w:t>June 11, 2021 and incorporated herein by reference).</w:t>
            </w:r>
          </w:p>
        </w:tc>
      </w:tr>
      <w:tr>
        <w:trPr>
          <w:trHeight w:val="259"/>
        </w:trPr>
        <w:tc>
          <w:tcPr>
            <w:tcW w:w="840" w:type="dxa"/>
            <w:vAlign w:val="bottom"/>
          </w:tcPr>
          <w:p>
            <w:pPr>
              <w:ind w:left="100"/>
              <w:spacing w:after="0"/>
              <w:rPr>
                <w:sz w:val="20"/>
                <w:szCs w:val="20"/>
                <w:color w:val="auto"/>
              </w:rPr>
            </w:pPr>
            <w:r>
              <w:rPr>
                <w:rFonts w:ascii="Arial" w:cs="Arial" w:eastAsia="Arial" w:hAnsi="Arial"/>
                <w:sz w:val="18"/>
                <w:szCs w:val="18"/>
                <w:color w:val="auto"/>
              </w:rPr>
              <w:t>10.22</w:t>
            </w:r>
          </w:p>
        </w:tc>
        <w:tc>
          <w:tcPr>
            <w:tcW w:w="8280" w:type="dxa"/>
            <w:vAlign w:val="bottom"/>
          </w:tcPr>
          <w:p>
            <w:pPr>
              <w:ind w:left="200"/>
              <w:spacing w:after="0"/>
              <w:rPr>
                <w:sz w:val="20"/>
                <w:szCs w:val="20"/>
                <w:color w:val="auto"/>
              </w:rPr>
            </w:pPr>
            <w:r>
              <w:rPr>
                <w:rFonts w:ascii="Arial" w:cs="Arial" w:eastAsia="Arial" w:hAnsi="Arial"/>
                <w:sz w:val="18"/>
                <w:szCs w:val="18"/>
                <w:color w:val="auto"/>
              </w:rPr>
              <w:t>Employment Agreement by and between Michael L. Preston and California Resources Corporation,</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dated June 8, 2021 (filed as Exhibit 10.4 to the Registrant’s Quarterly Report on Form 10-Q filed</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rPr>
              <w:t>August 5, 2021 and incorporated herein by reference).</w:t>
            </w:r>
          </w:p>
        </w:tc>
      </w:tr>
      <w:tr>
        <w:trPr>
          <w:trHeight w:val="259"/>
        </w:trPr>
        <w:tc>
          <w:tcPr>
            <w:tcW w:w="840" w:type="dxa"/>
            <w:vAlign w:val="bottom"/>
          </w:tcPr>
          <w:p>
            <w:pPr>
              <w:ind w:left="100"/>
              <w:spacing w:after="0"/>
              <w:rPr>
                <w:sz w:val="20"/>
                <w:szCs w:val="20"/>
                <w:color w:val="auto"/>
              </w:rPr>
            </w:pPr>
            <w:r>
              <w:rPr>
                <w:rFonts w:ascii="Arial" w:cs="Arial" w:eastAsia="Arial" w:hAnsi="Arial"/>
                <w:sz w:val="18"/>
                <w:szCs w:val="18"/>
                <w:color w:val="auto"/>
              </w:rPr>
              <w:t>10.23</w:t>
            </w:r>
          </w:p>
        </w:tc>
        <w:tc>
          <w:tcPr>
            <w:tcW w:w="8280" w:type="dxa"/>
            <w:vAlign w:val="bottom"/>
          </w:tcPr>
          <w:p>
            <w:pPr>
              <w:ind w:left="200"/>
              <w:spacing w:after="0"/>
              <w:rPr>
                <w:sz w:val="20"/>
                <w:szCs w:val="20"/>
                <w:color w:val="auto"/>
              </w:rPr>
            </w:pPr>
            <w:r>
              <w:rPr>
                <w:rFonts w:ascii="Arial" w:cs="Arial" w:eastAsia="Arial" w:hAnsi="Arial"/>
                <w:sz w:val="18"/>
                <w:szCs w:val="18"/>
                <w:color w:val="auto"/>
              </w:rPr>
              <w:t>Employment Agreement by and between Jay A. Bys and California Resources Corporation, dated</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June 8, 2021 (filed as Exhibit 10.5 to the Registrant’s Quarterly Report on Form 10-Q filed August 5,</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rPr>
              <w:t>2021 and incorporated herein by reference).</w:t>
            </w:r>
          </w:p>
        </w:tc>
      </w:tr>
      <w:tr>
        <w:trPr>
          <w:trHeight w:val="259"/>
        </w:trPr>
        <w:tc>
          <w:tcPr>
            <w:tcW w:w="840" w:type="dxa"/>
            <w:vAlign w:val="bottom"/>
          </w:tcPr>
          <w:p>
            <w:pPr>
              <w:ind w:left="100"/>
              <w:spacing w:after="0"/>
              <w:rPr>
                <w:sz w:val="20"/>
                <w:szCs w:val="20"/>
                <w:color w:val="auto"/>
              </w:rPr>
            </w:pPr>
            <w:r>
              <w:rPr>
                <w:rFonts w:ascii="Arial" w:cs="Arial" w:eastAsia="Arial" w:hAnsi="Arial"/>
                <w:sz w:val="18"/>
                <w:szCs w:val="18"/>
                <w:color w:val="auto"/>
              </w:rPr>
              <w:t>10.24</w:t>
            </w:r>
          </w:p>
        </w:tc>
        <w:tc>
          <w:tcPr>
            <w:tcW w:w="8280" w:type="dxa"/>
            <w:vAlign w:val="bottom"/>
          </w:tcPr>
          <w:p>
            <w:pPr>
              <w:ind w:left="200"/>
              <w:spacing w:after="0"/>
              <w:rPr>
                <w:sz w:val="20"/>
                <w:szCs w:val="20"/>
                <w:color w:val="auto"/>
              </w:rPr>
            </w:pPr>
            <w:r>
              <w:rPr>
                <w:rFonts w:ascii="Arial" w:cs="Arial" w:eastAsia="Arial" w:hAnsi="Arial"/>
                <w:sz w:val="18"/>
                <w:szCs w:val="18"/>
                <w:color w:val="auto"/>
              </w:rPr>
              <w:t>Employment Agreement by and between Chris Gould and California Resources Corporation, dated</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auto"/>
              </w:rPr>
              <w:t>June 8, 2021 (filed as Exhibit 10.6 to the Registrant’s Quarterly Report on Form 10-Q filed August 5,</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rPr>
              <w:t>2021 and incorporated herein by reference).</w:t>
            </w:r>
          </w:p>
        </w:tc>
      </w:tr>
      <w:tr>
        <w:trPr>
          <w:trHeight w:val="259"/>
        </w:trPr>
        <w:tc>
          <w:tcPr>
            <w:tcW w:w="840" w:type="dxa"/>
            <w:vAlign w:val="bottom"/>
          </w:tcPr>
          <w:p>
            <w:pPr>
              <w:ind w:left="100"/>
              <w:spacing w:after="0"/>
              <w:rPr>
                <w:sz w:val="20"/>
                <w:szCs w:val="20"/>
                <w:color w:val="auto"/>
              </w:rPr>
            </w:pPr>
            <w:r>
              <w:rPr>
                <w:rFonts w:ascii="Arial" w:cs="Arial" w:eastAsia="Arial" w:hAnsi="Arial"/>
                <w:sz w:val="18"/>
                <w:szCs w:val="18"/>
                <w:color w:val="auto"/>
              </w:rPr>
              <w:t>10.25*</w:t>
            </w:r>
          </w:p>
        </w:tc>
        <w:tc>
          <w:tcPr>
            <w:tcW w:w="8280" w:type="dxa"/>
            <w:vAlign w:val="bottom"/>
          </w:tcPr>
          <w:p>
            <w:pPr>
              <w:ind w:left="200"/>
              <w:spacing w:after="0"/>
              <w:rPr>
                <w:sz w:val="20"/>
                <w:szCs w:val="20"/>
                <w:color w:val="auto"/>
              </w:rPr>
            </w:pPr>
            <w:r>
              <w:rPr>
                <w:rFonts w:ascii="Arial" w:cs="Arial" w:eastAsia="Arial" w:hAnsi="Arial"/>
                <w:sz w:val="18"/>
                <w:szCs w:val="18"/>
                <w:color w:val="auto"/>
              </w:rPr>
              <w:t>Employment Agreement by and between Francisco J. Leon and California Resources Corporation,</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rPr>
              <w:t>dated February 23, 2023.</w:t>
            </w:r>
          </w:p>
        </w:tc>
      </w:tr>
      <w:tr>
        <w:trPr>
          <w:trHeight w:val="259"/>
        </w:trPr>
        <w:tc>
          <w:tcPr>
            <w:tcW w:w="840" w:type="dxa"/>
            <w:vAlign w:val="bottom"/>
          </w:tcPr>
          <w:p>
            <w:pPr>
              <w:ind w:left="100"/>
              <w:spacing w:after="0"/>
              <w:rPr>
                <w:sz w:val="20"/>
                <w:szCs w:val="20"/>
                <w:color w:val="auto"/>
              </w:rPr>
            </w:pPr>
            <w:r>
              <w:rPr>
                <w:rFonts w:ascii="Arial" w:cs="Arial" w:eastAsia="Arial" w:hAnsi="Arial"/>
                <w:sz w:val="18"/>
                <w:szCs w:val="18"/>
                <w:color w:val="auto"/>
              </w:rPr>
              <w:t>10.26*</w:t>
            </w:r>
          </w:p>
        </w:tc>
        <w:tc>
          <w:tcPr>
            <w:tcW w:w="8280" w:type="dxa"/>
            <w:vAlign w:val="bottom"/>
          </w:tcPr>
          <w:p>
            <w:pPr>
              <w:ind w:left="200"/>
              <w:spacing w:after="0"/>
              <w:rPr>
                <w:sz w:val="20"/>
                <w:szCs w:val="20"/>
                <w:color w:val="auto"/>
              </w:rPr>
            </w:pPr>
            <w:r>
              <w:rPr>
                <w:rFonts w:ascii="Arial" w:cs="Arial" w:eastAsia="Arial" w:hAnsi="Arial"/>
                <w:sz w:val="18"/>
                <w:szCs w:val="18"/>
                <w:color w:val="auto"/>
                <w:w w:val="99"/>
              </w:rPr>
              <w:t>2023 Form of California Resources Corporation 2021 Long Term Incentive Plan Restricted Stock Unit</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rPr>
              <w:t>Award Term and Conditions.</w:t>
            </w:r>
          </w:p>
        </w:tc>
      </w:tr>
      <w:tr>
        <w:trPr>
          <w:trHeight w:val="259"/>
        </w:trPr>
        <w:tc>
          <w:tcPr>
            <w:tcW w:w="840" w:type="dxa"/>
            <w:vAlign w:val="bottom"/>
          </w:tcPr>
          <w:p>
            <w:pPr>
              <w:ind w:left="100"/>
              <w:spacing w:after="0"/>
              <w:rPr>
                <w:sz w:val="20"/>
                <w:szCs w:val="20"/>
                <w:color w:val="auto"/>
              </w:rPr>
            </w:pPr>
            <w:r>
              <w:rPr>
                <w:rFonts w:ascii="Arial" w:cs="Arial" w:eastAsia="Arial" w:hAnsi="Arial"/>
                <w:sz w:val="18"/>
                <w:szCs w:val="18"/>
                <w:color w:val="auto"/>
              </w:rPr>
              <w:t>10.27*</w:t>
            </w:r>
          </w:p>
        </w:tc>
        <w:tc>
          <w:tcPr>
            <w:tcW w:w="8280" w:type="dxa"/>
            <w:vAlign w:val="bottom"/>
          </w:tcPr>
          <w:p>
            <w:pPr>
              <w:ind w:left="200"/>
              <w:spacing w:after="0"/>
              <w:rPr>
                <w:sz w:val="20"/>
                <w:szCs w:val="20"/>
                <w:color w:val="auto"/>
              </w:rPr>
            </w:pPr>
            <w:r>
              <w:rPr>
                <w:rFonts w:ascii="Arial" w:cs="Arial" w:eastAsia="Arial" w:hAnsi="Arial"/>
                <w:sz w:val="18"/>
                <w:szCs w:val="18"/>
                <w:color w:val="auto"/>
              </w:rPr>
              <w:t>2023 Form of California Resources Corporation 2021 Long Term Incentive Plan Performance Stock</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rPr>
              <w:t>Unit Award Term and Conditions.</w:t>
            </w:r>
          </w:p>
        </w:tc>
      </w:tr>
      <w:tr>
        <w:trPr>
          <w:trHeight w:val="260"/>
        </w:trPr>
        <w:tc>
          <w:tcPr>
            <w:tcW w:w="840" w:type="dxa"/>
            <w:vAlign w:val="bottom"/>
          </w:tcPr>
          <w:p>
            <w:pPr>
              <w:ind w:left="100"/>
              <w:spacing w:after="0"/>
              <w:rPr>
                <w:sz w:val="20"/>
                <w:szCs w:val="20"/>
                <w:color w:val="auto"/>
              </w:rPr>
            </w:pPr>
            <w:r>
              <w:rPr>
                <w:rFonts w:ascii="Arial" w:cs="Arial" w:eastAsia="Arial" w:hAnsi="Arial"/>
                <w:sz w:val="18"/>
                <w:szCs w:val="18"/>
                <w:color w:val="auto"/>
              </w:rPr>
              <w:t>10.28*</w:t>
            </w:r>
          </w:p>
        </w:tc>
        <w:tc>
          <w:tcPr>
            <w:tcW w:w="8280" w:type="dxa"/>
            <w:vAlign w:val="bottom"/>
          </w:tcPr>
          <w:p>
            <w:pPr>
              <w:ind w:left="200"/>
              <w:spacing w:after="0"/>
              <w:rPr>
                <w:sz w:val="20"/>
                <w:szCs w:val="20"/>
                <w:color w:val="auto"/>
              </w:rPr>
            </w:pPr>
            <w:r>
              <w:rPr>
                <w:rFonts w:ascii="Arial" w:cs="Arial" w:eastAsia="Arial" w:hAnsi="Arial"/>
                <w:sz w:val="18"/>
                <w:szCs w:val="18"/>
                <w:color w:val="auto"/>
              </w:rPr>
              <w:t>Form of Cash Retention Bonus Agreement.</w:t>
            </w:r>
          </w:p>
        </w:tc>
      </w:tr>
      <w:tr>
        <w:trPr>
          <w:trHeight w:val="259"/>
        </w:trPr>
        <w:tc>
          <w:tcPr>
            <w:tcW w:w="840" w:type="dxa"/>
            <w:vAlign w:val="bottom"/>
          </w:tcPr>
          <w:p>
            <w:pPr>
              <w:ind w:left="100"/>
              <w:spacing w:after="0"/>
              <w:rPr>
                <w:sz w:val="20"/>
                <w:szCs w:val="20"/>
                <w:color w:val="auto"/>
              </w:rPr>
            </w:pPr>
            <w:r>
              <w:rPr>
                <w:rFonts w:ascii="Arial" w:cs="Arial" w:eastAsia="Arial" w:hAnsi="Arial"/>
                <w:sz w:val="18"/>
                <w:szCs w:val="18"/>
                <w:color w:val="auto"/>
              </w:rPr>
              <w:t>10.29</w:t>
            </w:r>
          </w:p>
        </w:tc>
        <w:tc>
          <w:tcPr>
            <w:tcW w:w="8280" w:type="dxa"/>
            <w:vAlign w:val="bottom"/>
          </w:tcPr>
          <w:p>
            <w:pPr>
              <w:ind w:left="200"/>
              <w:spacing w:after="0"/>
              <w:rPr>
                <w:sz w:val="20"/>
                <w:szCs w:val="20"/>
                <w:color w:val="auto"/>
              </w:rPr>
            </w:pPr>
            <w:r>
              <w:rPr>
                <w:rFonts w:ascii="Arial" w:cs="Arial" w:eastAsia="Arial" w:hAnsi="Arial"/>
                <w:sz w:val="18"/>
                <w:szCs w:val="18"/>
                <w:color w:val="auto"/>
              </w:rPr>
              <w:t>California Resources Corporation Employee Stock Purchase Plan (filed as Exhibit 10.1 to the</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rPr>
              <w:t>Registrant’s Current Report on Form 8-K filed on May 6, 2022 and incorporated herein by reference).</w:t>
            </w:r>
          </w:p>
        </w:tc>
      </w:tr>
      <w:tr>
        <w:trPr>
          <w:trHeight w:val="260"/>
        </w:trPr>
        <w:tc>
          <w:tcPr>
            <w:tcW w:w="840" w:type="dxa"/>
            <w:vAlign w:val="bottom"/>
          </w:tcPr>
          <w:p>
            <w:pPr>
              <w:ind w:left="100"/>
              <w:spacing w:after="0"/>
              <w:rPr>
                <w:sz w:val="20"/>
                <w:szCs w:val="20"/>
                <w:color w:val="auto"/>
              </w:rPr>
            </w:pPr>
            <w:r>
              <w:rPr>
                <w:rFonts w:ascii="Arial" w:cs="Arial" w:eastAsia="Arial" w:hAnsi="Arial"/>
                <w:sz w:val="18"/>
                <w:szCs w:val="18"/>
                <w:color w:val="auto"/>
              </w:rPr>
              <w:t>21*</w:t>
            </w:r>
          </w:p>
        </w:tc>
        <w:tc>
          <w:tcPr>
            <w:tcW w:w="8280" w:type="dxa"/>
            <w:vAlign w:val="bottom"/>
          </w:tcPr>
          <w:p>
            <w:pPr>
              <w:ind w:left="200"/>
              <w:spacing w:after="0"/>
              <w:rPr>
                <w:sz w:val="20"/>
                <w:szCs w:val="20"/>
                <w:color w:val="auto"/>
              </w:rPr>
            </w:pPr>
            <w:r>
              <w:rPr>
                <w:rFonts w:ascii="Arial" w:cs="Arial" w:eastAsia="Arial" w:hAnsi="Arial"/>
                <w:sz w:val="18"/>
                <w:szCs w:val="18"/>
                <w:color w:val="auto"/>
              </w:rPr>
              <w:t>List of Subsidiaries of California Resources Corporation.</w:t>
            </w:r>
          </w:p>
        </w:tc>
      </w:tr>
      <w:tr>
        <w:trPr>
          <w:trHeight w:val="260"/>
        </w:trPr>
        <w:tc>
          <w:tcPr>
            <w:tcW w:w="840" w:type="dxa"/>
            <w:vAlign w:val="bottom"/>
          </w:tcPr>
          <w:p>
            <w:pPr>
              <w:ind w:left="100"/>
              <w:spacing w:after="0"/>
              <w:rPr>
                <w:sz w:val="20"/>
                <w:szCs w:val="20"/>
                <w:color w:val="auto"/>
              </w:rPr>
            </w:pPr>
            <w:r>
              <w:rPr>
                <w:rFonts w:ascii="Arial" w:cs="Arial" w:eastAsia="Arial" w:hAnsi="Arial"/>
                <w:sz w:val="18"/>
                <w:szCs w:val="18"/>
                <w:color w:val="auto"/>
              </w:rPr>
              <w:t>23.1*</w:t>
            </w:r>
          </w:p>
        </w:tc>
        <w:tc>
          <w:tcPr>
            <w:tcW w:w="8280" w:type="dxa"/>
            <w:vAlign w:val="bottom"/>
          </w:tcPr>
          <w:p>
            <w:pPr>
              <w:ind w:left="20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60"/>
        </w:trPr>
        <w:tc>
          <w:tcPr>
            <w:tcW w:w="840" w:type="dxa"/>
            <w:vAlign w:val="bottom"/>
          </w:tcPr>
          <w:p>
            <w:pPr>
              <w:ind w:left="100"/>
              <w:spacing w:after="0"/>
              <w:rPr>
                <w:sz w:val="20"/>
                <w:szCs w:val="20"/>
                <w:color w:val="auto"/>
              </w:rPr>
            </w:pPr>
            <w:r>
              <w:rPr>
                <w:rFonts w:ascii="Arial" w:cs="Arial" w:eastAsia="Arial" w:hAnsi="Arial"/>
                <w:sz w:val="18"/>
                <w:szCs w:val="18"/>
                <w:color w:val="auto"/>
              </w:rPr>
              <w:t>23.2*</w:t>
            </w:r>
          </w:p>
        </w:tc>
        <w:tc>
          <w:tcPr>
            <w:tcW w:w="8280" w:type="dxa"/>
            <w:vAlign w:val="bottom"/>
          </w:tcPr>
          <w:p>
            <w:pPr>
              <w:ind w:left="200"/>
              <w:spacing w:after="0"/>
              <w:rPr>
                <w:sz w:val="20"/>
                <w:szCs w:val="20"/>
                <w:color w:val="auto"/>
              </w:rPr>
            </w:pPr>
            <w:r>
              <w:rPr>
                <w:rFonts w:ascii="Arial" w:cs="Arial" w:eastAsia="Arial" w:hAnsi="Arial"/>
                <w:sz w:val="18"/>
                <w:szCs w:val="18"/>
                <w:color w:val="auto"/>
              </w:rPr>
              <w:t>Consent of Independent Petroleum Engineers, Ryder Scott Company, L.P.</w:t>
            </w:r>
          </w:p>
        </w:tc>
      </w:tr>
      <w:tr>
        <w:trPr>
          <w:trHeight w:val="260"/>
        </w:trPr>
        <w:tc>
          <w:tcPr>
            <w:tcW w:w="840" w:type="dxa"/>
            <w:vAlign w:val="bottom"/>
          </w:tcPr>
          <w:p>
            <w:pPr>
              <w:ind w:left="100"/>
              <w:spacing w:after="0"/>
              <w:rPr>
                <w:sz w:val="20"/>
                <w:szCs w:val="20"/>
                <w:color w:val="auto"/>
              </w:rPr>
            </w:pPr>
            <w:r>
              <w:rPr>
                <w:rFonts w:ascii="Arial" w:cs="Arial" w:eastAsia="Arial" w:hAnsi="Arial"/>
                <w:sz w:val="18"/>
                <w:szCs w:val="18"/>
                <w:color w:val="auto"/>
              </w:rPr>
              <w:t>23.3*</w:t>
            </w:r>
          </w:p>
        </w:tc>
        <w:tc>
          <w:tcPr>
            <w:tcW w:w="8280" w:type="dxa"/>
            <w:vAlign w:val="bottom"/>
          </w:tcPr>
          <w:p>
            <w:pPr>
              <w:ind w:left="200"/>
              <w:spacing w:after="0"/>
              <w:rPr>
                <w:sz w:val="20"/>
                <w:szCs w:val="20"/>
                <w:color w:val="auto"/>
              </w:rPr>
            </w:pPr>
            <w:r>
              <w:rPr>
                <w:rFonts w:ascii="Arial" w:cs="Arial" w:eastAsia="Arial" w:hAnsi="Arial"/>
                <w:sz w:val="18"/>
                <w:szCs w:val="18"/>
                <w:color w:val="auto"/>
              </w:rPr>
              <w:t>Consent of Independent Petroleum Engineers, Netherland, Sewell &amp; Associates, Inc.</w:t>
            </w:r>
          </w:p>
        </w:tc>
      </w:tr>
      <w:tr>
        <w:trPr>
          <w:trHeight w:val="260"/>
        </w:trPr>
        <w:tc>
          <w:tcPr>
            <w:tcW w:w="840" w:type="dxa"/>
            <w:vAlign w:val="bottom"/>
          </w:tcPr>
          <w:p>
            <w:pPr>
              <w:ind w:left="100"/>
              <w:spacing w:after="0"/>
              <w:rPr>
                <w:sz w:val="20"/>
                <w:szCs w:val="20"/>
                <w:color w:val="auto"/>
              </w:rPr>
            </w:pPr>
            <w:r>
              <w:rPr>
                <w:rFonts w:ascii="Arial" w:cs="Arial" w:eastAsia="Arial" w:hAnsi="Arial"/>
                <w:sz w:val="18"/>
                <w:szCs w:val="18"/>
                <w:color w:val="auto"/>
              </w:rPr>
              <w:t>31.1*</w:t>
            </w:r>
          </w:p>
        </w:tc>
        <w:tc>
          <w:tcPr>
            <w:tcW w:w="8280" w:type="dxa"/>
            <w:vAlign w:val="bottom"/>
          </w:tcPr>
          <w:p>
            <w:pPr>
              <w:ind w:left="20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260"/>
        </w:trPr>
        <w:tc>
          <w:tcPr>
            <w:tcW w:w="840" w:type="dxa"/>
            <w:vAlign w:val="bottom"/>
          </w:tcPr>
          <w:p>
            <w:pPr>
              <w:ind w:left="100"/>
              <w:spacing w:after="0"/>
              <w:rPr>
                <w:sz w:val="20"/>
                <w:szCs w:val="20"/>
                <w:color w:val="auto"/>
              </w:rPr>
            </w:pPr>
            <w:r>
              <w:rPr>
                <w:rFonts w:ascii="Arial" w:cs="Arial" w:eastAsia="Arial" w:hAnsi="Arial"/>
                <w:sz w:val="18"/>
                <w:szCs w:val="18"/>
                <w:color w:val="auto"/>
              </w:rPr>
              <w:t>31.2*</w:t>
            </w:r>
          </w:p>
        </w:tc>
        <w:tc>
          <w:tcPr>
            <w:tcW w:w="8280" w:type="dxa"/>
            <w:vAlign w:val="bottom"/>
          </w:tcPr>
          <w:p>
            <w:pPr>
              <w:ind w:left="20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259"/>
        </w:trPr>
        <w:tc>
          <w:tcPr>
            <w:tcW w:w="840" w:type="dxa"/>
            <w:vAlign w:val="bottom"/>
          </w:tcPr>
          <w:p>
            <w:pPr>
              <w:ind w:left="100"/>
              <w:spacing w:after="0"/>
              <w:rPr>
                <w:sz w:val="20"/>
                <w:szCs w:val="20"/>
                <w:color w:val="auto"/>
              </w:rPr>
            </w:pPr>
            <w:r>
              <w:rPr>
                <w:rFonts w:ascii="Arial" w:cs="Arial" w:eastAsia="Arial" w:hAnsi="Arial"/>
                <w:sz w:val="18"/>
                <w:szCs w:val="18"/>
                <w:color w:val="auto"/>
              </w:rPr>
              <w:t>32.1*</w:t>
            </w:r>
          </w:p>
        </w:tc>
        <w:tc>
          <w:tcPr>
            <w:tcW w:w="8280" w:type="dxa"/>
            <w:vAlign w:val="bottom"/>
          </w:tcPr>
          <w:p>
            <w:pPr>
              <w:ind w:left="200"/>
              <w:spacing w:after="0"/>
              <w:rPr>
                <w:sz w:val="20"/>
                <w:szCs w:val="20"/>
                <w:color w:val="auto"/>
              </w:rPr>
            </w:pPr>
            <w:r>
              <w:rPr>
                <w:rFonts w:ascii="Arial" w:cs="Arial" w:eastAsia="Arial" w:hAnsi="Arial"/>
                <w:sz w:val="18"/>
                <w:szCs w:val="18"/>
                <w:color w:val="auto"/>
              </w:rPr>
              <w:t>Certifications of Chief Executive Officer and Chief Financial Officer pursuant to Section 906 of the</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rPr>
              <w:t>Sarbanes-Oxley Act of 2002.</w:t>
            </w:r>
          </w:p>
        </w:tc>
      </w:tr>
      <w:tr>
        <w:trPr>
          <w:trHeight w:val="259"/>
        </w:trPr>
        <w:tc>
          <w:tcPr>
            <w:tcW w:w="840" w:type="dxa"/>
            <w:vAlign w:val="bottom"/>
          </w:tcPr>
          <w:p>
            <w:pPr>
              <w:ind w:left="100"/>
              <w:spacing w:after="0"/>
              <w:rPr>
                <w:sz w:val="20"/>
                <w:szCs w:val="20"/>
                <w:color w:val="auto"/>
              </w:rPr>
            </w:pPr>
            <w:r>
              <w:rPr>
                <w:rFonts w:ascii="Arial" w:cs="Arial" w:eastAsia="Arial" w:hAnsi="Arial"/>
                <w:sz w:val="18"/>
                <w:szCs w:val="18"/>
                <w:color w:val="auto"/>
              </w:rPr>
              <w:t>99.1*</w:t>
            </w:r>
          </w:p>
        </w:tc>
        <w:tc>
          <w:tcPr>
            <w:tcW w:w="8280" w:type="dxa"/>
            <w:vAlign w:val="bottom"/>
          </w:tcPr>
          <w:p>
            <w:pPr>
              <w:ind w:left="200"/>
              <w:spacing w:after="0"/>
              <w:rPr>
                <w:sz w:val="20"/>
                <w:szCs w:val="20"/>
                <w:color w:val="auto"/>
              </w:rPr>
            </w:pPr>
            <w:r>
              <w:rPr>
                <w:rFonts w:ascii="Arial" w:cs="Arial" w:eastAsia="Arial" w:hAnsi="Arial"/>
                <w:sz w:val="18"/>
                <w:szCs w:val="18"/>
                <w:color w:val="auto"/>
                <w:w w:val="99"/>
              </w:rPr>
              <w:t>Ryder Scott Company, L.P. Estimated Future Reserves Attributable to Certain Leasehold and Royalty</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rPr>
              <w:t>Interests as of December 31, 2022.</w:t>
            </w:r>
          </w:p>
        </w:tc>
      </w:tr>
      <w:tr>
        <w:trPr>
          <w:trHeight w:val="259"/>
        </w:trPr>
        <w:tc>
          <w:tcPr>
            <w:tcW w:w="840" w:type="dxa"/>
            <w:vAlign w:val="bottom"/>
          </w:tcPr>
          <w:p>
            <w:pPr>
              <w:ind w:left="100"/>
              <w:spacing w:after="0"/>
              <w:rPr>
                <w:sz w:val="20"/>
                <w:szCs w:val="20"/>
                <w:color w:val="auto"/>
              </w:rPr>
            </w:pPr>
            <w:r>
              <w:rPr>
                <w:rFonts w:ascii="Arial" w:cs="Arial" w:eastAsia="Arial" w:hAnsi="Arial"/>
                <w:sz w:val="18"/>
                <w:szCs w:val="18"/>
                <w:color w:val="auto"/>
              </w:rPr>
              <w:t>99.2*</w:t>
            </w:r>
          </w:p>
        </w:tc>
        <w:tc>
          <w:tcPr>
            <w:tcW w:w="8280" w:type="dxa"/>
            <w:vAlign w:val="bottom"/>
          </w:tcPr>
          <w:p>
            <w:pPr>
              <w:ind w:left="200"/>
              <w:spacing w:after="0"/>
              <w:rPr>
                <w:sz w:val="20"/>
                <w:szCs w:val="20"/>
                <w:color w:val="auto"/>
              </w:rPr>
            </w:pPr>
            <w:r>
              <w:rPr>
                <w:rFonts w:ascii="Arial" w:cs="Arial" w:eastAsia="Arial" w:hAnsi="Arial"/>
                <w:sz w:val="18"/>
                <w:szCs w:val="18"/>
                <w:color w:val="auto"/>
              </w:rPr>
              <w:t>Netherland, Sewell &amp; Associates, Inc. Estimated Future Reserves Attributable to Certain Leasehold</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rPr>
              <w:t>and Royalty Interests as of December 31, 2022.</w:t>
            </w:r>
          </w:p>
        </w:tc>
      </w:tr>
    </w:tbl>
    <w:p>
      <w:pPr>
        <w:spacing w:after="0" w:line="200" w:lineRule="exact"/>
        <w:rPr>
          <w:sz w:val="20"/>
          <w:szCs w:val="20"/>
          <w:color w:val="auto"/>
        </w:rPr>
      </w:pPr>
    </w:p>
    <w:p>
      <w:pPr>
        <w:sectPr>
          <w:pgSz w:w="11880" w:h="15480" w:orient="portrait"/>
          <w:cols w:equalWidth="0" w:num="1">
            <w:col w:w="9120"/>
          </w:cols>
          <w:pgMar w:left="1380" w:top="1247" w:right="1380" w:bottom="661"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171</w:t>
      </w:r>
    </w:p>
    <w:p>
      <w:pPr>
        <w:sectPr>
          <w:pgSz w:w="11880" w:h="15480" w:orient="portrait"/>
          <w:cols w:equalWidth="0" w:num="1">
            <w:col w:w="9120"/>
          </w:cols>
          <w:pgMar w:left="1380" w:top="1247" w:right="1380" w:bottom="661" w:gutter="0" w:footer="0" w:header="0"/>
          <w:type w:val="continuous"/>
        </w:sectPr>
      </w:pPr>
    </w:p>
    <w:bookmarkStart w:id="175" w:name="page176"/>
    <w:bookmarkEnd w:id="175"/>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Exhibit</w:t>
            </w:r>
          </w:p>
        </w:tc>
        <w:tc>
          <w:tcPr>
            <w:tcW w:w="8160" w:type="dxa"/>
            <w:vAlign w:val="bottom"/>
          </w:tcPr>
          <w:p>
            <w:pPr>
              <w:spacing w:after="0"/>
              <w:rPr>
                <w:sz w:val="17"/>
                <w:szCs w:val="17"/>
                <w:color w:val="auto"/>
              </w:rPr>
            </w:pPr>
          </w:p>
        </w:tc>
      </w:tr>
      <w:tr>
        <w:trPr>
          <w:trHeight w:val="208"/>
        </w:trPr>
        <w:tc>
          <w:tcPr>
            <w:tcW w:w="960" w:type="dxa"/>
            <w:vAlign w:val="bottom"/>
            <w:tcBorders>
              <w:bottom w:val="single" w:sz="8" w:color="auto"/>
            </w:tcBorders>
          </w:tcPr>
          <w:p>
            <w:pPr>
              <w:spacing w:after="0" w:line="201" w:lineRule="exact"/>
              <w:rPr>
                <w:sz w:val="20"/>
                <w:szCs w:val="20"/>
                <w:color w:val="auto"/>
              </w:rPr>
            </w:pPr>
            <w:r>
              <w:rPr>
                <w:rFonts w:ascii="Arial" w:cs="Arial" w:eastAsia="Arial" w:hAnsi="Arial"/>
                <w:sz w:val="18"/>
                <w:szCs w:val="18"/>
                <w:color w:val="auto"/>
              </w:rPr>
              <w:t>Number</w:t>
            </w:r>
          </w:p>
        </w:tc>
        <w:tc>
          <w:tcPr>
            <w:tcW w:w="8160" w:type="dxa"/>
            <w:vAlign w:val="bottom"/>
            <w:tcBorders>
              <w:bottom w:val="single" w:sz="8" w:color="auto"/>
            </w:tcBorders>
          </w:tcPr>
          <w:p>
            <w:pPr>
              <w:ind w:left="180"/>
              <w:spacing w:after="0" w:line="201" w:lineRule="exact"/>
              <w:rPr>
                <w:sz w:val="20"/>
                <w:szCs w:val="20"/>
                <w:color w:val="auto"/>
              </w:rPr>
            </w:pPr>
            <w:r>
              <w:rPr>
                <w:rFonts w:ascii="Arial" w:cs="Arial" w:eastAsia="Arial" w:hAnsi="Arial"/>
                <w:sz w:val="18"/>
                <w:szCs w:val="18"/>
                <w:color w:val="auto"/>
              </w:rPr>
              <w:t>Exhibit Description</w:t>
            </w:r>
          </w:p>
        </w:tc>
      </w:tr>
      <w:tr>
        <w:trPr>
          <w:trHeight w:val="293"/>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8160" w:type="dxa"/>
            <w:vAlign w:val="bottom"/>
          </w:tcPr>
          <w:p>
            <w:pPr>
              <w:ind w:left="180"/>
              <w:spacing w:after="0"/>
              <w:rPr>
                <w:sz w:val="20"/>
                <w:szCs w:val="20"/>
                <w:color w:val="auto"/>
              </w:rPr>
            </w:pPr>
            <w:r>
              <w:rPr>
                <w:rFonts w:ascii="Arial" w:cs="Arial" w:eastAsia="Arial" w:hAnsi="Arial"/>
                <w:sz w:val="18"/>
                <w:szCs w:val="18"/>
                <w:color w:val="auto"/>
              </w:rPr>
              <w:t>Inline XBRL Instance Document.</w:t>
            </w:r>
          </w:p>
        </w:tc>
      </w:tr>
      <w:tr>
        <w:trPr>
          <w:trHeight w:val="260"/>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8160" w:type="dxa"/>
            <w:vAlign w:val="bottom"/>
          </w:tcPr>
          <w:p>
            <w:pPr>
              <w:ind w:left="180"/>
              <w:spacing w:after="0"/>
              <w:rPr>
                <w:sz w:val="20"/>
                <w:szCs w:val="20"/>
                <w:color w:val="auto"/>
              </w:rPr>
            </w:pPr>
            <w:r>
              <w:rPr>
                <w:rFonts w:ascii="Arial" w:cs="Arial" w:eastAsia="Arial" w:hAnsi="Arial"/>
                <w:sz w:val="18"/>
                <w:szCs w:val="18"/>
                <w:color w:val="auto"/>
              </w:rPr>
              <w:t>Inline XBRL Taxonomy Extension Schema Document.</w:t>
            </w:r>
          </w:p>
        </w:tc>
      </w:tr>
      <w:tr>
        <w:trPr>
          <w:trHeight w:val="260"/>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8160" w:type="dxa"/>
            <w:vAlign w:val="bottom"/>
          </w:tcPr>
          <w:p>
            <w:pPr>
              <w:ind w:left="18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60"/>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8160" w:type="dxa"/>
            <w:vAlign w:val="bottom"/>
          </w:tcPr>
          <w:p>
            <w:pPr>
              <w:ind w:left="18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60"/>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8160" w:type="dxa"/>
            <w:vAlign w:val="bottom"/>
          </w:tcPr>
          <w:p>
            <w:pPr>
              <w:ind w:left="18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60"/>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8160" w:type="dxa"/>
            <w:vAlign w:val="bottom"/>
          </w:tcPr>
          <w:p>
            <w:pPr>
              <w:ind w:left="180"/>
              <w:spacing w:after="0"/>
              <w:rPr>
                <w:sz w:val="20"/>
                <w:szCs w:val="20"/>
                <w:color w:val="auto"/>
              </w:rPr>
            </w:pPr>
            <w:r>
              <w:rPr>
                <w:rFonts w:ascii="Arial" w:cs="Arial" w:eastAsia="Arial" w:hAnsi="Arial"/>
                <w:sz w:val="18"/>
                <w:szCs w:val="18"/>
                <w:color w:val="auto"/>
              </w:rPr>
              <w:t>Inline XBRL Taxonomy Extension Definition Linkbase Document.</w:t>
            </w:r>
          </w:p>
        </w:tc>
      </w:tr>
    </w:tbl>
    <w:p>
      <w:pPr>
        <w:spacing w:after="0" w:line="59" w:lineRule="exact"/>
        <w:rPr>
          <w:sz w:val="20"/>
          <w:szCs w:val="20"/>
          <w:color w:val="auto"/>
        </w:rPr>
      </w:pPr>
    </w:p>
    <w:p>
      <w:pPr>
        <w:ind w:right="820"/>
        <w:spacing w:after="0" w:line="619" w:lineRule="auto"/>
        <w:tabs>
          <w:tab w:leader="none" w:pos="113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Exhibits 101). * - Filed herewith.</w:t>
      </w:r>
    </w:p>
    <w:p>
      <w:pPr>
        <w:sectPr>
          <w:pgSz w:w="11880" w:h="15480" w:orient="portrait"/>
          <w:cols w:equalWidth="0" w:num="1">
            <w:col w:w="9120"/>
          </w:cols>
          <w:pgMar w:left="1380" w:top="1247" w:right="1380"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172</w:t>
      </w:r>
    </w:p>
    <w:p>
      <w:pPr>
        <w:sectPr>
          <w:pgSz w:w="11880" w:h="15480" w:orient="portrait"/>
          <w:cols w:equalWidth="0" w:num="1">
            <w:col w:w="9120"/>
          </w:cols>
          <w:pgMar w:left="1380" w:top="1247" w:right="1380" w:bottom="661" w:gutter="0" w:footer="0" w:header="0"/>
          <w:type w:val="continuous"/>
        </w:sectPr>
      </w:pPr>
    </w:p>
    <w:bookmarkStart w:id="176" w:name="page177"/>
    <w:bookmarkEnd w:id="176"/>
    <w:p>
      <w:pPr>
        <w:spacing w:after="0"/>
        <w:rPr>
          <w:sz w:val="20"/>
          <w:szCs w:val="20"/>
          <w:color w:val="auto"/>
        </w:rPr>
      </w:pPr>
      <w:r>
        <w:rPr>
          <w:rFonts w:ascii="Arial" w:cs="Arial" w:eastAsia="Arial" w:hAnsi="Arial"/>
          <w:sz w:val="18"/>
          <w:szCs w:val="18"/>
          <w:b w:val="1"/>
          <w:bCs w:val="1"/>
          <w:color w:val="auto"/>
        </w:rPr>
        <w:t>SIGNATURES</w:t>
      </w:r>
    </w:p>
    <w:p>
      <w:pPr>
        <w:spacing w:after="0" w:line="219" w:lineRule="exact"/>
        <w:rPr>
          <w:sz w:val="20"/>
          <w:szCs w:val="20"/>
          <w:color w:val="auto"/>
        </w:rPr>
      </w:pPr>
    </w:p>
    <w:p>
      <w:pPr>
        <w:ind w:right="40" w:firstLine="270"/>
        <w:spacing w:after="0" w:line="24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CALIFORNIA RESOURCES CORPORATION</w:t>
      </w:r>
    </w:p>
    <w:p>
      <w:pPr>
        <w:spacing w:after="0" w:line="253" w:lineRule="exact"/>
        <w:rPr>
          <w:sz w:val="20"/>
          <w:szCs w:val="20"/>
          <w:color w:val="auto"/>
        </w:rPr>
      </w:pPr>
    </w:p>
    <w:p>
      <w:pPr>
        <w:spacing w:after="0"/>
        <w:tabs>
          <w:tab w:leader="none" w:pos="4620" w:val="left"/>
          <w:tab w:leader="none" w:pos="5880" w:val="left"/>
        </w:tabs>
        <w:rPr>
          <w:sz w:val="20"/>
          <w:szCs w:val="20"/>
          <w:color w:val="auto"/>
        </w:rPr>
      </w:pPr>
      <w:r>
        <w:rPr>
          <w:rFonts w:ascii="Arial" w:cs="Arial" w:eastAsia="Arial" w:hAnsi="Arial"/>
          <w:sz w:val="18"/>
          <w:szCs w:val="18"/>
          <w:color w:val="auto"/>
        </w:rPr>
        <w:t>February 24,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A. (Mac) McFarland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3149600</wp:posOffset>
                </wp:positionH>
                <wp:positionV relativeFrom="paragraph">
                  <wp:posOffset>11430</wp:posOffset>
                </wp:positionV>
                <wp:extent cx="264160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416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8pt,0.9pt" to="456pt,0.9pt" o:allowincell="f" strokecolor="#000000" strokeweight="0.5pt"/>
            </w:pict>
          </mc:Fallback>
        </mc:AlternateContent>
      </w:r>
    </w:p>
    <w:p>
      <w:pPr>
        <w:spacing w:after="0" w:line="53" w:lineRule="exact"/>
        <w:rPr>
          <w:sz w:val="20"/>
          <w:szCs w:val="20"/>
          <w:color w:val="auto"/>
        </w:rPr>
      </w:pPr>
    </w:p>
    <w:p>
      <w:pPr>
        <w:jc w:val="center"/>
        <w:ind w:left="4980"/>
        <w:spacing w:after="0"/>
        <w:rPr>
          <w:sz w:val="20"/>
          <w:szCs w:val="20"/>
          <w:color w:val="auto"/>
        </w:rPr>
      </w:pPr>
      <w:r>
        <w:rPr>
          <w:rFonts w:ascii="Arial" w:cs="Arial" w:eastAsia="Arial" w:hAnsi="Arial"/>
          <w:sz w:val="18"/>
          <w:szCs w:val="18"/>
          <w:color w:val="auto"/>
        </w:rPr>
        <w:t>Mark A. (Mac) McFarland</w:t>
      </w:r>
    </w:p>
    <w:p>
      <w:pPr>
        <w:spacing w:after="0" w:line="13" w:lineRule="exact"/>
        <w:rPr>
          <w:sz w:val="20"/>
          <w:szCs w:val="20"/>
          <w:color w:val="auto"/>
        </w:rPr>
      </w:pPr>
    </w:p>
    <w:p>
      <w:pPr>
        <w:jc w:val="center"/>
        <w:ind w:left="4980"/>
        <w:spacing w:after="0"/>
        <w:rPr>
          <w:sz w:val="20"/>
          <w:szCs w:val="20"/>
          <w:color w:val="auto"/>
        </w:rPr>
      </w:pPr>
      <w:r>
        <w:rPr>
          <w:rFonts w:ascii="Arial" w:cs="Arial" w:eastAsia="Arial" w:hAnsi="Arial"/>
          <w:sz w:val="18"/>
          <w:szCs w:val="18"/>
          <w:color w:val="auto"/>
        </w:rPr>
        <w:t>President,</w:t>
      </w:r>
    </w:p>
    <w:p>
      <w:pPr>
        <w:spacing w:after="0" w:line="13" w:lineRule="exact"/>
        <w:rPr>
          <w:sz w:val="20"/>
          <w:szCs w:val="20"/>
          <w:color w:val="auto"/>
        </w:rPr>
      </w:pPr>
    </w:p>
    <w:p>
      <w:pPr>
        <w:jc w:val="center"/>
        <w:ind w:left="4960"/>
        <w:spacing w:after="0"/>
        <w:rPr>
          <w:sz w:val="20"/>
          <w:szCs w:val="20"/>
          <w:color w:val="auto"/>
        </w:rPr>
      </w:pPr>
      <w:r>
        <w:rPr>
          <w:rFonts w:ascii="Arial" w:cs="Arial" w:eastAsia="Arial" w:hAnsi="Arial"/>
          <w:sz w:val="18"/>
          <w:szCs w:val="18"/>
          <w:color w:val="auto"/>
        </w:rPr>
        <w:t>Chief Executive Officer and Director</w:t>
      </w:r>
    </w:p>
    <w:p>
      <w:pPr>
        <w:spacing w:after="0" w:line="220" w:lineRule="exact"/>
        <w:rPr>
          <w:sz w:val="20"/>
          <w:szCs w:val="20"/>
          <w:color w:val="auto"/>
        </w:rPr>
      </w:pPr>
    </w:p>
    <w:p>
      <w:pPr>
        <w:ind w:right="160" w:firstLine="300"/>
        <w:spacing w:after="0" w:line="247"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p>
      <w:pPr>
        <w:ind w:left="5600"/>
        <w:spacing w:after="0"/>
        <w:tabs>
          <w:tab w:leader="none" w:pos="8080" w:val="left"/>
        </w:tabs>
        <w:rPr>
          <w:sz w:val="20"/>
          <w:szCs w:val="20"/>
          <w:color w:val="auto"/>
        </w:rPr>
      </w:pPr>
      <w:r>
        <w:rPr>
          <w:rFonts w:ascii="Arial" w:cs="Arial" w:eastAsia="Arial" w:hAnsi="Arial"/>
          <w:sz w:val="16"/>
          <w:szCs w:val="16"/>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3553460</wp:posOffset>
                </wp:positionH>
                <wp:positionV relativeFrom="paragraph">
                  <wp:posOffset>24130</wp:posOffset>
                </wp:positionV>
                <wp:extent cx="208280"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828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9.8pt,1.9pt" to="296.2pt,1.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5147310</wp:posOffset>
                </wp:positionH>
                <wp:positionV relativeFrom="paragraph">
                  <wp:posOffset>24130</wp:posOffset>
                </wp:positionV>
                <wp:extent cx="22034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34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3pt,1.9pt" to="422.65pt,1.9pt" o:allowincell="f" strokecolor="#000000" strokeweight="1pt"/>
            </w:pict>
          </mc:Fallback>
        </mc:AlternateContent>
      </w:r>
    </w:p>
    <w:p>
      <w:pPr>
        <w:sectPr>
          <w:pgSz w:w="11880" w:h="15480" w:orient="portrait"/>
          <w:cols w:equalWidth="0" w:num="1">
            <w:col w:w="9060"/>
          </w:cols>
          <w:pgMar w:left="1380" w:top="1309" w:right="1440" w:bottom="661" w:gutter="0" w:footer="0" w:header="0"/>
        </w:sectPr>
      </w:pPr>
    </w:p>
    <w:p>
      <w:pPr>
        <w:spacing w:after="0" w:line="297"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Mark A. (Mac) McFarland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12065</wp:posOffset>
                </wp:positionV>
                <wp:extent cx="259080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90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95pt" to="204pt,0.95pt" o:allowincell="f" strokecolor="#000000" strokeweight="0.5pt"/>
            </w:pict>
          </mc:Fallback>
        </mc:AlternateContent>
      </w:r>
    </w:p>
    <w:p>
      <w:pPr>
        <w:spacing w:after="0" w:line="5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Mark A. (Mac) McFarland</w:t>
      </w:r>
    </w:p>
    <w:p>
      <w:pPr>
        <w:spacing w:after="0" w:line="21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Francisco J. Leon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11430</wp:posOffset>
                </wp:positionV>
                <wp:extent cx="259080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90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9pt" to="204pt,0.9pt" o:allowincell="f" strokecolor="#000000" strokeweight="0.5pt"/>
            </w:pict>
          </mc:Fallback>
        </mc:AlternateContent>
      </w:r>
    </w:p>
    <w:p>
      <w:pPr>
        <w:spacing w:after="0" w:line="5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Francisco J. Leon</w:t>
      </w:r>
    </w:p>
    <w:p>
      <w:pPr>
        <w:spacing w:after="0" w:line="21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Noelle M. Repetti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11430</wp:posOffset>
                </wp:positionV>
                <wp:extent cx="2590800"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90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9pt" to="204pt,0.9pt" o:allowincell="f" strokecolor="#000000" strokeweight="0.5pt"/>
            </w:pict>
          </mc:Fallback>
        </mc:AlternateContent>
      </w:r>
    </w:p>
    <w:p>
      <w:pPr>
        <w:spacing w:after="0" w:line="5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Noelle M. Repetti</w:t>
      </w:r>
    </w:p>
    <w:p>
      <w:pPr>
        <w:spacing w:after="0" w:line="21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Tiffany (TJ) Thom Cepak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11430</wp:posOffset>
                </wp:positionV>
                <wp:extent cx="259080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90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9pt" to="204pt,0.9pt" o:allowincell="f" strokecolor="#000000" strokeweight="0.5pt"/>
            </w:pict>
          </mc:Fallback>
        </mc:AlternateContent>
      </w:r>
    </w:p>
    <w:p>
      <w:pPr>
        <w:spacing w:after="0" w:line="5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Tiffany (TJ) Thom Cepak</w:t>
      </w:r>
    </w:p>
    <w:p>
      <w:pPr>
        <w:spacing w:after="0" w:line="13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Andrew B. Bremner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12065</wp:posOffset>
                </wp:positionV>
                <wp:extent cx="2590800"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90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95pt" to="204pt,0.95pt" o:allowincell="f" strokecolor="#000000" strokeweight="0.5pt"/>
            </w:pict>
          </mc:Fallback>
        </mc:AlternateContent>
      </w:r>
    </w:p>
    <w:p>
      <w:pPr>
        <w:spacing w:after="0" w:line="5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Andrew B. Bremner</w:t>
      </w:r>
    </w:p>
    <w:p>
      <w:pPr>
        <w:spacing w:after="0" w:line="21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Douglas E. Brooks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12065</wp:posOffset>
                </wp:positionV>
                <wp:extent cx="259080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90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95pt" to="204pt,0.95pt" o:allowincell="f" strokecolor="#000000" strokeweight="0.5pt"/>
            </w:pict>
          </mc:Fallback>
        </mc:AlternateContent>
      </w:r>
    </w:p>
    <w:p>
      <w:pPr>
        <w:spacing w:after="0" w:line="5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Douglas E. Brooks</w:t>
      </w:r>
    </w:p>
    <w:p>
      <w:pPr>
        <w:spacing w:after="0" w:line="21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James N. Chapman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12065</wp:posOffset>
                </wp:positionV>
                <wp:extent cx="2590800"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90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95pt" to="204pt,0.95pt" o:allowincell="f" strokecolor="#000000" strokeweight="0.5pt"/>
            </w:pict>
          </mc:Fallback>
        </mc:AlternateContent>
      </w:r>
    </w:p>
    <w:p>
      <w:pPr>
        <w:spacing w:after="0" w:line="5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James N. Chapman</w:t>
      </w:r>
    </w:p>
    <w:p>
      <w:pPr>
        <w:spacing w:after="0" w:line="21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Nicole Neeman Brady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12065</wp:posOffset>
                </wp:positionV>
                <wp:extent cx="259080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90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95pt" to="204pt,0.95pt" o:allowincell="f" strokecolor="#000000" strokeweight="0.5pt"/>
            </w:pict>
          </mc:Fallback>
        </mc:AlternateContent>
      </w:r>
    </w:p>
    <w:p>
      <w:pPr>
        <w:spacing w:after="0" w:line="5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Nicole Neeman Brady</w:t>
      </w:r>
    </w:p>
    <w:p>
      <w:pPr>
        <w:spacing w:after="0" w:line="21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Julio M. Quintana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12065</wp:posOffset>
                </wp:positionV>
                <wp:extent cx="259080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90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95pt" to="204pt,0.95pt" o:allowincell="f" strokecolor="#000000" strokeweight="0.5pt"/>
            </w:pict>
          </mc:Fallback>
        </mc:AlternateContent>
      </w:r>
    </w:p>
    <w:p>
      <w:pPr>
        <w:spacing w:after="0" w:line="5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Julio M. Quintana</w:t>
      </w:r>
    </w:p>
    <w:p>
      <w:pPr>
        <w:spacing w:after="0" w:line="21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William B. Roby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12065</wp:posOffset>
                </wp:positionV>
                <wp:extent cx="2590800"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90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95pt" to="204pt,0.95pt" o:allowincell="f" strokecolor="#000000" strokeweight="0.5pt"/>
            </w:pict>
          </mc:Fallback>
        </mc:AlternateContent>
      </w:r>
    </w:p>
    <w:p>
      <w:pPr>
        <w:spacing w:after="0" w:line="5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William B. Roby</w:t>
      </w:r>
    </w:p>
    <w:p>
      <w:pPr>
        <w:spacing w:after="0" w:line="21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A. Alejandra Veltmann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12065</wp:posOffset>
                </wp:positionV>
                <wp:extent cx="2590800"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90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95pt" to="204pt,0.95pt" o:allowincell="f" strokecolor="#000000" strokeweight="0.5pt"/>
            </w:pict>
          </mc:Fallback>
        </mc:AlternateContent>
      </w:r>
    </w:p>
    <w:p>
      <w:pPr>
        <w:spacing w:after="0" w:line="5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A. Alejandra Veltmann</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jc w:val="center"/>
              <w:spacing w:after="0"/>
              <w:rPr>
                <w:sz w:val="20"/>
                <w:szCs w:val="20"/>
                <w:color w:val="auto"/>
              </w:rPr>
            </w:pPr>
            <w:r>
              <w:rPr>
                <w:rFonts w:ascii="Arial" w:cs="Arial" w:eastAsia="Arial" w:hAnsi="Arial"/>
                <w:sz w:val="18"/>
                <w:szCs w:val="18"/>
                <w:color w:val="auto"/>
                <w:w w:val="98"/>
              </w:rPr>
              <w:t>President,</w:t>
            </w:r>
          </w:p>
        </w:tc>
        <w:tc>
          <w:tcPr>
            <w:tcW w:w="1560" w:type="dxa"/>
            <w:vAlign w:val="bottom"/>
          </w:tcPr>
          <w:p>
            <w:pPr>
              <w:ind w:left="80"/>
              <w:spacing w:after="0"/>
              <w:rPr>
                <w:sz w:val="20"/>
                <w:szCs w:val="20"/>
                <w:color w:val="auto"/>
              </w:rPr>
            </w:pPr>
            <w:r>
              <w:rPr>
                <w:rFonts w:ascii="Arial" w:cs="Arial" w:eastAsia="Arial" w:hAnsi="Arial"/>
                <w:sz w:val="18"/>
                <w:szCs w:val="18"/>
                <w:color w:val="auto"/>
                <w:w w:val="99"/>
              </w:rPr>
              <w:t>February 24, 2023</w:t>
            </w:r>
          </w:p>
        </w:tc>
      </w:tr>
      <w:tr>
        <w:trPr>
          <w:trHeight w:val="280"/>
        </w:trPr>
        <w:tc>
          <w:tcPr>
            <w:tcW w:w="3320" w:type="dxa"/>
            <w:vAlign w:val="bottom"/>
          </w:tcPr>
          <w:p>
            <w:pPr>
              <w:jc w:val="center"/>
              <w:spacing w:after="0"/>
              <w:rPr>
                <w:sz w:val="20"/>
                <w:szCs w:val="20"/>
                <w:color w:val="auto"/>
              </w:rPr>
            </w:pPr>
            <w:r>
              <w:rPr>
                <w:rFonts w:ascii="Arial" w:cs="Arial" w:eastAsia="Arial" w:hAnsi="Arial"/>
                <w:sz w:val="18"/>
                <w:szCs w:val="18"/>
                <w:color w:val="auto"/>
                <w:w w:val="99"/>
              </w:rPr>
              <w:t>Chief Executive Officer and Director</w:t>
            </w:r>
          </w:p>
        </w:tc>
        <w:tc>
          <w:tcPr>
            <w:tcW w:w="1560" w:type="dxa"/>
            <w:vAlign w:val="bottom"/>
          </w:tcPr>
          <w:p>
            <w:pPr>
              <w:spacing w:after="0"/>
              <w:rPr>
                <w:sz w:val="24"/>
                <w:szCs w:val="24"/>
                <w:color w:val="auto"/>
              </w:rPr>
            </w:pPr>
          </w:p>
        </w:tc>
      </w:tr>
      <w:tr>
        <w:trPr>
          <w:trHeight w:val="420"/>
        </w:trPr>
        <w:tc>
          <w:tcPr>
            <w:tcW w:w="3320" w:type="dxa"/>
            <w:vAlign w:val="bottom"/>
          </w:tcPr>
          <w:p>
            <w:pPr>
              <w:jc w:val="center"/>
              <w:spacing w:after="0"/>
              <w:rPr>
                <w:sz w:val="20"/>
                <w:szCs w:val="20"/>
                <w:color w:val="auto"/>
              </w:rPr>
            </w:pPr>
            <w:r>
              <w:rPr>
                <w:rFonts w:ascii="Arial" w:cs="Arial" w:eastAsia="Arial" w:hAnsi="Arial"/>
                <w:sz w:val="18"/>
                <w:szCs w:val="18"/>
                <w:color w:val="auto"/>
                <w:w w:val="99"/>
              </w:rPr>
              <w:t>Executive Vice President and</w:t>
            </w:r>
          </w:p>
        </w:tc>
        <w:tc>
          <w:tcPr>
            <w:tcW w:w="1560" w:type="dxa"/>
            <w:vAlign w:val="bottom"/>
          </w:tcPr>
          <w:p>
            <w:pPr>
              <w:ind w:left="80"/>
              <w:spacing w:after="0"/>
              <w:rPr>
                <w:sz w:val="20"/>
                <w:szCs w:val="20"/>
                <w:color w:val="auto"/>
              </w:rPr>
            </w:pPr>
            <w:r>
              <w:rPr>
                <w:rFonts w:ascii="Arial" w:cs="Arial" w:eastAsia="Arial" w:hAnsi="Arial"/>
                <w:sz w:val="18"/>
                <w:szCs w:val="18"/>
                <w:color w:val="auto"/>
                <w:w w:val="99"/>
              </w:rPr>
              <w:t>February 24, 2023</w:t>
            </w:r>
          </w:p>
        </w:tc>
      </w:tr>
      <w:tr>
        <w:trPr>
          <w:trHeight w:val="280"/>
        </w:trPr>
        <w:tc>
          <w:tcPr>
            <w:tcW w:w="3320" w:type="dxa"/>
            <w:vAlign w:val="bottom"/>
          </w:tcPr>
          <w:p>
            <w:pPr>
              <w:jc w:val="center"/>
              <w:spacing w:after="0"/>
              <w:rPr>
                <w:sz w:val="20"/>
                <w:szCs w:val="20"/>
                <w:color w:val="auto"/>
              </w:rPr>
            </w:pPr>
            <w:r>
              <w:rPr>
                <w:rFonts w:ascii="Arial" w:cs="Arial" w:eastAsia="Arial" w:hAnsi="Arial"/>
                <w:sz w:val="18"/>
                <w:szCs w:val="18"/>
                <w:color w:val="auto"/>
                <w:w w:val="99"/>
              </w:rPr>
              <w:t>Chief Financial Officer</w:t>
            </w:r>
          </w:p>
        </w:tc>
        <w:tc>
          <w:tcPr>
            <w:tcW w:w="1560" w:type="dxa"/>
            <w:vAlign w:val="bottom"/>
          </w:tcPr>
          <w:p>
            <w:pPr>
              <w:spacing w:after="0"/>
              <w:rPr>
                <w:sz w:val="24"/>
                <w:szCs w:val="24"/>
                <w:color w:val="auto"/>
              </w:rPr>
            </w:pPr>
          </w:p>
        </w:tc>
      </w:tr>
      <w:tr>
        <w:trPr>
          <w:trHeight w:val="420"/>
        </w:trPr>
        <w:tc>
          <w:tcPr>
            <w:tcW w:w="3320" w:type="dxa"/>
            <w:vAlign w:val="bottom"/>
          </w:tcPr>
          <w:p>
            <w:pPr>
              <w:jc w:val="center"/>
              <w:spacing w:after="0"/>
              <w:rPr>
                <w:sz w:val="20"/>
                <w:szCs w:val="20"/>
                <w:color w:val="auto"/>
              </w:rPr>
            </w:pPr>
            <w:r>
              <w:rPr>
                <w:rFonts w:ascii="Arial" w:cs="Arial" w:eastAsia="Arial" w:hAnsi="Arial"/>
                <w:sz w:val="18"/>
                <w:szCs w:val="18"/>
                <w:color w:val="auto"/>
                <w:w w:val="99"/>
              </w:rPr>
              <w:t>Senior Vice President and Controller and</w:t>
            </w:r>
          </w:p>
        </w:tc>
        <w:tc>
          <w:tcPr>
            <w:tcW w:w="1560" w:type="dxa"/>
            <w:vAlign w:val="bottom"/>
          </w:tcPr>
          <w:p>
            <w:pPr>
              <w:ind w:left="80"/>
              <w:spacing w:after="0"/>
              <w:rPr>
                <w:sz w:val="20"/>
                <w:szCs w:val="20"/>
                <w:color w:val="auto"/>
              </w:rPr>
            </w:pPr>
            <w:r>
              <w:rPr>
                <w:rFonts w:ascii="Arial" w:cs="Arial" w:eastAsia="Arial" w:hAnsi="Arial"/>
                <w:sz w:val="18"/>
                <w:szCs w:val="18"/>
                <w:color w:val="auto"/>
                <w:w w:val="99"/>
              </w:rPr>
              <w:t>February 24, 2023</w:t>
            </w:r>
          </w:p>
        </w:tc>
      </w:tr>
      <w:tr>
        <w:trPr>
          <w:trHeight w:val="280"/>
        </w:trPr>
        <w:tc>
          <w:tcPr>
            <w:tcW w:w="3320" w:type="dxa"/>
            <w:vAlign w:val="bottom"/>
          </w:tcPr>
          <w:p>
            <w:pPr>
              <w:jc w:val="center"/>
              <w:spacing w:after="0"/>
              <w:rPr>
                <w:sz w:val="20"/>
                <w:szCs w:val="20"/>
                <w:color w:val="auto"/>
              </w:rPr>
            </w:pPr>
            <w:r>
              <w:rPr>
                <w:rFonts w:ascii="Arial" w:cs="Arial" w:eastAsia="Arial" w:hAnsi="Arial"/>
                <w:sz w:val="18"/>
                <w:szCs w:val="18"/>
                <w:color w:val="auto"/>
                <w:w w:val="99"/>
              </w:rPr>
              <w:t>Principal Accounting Officer</w:t>
            </w:r>
          </w:p>
        </w:tc>
        <w:tc>
          <w:tcPr>
            <w:tcW w:w="1560" w:type="dxa"/>
            <w:vAlign w:val="bottom"/>
          </w:tcPr>
          <w:p>
            <w:pPr>
              <w:spacing w:after="0"/>
              <w:rPr>
                <w:sz w:val="24"/>
                <w:szCs w:val="24"/>
                <w:color w:val="auto"/>
              </w:rPr>
            </w:pPr>
          </w:p>
        </w:tc>
      </w:tr>
      <w:tr>
        <w:trPr>
          <w:trHeight w:val="460"/>
        </w:trPr>
        <w:tc>
          <w:tcPr>
            <w:tcW w:w="3320" w:type="dxa"/>
            <w:vAlign w:val="bottom"/>
          </w:tcPr>
          <w:p>
            <w:pPr>
              <w:jc w:val="center"/>
              <w:spacing w:after="0"/>
              <w:rPr>
                <w:sz w:val="20"/>
                <w:szCs w:val="20"/>
                <w:color w:val="auto"/>
              </w:rPr>
            </w:pPr>
            <w:r>
              <w:rPr>
                <w:rFonts w:ascii="Arial" w:cs="Arial" w:eastAsia="Arial" w:hAnsi="Arial"/>
                <w:sz w:val="18"/>
                <w:szCs w:val="18"/>
                <w:color w:val="auto"/>
                <w:w w:val="99"/>
              </w:rPr>
              <w:t>Chair of the Board</w:t>
            </w:r>
          </w:p>
        </w:tc>
        <w:tc>
          <w:tcPr>
            <w:tcW w:w="1560" w:type="dxa"/>
            <w:vAlign w:val="bottom"/>
          </w:tcPr>
          <w:p>
            <w:pPr>
              <w:ind w:left="80"/>
              <w:spacing w:after="0"/>
              <w:rPr>
                <w:sz w:val="20"/>
                <w:szCs w:val="20"/>
                <w:color w:val="auto"/>
              </w:rPr>
            </w:pPr>
            <w:r>
              <w:rPr>
                <w:rFonts w:ascii="Arial" w:cs="Arial" w:eastAsia="Arial" w:hAnsi="Arial"/>
                <w:sz w:val="18"/>
                <w:szCs w:val="18"/>
                <w:color w:val="auto"/>
                <w:w w:val="99"/>
              </w:rPr>
              <w:t>February 24, 2023</w:t>
            </w:r>
          </w:p>
        </w:tc>
      </w:tr>
      <w:tr>
        <w:trPr>
          <w:trHeight w:val="660"/>
        </w:trPr>
        <w:tc>
          <w:tcPr>
            <w:tcW w:w="33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560" w:type="dxa"/>
            <w:vAlign w:val="bottom"/>
          </w:tcPr>
          <w:p>
            <w:pPr>
              <w:ind w:left="80"/>
              <w:spacing w:after="0"/>
              <w:rPr>
                <w:sz w:val="20"/>
                <w:szCs w:val="20"/>
                <w:color w:val="auto"/>
              </w:rPr>
            </w:pPr>
            <w:r>
              <w:rPr>
                <w:rFonts w:ascii="Arial" w:cs="Arial" w:eastAsia="Arial" w:hAnsi="Arial"/>
                <w:sz w:val="18"/>
                <w:szCs w:val="18"/>
                <w:color w:val="auto"/>
                <w:w w:val="99"/>
              </w:rPr>
              <w:t>February 24, 2023</w:t>
            </w:r>
          </w:p>
        </w:tc>
      </w:tr>
      <w:tr>
        <w:trPr>
          <w:trHeight w:val="660"/>
        </w:trPr>
        <w:tc>
          <w:tcPr>
            <w:tcW w:w="33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560" w:type="dxa"/>
            <w:vAlign w:val="bottom"/>
          </w:tcPr>
          <w:p>
            <w:pPr>
              <w:ind w:left="80"/>
              <w:spacing w:after="0"/>
              <w:rPr>
                <w:sz w:val="20"/>
                <w:szCs w:val="20"/>
                <w:color w:val="auto"/>
              </w:rPr>
            </w:pPr>
            <w:r>
              <w:rPr>
                <w:rFonts w:ascii="Arial" w:cs="Arial" w:eastAsia="Arial" w:hAnsi="Arial"/>
                <w:sz w:val="18"/>
                <w:szCs w:val="18"/>
                <w:color w:val="auto"/>
                <w:w w:val="99"/>
              </w:rPr>
              <w:t>February 24, 2023</w:t>
            </w:r>
          </w:p>
        </w:tc>
      </w:tr>
      <w:tr>
        <w:trPr>
          <w:trHeight w:val="700"/>
        </w:trPr>
        <w:tc>
          <w:tcPr>
            <w:tcW w:w="33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560" w:type="dxa"/>
            <w:vAlign w:val="bottom"/>
          </w:tcPr>
          <w:p>
            <w:pPr>
              <w:ind w:left="80"/>
              <w:spacing w:after="0"/>
              <w:rPr>
                <w:sz w:val="20"/>
                <w:szCs w:val="20"/>
                <w:color w:val="auto"/>
              </w:rPr>
            </w:pPr>
            <w:r>
              <w:rPr>
                <w:rFonts w:ascii="Arial" w:cs="Arial" w:eastAsia="Arial" w:hAnsi="Arial"/>
                <w:sz w:val="18"/>
                <w:szCs w:val="18"/>
                <w:color w:val="auto"/>
                <w:w w:val="99"/>
              </w:rPr>
              <w:t>February 24, 2023</w:t>
            </w:r>
          </w:p>
        </w:tc>
      </w:tr>
      <w:tr>
        <w:trPr>
          <w:trHeight w:val="700"/>
        </w:trPr>
        <w:tc>
          <w:tcPr>
            <w:tcW w:w="33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560" w:type="dxa"/>
            <w:vAlign w:val="bottom"/>
          </w:tcPr>
          <w:p>
            <w:pPr>
              <w:ind w:left="80"/>
              <w:spacing w:after="0"/>
              <w:rPr>
                <w:sz w:val="20"/>
                <w:szCs w:val="20"/>
                <w:color w:val="auto"/>
              </w:rPr>
            </w:pPr>
            <w:r>
              <w:rPr>
                <w:rFonts w:ascii="Arial" w:cs="Arial" w:eastAsia="Arial" w:hAnsi="Arial"/>
                <w:sz w:val="18"/>
                <w:szCs w:val="18"/>
                <w:color w:val="auto"/>
                <w:w w:val="99"/>
              </w:rPr>
              <w:t>February 24, 2023</w:t>
            </w:r>
          </w:p>
        </w:tc>
      </w:tr>
      <w:tr>
        <w:trPr>
          <w:trHeight w:val="700"/>
        </w:trPr>
        <w:tc>
          <w:tcPr>
            <w:tcW w:w="33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560" w:type="dxa"/>
            <w:vAlign w:val="bottom"/>
          </w:tcPr>
          <w:p>
            <w:pPr>
              <w:ind w:left="80"/>
              <w:spacing w:after="0"/>
              <w:rPr>
                <w:sz w:val="20"/>
                <w:szCs w:val="20"/>
                <w:color w:val="auto"/>
              </w:rPr>
            </w:pPr>
            <w:r>
              <w:rPr>
                <w:rFonts w:ascii="Arial" w:cs="Arial" w:eastAsia="Arial" w:hAnsi="Arial"/>
                <w:sz w:val="18"/>
                <w:szCs w:val="18"/>
                <w:color w:val="auto"/>
                <w:w w:val="99"/>
              </w:rPr>
              <w:t>February 24, 2023</w:t>
            </w:r>
          </w:p>
        </w:tc>
      </w:tr>
      <w:tr>
        <w:trPr>
          <w:trHeight w:val="700"/>
        </w:trPr>
        <w:tc>
          <w:tcPr>
            <w:tcW w:w="33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560" w:type="dxa"/>
            <w:vAlign w:val="bottom"/>
          </w:tcPr>
          <w:p>
            <w:pPr>
              <w:ind w:left="80"/>
              <w:spacing w:after="0"/>
              <w:rPr>
                <w:sz w:val="20"/>
                <w:szCs w:val="20"/>
                <w:color w:val="auto"/>
              </w:rPr>
            </w:pPr>
            <w:r>
              <w:rPr>
                <w:rFonts w:ascii="Arial" w:cs="Arial" w:eastAsia="Arial" w:hAnsi="Arial"/>
                <w:sz w:val="18"/>
                <w:szCs w:val="18"/>
                <w:color w:val="auto"/>
                <w:w w:val="99"/>
              </w:rPr>
              <w:t>February 24, 2023</w:t>
            </w:r>
          </w:p>
        </w:tc>
      </w:tr>
      <w:tr>
        <w:trPr>
          <w:trHeight w:val="700"/>
        </w:trPr>
        <w:tc>
          <w:tcPr>
            <w:tcW w:w="33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560" w:type="dxa"/>
            <w:vAlign w:val="bottom"/>
          </w:tcPr>
          <w:p>
            <w:pPr>
              <w:ind w:left="80"/>
              <w:spacing w:after="0"/>
              <w:rPr>
                <w:sz w:val="20"/>
                <w:szCs w:val="20"/>
                <w:color w:val="auto"/>
              </w:rPr>
            </w:pPr>
            <w:r>
              <w:rPr>
                <w:rFonts w:ascii="Arial" w:cs="Arial" w:eastAsia="Arial" w:hAnsi="Arial"/>
                <w:sz w:val="18"/>
                <w:szCs w:val="18"/>
                <w:color w:val="auto"/>
                <w:w w:val="99"/>
              </w:rPr>
              <w:t>February 24, 2023</w:t>
            </w:r>
          </w:p>
        </w:tc>
      </w:tr>
    </w:tbl>
    <w:p>
      <w:pPr>
        <w:spacing w:after="0" w:line="439" w:lineRule="exact"/>
        <w:rPr>
          <w:sz w:val="20"/>
          <w:szCs w:val="20"/>
          <w:color w:val="auto"/>
        </w:rPr>
      </w:pPr>
    </w:p>
    <w:p>
      <w:pPr>
        <w:sectPr>
          <w:pgSz w:w="11880" w:h="15480" w:orient="portrait"/>
          <w:cols w:equalWidth="0" w:num="2">
            <w:col w:w="3420" w:space="720"/>
            <w:col w:w="4920"/>
          </w:cols>
          <w:pgMar w:left="1380" w:top="1309" w:right="1440" w:bottom="66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173</w:t>
      </w:r>
    </w:p>
    <w:p>
      <w:pPr>
        <w:sectPr>
          <w:pgSz w:w="11880" w:h="15480" w:orient="portrait"/>
          <w:cols w:equalWidth="0" w:num="1">
            <w:col w:w="9060"/>
          </w:cols>
          <w:pgMar w:left="1380" w:top="1309" w:right="1440" w:bottom="661" w:gutter="0" w:footer="0" w:header="0"/>
          <w:type w:val="continuous"/>
        </w:sectPr>
      </w:pPr>
    </w:p>
    <w:bookmarkStart w:id="177" w:name="page178"/>
    <w:bookmarkEnd w:id="1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INTENTIONALLY LEFT BLANK]</w:t>
      </w:r>
    </w:p>
    <w:p>
      <w:pPr>
        <w:sectPr>
          <w:pgSz w:w="11880" w:h="15480" w:orient="portrait"/>
          <w:cols w:equalWidth="0" w:num="1">
            <w:col w:w="9000"/>
          </w:cols>
          <w:pgMar w:left="1440" w:top="1440" w:right="1440" w:bottom="1440" w:gutter="0" w:footer="0" w:header="0"/>
        </w:sectPr>
      </w:pPr>
    </w:p>
    <w:bookmarkStart w:id="178" w:name="page179"/>
    <w:bookmarkEnd w:id="178"/>
    <w:p>
      <w:pPr>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488315</wp:posOffset>
            </wp:positionH>
            <wp:positionV relativeFrom="page">
              <wp:posOffset>481965</wp:posOffset>
            </wp:positionV>
            <wp:extent cx="5624830" cy="39516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
                      <a:extLst>
                        <a:ext uri="{28A0092B-C50C-407E-A947-70E740481C1C}"/>
                      </a:extLst>
                    </a:blip>
                    <a:srcRect/>
                    <a:stretch>
                      <a:fillRect/>
                    </a:stretch>
                  </pic:blipFill>
                  <pic:spPr bwMode="auto">
                    <a:xfrm>
                      <a:off x="0" y="0"/>
                      <a:ext cx="5624830" cy="3951605"/>
                    </a:xfrm>
                    <a:prstGeom prst="rect">
                      <a:avLst/>
                    </a:prstGeom>
                    <a:noFill/>
                  </pic:spPr>
                </pic:pic>
              </a:graphicData>
            </a:graphic>
          </wp:anchor>
        </w:drawing>
        <w:t>Annual Meeting</w:t>
      </w:r>
    </w:p>
    <w:p>
      <w:pPr>
        <w:spacing w:after="0" w:line="245" w:lineRule="exact"/>
        <w:rPr>
          <w:sz w:val="20"/>
          <w:szCs w:val="20"/>
          <w:color w:val="auto"/>
        </w:rPr>
      </w:pPr>
    </w:p>
    <w:p>
      <w:pPr>
        <w:ind w:right="120"/>
        <w:spacing w:after="0" w:line="267" w:lineRule="auto"/>
        <w:rPr>
          <w:sz w:val="20"/>
          <w:szCs w:val="20"/>
          <w:color w:val="auto"/>
        </w:rPr>
      </w:pPr>
      <w:r>
        <w:rPr>
          <w:rFonts w:ascii="Arial" w:cs="Arial" w:eastAsia="Arial" w:hAnsi="Arial"/>
          <w:sz w:val="19"/>
          <w:szCs w:val="19"/>
          <w:color w:val="FFFFFF"/>
        </w:rPr>
        <w:t>California Resources Corporation’s annual meeting of stockholders will be held virtually at 11:00 a.m. Pacific Time on April 28, 2023. You will not be able to attend the annual meeting physically. If you wish to attend the annual meeting, you must follow the instructions under “Attending the Annual Meeting” in the proxy statement.</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FFFFFF"/>
        </w:rPr>
        <w:t>Auditors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FFFFFF"/>
        </w:rPr>
        <w:t>KPMG LLP, Los Angeles, California</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FFFFFF"/>
        </w:rPr>
        <w:t>Transfer Agent &amp; Registrar</w:t>
      </w:r>
    </w:p>
    <w:p>
      <w:pPr>
        <w:spacing w:after="0" w:line="165" w:lineRule="exact"/>
        <w:rPr>
          <w:sz w:val="20"/>
          <w:szCs w:val="20"/>
          <w:color w:val="auto"/>
        </w:rPr>
      </w:pPr>
    </w:p>
    <w:p>
      <w:pPr>
        <w:ind w:right="300"/>
        <w:spacing w:after="0" w:line="250" w:lineRule="auto"/>
        <w:rPr>
          <w:sz w:val="20"/>
          <w:szCs w:val="20"/>
          <w:color w:val="auto"/>
        </w:rPr>
      </w:pPr>
      <w:r>
        <w:rPr>
          <w:rFonts w:ascii="Arial" w:cs="Arial" w:eastAsia="Arial" w:hAnsi="Arial"/>
          <w:sz w:val="20"/>
          <w:szCs w:val="20"/>
          <w:color w:val="FFFFFF"/>
        </w:rPr>
        <w:t>American Stock Transfer and Trust Company, LLC Shareholder Services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FFFFFF"/>
        </w:rPr>
        <w:t>6201 15th Avenue, Brooklyn, New York 11219</w:t>
      </w:r>
    </w:p>
    <w:p>
      <w:pPr>
        <w:spacing w:after="0" w:line="10" w:lineRule="exact"/>
        <w:rPr>
          <w:sz w:val="20"/>
          <w:szCs w:val="20"/>
          <w:color w:val="auto"/>
        </w:rPr>
      </w:pPr>
    </w:p>
    <w:p>
      <w:pPr>
        <w:ind w:right="2640" w:firstLine="7"/>
        <w:spacing w:after="0" w:line="275" w:lineRule="auto"/>
        <w:tabs>
          <w:tab w:leader="none" w:pos="519" w:val="left"/>
        </w:tabs>
        <w:numPr>
          <w:ilvl w:val="0"/>
          <w:numId w:val="80"/>
        </w:numPr>
        <w:rPr>
          <w:rFonts w:ascii="Arial" w:cs="Arial" w:eastAsia="Arial" w:hAnsi="Arial"/>
          <w:sz w:val="19"/>
          <w:szCs w:val="19"/>
          <w:color w:val="FFFFFF"/>
        </w:rPr>
      </w:pPr>
      <w:r>
        <w:rPr>
          <w:rFonts w:ascii="Arial" w:cs="Arial" w:eastAsia="Arial" w:hAnsi="Arial"/>
          <w:sz w:val="19"/>
          <w:szCs w:val="19"/>
          <w:color w:val="FFFFFF"/>
        </w:rPr>
        <w:t>659-2647 crc@astfinancial.com www.astfinancial.com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FFFFFF"/>
        </w:rPr>
        <w:t>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-522605</wp:posOffset>
            </wp:positionV>
            <wp:extent cx="1120775" cy="39516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
                      <a:extLst>
                        <a:ext uri="{28A0092B-C50C-407E-A947-70E740481C1C}"/>
                      </a:extLst>
                    </a:blip>
                    <a:srcRect/>
                    <a:stretch>
                      <a:fillRect/>
                    </a:stretch>
                  </pic:blipFill>
                  <pic:spPr bwMode="auto">
                    <a:xfrm>
                      <a:off x="0" y="0"/>
                      <a:ext cx="1120775" cy="3951605"/>
                    </a:xfrm>
                    <a:prstGeom prst="rect">
                      <a:avLst/>
                    </a:prstGeom>
                    <a:noFill/>
                  </pic:spPr>
                </pic:pic>
              </a:graphicData>
            </a:graphic>
          </wp:anchor>
        </w:drawing>
      </w:r>
    </w:p>
    <w:p>
      <w:pPr>
        <w:spacing w:after="0" w:line="197" w:lineRule="exact"/>
        <w:rPr>
          <w:sz w:val="20"/>
          <w:szCs w:val="20"/>
          <w:color w:val="auto"/>
        </w:rPr>
      </w:pPr>
    </w:p>
    <w:p>
      <w:pPr>
        <w:spacing w:after="0" w:line="251" w:lineRule="auto"/>
        <w:rPr>
          <w:sz w:val="20"/>
          <w:szCs w:val="20"/>
          <w:color w:val="auto"/>
        </w:rPr>
      </w:pPr>
      <w:r>
        <w:rPr>
          <w:rFonts w:ascii="Arial" w:cs="Arial" w:eastAsia="Arial" w:hAnsi="Arial"/>
          <w:sz w:val="20"/>
          <w:szCs w:val="20"/>
          <w:color w:val="FFFFFF"/>
        </w:rPr>
        <w:t>Company financial information, public disclosures and other information are available through our website at www.crc.com. We will promptly deliver free of charge, upon request, an annual report on Form 10-K to any stockholder requesting a copy. Requests should be directed to our Investor Relations team at our corporate headquarters address or sent to CRC_IR@crc.com.</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FFFFFF"/>
        </w:rPr>
        <w:t>Stock Exchange Listing</w:t>
      </w:r>
    </w:p>
    <w:p>
      <w:pPr>
        <w:spacing w:after="0" w:line="165" w:lineRule="exact"/>
        <w:rPr>
          <w:sz w:val="20"/>
          <w:szCs w:val="20"/>
          <w:color w:val="auto"/>
        </w:rPr>
      </w:pPr>
    </w:p>
    <w:p>
      <w:pPr>
        <w:jc w:val="both"/>
        <w:ind w:right="320"/>
        <w:spacing w:after="0" w:line="255" w:lineRule="auto"/>
        <w:rPr>
          <w:sz w:val="20"/>
          <w:szCs w:val="20"/>
          <w:color w:val="auto"/>
        </w:rPr>
      </w:pPr>
      <w:r>
        <w:rPr>
          <w:rFonts w:ascii="Arial" w:cs="Arial" w:eastAsia="Arial" w:hAnsi="Arial"/>
          <w:sz w:val="20"/>
          <w:szCs w:val="20"/>
          <w:color w:val="FFFFFF"/>
        </w:rPr>
        <w:t>California Resources Corporation’s common stock is listed on the New York Stock Exchange (NYSE). The symbol is CRC.</w:t>
      </w:r>
    </w:p>
    <w:p>
      <w:pPr>
        <w:spacing w:after="0" w:line="1642" w:lineRule="exact"/>
        <w:rPr>
          <w:sz w:val="20"/>
          <w:szCs w:val="20"/>
          <w:color w:val="auto"/>
        </w:rPr>
      </w:pPr>
    </w:p>
    <w:p>
      <w:pPr>
        <w:sectPr>
          <w:pgSz w:w="11880" w:h="15480" w:orient="portrait"/>
          <w:cols w:equalWidth="0" w:num="2">
            <w:col w:w="4480" w:space="720"/>
            <w:col w:w="4520"/>
          </w:cols>
          <w:pgMar w:left="1260" w:top="1330" w:right="900" w:bottom="505" w:gutter="0" w:footer="0" w:header="0"/>
        </w:sect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095C5B"/>
        </w:rPr>
        <w:t>Officers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4C4C4C"/>
        </w:rPr>
        <w:t>Mark A. (Mac) McFarland</w:t>
      </w:r>
    </w:p>
    <w:p>
      <w:pPr>
        <w:spacing w:after="0"/>
        <w:rPr>
          <w:sz w:val="20"/>
          <w:szCs w:val="20"/>
          <w:color w:val="auto"/>
        </w:rPr>
      </w:pPr>
      <w:r>
        <w:rPr>
          <w:rFonts w:ascii="Arial" w:cs="Arial" w:eastAsia="Arial" w:hAnsi="Arial"/>
          <w:sz w:val="18"/>
          <w:szCs w:val="18"/>
          <w:color w:val="4C4C4C"/>
        </w:rPr>
        <w:t>President and Chief Executive Officer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4C4C4C"/>
        </w:rPr>
        <w:t>Jay A. Bys</w:t>
      </w:r>
    </w:p>
    <w:p>
      <w:pPr>
        <w:spacing w:after="0"/>
        <w:rPr>
          <w:sz w:val="20"/>
          <w:szCs w:val="20"/>
          <w:color w:val="auto"/>
        </w:rPr>
      </w:pPr>
      <w:r>
        <w:rPr>
          <w:rFonts w:ascii="Arial" w:cs="Arial" w:eastAsia="Arial" w:hAnsi="Arial"/>
          <w:sz w:val="18"/>
          <w:szCs w:val="18"/>
          <w:color w:val="4C4C4C"/>
        </w:rPr>
        <w:t>Executive Vice President</w:t>
      </w:r>
    </w:p>
    <w:p>
      <w:pPr>
        <w:spacing w:after="0" w:line="231" w:lineRule="auto"/>
        <w:rPr>
          <w:sz w:val="20"/>
          <w:szCs w:val="20"/>
          <w:color w:val="auto"/>
        </w:rPr>
      </w:pPr>
      <w:r>
        <w:rPr>
          <w:rFonts w:ascii="Arial" w:cs="Arial" w:eastAsia="Arial" w:hAnsi="Arial"/>
          <w:sz w:val="18"/>
          <w:szCs w:val="18"/>
          <w:color w:val="4C4C4C"/>
        </w:rPr>
        <w:t>and Chief Commercial Officer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4C4C4C"/>
        </w:rPr>
        <w:t>Chris D. Gould</w:t>
      </w:r>
    </w:p>
    <w:p>
      <w:pPr>
        <w:spacing w:after="0"/>
        <w:rPr>
          <w:sz w:val="20"/>
          <w:szCs w:val="20"/>
          <w:color w:val="auto"/>
        </w:rPr>
      </w:pPr>
      <w:r>
        <w:rPr>
          <w:rFonts w:ascii="Arial" w:cs="Arial" w:eastAsia="Arial" w:hAnsi="Arial"/>
          <w:sz w:val="18"/>
          <w:szCs w:val="18"/>
          <w:color w:val="4C4C4C"/>
        </w:rPr>
        <w:t>Executive Vice President</w:t>
      </w:r>
    </w:p>
    <w:p>
      <w:pPr>
        <w:spacing w:after="0" w:line="231" w:lineRule="auto"/>
        <w:rPr>
          <w:sz w:val="20"/>
          <w:szCs w:val="20"/>
          <w:color w:val="auto"/>
        </w:rPr>
      </w:pPr>
      <w:r>
        <w:rPr>
          <w:rFonts w:ascii="Arial" w:cs="Arial" w:eastAsia="Arial" w:hAnsi="Arial"/>
          <w:sz w:val="18"/>
          <w:szCs w:val="18"/>
          <w:color w:val="4C4C4C"/>
        </w:rPr>
        <w:t>and Chief Sustainability Officer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4C4C4C"/>
        </w:rPr>
        <w:t>Shawn M. Kerns</w:t>
      </w:r>
    </w:p>
    <w:p>
      <w:pPr>
        <w:spacing w:after="0"/>
        <w:rPr>
          <w:sz w:val="20"/>
          <w:szCs w:val="20"/>
          <w:color w:val="auto"/>
        </w:rPr>
      </w:pPr>
      <w:r>
        <w:rPr>
          <w:rFonts w:ascii="Arial" w:cs="Arial" w:eastAsia="Arial" w:hAnsi="Arial"/>
          <w:sz w:val="18"/>
          <w:szCs w:val="18"/>
          <w:color w:val="4C4C4C"/>
        </w:rPr>
        <w:t>Executive Vice President</w:t>
      </w:r>
    </w:p>
    <w:p>
      <w:pPr>
        <w:spacing w:after="0" w:line="231" w:lineRule="auto"/>
        <w:rPr>
          <w:sz w:val="20"/>
          <w:szCs w:val="20"/>
          <w:color w:val="auto"/>
        </w:rPr>
      </w:pPr>
      <w:r>
        <w:rPr>
          <w:rFonts w:ascii="Arial" w:cs="Arial" w:eastAsia="Arial" w:hAnsi="Arial"/>
          <w:sz w:val="18"/>
          <w:szCs w:val="18"/>
          <w:color w:val="4C4C4C"/>
        </w:rPr>
        <w:t>and Chief Operating Officer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4C4C4C"/>
        </w:rPr>
        <w:t>Francisco J. Leon</w:t>
      </w:r>
    </w:p>
    <w:p>
      <w:pPr>
        <w:spacing w:after="0"/>
        <w:rPr>
          <w:sz w:val="20"/>
          <w:szCs w:val="20"/>
          <w:color w:val="auto"/>
        </w:rPr>
      </w:pPr>
      <w:r>
        <w:rPr>
          <w:rFonts w:ascii="Arial" w:cs="Arial" w:eastAsia="Arial" w:hAnsi="Arial"/>
          <w:sz w:val="18"/>
          <w:szCs w:val="18"/>
          <w:color w:val="4C4C4C"/>
        </w:rPr>
        <w:t>Executive Vice President</w:t>
      </w:r>
    </w:p>
    <w:p>
      <w:pPr>
        <w:spacing w:after="0" w:line="231" w:lineRule="auto"/>
        <w:rPr>
          <w:sz w:val="20"/>
          <w:szCs w:val="20"/>
          <w:color w:val="auto"/>
        </w:rPr>
      </w:pPr>
      <w:r>
        <w:rPr>
          <w:rFonts w:ascii="Arial" w:cs="Arial" w:eastAsia="Arial" w:hAnsi="Arial"/>
          <w:sz w:val="18"/>
          <w:szCs w:val="18"/>
          <w:color w:val="4C4C4C"/>
        </w:rPr>
        <w:t>and Chief Financial Officer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4C4C4C"/>
        </w:rPr>
        <w:t>Michael L. Preston</w:t>
      </w:r>
    </w:p>
    <w:p>
      <w:pPr>
        <w:spacing w:after="0"/>
        <w:rPr>
          <w:sz w:val="20"/>
          <w:szCs w:val="20"/>
          <w:color w:val="auto"/>
        </w:rPr>
      </w:pPr>
      <w:r>
        <w:rPr>
          <w:rFonts w:ascii="Arial" w:cs="Arial" w:eastAsia="Arial" w:hAnsi="Arial"/>
          <w:sz w:val="18"/>
          <w:szCs w:val="18"/>
          <w:color w:val="4C4C4C"/>
        </w:rPr>
        <w:t>Executive Vice President,</w:t>
      </w:r>
    </w:p>
    <w:p>
      <w:pPr>
        <w:spacing w:after="0" w:line="231" w:lineRule="auto"/>
        <w:rPr>
          <w:sz w:val="20"/>
          <w:szCs w:val="20"/>
          <w:color w:val="auto"/>
        </w:rPr>
      </w:pPr>
      <w:r>
        <w:rPr>
          <w:rFonts w:ascii="Arial" w:cs="Arial" w:eastAsia="Arial" w:hAnsi="Arial"/>
          <w:sz w:val="18"/>
          <w:szCs w:val="18"/>
          <w:color w:val="4C4C4C"/>
        </w:rPr>
        <w:t>Chief Strategy Officer</w:t>
      </w:r>
    </w:p>
    <w:p>
      <w:pPr>
        <w:spacing w:after="0" w:line="232" w:lineRule="auto"/>
        <w:rPr>
          <w:sz w:val="20"/>
          <w:szCs w:val="20"/>
          <w:color w:val="auto"/>
        </w:rPr>
      </w:pPr>
      <w:r>
        <w:rPr>
          <w:rFonts w:ascii="Arial" w:cs="Arial" w:eastAsia="Arial" w:hAnsi="Arial"/>
          <w:sz w:val="18"/>
          <w:szCs w:val="18"/>
          <w:color w:val="4C4C4C"/>
        </w:rPr>
        <w:t>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1021080</wp:posOffset>
            </wp:positionV>
            <wp:extent cx="975360" cy="4597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
                      <a:extLst>
                        <a:ext uri="{28A0092B-C50C-407E-A947-70E740481C1C}"/>
                      </a:extLst>
                    </a:blip>
                    <a:srcRect/>
                    <a:stretch>
                      <a:fillRect/>
                    </a:stretch>
                  </pic:blipFill>
                  <pic:spPr bwMode="auto">
                    <a:xfrm>
                      <a:off x="0" y="0"/>
                      <a:ext cx="975360" cy="459740"/>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535940</wp:posOffset>
            </wp:positionV>
            <wp:extent cx="782955" cy="3479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6">
                      <a:extLst>
                        <a:ext uri="{28A0092B-C50C-407E-A947-70E740481C1C}"/>
                      </a:extLst>
                    </a:blip>
                    <a:srcRect/>
                    <a:stretch>
                      <a:fillRect/>
                    </a:stretch>
                  </pic:blipFill>
                  <pic:spPr bwMode="auto">
                    <a:xfrm>
                      <a:off x="0" y="0"/>
                      <a:ext cx="782955" cy="34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680"/>
        <w:spacing w:after="0"/>
        <w:rPr>
          <w:sz w:val="20"/>
          <w:szCs w:val="20"/>
          <w:color w:val="auto"/>
        </w:rPr>
      </w:pPr>
      <w:r>
        <w:rPr>
          <w:rFonts w:ascii="Arial" w:cs="Arial" w:eastAsia="Arial" w:hAnsi="Arial"/>
          <w:sz w:val="10"/>
          <w:szCs w:val="10"/>
          <w:color w:val="auto"/>
        </w:rPr>
        <w:t>This Annual Report is printed on Forest Stewardship</w:t>
      </w:r>
    </w:p>
    <w:p>
      <w:pPr>
        <w:spacing w:after="0" w:line="77" w:lineRule="exact"/>
        <w:rPr>
          <w:sz w:val="20"/>
          <w:szCs w:val="20"/>
          <w:color w:val="auto"/>
        </w:rPr>
      </w:pPr>
    </w:p>
    <w:p>
      <w:pPr>
        <w:ind w:left="1680"/>
        <w:spacing w:after="0"/>
        <w:rPr>
          <w:sz w:val="20"/>
          <w:szCs w:val="20"/>
          <w:color w:val="auto"/>
        </w:rPr>
      </w:pPr>
      <w:r>
        <w:rPr>
          <w:rFonts w:ascii="Arial" w:cs="Arial" w:eastAsia="Arial" w:hAnsi="Arial"/>
          <w:sz w:val="11"/>
          <w:szCs w:val="11"/>
          <w:color w:val="auto"/>
        </w:rPr>
        <w:t xml:space="preserve">Counc </w:t>
      </w:r>
      <w:r>
        <w:rPr>
          <w:rFonts w:ascii="Arial" w:cs="Arial" w:eastAsia="Arial" w:hAnsi="Arial"/>
          <w:sz w:val="10"/>
          <w:szCs w:val="10"/>
          <w:color w:val="auto"/>
          <w:vertAlign w:val="superscript"/>
        </w:rPr>
        <w:t>®</w:t>
      </w:r>
      <w:r>
        <w:rPr>
          <w:rFonts w:ascii="Arial" w:cs="Arial" w:eastAsia="Arial" w:hAnsi="Arial"/>
          <w:sz w:val="11"/>
          <w:szCs w:val="11"/>
          <w:color w:val="auto"/>
        </w:rPr>
        <w:t xml:space="preserve">  certified paper that contains wood from</w:t>
      </w:r>
    </w:p>
    <w:p>
      <w:pPr>
        <w:spacing w:after="0" w:line="66" w:lineRule="exact"/>
        <w:rPr>
          <w:sz w:val="20"/>
          <w:szCs w:val="20"/>
          <w:color w:val="auto"/>
        </w:rPr>
      </w:pPr>
    </w:p>
    <w:p>
      <w:pPr>
        <w:ind w:left="1680"/>
        <w:spacing w:after="0"/>
        <w:rPr>
          <w:sz w:val="20"/>
          <w:szCs w:val="20"/>
          <w:color w:val="auto"/>
        </w:rPr>
      </w:pPr>
      <w:r>
        <w:rPr>
          <w:rFonts w:ascii="Arial" w:cs="Arial" w:eastAsia="Arial" w:hAnsi="Arial"/>
          <w:sz w:val="10"/>
          <w:szCs w:val="10"/>
          <w:color w:val="auto"/>
        </w:rPr>
        <w:t>well-managed forests and oth er responsib e sources.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095C5B"/>
        </w:rPr>
        <w:t>Board of Directors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4C4C4C"/>
        </w:rPr>
        <w:t>Tiffany (TJ) Thom Cepak</w:t>
      </w:r>
    </w:p>
    <w:p>
      <w:pPr>
        <w:spacing w:after="0"/>
        <w:rPr>
          <w:sz w:val="20"/>
          <w:szCs w:val="20"/>
          <w:color w:val="auto"/>
        </w:rPr>
      </w:pPr>
      <w:r>
        <w:rPr>
          <w:rFonts w:ascii="Arial" w:cs="Arial" w:eastAsia="Arial" w:hAnsi="Arial"/>
          <w:sz w:val="18"/>
          <w:szCs w:val="18"/>
          <w:color w:val="4C4C4C"/>
        </w:rPr>
        <w:t>Chair of the Board. Director since 2020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4C4C4C"/>
        </w:rPr>
        <w:t>Andrew B. Bremner</w:t>
      </w:r>
    </w:p>
    <w:p>
      <w:pPr>
        <w:spacing w:after="0" w:line="7" w:lineRule="exact"/>
        <w:rPr>
          <w:sz w:val="20"/>
          <w:szCs w:val="20"/>
          <w:color w:val="auto"/>
        </w:rPr>
      </w:pPr>
    </w:p>
    <w:p>
      <w:pPr>
        <w:ind w:right="960"/>
        <w:spacing w:after="0" w:line="251" w:lineRule="auto"/>
        <w:rPr>
          <w:sz w:val="20"/>
          <w:szCs w:val="20"/>
          <w:color w:val="auto"/>
        </w:rPr>
      </w:pPr>
      <w:r>
        <w:rPr>
          <w:rFonts w:ascii="Arial" w:cs="Arial" w:eastAsia="Arial" w:hAnsi="Arial"/>
          <w:sz w:val="17"/>
          <w:szCs w:val="17"/>
          <w:color w:val="4C4C4C"/>
        </w:rPr>
        <w:t>Member of the Compensation Committee and Sustainability Committee. Director since 2021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4C4C4C"/>
        </w:rPr>
        <w:t>Douglas E. Brooks</w:t>
      </w:r>
    </w:p>
    <w:p>
      <w:pPr>
        <w:spacing w:after="0"/>
        <w:rPr>
          <w:sz w:val="20"/>
          <w:szCs w:val="20"/>
          <w:color w:val="auto"/>
        </w:rPr>
      </w:pPr>
      <w:r>
        <w:rPr>
          <w:rFonts w:ascii="Arial" w:cs="Arial" w:eastAsia="Arial" w:hAnsi="Arial"/>
          <w:sz w:val="18"/>
          <w:szCs w:val="18"/>
          <w:color w:val="4C4C4C"/>
        </w:rPr>
        <w:t>Member of the Audit Committee. Director since 2020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4C4C4C"/>
        </w:rPr>
        <w:t>James N. Chapman</w:t>
      </w:r>
    </w:p>
    <w:p>
      <w:pPr>
        <w:spacing w:after="0"/>
        <w:rPr>
          <w:sz w:val="20"/>
          <w:szCs w:val="20"/>
          <w:color w:val="auto"/>
        </w:rPr>
      </w:pPr>
      <w:r>
        <w:rPr>
          <w:rFonts w:ascii="Arial" w:cs="Arial" w:eastAsia="Arial" w:hAnsi="Arial"/>
          <w:sz w:val="18"/>
          <w:szCs w:val="18"/>
          <w:color w:val="4C4C4C"/>
        </w:rPr>
        <w:t>Chair of the Compensation Committee and</w:t>
      </w:r>
    </w:p>
    <w:p>
      <w:pPr>
        <w:spacing w:after="0"/>
        <w:rPr>
          <w:sz w:val="20"/>
          <w:szCs w:val="20"/>
          <w:color w:val="auto"/>
        </w:rPr>
      </w:pPr>
      <w:r>
        <w:rPr>
          <w:rFonts w:ascii="Arial" w:cs="Arial" w:eastAsia="Arial" w:hAnsi="Arial"/>
          <w:sz w:val="17"/>
          <w:szCs w:val="17"/>
          <w:color w:val="4C4C4C"/>
        </w:rPr>
        <w:t>Member of the Nominating and Governance Committee.</w:t>
      </w:r>
    </w:p>
    <w:p>
      <w:pPr>
        <w:spacing w:after="0" w:line="237" w:lineRule="auto"/>
        <w:rPr>
          <w:sz w:val="20"/>
          <w:szCs w:val="20"/>
          <w:color w:val="auto"/>
        </w:rPr>
      </w:pPr>
      <w:r>
        <w:rPr>
          <w:rFonts w:ascii="Arial" w:cs="Arial" w:eastAsia="Arial" w:hAnsi="Arial"/>
          <w:sz w:val="18"/>
          <w:szCs w:val="18"/>
          <w:color w:val="4C4C4C"/>
        </w:rPr>
        <w:t>Director since 2020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4C4C4C"/>
        </w:rPr>
        <w:t>Mark A. (Mac) McFarland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4C4C4C"/>
        </w:rPr>
        <w:t>President, Chief Executive Officer. Director since 2020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4C4C4C"/>
        </w:rPr>
        <w:t>Nicole Neeman Brady</w:t>
      </w:r>
    </w:p>
    <w:p>
      <w:pPr>
        <w:spacing w:after="0" w:line="7" w:lineRule="exact"/>
        <w:rPr>
          <w:sz w:val="20"/>
          <w:szCs w:val="20"/>
          <w:color w:val="auto"/>
        </w:rPr>
      </w:pPr>
    </w:p>
    <w:p>
      <w:pPr>
        <w:ind w:right="880"/>
        <w:spacing w:after="0" w:line="251" w:lineRule="auto"/>
        <w:rPr>
          <w:sz w:val="20"/>
          <w:szCs w:val="20"/>
          <w:color w:val="auto"/>
        </w:rPr>
      </w:pPr>
      <w:r>
        <w:rPr>
          <w:rFonts w:ascii="Arial" w:cs="Arial" w:eastAsia="Arial" w:hAnsi="Arial"/>
          <w:sz w:val="17"/>
          <w:szCs w:val="17"/>
          <w:color w:val="4C4C4C"/>
        </w:rPr>
        <w:t>Member of the Sustainability Committee and Compensation Committee. Director since 2021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4C4C4C"/>
        </w:rPr>
        <w:t>Julio M. Quintana</w:t>
      </w:r>
    </w:p>
    <w:p>
      <w:pPr>
        <w:spacing w:after="0" w:line="7"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4C4C4C"/>
        </w:rPr>
        <w:t>Chair of the Nominating and Governance Committee and Member of the Audit Committee. Director since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4C4C4C"/>
        </w:rPr>
        <w:t>William B. Roby</w:t>
      </w:r>
    </w:p>
    <w:p>
      <w:pPr>
        <w:spacing w:after="0"/>
        <w:rPr>
          <w:sz w:val="20"/>
          <w:szCs w:val="20"/>
          <w:color w:val="auto"/>
        </w:rPr>
      </w:pPr>
      <w:r>
        <w:rPr>
          <w:rFonts w:ascii="Arial" w:cs="Arial" w:eastAsia="Arial" w:hAnsi="Arial"/>
          <w:sz w:val="18"/>
          <w:szCs w:val="18"/>
          <w:color w:val="4C4C4C"/>
        </w:rPr>
        <w:t>Chair of the Sustainability Committee and</w:t>
      </w:r>
    </w:p>
    <w:p>
      <w:pPr>
        <w:spacing w:after="0" w:line="231" w:lineRule="auto"/>
        <w:rPr>
          <w:sz w:val="20"/>
          <w:szCs w:val="20"/>
          <w:color w:val="auto"/>
        </w:rPr>
      </w:pPr>
      <w:r>
        <w:rPr>
          <w:rFonts w:ascii="Arial" w:cs="Arial" w:eastAsia="Arial" w:hAnsi="Arial"/>
          <w:sz w:val="18"/>
          <w:szCs w:val="18"/>
          <w:color w:val="4C4C4C"/>
        </w:rPr>
        <w:t>Member of the Audit Committee. Director since 2020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4C4C4C"/>
        </w:rPr>
        <w:t>Alejandra (Ale) Veltmann</w:t>
      </w:r>
    </w:p>
    <w:p>
      <w:pPr>
        <w:spacing w:after="0"/>
        <w:rPr>
          <w:sz w:val="20"/>
          <w:szCs w:val="20"/>
          <w:color w:val="auto"/>
        </w:rPr>
      </w:pPr>
      <w:r>
        <w:rPr>
          <w:rFonts w:ascii="Arial" w:cs="Arial" w:eastAsia="Arial" w:hAnsi="Arial"/>
          <w:sz w:val="18"/>
          <w:szCs w:val="18"/>
          <w:color w:val="4C4C4C"/>
        </w:rPr>
        <w:t>Chair of the Audit Committee and</w:t>
      </w:r>
    </w:p>
    <w:p>
      <w:pPr>
        <w:spacing w:after="0"/>
        <w:rPr>
          <w:sz w:val="20"/>
          <w:szCs w:val="20"/>
          <w:color w:val="auto"/>
        </w:rPr>
      </w:pPr>
      <w:r>
        <w:rPr>
          <w:rFonts w:ascii="Arial" w:cs="Arial" w:eastAsia="Arial" w:hAnsi="Arial"/>
          <w:sz w:val="17"/>
          <w:szCs w:val="17"/>
          <w:color w:val="4C4C4C"/>
        </w:rPr>
        <w:t>Member of the Nominating and Governance Committee.</w:t>
      </w:r>
    </w:p>
    <w:p>
      <w:pPr>
        <w:spacing w:after="0" w:line="237" w:lineRule="auto"/>
        <w:rPr>
          <w:sz w:val="20"/>
          <w:szCs w:val="20"/>
          <w:color w:val="auto"/>
        </w:rPr>
      </w:pPr>
      <w:r>
        <w:rPr>
          <w:rFonts w:ascii="Arial" w:cs="Arial" w:eastAsia="Arial" w:hAnsi="Arial"/>
          <w:sz w:val="18"/>
          <w:szCs w:val="18"/>
          <w:color w:val="4C4C4C"/>
        </w:rPr>
        <w:t>Director since 2021</w:t>
      </w:r>
    </w:p>
    <w:p>
      <w:pPr>
        <w:sectPr>
          <w:pgSz w:w="11880" w:h="15480" w:orient="portrait"/>
          <w:cols w:equalWidth="0" w:num="2">
            <w:col w:w="4540" w:space="720"/>
            <w:col w:w="4460"/>
          </w:cols>
          <w:pgMar w:left="1260" w:top="1330" w:right="900" w:bottom="505" w:gutter="0" w:footer="0" w:header="0"/>
          <w:type w:val="continuous"/>
        </w:sectPr>
      </w:pPr>
    </w:p>
    <w:bookmarkStart w:id="179" w:name="page180"/>
    <w:bookmarkEnd w:id="179"/>
    <w:p>
      <w:pPr>
        <w:spacing w:after="0" w:line="23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7">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80BD78F"/>
    <w:multiLevelType w:val="hybridMultilevel"/>
    <w:lvl w:ilvl="0">
      <w:lvlJc w:val="left"/>
      <w:lvlText w:val="Í"/>
      <w:numFmt w:val="bullet"/>
      <w:start w:val="1"/>
    </w:lvl>
  </w:abstractNum>
  <w:abstractNum w:abstractNumId="1">
    <w:nsid w:val="153EA438"/>
    <w:multiLevelType w:val="hybridMultilevel"/>
    <w:lvl w:ilvl="0">
      <w:lvlJc w:val="left"/>
      <w:lvlText w:val="\lquote "/>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1)"/>
      <w:numFmt w:val="lowerLetter"/>
      <w:start w:val="1"/>
    </w:lvl>
  </w:abstractNum>
  <w:abstractNum w:abstractNumId="7">
    <w:nsid w:val="725A06FB"/>
    <w:multiLevelType w:val="hybridMultilevel"/>
    <w:lvl w:ilvl="0">
      <w:lvlJc w:val="left"/>
      <w:lvlText w:val="(%1)"/>
      <w:numFmt w:val="lowerLetter"/>
      <w:start w:val="1"/>
    </w:lvl>
  </w:abstractNum>
  <w:abstractNum w:abstractNumId="8">
    <w:nsid w:val="2CD89A32"/>
    <w:multiLevelType w:val="hybridMultilevel"/>
    <w:lvl w:ilvl="0">
      <w:lvlJc w:val="left"/>
      <w:lvlText w:val="(%1)"/>
      <w:numFmt w:val="lowerRoman"/>
      <w:start w:val="3"/>
    </w:lvl>
  </w:abstractNum>
  <w:abstractNum w:abstractNumId="9">
    <w:nsid w:val="57E4CCAF"/>
    <w:multiLevelType w:val="hybridMultilevel"/>
    <w:lvl w:ilvl="0">
      <w:lvlJc w:val="left"/>
      <w:lvlText w:val="(%1)"/>
      <w:numFmt w:val="lowerLetter"/>
      <w:start w:val="1"/>
    </w:lvl>
  </w:abstractNum>
  <w:abstractNum w:abstractNumId="10">
    <w:nsid w:val="7A6D8D3C"/>
    <w:multiLevelType w:val="hybridMultilevel"/>
    <w:lvl w:ilvl="0">
      <w:lvlJc w:val="left"/>
      <w:lvlText w:val="(%1)"/>
      <w:numFmt w:val="lowerLetter"/>
      <w:start w:val="1"/>
    </w:lvl>
  </w:abstractNum>
  <w:abstractNum w:abstractNumId="11">
    <w:nsid w:val="4B588F54"/>
    <w:multiLevelType w:val="hybridMultilevel"/>
    <w:lvl w:ilvl="0">
      <w:lvlJc w:val="left"/>
      <w:lvlText w:val="(%1)"/>
      <w:numFmt w:val="lowerLetter"/>
      <w:start w:val="1"/>
    </w:lvl>
  </w:abstractNum>
  <w:abstractNum w:abstractNumId="12">
    <w:nsid w:val="542289EC"/>
    <w:multiLevelType w:val="hybridMultilevel"/>
    <w:lvl w:ilvl="0">
      <w:lvlJc w:val="left"/>
      <w:lvlText w:val="(%1)"/>
      <w:numFmt w:val="lowerLetter"/>
      <w:start w:val="1"/>
    </w:lvl>
  </w:abstractNum>
  <w:abstractNum w:abstractNumId="13">
    <w:nsid w:val="6DE91B18"/>
    <w:multiLevelType w:val="hybridMultilevel"/>
    <w:lvl w:ilvl="0">
      <w:lvlJc w:val="left"/>
      <w:lvlText w:val="(%1)"/>
      <w:numFmt w:val="lowerLetter"/>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1)"/>
      <w:numFmt w:val="lowerLetter"/>
      <w:start w:val="1"/>
    </w:lvl>
  </w:abstractNum>
  <w:abstractNum w:abstractNumId="34">
    <w:nsid w:val="180115BE"/>
    <w:multiLevelType w:val="hybridMultilevel"/>
    <w:lvl w:ilvl="0">
      <w:lvlJc w:val="left"/>
      <w:lvlText w:val="(%1)"/>
      <w:numFmt w:val="decimal"/>
      <w:start w:val="1"/>
    </w:lvl>
  </w:abstractNum>
  <w:abstractNum w:abstractNumId="35">
    <w:nsid w:val="235BA861"/>
    <w:multiLevelType w:val="hybridMultilevel"/>
    <w:lvl w:ilvl="0">
      <w:lvlJc w:val="left"/>
      <w:lvlText w:val="*"/>
      <w:numFmt w:val="bullet"/>
      <w:start w:val="1"/>
    </w:lvl>
  </w:abstractNum>
  <w:abstractNum w:abstractNumId="36">
    <w:nsid w:val="47398C89"/>
    <w:multiLevelType w:val="hybridMultilevel"/>
    <w:lvl w:ilvl="0">
      <w:lvlJc w:val="left"/>
      <w:lvlText w:val="(%1)"/>
      <w:numFmt w:val="lowerLetter"/>
      <w:start w:val="1"/>
    </w:lvl>
  </w:abstractNum>
  <w:abstractNum w:abstractNumId="37">
    <w:nsid w:val="354FE9F9"/>
    <w:multiLevelType w:val="hybridMultilevel"/>
    <w:lvl w:ilvl="0">
      <w:lvlJc w:val="left"/>
      <w:lvlText w:val="(%1)"/>
      <w:numFmt w:val="lowerLetter"/>
      <w:start w:val="1"/>
    </w:lvl>
  </w:abstractNum>
  <w:abstractNum w:abstractNumId="38">
    <w:nsid w:val="15B5AF5C"/>
    <w:multiLevelType w:val="hybridMultilevel"/>
    <w:lvl w:ilvl="0">
      <w:lvlJc w:val="left"/>
      <w:lvlText w:val="(%1)"/>
      <w:numFmt w:val="lowerLetter"/>
      <w:start w:val="1"/>
    </w:lvl>
  </w:abstractNum>
  <w:abstractNum w:abstractNumId="39">
    <w:nsid w:val="741226BB"/>
    <w:multiLevelType w:val="hybridMultilevel"/>
    <w:lvl w:ilvl="0">
      <w:lvlJc w:val="left"/>
      <w:lvlText w:val="(%1)"/>
      <w:numFmt w:val="lowerLetter"/>
      <w:start w:val="1"/>
    </w:lvl>
  </w:abstractNum>
  <w:abstractNum w:abstractNumId="40">
    <w:nsid w:val="D34B6A8"/>
    <w:multiLevelType w:val="hybridMultilevel"/>
    <w:lvl w:ilvl="0">
      <w:lvlJc w:val="left"/>
      <w:lvlText w:val="(%1)"/>
      <w:numFmt w:val="lowerRoman"/>
      <w:start w:val="1"/>
    </w:lvl>
  </w:abstractNum>
  <w:abstractNum w:abstractNumId="41">
    <w:nsid w:val="10233C99"/>
    <w:multiLevelType w:val="hybridMultilevel"/>
    <w:lvl w:ilvl="0">
      <w:lvlJc w:val="left"/>
      <w:lvlText w:val="(%1)"/>
      <w:numFmt w:val="decimal"/>
      <w:start w:val="1"/>
    </w:lvl>
  </w:abstractNum>
  <w:abstractNum w:abstractNumId="42">
    <w:nsid w:val="3F6AB60F"/>
    <w:multiLevelType w:val="hybridMultilevel"/>
    <w:lvl w:ilvl="0">
      <w:lvlJc w:val="left"/>
      <w:lvlText w:val="(%1)"/>
      <w:numFmt w:val="lowerLetter"/>
      <w:start w:val="1"/>
    </w:lvl>
  </w:abstractNum>
  <w:abstractNum w:abstractNumId="43">
    <w:nsid w:val="61574095"/>
    <w:multiLevelType w:val="hybridMultilevel"/>
    <w:lvl w:ilvl="0">
      <w:lvlJc w:val="left"/>
      <w:lvlText w:val="•"/>
      <w:numFmt w:val="bullet"/>
      <w:start w:val="1"/>
    </w:lvl>
  </w:abstractNum>
  <w:abstractNum w:abstractNumId="44">
    <w:nsid w:val="7E0C57B1"/>
    <w:multiLevelType w:val="hybridMultilevel"/>
    <w:lvl w:ilvl="0">
      <w:lvlJc w:val="left"/>
      <w:lvlText w:val="•"/>
      <w:numFmt w:val="bullet"/>
      <w:start w:val="1"/>
    </w:lvl>
  </w:abstractNum>
  <w:abstractNum w:abstractNumId="45">
    <w:nsid w:val="77AE35EB"/>
    <w:multiLevelType w:val="hybridMultilevel"/>
    <w:lvl w:ilvl="0">
      <w:lvlJc w:val="left"/>
      <w:lvlText w:val="•"/>
      <w:numFmt w:val="bullet"/>
      <w:start w:val="1"/>
    </w:lvl>
  </w:abstractNum>
  <w:abstractNum w:abstractNumId="46">
    <w:nsid w:val="579BE4F1"/>
    <w:multiLevelType w:val="hybridMultilevel"/>
    <w:lvl w:ilvl="0">
      <w:lvlJc w:val="left"/>
      <w:lvlText w:val="•"/>
      <w:numFmt w:val="bullet"/>
      <w:start w:val="1"/>
    </w:lvl>
  </w:abstractNum>
  <w:abstractNum w:abstractNumId="47">
    <w:nsid w:val="310C50B3"/>
    <w:multiLevelType w:val="hybridMultilevel"/>
    <w:lvl w:ilvl="0">
      <w:lvlJc w:val="left"/>
      <w:lvlText w:val="(%1)"/>
      <w:numFmt w:val="lowerLetter"/>
      <w:start w:val="1"/>
    </w:lvl>
  </w:abstractNum>
  <w:abstractNum w:abstractNumId="48">
    <w:nsid w:val="5FF87E05"/>
    <w:multiLevelType w:val="hybridMultilevel"/>
    <w:lvl w:ilvl="0">
      <w:lvlJc w:val="left"/>
      <w:lvlText w:val="(%1)"/>
      <w:numFmt w:val="lowerLetter"/>
      <w:start w:val="1"/>
    </w:lvl>
  </w:abstractNum>
  <w:abstractNum w:abstractNumId="49">
    <w:nsid w:val="2F305DEF"/>
    <w:multiLevelType w:val="hybridMultilevel"/>
    <w:lvl w:ilvl="0">
      <w:lvlJc w:val="left"/>
      <w:lvlText w:val="(%1)"/>
      <w:numFmt w:val="lowerRoman"/>
      <w:start w:val="3"/>
    </w:lvl>
  </w:abstractNum>
  <w:abstractNum w:abstractNumId="50">
    <w:nsid w:val="25A70BF7"/>
    <w:multiLevelType w:val="hybridMultilevel"/>
    <w:lvl w:ilvl="0">
      <w:lvlJc w:val="left"/>
      <w:lvlText w:val="(%1)"/>
      <w:numFmt w:val="lowerLetter"/>
      <w:start w:val="1"/>
    </w:lvl>
  </w:abstractNum>
  <w:abstractNum w:abstractNumId="51">
    <w:nsid w:val="1DBABF00"/>
    <w:multiLevelType w:val="hybridMultilevel"/>
    <w:lvl w:ilvl="0">
      <w:lvlJc w:val="left"/>
      <w:lvlText w:val="(%1)"/>
      <w:numFmt w:val="decimal"/>
      <w:start w:val="2"/>
    </w:lvl>
  </w:abstractNum>
  <w:abstractNum w:abstractNumId="52">
    <w:nsid w:val="4AD084E9"/>
    <w:multiLevelType w:val="hybridMultilevel"/>
    <w:lvl w:ilvl="0">
      <w:lvlJc w:val="left"/>
      <w:lvlText w:val="•"/>
      <w:numFmt w:val="bullet"/>
      <w:start w:val="1"/>
    </w:lvl>
  </w:abstractNum>
  <w:abstractNum w:abstractNumId="53">
    <w:nsid w:val="1F48EAA1"/>
    <w:multiLevelType w:val="hybridMultilevel"/>
    <w:lvl w:ilvl="0">
      <w:lvlJc w:val="left"/>
      <w:lvlText w:val="(%1)"/>
      <w:numFmt w:val="decimal"/>
      <w:start w:val="2"/>
    </w:lvl>
  </w:abstractNum>
  <w:abstractNum w:abstractNumId="54">
    <w:nsid w:val="1381823A"/>
    <w:multiLevelType w:val="hybridMultilevel"/>
    <w:lvl w:ilvl="0">
      <w:lvlJc w:val="left"/>
      <w:lvlText w:val="(%1)"/>
      <w:numFmt w:val="lowerLetter"/>
      <w:start w:val="1"/>
    </w:lvl>
  </w:abstractNum>
  <w:abstractNum w:abstractNumId="55">
    <w:nsid w:val="5DB70AE5"/>
    <w:multiLevelType w:val="hybridMultilevel"/>
    <w:lvl w:ilvl="0">
      <w:lvlJc w:val="left"/>
      <w:lvlText w:val="(%1)"/>
      <w:numFmt w:val="lowerLetter"/>
      <w:start w:val="1"/>
    </w:lvl>
  </w:abstractNum>
  <w:abstractNum w:abstractNumId="56">
    <w:nsid w:val="100F8FCA"/>
    <w:multiLevelType w:val="hybridMultilevel"/>
    <w:lvl w:ilvl="0">
      <w:lvlJc w:val="left"/>
      <w:lvlText w:val="(%1)"/>
      <w:numFmt w:val="lowerLetter"/>
      <w:start w:val="1"/>
    </w:lvl>
  </w:abstractNum>
  <w:abstractNum w:abstractNumId="57">
    <w:nsid w:val="6590700B"/>
    <w:multiLevelType w:val="hybridMultilevel"/>
    <w:lvl w:ilvl="0">
      <w:lvlJc w:val="left"/>
      <w:lvlText w:val="(%1)"/>
      <w:numFmt w:val="lowerLetter"/>
      <w:start w:val="1"/>
    </w:lvl>
  </w:abstractNum>
  <w:abstractNum w:abstractNumId="58">
    <w:nsid w:val="15014ACB"/>
    <w:multiLevelType w:val="hybridMultilevel"/>
    <w:lvl w:ilvl="0">
      <w:lvlJc w:val="left"/>
      <w:lvlText w:val="(%1)"/>
      <w:numFmt w:val="lowerRoman"/>
      <w:start w:val="1"/>
    </w:lvl>
  </w:abstractNum>
  <w:abstractNum w:abstractNumId="59">
    <w:nsid w:val="5F5E7FD0"/>
    <w:multiLevelType w:val="hybridMultilevel"/>
    <w:lvl w:ilvl="0">
      <w:lvlJc w:val="left"/>
      <w:lvlText w:val="•"/>
      <w:numFmt w:val="bullet"/>
      <w:start w:val="1"/>
    </w:lvl>
  </w:abstractNum>
  <w:abstractNum w:abstractNumId="60">
    <w:nsid w:val="98A3148"/>
    <w:multiLevelType w:val="hybridMultilevel"/>
    <w:lvl w:ilvl="0">
      <w:lvlJc w:val="left"/>
      <w:lvlText w:val="•"/>
      <w:numFmt w:val="bullet"/>
      <w:start w:val="1"/>
    </w:lvl>
  </w:abstractNum>
  <w:abstractNum w:abstractNumId="61">
    <w:nsid w:val="799D0247"/>
    <w:multiLevelType w:val="hybridMultilevel"/>
    <w:lvl w:ilvl="0">
      <w:lvlJc w:val="left"/>
      <w:lvlText w:val="(%1)"/>
      <w:numFmt w:val="lowerLetter"/>
      <w:start w:val="1"/>
    </w:lvl>
  </w:abstractNum>
  <w:abstractNum w:abstractNumId="62">
    <w:nsid w:val="6B94764"/>
    <w:multiLevelType w:val="hybridMultilevel"/>
    <w:lvl w:ilvl="0">
      <w:lvlJc w:val="left"/>
      <w:lvlText w:val="$"/>
      <w:numFmt w:val="bullet"/>
      <w:start w:val="1"/>
    </w:lvl>
  </w:abstractNum>
  <w:abstractNum w:abstractNumId="63">
    <w:nsid w:val="42C296BD"/>
    <w:multiLevelType w:val="hybridMultilevel"/>
    <w:lvl w:ilvl="0">
      <w:lvlJc w:val="left"/>
      <w:lvlText w:val="$"/>
      <w:numFmt w:val="bullet"/>
      <w:start w:val="1"/>
    </w:lvl>
  </w:abstractNum>
  <w:abstractNum w:abstractNumId="64">
    <w:nsid w:val="168E121F"/>
    <w:multiLevelType w:val="hybridMultilevel"/>
    <w:lvl w:ilvl="0">
      <w:lvlJc w:val="left"/>
      <w:lvlText w:val="$"/>
      <w:numFmt w:val="bullet"/>
      <w:start w:val="1"/>
    </w:lvl>
  </w:abstractNum>
  <w:abstractNum w:abstractNumId="65">
    <w:nsid w:val="1EBA5D23"/>
    <w:multiLevelType w:val="hybridMultilevel"/>
    <w:lvl w:ilvl="0">
      <w:lvlJc w:val="left"/>
      <w:lvlText w:val="(%1)"/>
      <w:numFmt w:val="decimal"/>
      <w:start w:val="2"/>
    </w:lvl>
  </w:abstractNum>
  <w:abstractNum w:abstractNumId="66">
    <w:nsid w:val="661E3F1E"/>
    <w:multiLevelType w:val="hybridMultilevel"/>
    <w:lvl w:ilvl="0">
      <w:lvlJc w:val="left"/>
      <w:lvlText w:val="(%1)"/>
      <w:numFmt w:val="decimal"/>
      <w:start w:val="8"/>
    </w:lvl>
  </w:abstractNum>
  <w:abstractNum w:abstractNumId="67">
    <w:nsid w:val="5DC79EA8"/>
    <w:multiLevelType w:val="hybridMultilevel"/>
    <w:lvl w:ilvl="0">
      <w:lvlJc w:val="left"/>
      <w:lvlText w:val="(%1)"/>
      <w:numFmt w:val="decimal"/>
      <w:start w:val="11"/>
    </w:lvl>
  </w:abstractNum>
  <w:abstractNum w:abstractNumId="68">
    <w:nsid w:val="540A471C"/>
    <w:multiLevelType w:val="hybridMultilevel"/>
    <w:lvl w:ilvl="0">
      <w:lvlJc w:val="left"/>
      <w:lvlText w:val="(%1)"/>
      <w:numFmt w:val="decimal"/>
      <w:start w:val="12"/>
    </w:lvl>
  </w:abstractNum>
  <w:abstractNum w:abstractNumId="69">
    <w:nsid w:val="7BD3EE7B"/>
    <w:multiLevelType w:val="hybridMultilevel"/>
    <w:lvl w:ilvl="0">
      <w:lvlJc w:val="left"/>
      <w:lvlText w:val="(%1)"/>
      <w:numFmt w:val="decimal"/>
      <w:start w:val="13"/>
    </w:lvl>
  </w:abstractNum>
  <w:abstractNum w:abstractNumId="70">
    <w:nsid w:val="51D9C564"/>
    <w:multiLevelType w:val="hybridMultilevel"/>
    <w:lvl w:ilvl="0">
      <w:lvlJc w:val="left"/>
      <w:lvlText w:val="(%1)"/>
      <w:numFmt w:val="decimal"/>
      <w:start w:val="15"/>
    </w:lvl>
  </w:abstractNum>
  <w:abstractNum w:abstractNumId="71">
    <w:nsid w:val="613EFDC5"/>
    <w:multiLevelType w:val="hybridMultilevel"/>
    <w:lvl w:ilvl="0">
      <w:lvlJc w:val="left"/>
      <w:lvlText w:val="(%1)"/>
      <w:numFmt w:val="lowerLetter"/>
      <w:start w:val="1"/>
    </w:lvl>
  </w:abstractNum>
  <w:abstractNum w:abstractNumId="72">
    <w:nsid w:val="BF72B14"/>
    <w:multiLevelType w:val="hybridMultilevel"/>
    <w:lvl w:ilvl="0">
      <w:lvlJc w:val="left"/>
      <w:lvlText w:val="(%1)"/>
      <w:numFmt w:val="lowerLetter"/>
      <w:start w:val="1"/>
    </w:lvl>
  </w:abstractNum>
  <w:abstractNum w:abstractNumId="73">
    <w:nsid w:val="11447B73"/>
    <w:multiLevelType w:val="hybridMultilevel"/>
    <w:lvl w:ilvl="0">
      <w:lvlJc w:val="left"/>
      <w:lvlText w:val="(%1)"/>
      <w:numFmt w:val="lowerLetter"/>
      <w:start w:val="1"/>
    </w:lvl>
  </w:abstractNum>
  <w:abstractNum w:abstractNumId="74">
    <w:nsid w:val="42963E5A"/>
    <w:multiLevelType w:val="hybridMultilevel"/>
    <w:lvl w:ilvl="0">
      <w:lvlJc w:val="left"/>
      <w:lvlText w:val="(%1)"/>
      <w:numFmt w:val="lowerLetter"/>
      <w:start w:val="1"/>
    </w:lvl>
  </w:abstractNum>
  <w:abstractNum w:abstractNumId="75">
    <w:nsid w:val="A0382C5"/>
    <w:multiLevelType w:val="hybridMultilevel"/>
    <w:lvl w:ilvl="0">
      <w:lvlJc w:val="left"/>
      <w:lvlText w:val="(%1)"/>
      <w:numFmt w:val="lowerRoman"/>
      <w:start w:val="1"/>
    </w:lvl>
  </w:abstractNum>
  <w:abstractNum w:abstractNumId="76">
    <w:nsid w:val="8F2B15E"/>
    <w:multiLevelType w:val="hybridMultilevel"/>
    <w:lvl w:ilvl="0">
      <w:lvlJc w:val="left"/>
      <w:lvlText w:val="(%1)"/>
      <w:numFmt w:val="lowerRoman"/>
      <w:start w:val="4"/>
    </w:lvl>
  </w:abstractNum>
  <w:abstractNum w:abstractNumId="77">
    <w:nsid w:val="1A32234B"/>
    <w:multiLevelType w:val="hybridMultilevel"/>
    <w:lvl w:ilvl="0">
      <w:lvlJc w:val="left"/>
      <w:lvlText w:val="(%1)"/>
      <w:numFmt w:val="lowerLetter"/>
    </w:lvl>
    <w:lvl w:ilvl="1">
      <w:lvlJc w:val="left"/>
      <w:lvlText w:val="•"/>
      <w:numFmt w:val="bullet"/>
      <w:start w:val="1"/>
    </w:lvl>
  </w:abstractNum>
  <w:abstractNum w:abstractNumId="78">
    <w:nsid w:val="3B0FD379"/>
    <w:multiLevelType w:val="hybridMultilevel"/>
    <w:lvl w:ilvl="0">
      <w:lvlJc w:val="left"/>
      <w:lvlText w:val="%1"/>
      <w:numFmt w:val="decimal"/>
      <w:start w:val="104"/>
    </w:lvl>
  </w:abstractNum>
  <w:abstractNum w:abstractNumId="79">
    <w:nsid w:val="68EB2F63"/>
    <w:multiLevelType w:val="hybridMultilevel"/>
    <w:lvl w:ilvl="0">
      <w:lvlJc w:val="left"/>
      <w:lvlText w:val="(%1)"/>
      <w:numFmt w:val="decimal"/>
      <w:start w:val="86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2023-03-16T18:52:22Z</dcterms:created>
  <dcterms:modified xsi:type="dcterms:W3CDTF">2023-03-16T18:52:22Z</dcterms:modified>
</cp:coreProperties>
</file>