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5)*</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Naseem Sagati Aghili</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Ares Management Corporation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Avenue of the Stars, 12th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22, 2021</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080" w:hanging="561"/>
        <w:spacing w:after="0" w:line="308"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AF V Energy IV AIV 1A, L.P.</w:t>
      </w:r>
    </w:p>
    <w:p>
      <w:pPr>
        <w:spacing w:after="0" w:line="146" w:lineRule="exact"/>
        <w:rPr>
          <w:rFonts w:ascii="Arial" w:cs="Arial" w:eastAsia="Arial" w:hAnsi="Arial"/>
          <w:sz w:val="17"/>
          <w:szCs w:val="17"/>
          <w:color w:val="auto"/>
        </w:rPr>
      </w:pPr>
    </w:p>
    <w:p>
      <w:pPr>
        <w:ind w:left="960" w:hanging="561"/>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674,003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674,003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674,003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6400" w:hanging="561"/>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0.8%* (See Items 3, 4, 5 and 6)</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-405130</wp:posOffset>
            </wp:positionV>
            <wp:extent cx="65576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-816610</wp:posOffset>
            </wp:positionV>
            <wp:extent cx="6557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-1090930</wp:posOffset>
            </wp:positionV>
            <wp:extent cx="6557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-1502410</wp:posOffset>
            </wp:positionV>
            <wp:extent cx="60521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0"/>
          <w:szCs w:val="20"/>
          <w:color w:val="auto"/>
        </w:rPr>
      </w:pPr>
    </w:p>
    <w:p>
      <w:pPr>
        <w:ind w:hanging="76"/>
        <w:spacing w:after="0" w:line="308" w:lineRule="auto"/>
        <w:rPr>
          <w:sz w:val="20"/>
          <w:szCs w:val="20"/>
          <w:color w:val="auto"/>
        </w:rPr>
      </w:pPr>
      <w:r>
        <w:rPr>
          <w:rFonts w:ascii="Arial" w:cs="Arial" w:eastAsia="Arial" w:hAnsi="Arial"/>
          <w:sz w:val="17"/>
          <w:szCs w:val="17"/>
          <w:color w:val="auto"/>
        </w:rPr>
        <w:t>*The calculation of the percentage of outstanding shares is based on 81,879,457 shares of Common Stock outstanding as of June 30, 2021 as disclosed by the Issuer in its Quarterly Report on Form 10-Q, filed with the Securities and Exchange Commission on August 6, 2021 (“</w:t>
      </w:r>
      <w:r>
        <w:rPr>
          <w:rFonts w:ascii="Arial" w:cs="Arial" w:eastAsia="Arial" w:hAnsi="Arial"/>
          <w:sz w:val="17"/>
          <w:szCs w:val="17"/>
          <w:u w:val="single" w:color="auto"/>
          <w:color w:val="auto"/>
        </w:rPr>
        <w:t>10-Q</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080" w:hanging="561"/>
        <w:spacing w:after="0" w:line="308"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Names of Reporting Persons AF V Energy IV AIV 1B, L.P.</w:t>
      </w:r>
    </w:p>
    <w:p>
      <w:pPr>
        <w:spacing w:after="0" w:line="146" w:lineRule="exact"/>
        <w:rPr>
          <w:rFonts w:ascii="Arial" w:cs="Arial" w:eastAsia="Arial" w:hAnsi="Arial"/>
          <w:sz w:val="17"/>
          <w:szCs w:val="17"/>
          <w:color w:val="auto"/>
        </w:rPr>
      </w:pPr>
    </w:p>
    <w:p>
      <w:pPr>
        <w:ind w:left="960" w:hanging="561"/>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2,466,515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2,466,515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2,466,515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3.0%*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both"/>
        <w:ind w:left="960" w:right="8200" w:hanging="561"/>
        <w:spacing w:after="0" w:line="342"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AF V Energy IV AIV 2,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2,512,640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2,512,640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2,512,640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3.1%*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AEOF ECR AIV A-B,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1,894,861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1,894,861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1,894,861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2.3%*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hanging="56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AEOF ECR AIV C, L.P.</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804,524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804,524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804,524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Names of Reporting Persons AF Energy Feeder, L.P.</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920" w:hanging="954"/>
        <w:spacing w:after="0" w:line="207" w:lineRule="exact"/>
        <w:tabs>
          <w:tab w:leader="none" w:pos="192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right="7640" w:hanging="561"/>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-19050</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-430530</wp:posOffset>
            </wp:positionV>
            <wp:extent cx="65576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-704850</wp:posOffset>
            </wp:positionV>
            <wp:extent cx="65576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-1390650</wp:posOffset>
            </wp:positionV>
            <wp:extent cx="59836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-1536700</wp:posOffset>
            </wp:positionV>
            <wp:extent cx="59836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-1948180</wp:posOffset>
            </wp:positionV>
            <wp:extent cx="65576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2,936,379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60" w:hanging="456"/>
        <w:spacing w:after="0"/>
        <w:tabs>
          <w:tab w:leader="none" w:pos="17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2,936,379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2,936,379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3.6%*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51"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-868045</wp:posOffset>
            </wp:positionV>
            <wp:extent cx="6557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-1553845</wp:posOffset>
            </wp:positionV>
            <wp:extent cx="65576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-1965325</wp:posOffset>
            </wp:positionV>
            <wp:extent cx="60521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-310515</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ACOF Investment Management LLC</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11,288,922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11,288,922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11,288,922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13.8%*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ind w:left="20" w:hanging="81"/>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-525145</wp:posOffset>
            </wp:positionV>
            <wp:extent cx="65576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-936625</wp:posOffset>
            </wp:positionV>
            <wp:extent cx="65576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-1348105</wp:posOffset>
            </wp:positionV>
            <wp:extent cx="65576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-1622425</wp:posOffset>
            </wp:positionV>
            <wp:extent cx="6557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-2033905</wp:posOffset>
            </wp:positionV>
            <wp:extent cx="60521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Names of Reporting Persons Ares Management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11,288,922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11,288,922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11,288,922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13.8%*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ind w:left="20" w:hanging="81"/>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-525145</wp:posOffset>
            </wp:positionV>
            <wp:extent cx="65576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-936625</wp:posOffset>
            </wp:positionV>
            <wp:extent cx="65576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-1348105</wp:posOffset>
            </wp:positionV>
            <wp:extent cx="65576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-1622425</wp:posOffset>
            </wp:positionV>
            <wp:extent cx="65576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-2033905</wp:posOffset>
            </wp:positionV>
            <wp:extent cx="60521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7920" w:hanging="561"/>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Names of Reporting Persons Ares Management Holdings L.P.</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11,288,922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11,288,922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11,288,922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13.8%*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ind w:left="20" w:hanging="81"/>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-525145</wp:posOffset>
            </wp:positionV>
            <wp:extent cx="65576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-936625</wp:posOffset>
            </wp:positionV>
            <wp:extent cx="65576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-1348105</wp:posOffset>
            </wp:positionV>
            <wp:extent cx="65576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-1622425</wp:posOffset>
            </wp:positionV>
            <wp:extent cx="65576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-2033905</wp:posOffset>
            </wp:positionV>
            <wp:extent cx="60521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 Ares Holdco LLC</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11,288,922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11,288,922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11,288,922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13.8%*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ind w:left="20" w:hanging="81"/>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-525145</wp:posOffset>
            </wp:positionV>
            <wp:extent cx="65576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-936625</wp:posOffset>
            </wp:positionV>
            <wp:extent cx="65576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-1348105</wp:posOffset>
            </wp:positionV>
            <wp:extent cx="65576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-1622425</wp:posOffset>
            </wp:positionV>
            <wp:extent cx="6557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-2033905</wp:posOffset>
            </wp:positionV>
            <wp:extent cx="60521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040" w:hanging="561"/>
        <w:spacing w:after="0" w:line="34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Names of Reporting Persons Ares Management Corporation</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11,288,922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11,288,922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11,288,922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13.8%*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59" w:lineRule="exact"/>
        <w:rPr>
          <w:rFonts w:ascii="Arial" w:cs="Arial" w:eastAsia="Arial" w:hAnsi="Arial"/>
          <w:sz w:val="18"/>
          <w:szCs w:val="18"/>
          <w:color w:val="auto"/>
        </w:rPr>
      </w:pPr>
    </w:p>
    <w:p>
      <w:pPr>
        <w:ind w:left="20" w:hanging="81"/>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-525145</wp:posOffset>
            </wp:positionV>
            <wp:extent cx="65576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-936625</wp:posOffset>
            </wp:positionV>
            <wp:extent cx="65576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-1348105</wp:posOffset>
            </wp:positionV>
            <wp:extent cx="65576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-1622425</wp:posOffset>
            </wp:positionV>
            <wp:extent cx="65576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-2033905</wp:posOffset>
            </wp:positionV>
            <wp:extent cx="60521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11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Names of Reporting Persons Ares Voting LLC</w:t>
      </w:r>
    </w:p>
    <w:p>
      <w:pPr>
        <w:spacing w:after="0" w:line="170"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11,288,922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11,288,922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11,288,922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13.8%*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ind w:left="20" w:hanging="81"/>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-525145</wp:posOffset>
            </wp:positionV>
            <wp:extent cx="65576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-936625</wp:posOffset>
            </wp:positionV>
            <wp:extent cx="65576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-1348105</wp:posOffset>
            </wp:positionV>
            <wp:extent cx="65576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-1622425</wp:posOffset>
            </wp:positionV>
            <wp:extent cx="65576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-2033905</wp:posOffset>
            </wp:positionV>
            <wp:extent cx="60521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12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Names of Reporting Persons Ares Management GP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00" w:hanging="561"/>
        <w:spacing w:after="0" w:line="207" w:lineRule="exact"/>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70" w:lineRule="exact"/>
        <w:rPr>
          <w:rFonts w:ascii="Arial" w:cs="Arial" w:eastAsia="Arial" w:hAnsi="Arial"/>
          <w:sz w:val="18"/>
          <w:szCs w:val="18"/>
          <w:color w:val="auto"/>
        </w:rPr>
      </w:pPr>
    </w:p>
    <w:p>
      <w:pPr>
        <w:ind w:left="1700" w:hanging="456"/>
        <w:spacing w:after="0"/>
        <w:tabs>
          <w:tab w:leader="none" w:pos="17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-259080</wp:posOffset>
            </wp:positionV>
            <wp:extent cx="65576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-670560</wp:posOffset>
            </wp:positionV>
            <wp:extent cx="65576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-944880</wp:posOffset>
            </wp:positionV>
            <wp:extent cx="655764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-1356360</wp:posOffset>
            </wp:positionV>
            <wp:extent cx="65576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-1630680</wp:posOffset>
            </wp:positionV>
            <wp:extent cx="59836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-1776095</wp:posOffset>
            </wp:positionV>
            <wp:extent cx="59836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-2187575</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18"/>
                <w:szCs w:val="18"/>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11,288,922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11,288,922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11,288,922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13.8%*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ind w:left="20" w:hanging="81"/>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-525145</wp:posOffset>
            </wp:positionV>
            <wp:extent cx="65576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-936625</wp:posOffset>
            </wp:positionV>
            <wp:extent cx="65576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-1348105</wp:posOffset>
            </wp:positionV>
            <wp:extent cx="65576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-1622425</wp:posOffset>
            </wp:positionV>
            <wp:extent cx="65576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-2033905</wp:posOffset>
            </wp:positionV>
            <wp:extent cx="60521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5218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-344805</wp:posOffset>
            </wp:positionV>
            <wp:extent cx="17830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12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00" w:right="8200" w:hanging="561"/>
        <w:spacing w:after="0" w:line="34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Names of Reporting Persons Ares Partners Holdco LLC</w:t>
      </w:r>
    </w:p>
    <w:p>
      <w:pPr>
        <w:spacing w:after="0" w:line="123" w:lineRule="exact"/>
        <w:rPr>
          <w:rFonts w:ascii="Arial" w:cs="Arial" w:eastAsia="Arial" w:hAnsi="Arial"/>
          <w:sz w:val="16"/>
          <w:szCs w:val="16"/>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60" w:hanging="954"/>
        <w:spacing w:after="0" w:line="207" w:lineRule="exact"/>
        <w:tabs>
          <w:tab w:leader="none" w:pos="186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00" w:right="7640" w:hanging="561"/>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-19050</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-430530</wp:posOffset>
            </wp:positionV>
            <wp:extent cx="65576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-704850</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-1116330</wp:posOffset>
            </wp:positionV>
            <wp:extent cx="65576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-1390650</wp:posOffset>
            </wp:positionV>
            <wp:extent cx="59836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1115695</wp:posOffset>
            </wp:positionH>
            <wp:positionV relativeFrom="paragraph">
              <wp:posOffset>-1536700</wp:posOffset>
            </wp:positionV>
            <wp:extent cx="59836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-1948180</wp:posOffset>
            </wp:positionV>
            <wp:extent cx="655764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95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95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11,288,922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954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20"/>
                <w:szCs w:val="20"/>
                <w:color w:val="auto"/>
              </w:rPr>
            </w:pPr>
          </w:p>
        </w:tc>
        <w:tc>
          <w:tcPr>
            <w:tcW w:w="9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580" w:type="dxa"/>
            <w:vAlign w:val="bottom"/>
          </w:tcPr>
          <w:p>
            <w:pPr>
              <w:spacing w:after="0"/>
              <w:rPr>
                <w:sz w:val="17"/>
                <w:szCs w:val="17"/>
                <w:color w:val="auto"/>
              </w:rPr>
            </w:pPr>
          </w:p>
        </w:tc>
        <w:tc>
          <w:tcPr>
            <w:tcW w:w="9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700" w:hanging="456"/>
        <w:spacing w:after="0"/>
        <w:tabs>
          <w:tab w:leader="none" w:pos="17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11,288,922 (See Items 3, 4, 5 and 6)</w:t>
      </w:r>
    </w:p>
    <w:p>
      <w:pPr>
        <w:spacing w:after="0" w:line="210" w:lineRule="exact"/>
        <w:rPr>
          <w:rFonts w:ascii="Arial" w:cs="Arial" w:eastAsia="Arial" w:hAnsi="Arial"/>
          <w:sz w:val="18"/>
          <w:szCs w:val="18"/>
          <w:color w:val="auto"/>
        </w:rPr>
      </w:pPr>
    </w:p>
    <w:p>
      <w:pPr>
        <w:ind w:left="900" w:right="5480" w:hanging="561"/>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11,288,922 (See Items 3, 4, 5 and 6)</w:t>
      </w:r>
    </w:p>
    <w:p>
      <w:pPr>
        <w:spacing w:after="0" w:line="137" w:lineRule="exact"/>
        <w:rPr>
          <w:rFonts w:ascii="Arial" w:cs="Arial" w:eastAsia="Arial" w:hAnsi="Arial"/>
          <w:sz w:val="18"/>
          <w:szCs w:val="18"/>
          <w:color w:val="auto"/>
        </w:rPr>
      </w:pPr>
    </w:p>
    <w:p>
      <w:pPr>
        <w:ind w:left="900" w:hanging="561"/>
        <w:spacing w:after="0" w:line="207" w:lineRule="exact"/>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13.8%* (See Items 3, 4, 5 and 6)</w:t>
      </w:r>
    </w:p>
    <w:p>
      <w:pPr>
        <w:spacing w:after="0" w:line="210" w:lineRule="exact"/>
        <w:rPr>
          <w:rFonts w:ascii="Arial" w:cs="Arial" w:eastAsia="Arial" w:hAnsi="Arial"/>
          <w:sz w:val="18"/>
          <w:szCs w:val="18"/>
          <w:color w:val="auto"/>
        </w:rPr>
      </w:pPr>
    </w:p>
    <w:p>
      <w:pPr>
        <w:ind w:left="900" w:hanging="561"/>
        <w:spacing w:after="0"/>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1" w:lineRule="exact"/>
        <w:rPr>
          <w:rFonts w:ascii="Arial" w:cs="Arial" w:eastAsia="Arial" w:hAnsi="Arial"/>
          <w:sz w:val="18"/>
          <w:szCs w:val="18"/>
          <w:color w:val="auto"/>
        </w:rPr>
      </w:pPr>
    </w:p>
    <w:p>
      <w:pPr>
        <w:ind w:left="20" w:hanging="81"/>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81,879,457 shares of Common Stock outstanding as of June 30, 2021 as disclosed by the Issuer in its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-456565</wp:posOffset>
            </wp:positionV>
            <wp:extent cx="65576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-868045</wp:posOffset>
            </wp:positionV>
            <wp:extent cx="65576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-1279525</wp:posOffset>
            </wp:positionV>
            <wp:extent cx="65576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541020</wp:posOffset>
            </wp:positionH>
            <wp:positionV relativeFrom="paragraph">
              <wp:posOffset>-1553845</wp:posOffset>
            </wp:positionV>
            <wp:extent cx="65576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1047115</wp:posOffset>
            </wp:positionH>
            <wp:positionV relativeFrom="paragraph">
              <wp:posOffset>-1965325</wp:posOffset>
            </wp:positionV>
            <wp:extent cx="605218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-310515</wp:posOffset>
            </wp:positionV>
            <wp:extent cx="17830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417195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1340" w:right="339" w:bottom="1440" w:gutter="0" w:footer="0" w:header="0"/>
        </w:sectPr>
      </w:pPr>
    </w:p>
    <w:bookmarkStart w:id="15" w:name="page16"/>
    <w:bookmarkEnd w:id="15"/>
    <w:p>
      <w:pPr>
        <w:jc w:val="both"/>
        <w:spacing w:after="0" w:line="254" w:lineRule="auto"/>
        <w:rPr>
          <w:sz w:val="20"/>
          <w:szCs w:val="20"/>
          <w:color w:val="auto"/>
        </w:rPr>
      </w:pPr>
      <w:r>
        <w:rPr>
          <w:rFonts w:ascii="Arial" w:cs="Arial" w:eastAsia="Arial" w:hAnsi="Arial"/>
          <w:sz w:val="18"/>
          <w:szCs w:val="18"/>
          <w:color w:val="auto"/>
        </w:rPr>
        <w:t>This Amendment No. 5 (this “</w:t>
      </w:r>
      <w:r>
        <w:rPr>
          <w:rFonts w:ascii="Arial" w:cs="Arial" w:eastAsia="Arial" w:hAnsi="Arial"/>
          <w:sz w:val="18"/>
          <w:szCs w:val="18"/>
          <w:u w:val="single" w:color="auto"/>
          <w:color w:val="auto"/>
        </w:rPr>
        <w:t>Amendment No. 5</w:t>
      </w:r>
      <w:r>
        <w:rPr>
          <w:rFonts w:ascii="Arial" w:cs="Arial" w:eastAsia="Arial" w:hAnsi="Arial"/>
          <w:sz w:val="18"/>
          <w:szCs w:val="18"/>
          <w:color w:val="auto"/>
        </w:rPr>
        <w:t>”) to the statement on Schedule 13D amends and supplements the statement on Schedule 13D filed by the Reporting Persons on November 6, 2020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as amended by Amendment No. 1 to the Original Schedule 13D filed by the Reporting Persons on May 25, 2021, Amendment No. 2 to the Original Schedule 13D filed by the Reporting Persons on June 9, 2021, Amendment No. 3 to the Original Schedule 13D filed by the Reporting Persons on June 16, 2021 and Amendment No. 4 to the Original Schedule 13D filed by the Reporting Persons on June 24, 2021 (as so amended, the “</w:t>
      </w:r>
      <w:r>
        <w:rPr>
          <w:rFonts w:ascii="Arial" w:cs="Arial" w:eastAsia="Arial" w:hAnsi="Arial"/>
          <w:sz w:val="18"/>
          <w:szCs w:val="18"/>
          <w:u w:val="single" w:color="auto"/>
          <w:color w:val="auto"/>
        </w:rPr>
        <w:t>13D Filing</w:t>
      </w:r>
      <w:r>
        <w:rPr>
          <w:rFonts w:ascii="Arial" w:cs="Arial" w:eastAsia="Arial" w:hAnsi="Arial"/>
          <w:sz w:val="18"/>
          <w:szCs w:val="18"/>
          <w:color w:val="auto"/>
        </w:rPr>
        <w:t>,” and, together with this Amendment No. 5, this “</w:t>
      </w:r>
      <w:r>
        <w:rPr>
          <w:rFonts w:ascii="Arial" w:cs="Arial" w:eastAsia="Arial" w:hAnsi="Arial"/>
          <w:sz w:val="18"/>
          <w:szCs w:val="18"/>
          <w:u w:val="single" w:color="auto"/>
          <w:color w:val="auto"/>
        </w:rPr>
        <w:t>Schedule 13D</w:t>
      </w:r>
      <w:r>
        <w:rPr>
          <w:rFonts w:ascii="Arial" w:cs="Arial" w:eastAsia="Arial" w:hAnsi="Arial"/>
          <w:sz w:val="18"/>
          <w:szCs w:val="18"/>
          <w:color w:val="auto"/>
        </w:rPr>
        <w:t>”). Except as amended in this Amendment No. 5, the 13D Filing remains in full force and effect. Terms defined in the 13D Filing are used in this Amendment No. 5 as so defined, unless otherwise defined in this Amendment No. 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2(a) and 2(c) of the 13D Filing are hereby amended and restated in their entirety as follows:</w:t>
      </w:r>
    </w:p>
    <w:p>
      <w:pPr>
        <w:spacing w:after="0" w:line="225"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This statement is being filed jointly by (i) AF V Energy IV AIV 1A, L.P. (“</w:t>
      </w:r>
      <w:r>
        <w:rPr>
          <w:rFonts w:ascii="Arial" w:cs="Arial" w:eastAsia="Arial" w:hAnsi="Arial"/>
          <w:sz w:val="17"/>
          <w:szCs w:val="17"/>
          <w:u w:val="single" w:color="auto"/>
          <w:color w:val="auto"/>
        </w:rPr>
        <w:t>ACOF AIV 1A</w:t>
      </w:r>
      <w:r>
        <w:rPr>
          <w:rFonts w:ascii="Arial" w:cs="Arial" w:eastAsia="Arial" w:hAnsi="Arial"/>
          <w:sz w:val="17"/>
          <w:szCs w:val="17"/>
          <w:color w:val="auto"/>
        </w:rPr>
        <w:t>”), (ii) AF V Energy IV AIV 1B, L.P. (“</w:t>
      </w:r>
      <w:r>
        <w:rPr>
          <w:rFonts w:ascii="Arial" w:cs="Arial" w:eastAsia="Arial" w:hAnsi="Arial"/>
          <w:sz w:val="17"/>
          <w:szCs w:val="17"/>
          <w:u w:val="single" w:color="auto"/>
          <w:color w:val="auto"/>
        </w:rPr>
        <w:t>ACOF AIV 1B</w:t>
      </w:r>
      <w:r>
        <w:rPr>
          <w:rFonts w:ascii="Arial" w:cs="Arial" w:eastAsia="Arial" w:hAnsi="Arial"/>
          <w:sz w:val="17"/>
          <w:szCs w:val="17"/>
          <w:color w:val="auto"/>
        </w:rPr>
        <w:t>”),</w:t>
      </w:r>
    </w:p>
    <w:p>
      <w:pPr>
        <w:spacing w:after="0" w:line="34" w:lineRule="exact"/>
        <w:rPr>
          <w:rFonts w:ascii="Arial" w:cs="Arial" w:eastAsia="Arial" w:hAnsi="Arial"/>
          <w:sz w:val="17"/>
          <w:szCs w:val="17"/>
          <w:color w:val="auto"/>
        </w:rPr>
      </w:pPr>
    </w:p>
    <w:p>
      <w:pPr>
        <w:jc w:val="both"/>
        <w:ind w:firstLine="8"/>
        <w:spacing w:after="0" w:line="252" w:lineRule="auto"/>
        <w:tabs>
          <w:tab w:leader="none" w:pos="3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AF V Energy IV AIV 2, L.P. (“</w:t>
      </w:r>
      <w:r>
        <w:rPr>
          <w:rFonts w:ascii="Arial" w:cs="Arial" w:eastAsia="Arial" w:hAnsi="Arial"/>
          <w:sz w:val="18"/>
          <w:szCs w:val="18"/>
          <w:u w:val="single" w:color="auto"/>
          <w:color w:val="auto"/>
        </w:rPr>
        <w:t>ACOF AIV 2</w:t>
      </w:r>
      <w:r>
        <w:rPr>
          <w:rFonts w:ascii="Arial" w:cs="Arial" w:eastAsia="Arial" w:hAnsi="Arial"/>
          <w:sz w:val="18"/>
          <w:szCs w:val="18"/>
          <w:color w:val="auto"/>
        </w:rPr>
        <w:t>” and, together with ACOF AIV 1A and ACOF AIV 1B, the “</w:t>
      </w:r>
      <w:r>
        <w:rPr>
          <w:rFonts w:ascii="Arial" w:cs="Arial" w:eastAsia="Arial" w:hAnsi="Arial"/>
          <w:sz w:val="18"/>
          <w:szCs w:val="18"/>
          <w:u w:val="single" w:color="auto"/>
          <w:color w:val="auto"/>
        </w:rPr>
        <w:t>ACOF AIVs</w:t>
      </w:r>
      <w:r>
        <w:rPr>
          <w:rFonts w:ascii="Arial" w:cs="Arial" w:eastAsia="Arial" w:hAnsi="Arial"/>
          <w:sz w:val="18"/>
          <w:szCs w:val="18"/>
          <w:color w:val="auto"/>
        </w:rPr>
        <w:t>”), (iv) AEOF ECR AIV A-B, L.P. (“</w:t>
      </w:r>
      <w:r>
        <w:rPr>
          <w:rFonts w:ascii="Arial" w:cs="Arial" w:eastAsia="Arial" w:hAnsi="Arial"/>
          <w:sz w:val="18"/>
          <w:szCs w:val="18"/>
          <w:u w:val="single" w:color="auto"/>
          <w:color w:val="auto"/>
        </w:rPr>
        <w:t>AEOF AIV A-B</w:t>
      </w:r>
      <w:r>
        <w:rPr>
          <w:rFonts w:ascii="Arial" w:cs="Arial" w:eastAsia="Arial" w:hAnsi="Arial"/>
          <w:sz w:val="18"/>
          <w:szCs w:val="18"/>
          <w:color w:val="auto"/>
        </w:rPr>
        <w:t>”), (v) AEOF ECR AIV C, L.P. (“</w:t>
      </w:r>
      <w:r>
        <w:rPr>
          <w:rFonts w:ascii="Arial" w:cs="Arial" w:eastAsia="Arial" w:hAnsi="Arial"/>
          <w:sz w:val="18"/>
          <w:szCs w:val="18"/>
          <w:u w:val="single" w:color="auto"/>
          <w:color w:val="auto"/>
        </w:rPr>
        <w:t>AEOF AIV C</w:t>
      </w:r>
      <w:r>
        <w:rPr>
          <w:rFonts w:ascii="Arial" w:cs="Arial" w:eastAsia="Arial" w:hAnsi="Arial"/>
          <w:sz w:val="18"/>
          <w:szCs w:val="18"/>
          <w:color w:val="auto"/>
        </w:rPr>
        <w:t>” and, together with AEOF AIV A-B, the “</w:t>
      </w:r>
      <w:r>
        <w:rPr>
          <w:rFonts w:ascii="Arial" w:cs="Arial" w:eastAsia="Arial" w:hAnsi="Arial"/>
          <w:sz w:val="18"/>
          <w:szCs w:val="18"/>
          <w:u w:val="single" w:color="auto"/>
          <w:color w:val="auto"/>
        </w:rPr>
        <w:t>AEOF AIVs</w:t>
      </w:r>
      <w:r>
        <w:rPr>
          <w:rFonts w:ascii="Arial" w:cs="Arial" w:eastAsia="Arial" w:hAnsi="Arial"/>
          <w:sz w:val="18"/>
          <w:szCs w:val="18"/>
          <w:color w:val="auto"/>
        </w:rPr>
        <w:t>”), (vi) AF Energy Feeder, L.P., (vii) ACOF Investment Management LLC (“</w:t>
      </w:r>
      <w:r>
        <w:rPr>
          <w:rFonts w:ascii="Arial" w:cs="Arial" w:eastAsia="Arial" w:hAnsi="Arial"/>
          <w:sz w:val="18"/>
          <w:szCs w:val="18"/>
          <w:u w:val="single" w:color="auto"/>
          <w:color w:val="auto"/>
        </w:rPr>
        <w:t>ACOF Investment Management</w:t>
      </w:r>
      <w:r>
        <w:rPr>
          <w:rFonts w:ascii="Arial" w:cs="Arial" w:eastAsia="Arial" w:hAnsi="Arial"/>
          <w:sz w:val="18"/>
          <w:szCs w:val="18"/>
          <w:color w:val="auto"/>
        </w:rPr>
        <w:t>”), (viii) Ares Management LLC, (ix) Ares Management Holdings L.P. (“</w:t>
      </w:r>
      <w:r>
        <w:rPr>
          <w:rFonts w:ascii="Arial" w:cs="Arial" w:eastAsia="Arial" w:hAnsi="Arial"/>
          <w:sz w:val="18"/>
          <w:szCs w:val="18"/>
          <w:u w:val="single" w:color="auto"/>
          <w:color w:val="auto"/>
        </w:rPr>
        <w:t>Ares Management Holdings</w:t>
      </w:r>
      <w:r>
        <w:rPr>
          <w:rFonts w:ascii="Arial" w:cs="Arial" w:eastAsia="Arial" w:hAnsi="Arial"/>
          <w:sz w:val="18"/>
          <w:szCs w:val="18"/>
          <w:color w:val="auto"/>
        </w:rPr>
        <w:t>”), (x) Ares Holdco LLC (“</w:t>
      </w:r>
      <w:r>
        <w:rPr>
          <w:rFonts w:ascii="Arial" w:cs="Arial" w:eastAsia="Arial" w:hAnsi="Arial"/>
          <w:sz w:val="18"/>
          <w:szCs w:val="18"/>
          <w:u w:val="single" w:color="auto"/>
          <w:color w:val="auto"/>
        </w:rPr>
        <w:t>Ares Holdco</w:t>
      </w:r>
      <w:r>
        <w:rPr>
          <w:rFonts w:ascii="Arial" w:cs="Arial" w:eastAsia="Arial" w:hAnsi="Arial"/>
          <w:sz w:val="18"/>
          <w:szCs w:val="18"/>
          <w:color w:val="auto"/>
        </w:rPr>
        <w:t>”), (xi) Ares Management Corporation (“</w:t>
      </w:r>
      <w:r>
        <w:rPr>
          <w:rFonts w:ascii="Arial" w:cs="Arial" w:eastAsia="Arial" w:hAnsi="Arial"/>
          <w:sz w:val="18"/>
          <w:szCs w:val="18"/>
          <w:u w:val="single" w:color="auto"/>
          <w:color w:val="auto"/>
        </w:rPr>
        <w:t>Ares Management</w:t>
      </w:r>
      <w:r>
        <w:rPr>
          <w:rFonts w:ascii="Arial" w:cs="Arial" w:eastAsia="Arial" w:hAnsi="Arial"/>
          <w:sz w:val="18"/>
          <w:szCs w:val="18"/>
          <w:color w:val="auto"/>
        </w:rPr>
        <w:t>”), (xii) Ares Voting LLC (“</w:t>
      </w:r>
      <w:r>
        <w:rPr>
          <w:rFonts w:ascii="Arial" w:cs="Arial" w:eastAsia="Arial" w:hAnsi="Arial"/>
          <w:sz w:val="18"/>
          <w:szCs w:val="18"/>
          <w:u w:val="single" w:color="auto"/>
          <w:color w:val="auto"/>
        </w:rPr>
        <w:t>Ares Voting</w:t>
      </w:r>
      <w:r>
        <w:rPr>
          <w:rFonts w:ascii="Arial" w:cs="Arial" w:eastAsia="Arial" w:hAnsi="Arial"/>
          <w:sz w:val="18"/>
          <w:szCs w:val="18"/>
          <w:color w:val="auto"/>
        </w:rPr>
        <w:t>”), (xiii) Ares Management GP LLC (“</w:t>
      </w:r>
      <w:r>
        <w:rPr>
          <w:rFonts w:ascii="Arial" w:cs="Arial" w:eastAsia="Arial" w:hAnsi="Arial"/>
          <w:sz w:val="18"/>
          <w:szCs w:val="18"/>
          <w:u w:val="single" w:color="auto"/>
          <w:color w:val="auto"/>
        </w:rPr>
        <w:t>Ares Management GP</w:t>
      </w:r>
      <w:r>
        <w:rPr>
          <w:rFonts w:ascii="Arial" w:cs="Arial" w:eastAsia="Arial" w:hAnsi="Arial"/>
          <w:sz w:val="18"/>
          <w:szCs w:val="18"/>
          <w:color w:val="auto"/>
        </w:rPr>
        <w:t>”) and (xiv) Ares Partners Holdco LLC (“</w:t>
      </w:r>
      <w:r>
        <w:rPr>
          <w:rFonts w:ascii="Arial" w:cs="Arial" w:eastAsia="Arial" w:hAnsi="Arial"/>
          <w:sz w:val="18"/>
          <w:szCs w:val="18"/>
          <w:u w:val="single" w:color="auto"/>
          <w:color w:val="auto"/>
        </w:rPr>
        <w:t>Ares Partners</w:t>
      </w:r>
      <w:r>
        <w:rPr>
          <w:rFonts w:ascii="Arial" w:cs="Arial" w:eastAsia="Arial" w:hAnsi="Arial"/>
          <w:sz w:val="18"/>
          <w:szCs w:val="18"/>
          <w:color w:val="auto"/>
        </w:rPr>
        <w:t>”)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xml:space="preserve">”). The Reporting Persons have entered into a joint filing agreement, dated as of September 23, 2021, a copy of which is attached to this Schedule 13D as </w:t>
      </w:r>
      <w:r>
        <w:rPr>
          <w:rFonts w:ascii="Arial" w:cs="Arial" w:eastAsia="Arial" w:hAnsi="Arial"/>
          <w:sz w:val="18"/>
          <w:szCs w:val="18"/>
          <w:u w:val="single" w:color="auto"/>
          <w:color w:val="auto"/>
        </w:rPr>
        <w:t>Exhibit 99.1</w:t>
      </w:r>
      <w:r>
        <w:rPr>
          <w:rFonts w:ascii="Arial" w:cs="Arial" w:eastAsia="Arial" w:hAnsi="Arial"/>
          <w:sz w:val="18"/>
          <w:szCs w:val="18"/>
          <w:color w:val="auto"/>
        </w:rPr>
        <w: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reported in Amendment No. 4 to the Original Schedule 13D, SSF IV Energy I AIV 1A, L.P., SSF IV Energy I AIV 1B, L.P., SSF IV Energy I AIV 2, L.P. and ASSF Operating Manager IV, L.P. have sold all shares of the Issuer’s Common Stock previously held by them directly or indirectly and are no longer Reporting Persons.</w:t>
      </w:r>
    </w:p>
    <w:p>
      <w:pPr>
        <w:spacing w:after="0" w:line="184" w:lineRule="exact"/>
        <w:rPr>
          <w:sz w:val="20"/>
          <w:szCs w:val="20"/>
          <w:color w:val="auto"/>
        </w:rPr>
      </w:pPr>
    </w:p>
    <w:p>
      <w:pPr>
        <w:jc w:val="both"/>
        <w:ind w:firstLine="8"/>
        <w:spacing w:after="0" w:line="268" w:lineRule="auto"/>
        <w:tabs>
          <w:tab w:leader="none" w:pos="27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Reporting Persons are either holding companies without operations, or are principally engaged in the business of investment management or making, purchasing, selling and holding investments. 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w:t>
      </w:r>
      <w:r>
        <w:rPr>
          <w:rFonts w:ascii="Arial" w:cs="Arial" w:eastAsia="Arial" w:hAnsi="Arial"/>
          <w:sz w:val="17"/>
          <w:szCs w:val="17"/>
          <w:u w:val="single" w:color="auto"/>
          <w:color w:val="auto"/>
        </w:rPr>
        <w:t>Ares Class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Stock</w:t>
      </w:r>
      <w:r>
        <w:rPr>
          <w:rFonts w:ascii="Arial" w:cs="Arial" w:eastAsia="Arial" w:hAnsi="Arial"/>
          <w:sz w:val="17"/>
          <w:szCs w:val="17"/>
          <w:color w:val="auto"/>
        </w:rPr>
        <w:t>”) and Ares Voting is the sole holder of the Class C common stock, $0.01 par value per share, of Ares Management (the “</w:t>
      </w:r>
      <w:r>
        <w:rPr>
          <w:rFonts w:ascii="Arial" w:cs="Arial" w:eastAsia="Arial" w:hAnsi="Arial"/>
          <w:sz w:val="17"/>
          <w:szCs w:val="17"/>
          <w:u w:val="single" w:color="auto"/>
          <w:color w:val="auto"/>
        </w:rPr>
        <w:t>Ares Class C</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Pursuant to Ares Management’s Certificate of Incorporation in effect as of the date of this Schedule 13D, the holders of the Ares Class B Common Stock and the Ares Class C Common Stock, collectively, will generally have the majority of the votes on any matter submitted to the stockholders of Ares Management if certain conditions are met. The officers and directors of Ares Management and their principal occupations are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 Schedule 13D. The sole member of both Ares Management GP and Ares Voting is Ares Partners. Ares Partners is managed by a board of managers, which is composed of Michael J Arougheti, Ryan Berry, R. Kipp deVeer, David B. Kaplan, Antony P. Ressler and Bennett Rosenthal (collectively, the “</w:t>
      </w:r>
      <w:r>
        <w:rPr>
          <w:rFonts w:ascii="Arial" w:cs="Arial" w:eastAsia="Arial" w:hAnsi="Arial"/>
          <w:sz w:val="17"/>
          <w:szCs w:val="17"/>
          <w:u w:val="single" w:color="auto"/>
          <w:color w:val="auto"/>
        </w:rPr>
        <w:t>Board Members</w:t>
      </w:r>
      <w:r>
        <w:rPr>
          <w:rFonts w:ascii="Arial" w:cs="Arial" w:eastAsia="Arial" w:hAnsi="Arial"/>
          <w:sz w:val="17"/>
          <w:szCs w:val="17"/>
          <w:color w:val="auto"/>
        </w:rPr>
        <w:t xml:space="preserve">”). Mr. Ressler generally has veto authority over decisions by the Board Members. The present principal occupation of each of the Board Members is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 Schedule 13D.</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 Reporting Persons (other than the ACOF AIVs, the AEOF AIVs, and AF Energy Feeder, L.P., in each case, solely with respect to the shares of Common Stock held directly by each such Reporting Person), the Managers, and the other directors, officers, partners, stockholders, members and managers of the Reporting Persons, expressly disclaims beneficial ownership of the Common Stock for purposes of Section 13(d) of the Act and the rules under Section 13(d)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5(a) and 5(c) of the 13D Filing are hereby amended and restated in their entirety as follows:</w:t>
      </w:r>
    </w:p>
    <w:p>
      <w:pPr>
        <w:spacing w:after="0" w:line="221" w:lineRule="exact"/>
        <w:rPr>
          <w:sz w:val="20"/>
          <w:szCs w:val="20"/>
          <w:color w:val="auto"/>
        </w:rPr>
      </w:pPr>
    </w:p>
    <w:p>
      <w:pPr>
        <w:jc w:val="both"/>
        <w:ind w:firstLine="8"/>
        <w:spacing w:after="0" w:line="273" w:lineRule="auto"/>
        <w:tabs>
          <w:tab w:leader="none" w:pos="244"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Aggregate Number and Percentage of Securities</w:t>
      </w:r>
      <w:r>
        <w:rPr>
          <w:rFonts w:ascii="Arial" w:cs="Arial" w:eastAsia="Arial" w:hAnsi="Arial"/>
          <w:sz w:val="17"/>
          <w:szCs w:val="17"/>
          <w:color w:val="auto"/>
        </w:rPr>
        <w:t>. As of the date that this Schedule 13D is filed, (i) ACOF AIV 1A directly holds 674,003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(ii) ACOF AIV 1B directly holds 2,466,515 shares of Common Stock, (iii) ACOF AIV 2 directly holds 2,512,640 shares of Common Stock, (iv) AEOF AIV A-B directly holds 1,894,861 shares of Common Stock, (v) AEOF AIV C directly holds 804,524 shares of Common Stock and (vi) AF Energy Feeder, L.P. directly holds 2,936,379 shares of Common Stock. The Reporting Persons, as a result of the relationships described in Item 2, may be deemed to directly or indirectly beneficially own the shares of Common Stock directly held by the ACOF AIVs, the AEOF AIVs and AF Energy Feeder, L.P. (as applicable). See Items 11 and 13 of the cover pages to, and Item 2 of, this Schedule 13D for the aggregate number of Common Stock and the percentage of Common Stock beneficially owned by each of the Reporting Persons.</w:t>
      </w:r>
    </w:p>
    <w:p>
      <w:pPr>
        <w:spacing w:after="0" w:line="172" w:lineRule="exact"/>
        <w:rPr>
          <w:sz w:val="20"/>
          <w:szCs w:val="20"/>
          <w:color w:val="auto"/>
        </w:rPr>
      </w:pPr>
    </w:p>
    <w:p>
      <w:pPr>
        <w:jc w:val="both"/>
        <w:ind w:firstLine="8"/>
        <w:spacing w:after="0" w:line="266" w:lineRule="auto"/>
        <w:tabs>
          <w:tab w:leader="none" w:pos="258"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Transactions within the past 60 days</w:t>
      </w:r>
      <w:r>
        <w:rPr>
          <w:rFonts w:ascii="Arial" w:cs="Arial" w:eastAsia="Arial" w:hAnsi="Arial"/>
          <w:sz w:val="18"/>
          <w:szCs w:val="18"/>
          <w:color w:val="auto"/>
        </w:rPr>
        <w:t>. On September 22, 2021, AF Energy Feeder, L.P. made a pro rata in-kind distribution for no consideration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2,878,803 shares of Common Stock to one of its limited partners. Except for this transaction, none of the Reporting Persons has effected any transaction in Common Stock during the past 60 days.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tabs>
          <w:tab w:leader="none" w:pos="1460" w:val="left"/>
        </w:tabs>
        <w:rPr>
          <w:rFonts w:ascii="Arial" w:cs="Arial" w:eastAsia="Arial" w:hAnsi="Arial"/>
          <w:sz w:val="16"/>
          <w:szCs w:val="16"/>
          <w:u w:val="single" w:color="auto"/>
          <w:color w:val="0000EE"/>
        </w:rPr>
      </w:pPr>
      <w:hyperlink w:anchor="page22">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22">
        <w:r>
          <w:rPr>
            <w:rFonts w:ascii="Arial" w:cs="Arial" w:eastAsia="Arial" w:hAnsi="Arial"/>
            <w:sz w:val="16"/>
            <w:szCs w:val="16"/>
            <w:u w:val="single" w:color="auto"/>
            <w:color w:val="0000EE"/>
          </w:rPr>
          <w:t>Joint Filing Agreement, dated as of September 23, 2021, by and among the Reporting Persons.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23,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ARES HOLDCO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9" w:name="page20"/>
    <w:bookmarkEnd w:id="19"/>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ARES PARTNERS HOLDCO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 w:name="page21"/>
    <w:bookmarkEnd w:id="20"/>
    <w:p>
      <w:pPr>
        <w:ind w:left="488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1380" w:val="left"/>
        </w:tabs>
        <w:rPr>
          <w:rFonts w:ascii="Arial" w:cs="Arial" w:eastAsia="Arial" w:hAnsi="Arial"/>
          <w:sz w:val="16"/>
          <w:szCs w:val="16"/>
          <w:u w:val="single" w:color="auto"/>
          <w:color w:val="0000EE"/>
        </w:rPr>
      </w:pPr>
      <w:hyperlink w:anchor="page22">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22">
        <w:r>
          <w:rPr>
            <w:rFonts w:ascii="Arial" w:cs="Arial" w:eastAsia="Arial" w:hAnsi="Arial"/>
            <w:sz w:val="16"/>
            <w:szCs w:val="16"/>
            <w:u w:val="single" w:color="auto"/>
            <w:color w:val="0000EE"/>
          </w:rPr>
          <w:t>Joint Filing Agreement, dated as of September 23, 2021, by and among the Reporting Persons.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443230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99"/>
          </w:cols>
          <w:pgMar w:left="360" w:top="1120"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undersigned hereby execute this agreement as of September 23,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ACOF INVESTMENT MANAGEMENT LLC</w:t>
      </w:r>
    </w:p>
    <w:p>
      <w:pPr>
        <w:spacing w:after="0" w:line="2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ACOF INVESTMENT MANAGEMENT LLC</w:t>
      </w:r>
    </w:p>
    <w:p>
      <w:pPr>
        <w:spacing w:after="0" w:line="2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ACOF INVESTMENT MANAGEMENT LLC</w:t>
      </w:r>
    </w:p>
    <w:p>
      <w:pPr>
        <w:spacing w:after="0" w:line="2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ACOF INVESTMENT MANAGEMENT LLC</w:t>
      </w:r>
    </w:p>
    <w:p>
      <w:pPr>
        <w:spacing w:after="0" w:line="23"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left="452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7"/>
          <w:szCs w:val="17"/>
          <w:color w:val="auto"/>
        </w:rPr>
        <w:t>By:</w:t>
        <w:tab/>
        <w:t>ACOF INVESTMENT MANAGEMENT LLC</w:t>
      </w:r>
    </w:p>
    <w:p>
      <w:pPr>
        <w:spacing w:after="0" w:line="3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7"/>
          <w:szCs w:val="17"/>
          <w:color w:val="auto"/>
        </w:rPr>
        <w:t>By:</w:t>
        <w:tab/>
        <w:t>ACOF INVESTMENT MANAGEMENT LLC</w:t>
      </w:r>
    </w:p>
    <w:p>
      <w:pPr>
        <w:spacing w:after="0" w:line="3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ARES HOLDCO LLC</w:t>
      </w:r>
    </w:p>
    <w:p>
      <w:pPr>
        <w:spacing w:after="0" w:line="23"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451485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7"/>
          <w:szCs w:val="17"/>
          <w:color w:val="auto"/>
        </w:rPr>
        <w:t>By:</w:t>
        <w:tab/>
        <w:t>ARES PARTNERS HOLDCO LLC</w:t>
      </w:r>
    </w:p>
    <w:p>
      <w:pPr>
        <w:spacing w:after="0" w:line="35"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Its:</w:t>
        <w:tab/>
        <w:t>Sole Member</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32746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Naseem Sagati Aghili</w:t>
      </w:r>
    </w:p>
    <w:p>
      <w:pPr>
        <w:spacing w:after="0" w:line="23"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580" w:type="dxa"/>
            <w:vAlign w:val="bottom"/>
            <w:gridSpan w:val="4"/>
          </w:tcPr>
          <w:p>
            <w:pPr>
              <w:jc w:val="center"/>
              <w:ind w:right="3660"/>
              <w:spacing w:after="0"/>
              <w:rPr>
                <w:sz w:val="20"/>
                <w:szCs w:val="20"/>
                <w:color w:val="auto"/>
              </w:rPr>
            </w:pPr>
            <w:r>
              <w:rPr>
                <w:rFonts w:ascii="Arial" w:cs="Arial" w:eastAsia="Arial" w:hAnsi="Arial"/>
                <w:sz w:val="18"/>
                <w:szCs w:val="18"/>
                <w:b w:val="1"/>
                <w:bCs w:val="1"/>
                <w:color w:val="auto"/>
                <w:w w:val="99"/>
              </w:rPr>
              <w:t>SCHEDULE A</w:t>
            </w:r>
          </w:p>
        </w:tc>
      </w:tr>
      <w:tr>
        <w:trPr>
          <w:trHeight w:val="432"/>
        </w:trPr>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8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w w:val="99"/>
              </w:rPr>
              <w:t>BOARD OF MANAGERS OF</w:t>
            </w:r>
          </w:p>
        </w:tc>
      </w:tr>
      <w:tr>
        <w:trPr>
          <w:trHeight w:val="432"/>
        </w:trPr>
        <w:tc>
          <w:tcPr>
            <w:tcW w:w="2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58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w w:val="98"/>
              </w:rPr>
              <w:t>ARES PARTNERS HOLDCO LLC</w:t>
            </w:r>
          </w:p>
        </w:tc>
      </w:tr>
      <w:tr>
        <w:trPr>
          <w:trHeight w:val="216"/>
        </w:trPr>
        <w:tc>
          <w:tcPr>
            <w:tcW w:w="2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169"/>
        </w:trPr>
        <w:tc>
          <w:tcPr>
            <w:tcW w:w="3660" w:type="dxa"/>
            <w:vAlign w:val="bottom"/>
            <w:tcBorders>
              <w:left w:val="single" w:sz="8" w:color="auto"/>
            </w:tcBorders>
            <w:gridSpan w:val="3"/>
          </w:tcPr>
          <w:p>
            <w:pPr>
              <w:ind w:left="2600"/>
              <w:spacing w:after="0" w:line="169" w:lineRule="exact"/>
              <w:rPr>
                <w:sz w:val="20"/>
                <w:szCs w:val="20"/>
                <w:color w:val="auto"/>
              </w:rPr>
            </w:pPr>
            <w:r>
              <w:rPr>
                <w:rFonts w:ascii="Arial" w:cs="Arial" w:eastAsia="Arial" w:hAnsi="Arial"/>
                <w:sz w:val="18"/>
                <w:szCs w:val="18"/>
                <w:b w:val="1"/>
                <w:bCs w:val="1"/>
                <w:color w:val="auto"/>
              </w:rPr>
              <w:t>Name</w:t>
            </w:r>
          </w:p>
        </w:tc>
        <w:tc>
          <w:tcPr>
            <w:tcW w:w="198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462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b w:val="1"/>
                <w:bCs w:val="1"/>
                <w:color w:val="auto"/>
              </w:rPr>
              <w:t>Present Principal Occupation and Employment</w:t>
            </w:r>
          </w:p>
        </w:tc>
      </w:tr>
      <w:tr>
        <w:trPr>
          <w:trHeight w:val="237"/>
        </w:trPr>
        <w:tc>
          <w:tcPr>
            <w:tcW w:w="2600" w:type="dxa"/>
            <w:vAlign w:val="bottom"/>
            <w:tcBorders>
              <w:left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620" w:type="dxa"/>
            <w:vAlign w:val="bottom"/>
            <w:tcBorders>
              <w:top w:val="single" w:sz="8" w:color="auto"/>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224"/>
        </w:trPr>
        <w:tc>
          <w:tcPr>
            <w:tcW w:w="36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Michael J Arougheti</w:t>
            </w:r>
          </w:p>
        </w:tc>
        <w:tc>
          <w:tcPr>
            <w:tcW w:w="198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w w:val="94"/>
              </w:rPr>
              <w:t>Co-Founder, Chief Executive Officer and President of Ares Management</w:t>
            </w:r>
          </w:p>
        </w:tc>
      </w:tr>
      <w:tr>
        <w:trPr>
          <w:trHeight w:val="202"/>
        </w:trPr>
        <w:tc>
          <w:tcPr>
            <w:tcW w:w="26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r>
      <w:tr>
        <w:trPr>
          <w:trHeight w:val="224"/>
        </w:trPr>
        <w:tc>
          <w:tcPr>
            <w:tcW w:w="36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Ryan Berry</w:t>
            </w:r>
          </w:p>
        </w:tc>
        <w:tc>
          <w:tcPr>
            <w:tcW w:w="198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Chief Marketing and Strategy Officer of Ares Management</w:t>
            </w:r>
          </w:p>
        </w:tc>
      </w:tr>
      <w:tr>
        <w:trPr>
          <w:trHeight w:val="202"/>
        </w:trPr>
        <w:tc>
          <w:tcPr>
            <w:tcW w:w="26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r>
      <w:tr>
        <w:trPr>
          <w:trHeight w:val="224"/>
        </w:trPr>
        <w:tc>
          <w:tcPr>
            <w:tcW w:w="36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R. Kipp deVeer</w:t>
            </w:r>
          </w:p>
        </w:tc>
        <w:tc>
          <w:tcPr>
            <w:tcW w:w="198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Head of Credit Group of Ares Management</w:t>
            </w:r>
          </w:p>
        </w:tc>
      </w:tr>
      <w:tr>
        <w:trPr>
          <w:trHeight w:val="202"/>
        </w:trPr>
        <w:tc>
          <w:tcPr>
            <w:tcW w:w="26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r>
      <w:tr>
        <w:trPr>
          <w:trHeight w:val="195"/>
        </w:trPr>
        <w:tc>
          <w:tcPr>
            <w:tcW w:w="3660" w:type="dxa"/>
            <w:vAlign w:val="bottom"/>
            <w:tcBorders>
              <w:lef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David B. Kaplan</w:t>
            </w:r>
          </w:p>
        </w:tc>
        <w:tc>
          <w:tcPr>
            <w:tcW w:w="198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Co-Founder, Co-Chairman of the Private Equity Group of Ares</w:t>
            </w:r>
          </w:p>
        </w:tc>
      </w:tr>
      <w:tr>
        <w:trPr>
          <w:trHeight w:val="230"/>
        </w:trPr>
        <w:tc>
          <w:tcPr>
            <w:tcW w:w="26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Management</w:t>
            </w:r>
          </w:p>
        </w:tc>
      </w:tr>
      <w:tr>
        <w:trPr>
          <w:trHeight w:val="216"/>
        </w:trPr>
        <w:tc>
          <w:tcPr>
            <w:tcW w:w="26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r>
        <w:trPr>
          <w:trHeight w:val="224"/>
        </w:trPr>
        <w:tc>
          <w:tcPr>
            <w:tcW w:w="366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Antony P. Ressler</w:t>
            </w:r>
          </w:p>
        </w:tc>
        <w:tc>
          <w:tcPr>
            <w:tcW w:w="198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Co-Founder, Executive Chairman of Ares Management</w:t>
            </w:r>
          </w:p>
        </w:tc>
      </w:tr>
      <w:tr>
        <w:trPr>
          <w:trHeight w:val="202"/>
        </w:trPr>
        <w:tc>
          <w:tcPr>
            <w:tcW w:w="26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r>
      <w:tr>
        <w:trPr>
          <w:trHeight w:val="195"/>
        </w:trPr>
        <w:tc>
          <w:tcPr>
            <w:tcW w:w="3660" w:type="dxa"/>
            <w:vAlign w:val="bottom"/>
            <w:tcBorders>
              <w:lef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Bennett Rosenthal</w:t>
            </w:r>
          </w:p>
        </w:tc>
        <w:tc>
          <w:tcPr>
            <w:tcW w:w="1980" w:type="dxa"/>
            <w:vAlign w:val="bottom"/>
            <w:tcBorders>
              <w:right w:val="single" w:sz="8" w:color="auto"/>
            </w:tcBorders>
          </w:tcPr>
          <w:p>
            <w:pPr>
              <w:spacing w:after="0"/>
              <w:rPr>
                <w:sz w:val="16"/>
                <w:szCs w:val="16"/>
                <w:color w:val="auto"/>
              </w:rPr>
            </w:pPr>
          </w:p>
        </w:tc>
        <w:tc>
          <w:tcPr>
            <w:tcW w:w="56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Co-Founder, Co-Chairman of the Private Equity Group of Ares</w:t>
            </w:r>
          </w:p>
        </w:tc>
      </w:tr>
      <w:tr>
        <w:trPr>
          <w:trHeight w:val="230"/>
        </w:trPr>
        <w:tc>
          <w:tcPr>
            <w:tcW w:w="26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56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Management</w:t>
            </w:r>
          </w:p>
        </w:tc>
      </w:tr>
      <w:tr>
        <w:trPr>
          <w:trHeight w:val="216"/>
        </w:trPr>
        <w:tc>
          <w:tcPr>
            <w:tcW w:w="26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address for all of the persons listed above is c/o Ares Management LLC, 2000 Avenue of the Stars, 12th Floor, Los Angeles, California 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DIRECTORS AND EXECUTIVE OFFICERS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ARES MANAGEMENT CORPORATION</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700" w:type="dxa"/>
            <w:vAlign w:val="bottom"/>
            <w:tcBorders>
              <w:top w:val="single" w:sz="8" w:color="auto"/>
              <w:left w:val="single" w:sz="8" w:color="auto"/>
            </w:tcBorders>
          </w:tcPr>
          <w:p>
            <w:pPr>
              <w:spacing w:after="0"/>
              <w:rPr>
                <w:sz w:val="16"/>
                <w:szCs w:val="16"/>
                <w:color w:val="auto"/>
              </w:rPr>
            </w:pPr>
          </w:p>
        </w:tc>
        <w:tc>
          <w:tcPr>
            <w:tcW w:w="214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Name</w:t>
            </w:r>
          </w:p>
        </w:tc>
        <w:tc>
          <w:tcPr>
            <w:tcW w:w="3700" w:type="dxa"/>
            <w:vAlign w:val="bottom"/>
            <w:tcBorders>
              <w:top w:val="single" w:sz="8" w:color="auto"/>
              <w:right w:val="single" w:sz="8" w:color="auto"/>
            </w:tcBorders>
            <w:gridSpan w:val="3"/>
          </w:tcPr>
          <w:p>
            <w:pPr>
              <w:ind w:left="820"/>
              <w:spacing w:after="0" w:line="189" w:lineRule="exact"/>
              <w:rPr>
                <w:sz w:val="20"/>
                <w:szCs w:val="20"/>
                <w:color w:val="auto"/>
              </w:rPr>
            </w:pPr>
            <w:r>
              <w:rPr>
                <w:rFonts w:ascii="Arial" w:cs="Arial" w:eastAsia="Arial" w:hAnsi="Arial"/>
                <w:sz w:val="18"/>
                <w:szCs w:val="18"/>
                <w:b w:val="1"/>
                <w:bCs w:val="1"/>
                <w:color w:val="auto"/>
              </w:rPr>
              <w:t>Director/Executive Officer</w:t>
            </w:r>
          </w:p>
        </w:tc>
        <w:tc>
          <w:tcPr>
            <w:tcW w:w="540" w:type="dxa"/>
            <w:vAlign w:val="bottom"/>
            <w:tcBorders>
              <w:top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4"/>
          </w:tcPr>
          <w:p>
            <w:pPr>
              <w:jc w:val="center"/>
              <w:ind w:right="560"/>
              <w:spacing w:after="0" w:line="189" w:lineRule="exact"/>
              <w:rPr>
                <w:sz w:val="20"/>
                <w:szCs w:val="20"/>
                <w:color w:val="auto"/>
              </w:rPr>
            </w:pPr>
            <w:r>
              <w:rPr>
                <w:rFonts w:ascii="Arial" w:cs="Arial" w:eastAsia="Arial" w:hAnsi="Arial"/>
                <w:sz w:val="18"/>
                <w:szCs w:val="18"/>
                <w:b w:val="1"/>
                <w:bCs w:val="1"/>
                <w:color w:val="auto"/>
                <w:w w:val="90"/>
              </w:rPr>
              <w:t>Present Principal Occupation and</w:t>
            </w:r>
          </w:p>
        </w:tc>
      </w:tr>
      <w:tr>
        <w:trPr>
          <w:trHeight w:val="196"/>
        </w:trPr>
        <w:tc>
          <w:tcPr>
            <w:tcW w:w="1700" w:type="dxa"/>
            <w:vAlign w:val="bottom"/>
            <w:tcBorders>
              <w:left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600" w:type="dxa"/>
            <w:vAlign w:val="bottom"/>
            <w:tcBorders>
              <w:top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2"/>
              </w:rPr>
              <w:t>Employment</w:t>
            </w:r>
          </w:p>
        </w:tc>
        <w:tc>
          <w:tcPr>
            <w:tcW w:w="560" w:type="dxa"/>
            <w:vAlign w:val="bottom"/>
            <w:tcBorders>
              <w:right w:val="single" w:sz="8" w:color="auto"/>
            </w:tcBorders>
          </w:tcPr>
          <w:p>
            <w:pPr>
              <w:spacing w:after="0"/>
              <w:rPr>
                <w:sz w:val="17"/>
                <w:szCs w:val="17"/>
                <w:color w:val="auto"/>
              </w:rPr>
            </w:pPr>
          </w:p>
        </w:tc>
      </w:tr>
      <w:tr>
        <w:trPr>
          <w:trHeight w:val="237"/>
        </w:trPr>
        <w:tc>
          <w:tcPr>
            <w:tcW w:w="1700" w:type="dxa"/>
            <w:vAlign w:val="bottom"/>
            <w:tcBorders>
              <w:left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Michael J Arougheti</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Director and 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Co-Founder, Chief Executive Officer and</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President of Ares 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David B. Kaplan</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Director and 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w w:val="93"/>
              </w:rPr>
              <w:t>Co-Founder, Co-Chairman of the Private Equity</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Group of Ares 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Antony P. Ressler</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Director and 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Co-Founder, Executive Chairman of Ares</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Bennett Rosenthal</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Director and 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w w:val="93"/>
              </w:rPr>
              <w:t>Co-Founder, Co-Chairman of the Private Equity</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Group of Ares 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224"/>
        </w:trPr>
        <w:tc>
          <w:tcPr>
            <w:tcW w:w="384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R. Kipp deVeer</w:t>
            </w:r>
          </w:p>
        </w:tc>
        <w:tc>
          <w:tcPr>
            <w:tcW w:w="37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Director and Executive Officer</w:t>
            </w: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Head of Credit Group of Ares Management</w:t>
            </w:r>
          </w:p>
        </w:tc>
      </w:tr>
      <w:tr>
        <w:trPr>
          <w:trHeight w:val="202"/>
        </w:trPr>
        <w:tc>
          <w:tcPr>
            <w:tcW w:w="17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Paul G. Joubert</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Director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Founding Partner of EdgeAdvisors and a</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w w:val="96"/>
              </w:rPr>
              <w:t>Venture Partner in Converge Venture Partners</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224"/>
        </w:trPr>
        <w:tc>
          <w:tcPr>
            <w:tcW w:w="384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Michael Lynton</w:t>
            </w:r>
          </w:p>
        </w:tc>
        <w:tc>
          <w:tcPr>
            <w:tcW w:w="37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Chairman of the Board of Snap Inc.</w:t>
            </w:r>
          </w:p>
        </w:tc>
      </w:tr>
      <w:tr>
        <w:trPr>
          <w:trHeight w:val="202"/>
        </w:trPr>
        <w:tc>
          <w:tcPr>
            <w:tcW w:w="17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r>
      <w:tr>
        <w:trPr>
          <w:trHeight w:val="224"/>
        </w:trPr>
        <w:tc>
          <w:tcPr>
            <w:tcW w:w="384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Dr. Judy Olian</w:t>
            </w:r>
          </w:p>
        </w:tc>
        <w:tc>
          <w:tcPr>
            <w:tcW w:w="37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Director</w:t>
            </w: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President of Quinnipiac University</w:t>
            </w:r>
          </w:p>
        </w:tc>
      </w:tr>
      <w:tr>
        <w:trPr>
          <w:trHeight w:val="202"/>
        </w:trPr>
        <w:tc>
          <w:tcPr>
            <w:tcW w:w="17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Antoinette C. Bush</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Director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w w:val="99"/>
              </w:rPr>
              <w:t>Executive Vice President and Global Head of</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Government Affairs for News Corp</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Ryan Berry</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Chief Marketing and Strategy Officer of Ares</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195"/>
        </w:trPr>
        <w:tc>
          <w:tcPr>
            <w:tcW w:w="3840" w:type="dxa"/>
            <w:vAlign w:val="bottom"/>
            <w:tcBorders>
              <w:left w:val="single" w:sz="8" w:color="auto"/>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Naseem Sagati Aghili</w:t>
            </w:r>
          </w:p>
        </w:tc>
        <w:tc>
          <w:tcPr>
            <w:tcW w:w="3700" w:type="dxa"/>
            <w:vAlign w:val="bottom"/>
            <w:tcBorders>
              <w:right w:val="single" w:sz="8" w:color="auto"/>
            </w:tcBorders>
            <w:gridSpan w:val="3"/>
          </w:tcPr>
          <w:p>
            <w:pPr>
              <w:ind w:left="100"/>
              <w:spacing w:after="0" w:line="195" w:lineRule="exact"/>
              <w:rPr>
                <w:sz w:val="20"/>
                <w:szCs w:val="20"/>
                <w:color w:val="auto"/>
              </w:rPr>
            </w:pPr>
            <w:r>
              <w:rPr>
                <w:rFonts w:ascii="Arial" w:cs="Arial" w:eastAsia="Arial" w:hAnsi="Arial"/>
                <w:sz w:val="18"/>
                <w:szCs w:val="18"/>
                <w:color w:val="auto"/>
              </w:rPr>
              <w:t>Executive Officer</w:t>
            </w:r>
          </w:p>
        </w:tc>
        <w:tc>
          <w:tcPr>
            <w:tcW w:w="370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General Counsel and Secretary of Ares</w:t>
            </w:r>
          </w:p>
        </w:tc>
      </w:tr>
      <w:tr>
        <w:trPr>
          <w:trHeight w:val="230"/>
        </w:trPr>
        <w:tc>
          <w:tcPr>
            <w:tcW w:w="170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Management</w:t>
            </w:r>
          </w:p>
        </w:tc>
      </w:tr>
      <w:tr>
        <w:trPr>
          <w:trHeight w:val="216"/>
        </w:trPr>
        <w:tc>
          <w:tcPr>
            <w:tcW w:w="1700" w:type="dxa"/>
            <w:vAlign w:val="bottom"/>
            <w:tcBorders>
              <w:left w:val="single" w:sz="8" w:color="auto"/>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r>
      <w:tr>
        <w:trPr>
          <w:trHeight w:val="224"/>
        </w:trPr>
        <w:tc>
          <w:tcPr>
            <w:tcW w:w="3840" w:type="dxa"/>
            <w:vAlign w:val="bottom"/>
            <w:tcBorders>
              <w:left w:val="single" w:sz="8" w:color="auto"/>
              <w:right w:val="single" w:sz="8" w:color="auto"/>
            </w:tcBorders>
            <w:gridSpan w:val="3"/>
          </w:tcPr>
          <w:p>
            <w:pPr>
              <w:ind w:left="120"/>
              <w:spacing w:after="0"/>
              <w:rPr>
                <w:sz w:val="20"/>
                <w:szCs w:val="20"/>
                <w:color w:val="auto"/>
              </w:rPr>
            </w:pPr>
            <w:r>
              <w:rPr>
                <w:rFonts w:ascii="Arial" w:cs="Arial" w:eastAsia="Arial" w:hAnsi="Arial"/>
                <w:sz w:val="18"/>
                <w:szCs w:val="18"/>
                <w:color w:val="auto"/>
              </w:rPr>
              <w:t>Jarrod Phillips</w:t>
            </w:r>
          </w:p>
        </w:tc>
        <w:tc>
          <w:tcPr>
            <w:tcW w:w="37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Executive Officer</w:t>
            </w:r>
          </w:p>
        </w:tc>
        <w:tc>
          <w:tcPr>
            <w:tcW w:w="370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Chief Financial Officer of Ares Management</w:t>
            </w:r>
          </w:p>
        </w:tc>
      </w:tr>
      <w:tr>
        <w:trPr>
          <w:trHeight w:val="202"/>
        </w:trPr>
        <w:tc>
          <w:tcPr>
            <w:tcW w:w="1700" w:type="dxa"/>
            <w:vAlign w:val="bottom"/>
            <w:tcBorders>
              <w:left w:val="single" w:sz="8" w:color="auto"/>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address for all of the persons listed above is c/o Ares Management LLC, 2000 Avenue of the Stars, 12th Floor, Los Angeles, California 90067.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lvl w:ilvl="1">
      <w:lvlJc w:val="left"/>
      <w:lvlText w:val="(%2)"/>
      <w:numFmt w:val="lowerLetter"/>
      <w:start w:val="1"/>
    </w:lvl>
  </w:abstractNum>
  <w:abstractNum w:abstractNumId="2">
    <w:nsid w:val="4353D0CD"/>
    <w:multiLevelType w:val="hybridMultilevel"/>
    <w:lvl w:ilvl="0">
      <w:lvlJc w:val="left"/>
      <w:lvlText w:val="%1"/>
      <w:numFmt w:val="decimal"/>
      <w:start w:val="1"/>
    </w:lvl>
    <w:lvl w:ilvl="1">
      <w:lvlJc w:val="left"/>
      <w:lvlText w:val="%2."/>
      <w:numFmt w:val="decimal"/>
      <w:start w:val="10"/>
    </w:lvl>
  </w:abstractNum>
  <w:abstractNum w:abstractNumId="3">
    <w:nsid w:val="B03E0C6"/>
    <w:multiLevelType w:val="hybridMultilevel"/>
    <w:lvl w:ilvl="0">
      <w:lvlJc w:val="left"/>
      <w:lvlText w:val="%1."/>
      <w:numFmt w:val="decimal"/>
      <w:start w:val="11"/>
    </w:lvl>
    <w:lvl w:ilvl="1">
      <w:lvlJc w:val="left"/>
      <w:lvlText w:val="%2"/>
      <w:numFmt w:val="decimal"/>
      <w:start w:val="1"/>
    </w:lvl>
  </w:abstractNum>
  <w:abstractNum w:abstractNumId="4">
    <w:nsid w:val="189A769B"/>
    <w:multiLevelType w:val="hybridMultilevel"/>
    <w:lvl w:ilvl="0">
      <w:lvlJc w:val="left"/>
      <w:lvlText w:val="%1."/>
      <w:numFmt w:val="decimal"/>
      <w:start w:val="1"/>
    </w:lvl>
    <w:lvl w:ilvl="1">
      <w:lvlJc w:val="left"/>
      <w:lvlText w:val="(%2)"/>
      <w:numFmt w:val="lowerLetter"/>
      <w:start w:val="1"/>
    </w:lvl>
  </w:abstractNum>
  <w:abstractNum w:abstractNumId="5">
    <w:nsid w:val="54E49EB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71F3245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2CA88611"/>
    <w:multiLevelType w:val="hybridMultilevel"/>
    <w:lvl w:ilvl="0">
      <w:lvlJc w:val="left"/>
      <w:lvlText w:val="%1."/>
      <w:numFmt w:val="decimal"/>
      <w:start w:val="1"/>
    </w:lvl>
    <w:lvl w:ilvl="1">
      <w:lvlJc w:val="left"/>
      <w:lvlText w:val="(%2)"/>
      <w:numFmt w:val="lowerLetter"/>
      <w:start w:val="1"/>
    </w:lvl>
  </w:abstractNum>
  <w:abstractNum w:abstractNumId="8">
    <w:nsid w:val="836C40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9">
    <w:nsid w:val="2901D8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3A95F874"/>
    <w:multiLevelType w:val="hybridMultilevel"/>
    <w:lvl w:ilvl="0">
      <w:lvlJc w:val="left"/>
      <w:lvlText w:val="%1."/>
      <w:numFmt w:val="decimal"/>
      <w:start w:val="1"/>
    </w:lvl>
    <w:lvl w:ilvl="1">
      <w:lvlJc w:val="left"/>
      <w:lvlText w:val="(%2)"/>
      <w:numFmt w:val="lowerLetter"/>
      <w:start w:val="1"/>
    </w:lvl>
  </w:abstractNum>
  <w:abstractNum w:abstractNumId="11">
    <w:nsid w:val="81386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2">
    <w:nsid w:val="1E7FF52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3">
    <w:nsid w:val="7C3DBD3D"/>
    <w:multiLevelType w:val="hybridMultilevel"/>
    <w:lvl w:ilvl="0">
      <w:lvlJc w:val="left"/>
      <w:lvlText w:val="%1."/>
      <w:numFmt w:val="decimal"/>
      <w:start w:val="1"/>
    </w:lvl>
    <w:lvl w:ilvl="1">
      <w:lvlJc w:val="left"/>
      <w:lvlText w:val="(%2)"/>
      <w:numFmt w:val="lowerLetter"/>
      <w:start w:val="1"/>
    </w:lvl>
  </w:abstractNum>
  <w:abstractNum w:abstractNumId="14">
    <w:nsid w:val="737B8D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5">
    <w:nsid w:val="6CEAF08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22221A70"/>
    <w:multiLevelType w:val="hybridMultilevel"/>
    <w:lvl w:ilvl="0">
      <w:lvlJc w:val="left"/>
      <w:lvlText w:val="%1."/>
      <w:numFmt w:val="decimal"/>
      <w:start w:val="1"/>
    </w:lvl>
    <w:lvl w:ilvl="1">
      <w:lvlJc w:val="left"/>
      <w:lvlText w:val="(%2)"/>
      <w:numFmt w:val="lowerLetter"/>
      <w:start w:val="1"/>
    </w:lvl>
  </w:abstractNum>
  <w:abstractNum w:abstractNumId="17">
    <w:nsid w:val="4516DDE9"/>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8">
    <w:nsid w:val="3006C8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614FD4A1"/>
    <w:multiLevelType w:val="hybridMultilevel"/>
    <w:lvl w:ilvl="0">
      <w:lvlJc w:val="left"/>
      <w:lvlText w:val="%1."/>
      <w:numFmt w:val="decimal"/>
      <w:start w:val="1"/>
    </w:lvl>
    <w:lvl w:ilvl="1">
      <w:lvlJc w:val="left"/>
      <w:lvlText w:val="(%2)"/>
      <w:numFmt w:val="lowerLetter"/>
      <w:start w:val="1"/>
    </w:lvl>
  </w:abstractNum>
  <w:abstractNum w:abstractNumId="20">
    <w:nsid w:val="419AC24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1">
    <w:nsid w:val="5577F8E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2">
    <w:nsid w:val="440BADFC"/>
    <w:multiLevelType w:val="hybridMultilevel"/>
    <w:lvl w:ilvl="0">
      <w:lvlJc w:val="left"/>
      <w:lvlText w:val="%1."/>
      <w:numFmt w:val="decimal"/>
      <w:start w:val="1"/>
    </w:lvl>
    <w:lvl w:ilvl="1">
      <w:lvlJc w:val="left"/>
      <w:lvlText w:val="(%2)"/>
      <w:numFmt w:val="lowerLetter"/>
      <w:start w:val="1"/>
    </w:lvl>
  </w:abstractNum>
  <w:abstractNum w:abstractNumId="23">
    <w:nsid w:val="507236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4">
    <w:nsid w:val="3804823E"/>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5">
    <w:nsid w:val="77465F01"/>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6">
    <w:nsid w:val="7724C67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7">
    <w:nsid w:val="5C482A97"/>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2463B9EA"/>
    <w:multiLevelType w:val="hybridMultilevel"/>
    <w:lvl w:ilvl="0">
      <w:lvlJc w:val="left"/>
      <w:lvlText w:val="%1."/>
      <w:numFmt w:val="decimal"/>
      <w:start w:val="1"/>
    </w:lvl>
    <w:lvl w:ilvl="1">
      <w:lvlJc w:val="left"/>
      <w:lvlText w:val="(%2)"/>
      <w:numFmt w:val="lowerLetter"/>
      <w:start w:val="1"/>
    </w:lvl>
  </w:abstractNum>
  <w:abstractNum w:abstractNumId="29">
    <w:nsid w:val="5E884AD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0">
    <w:nsid w:val="51EAD36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1">
    <w:nsid w:val="2D517796"/>
    <w:multiLevelType w:val="hybridMultilevel"/>
    <w:lvl w:ilvl="0">
      <w:lvlJc w:val="left"/>
      <w:lvlText w:val="%1."/>
      <w:numFmt w:val="decimal"/>
      <w:start w:val="1"/>
    </w:lvl>
    <w:lvl w:ilvl="1">
      <w:lvlJc w:val="left"/>
      <w:lvlText w:val="(%2)"/>
      <w:numFmt w:val="lowerLetter"/>
      <w:start w:val="1"/>
    </w:lvl>
  </w:abstractNum>
  <w:abstractNum w:abstractNumId="32">
    <w:nsid w:val="580BD78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3">
    <w:nsid w:val="153EA438"/>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4">
    <w:nsid w:val="385558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5">
    <w:nsid w:val="70A64E2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6">
    <w:nsid w:val="6A2342E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7">
    <w:nsid w:val="2A487CB0"/>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8">
    <w:nsid w:val="1D4ED43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9">
    <w:nsid w:val="725A06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0">
    <w:nsid w:val="2CD89A32"/>
    <w:multiLevelType w:val="hybridMultilevel"/>
    <w:lvl w:ilvl="0">
      <w:lvlJc w:val="left"/>
      <w:lvlText w:val="%1."/>
      <w:numFmt w:val="decimal"/>
      <w:start w:val="1"/>
    </w:lvl>
    <w:lvl w:ilvl="1">
      <w:lvlJc w:val="left"/>
      <w:lvlText w:val="(%2)"/>
      <w:numFmt w:val="lowerLetter"/>
      <w:start w:val="1"/>
    </w:lvl>
  </w:abstractNum>
  <w:abstractNum w:abstractNumId="41">
    <w:nsid w:val="57E4CCAF"/>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2">
    <w:nsid w:val="7A6D8D3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61"/>
    </w:lvl>
  </w:abstractNum>
  <w:abstractNum w:abstractNumId="45">
    <w:nsid w:val="6DE91B18"/>
    <w:multiLevelType w:val="hybridMultilevel"/>
    <w:lvl w:ilvl="0">
      <w:lvlJc w:val="left"/>
      <w:lvlText w:val="(%1)"/>
      <w:numFmt w:val="lowerLetter"/>
      <w:start w:val="3"/>
    </w:lvl>
  </w:abstractNum>
  <w:abstractNum w:abstractNumId="46">
    <w:nsid w:val="38437FDB"/>
    <w:multiLevelType w:val="hybridMultilevel"/>
    <w:lvl w:ilvl="0">
      <w:lvlJc w:val="left"/>
      <w:lvlText w:val="(%1)"/>
      <w:numFmt w:val="lowerLetter"/>
      <w:start w:val="1"/>
    </w:lvl>
  </w:abstractNum>
  <w:abstractNum w:abstractNumId="47">
    <w:nsid w:val="7644A45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2021-09-23T15:06:19Z</dcterms:created>
  <dcterms:modified xsi:type="dcterms:W3CDTF">2021-09-23T15:06:19Z</dcterms:modified>
</cp:coreProperties>
</file>