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207010</wp:posOffset>
            </wp:positionH>
            <wp:positionV relativeFrom="page">
              <wp:posOffset>576580</wp:posOffset>
            </wp:positionV>
            <wp:extent cx="71348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page">
              <wp:posOffset>207010</wp:posOffset>
            </wp:positionH>
            <wp:positionV relativeFrom="page">
              <wp:posOffset>601980</wp:posOffset>
            </wp:positionV>
            <wp:extent cx="71348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860" cy="8255"/>
                    </a:xfrm>
                    <a:prstGeom prst="rect">
                      <a:avLst/>
                    </a:prstGeom>
                    <a:noFill/>
                  </pic:spPr>
                </pic:pic>
              </a:graphicData>
            </a:graphic>
          </wp:anchor>
        </w:drawing>
        <w:t>UNITED STATES</w:t>
      </w:r>
    </w:p>
    <w:p>
      <w:pPr>
        <w:spacing w:after="0" w:line="22"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SECURITIES AND EXCHANGE COMMISSION</w:t>
      </w:r>
    </w:p>
    <w:p>
      <w:pPr>
        <w:spacing w:after="0" w:line="5"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Washington, D.C. 20549</w:t>
      </w:r>
    </w:p>
    <w:p>
      <w:pPr>
        <w:spacing w:after="0" w:line="5" w:lineRule="exact"/>
        <w:rPr>
          <w:sz w:val="24"/>
          <w:szCs w:val="24"/>
          <w:color w:val="auto"/>
        </w:rPr>
      </w:pPr>
    </w:p>
    <w:p>
      <w:pPr>
        <w:ind w:left="4700"/>
        <w:spacing w:after="0"/>
        <w:rPr>
          <w:sz w:val="20"/>
          <w:szCs w:val="20"/>
          <w:color w:val="auto"/>
        </w:rPr>
      </w:pPr>
      <w:r>
        <w:rPr>
          <w:rFonts w:ascii="Arial" w:cs="Arial" w:eastAsia="Arial" w:hAnsi="Arial"/>
          <w:sz w:val="18"/>
          <w:szCs w:val="18"/>
          <w:color w:val="auto"/>
        </w:rPr>
        <w:t>_____________________</w:t>
      </w:r>
    </w:p>
    <w:p>
      <w:pPr>
        <w:spacing w:after="0" w:line="14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FORM 8-K</w:t>
      </w:r>
    </w:p>
    <w:p>
      <w:pPr>
        <w:spacing w:after="0" w:line="22" w:lineRule="exact"/>
        <w:rPr>
          <w:sz w:val="24"/>
          <w:szCs w:val="24"/>
          <w:color w:val="auto"/>
        </w:rPr>
      </w:pPr>
    </w:p>
    <w:p>
      <w:pPr>
        <w:ind w:left="4700"/>
        <w:spacing w:after="0"/>
        <w:rPr>
          <w:sz w:val="20"/>
          <w:szCs w:val="20"/>
          <w:color w:val="auto"/>
        </w:rPr>
      </w:pPr>
      <w:r>
        <w:rPr>
          <w:rFonts w:ascii="Arial" w:cs="Arial" w:eastAsia="Arial" w:hAnsi="Arial"/>
          <w:sz w:val="18"/>
          <w:szCs w:val="18"/>
          <w:color w:val="auto"/>
        </w:rPr>
        <w:t>_____________________</w:t>
      </w:r>
    </w:p>
    <w:p>
      <w:pPr>
        <w:spacing w:after="0" w:line="147" w:lineRule="exact"/>
        <w:rPr>
          <w:sz w:val="24"/>
          <w:szCs w:val="24"/>
          <w:color w:val="auto"/>
        </w:rPr>
      </w:pPr>
    </w:p>
    <w:p>
      <w:pPr>
        <w:ind w:left="4800"/>
        <w:spacing w:after="0"/>
        <w:rPr>
          <w:sz w:val="20"/>
          <w:szCs w:val="20"/>
          <w:color w:val="auto"/>
        </w:rPr>
      </w:pPr>
      <w:r>
        <w:rPr>
          <w:rFonts w:ascii="Arial" w:cs="Arial" w:eastAsia="Arial" w:hAnsi="Arial"/>
          <w:sz w:val="18"/>
          <w:szCs w:val="18"/>
          <w:b w:val="1"/>
          <w:bCs w:val="1"/>
          <w:color w:val="auto"/>
        </w:rPr>
        <w:t>CURRENT REPORT</w:t>
      </w:r>
    </w:p>
    <w:p>
      <w:pPr>
        <w:spacing w:after="0" w:line="164" w:lineRule="exact"/>
        <w:rPr>
          <w:sz w:val="24"/>
          <w:szCs w:val="24"/>
          <w:color w:val="auto"/>
        </w:rPr>
      </w:pPr>
    </w:p>
    <w:p>
      <w:pPr>
        <w:ind w:left="3740"/>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2"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SECURITIES EXCHANGE ACT OF 1934</w:t>
      </w:r>
    </w:p>
    <w:p>
      <w:pPr>
        <w:spacing w:after="0" w:line="147" w:lineRule="exact"/>
        <w:rPr>
          <w:sz w:val="24"/>
          <w:szCs w:val="24"/>
          <w:color w:val="auto"/>
        </w:rPr>
      </w:pPr>
    </w:p>
    <w:p>
      <w:pPr>
        <w:jc w:val="center"/>
        <w:ind w:right="-159"/>
        <w:spacing w:after="0"/>
        <w:rPr>
          <w:sz w:val="20"/>
          <w:szCs w:val="20"/>
          <w:color w:val="auto"/>
        </w:rPr>
      </w:pPr>
      <w:r>
        <w:rPr>
          <w:rFonts w:ascii="Arial" w:cs="Arial" w:eastAsia="Arial" w:hAnsi="Arial"/>
          <w:sz w:val="15"/>
          <w:szCs w:val="15"/>
          <w:b w:val="1"/>
          <w:bCs w:val="1"/>
          <w:color w:val="auto"/>
        </w:rPr>
        <w:t>Date of report (Date of earliest event reported): August 5, 2021</w:t>
      </w:r>
    </w:p>
    <w:p>
      <w:pPr>
        <w:spacing w:after="0" w:line="205" w:lineRule="exact"/>
        <w:rPr>
          <w:sz w:val="24"/>
          <w:szCs w:val="24"/>
          <w:color w:val="auto"/>
        </w:rPr>
      </w:pPr>
    </w:p>
    <w:p>
      <w:pPr>
        <w:ind w:left="4700"/>
        <w:spacing w:after="0"/>
        <w:rPr>
          <w:sz w:val="20"/>
          <w:szCs w:val="20"/>
          <w:color w:val="auto"/>
        </w:rPr>
      </w:pPr>
      <w:r>
        <w:rPr>
          <w:rFonts w:ascii="Arial" w:cs="Arial" w:eastAsia="Arial" w:hAnsi="Arial"/>
          <w:sz w:val="18"/>
          <w:szCs w:val="18"/>
          <w:color w:val="auto"/>
        </w:rPr>
        <w:t>_____________________</w:t>
      </w:r>
    </w:p>
    <w:p>
      <w:pPr>
        <w:spacing w:after="0" w:line="91" w:lineRule="exact"/>
        <w:rPr>
          <w:sz w:val="24"/>
          <w:szCs w:val="24"/>
          <w:color w:val="auto"/>
        </w:rPr>
      </w:pPr>
    </w:p>
    <w:p>
      <w:pPr>
        <w:jc w:val="center"/>
        <w:ind w:right="-159"/>
        <w:spacing w:after="0"/>
        <w:rPr>
          <w:sz w:val="20"/>
          <w:szCs w:val="20"/>
          <w:color w:val="auto"/>
        </w:rPr>
      </w:pPr>
      <w:r>
        <w:rPr>
          <w:rFonts w:ascii="Arial" w:cs="Arial" w:eastAsia="Arial" w:hAnsi="Arial"/>
          <w:sz w:val="28"/>
          <w:szCs w:val="28"/>
          <w:b w:val="1"/>
          <w:bCs w:val="1"/>
          <w:color w:val="auto"/>
        </w:rPr>
        <w:t>California Resources Corporation</w:t>
      </w:r>
    </w:p>
    <w:p>
      <w:pPr>
        <w:spacing w:after="0" w:line="43"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080"/>
          </w:cols>
          <w:pgMar w:left="320" w:top="1393" w:right="499" w:bottom="1440" w:gutter="0" w:footer="0" w:header="0"/>
        </w:sectPr>
      </w:pPr>
    </w:p>
    <w:p>
      <w:pPr>
        <w:spacing w:after="0" w:line="118" w:lineRule="exact"/>
        <w:rPr>
          <w:sz w:val="24"/>
          <w:szCs w:val="24"/>
          <w:color w:val="auto"/>
        </w:rPr>
      </w:pPr>
    </w:p>
    <w:p>
      <w:pPr>
        <w:ind w:left="1500"/>
        <w:spacing w:after="0"/>
        <w:rPr>
          <w:sz w:val="20"/>
          <w:szCs w:val="20"/>
          <w:color w:val="auto"/>
        </w:rPr>
      </w:pPr>
      <w:r>
        <w:rPr>
          <w:rFonts w:ascii="Arial" w:cs="Arial" w:eastAsia="Arial" w:hAnsi="Arial"/>
          <w:sz w:val="18"/>
          <w:szCs w:val="18"/>
          <w:b w:val="1"/>
          <w:bCs w:val="1"/>
          <w:color w:val="auto"/>
        </w:rPr>
        <w:t>Delaware</w:t>
      </w:r>
    </w:p>
    <w:p>
      <w:pPr>
        <w:spacing w:after="0" w:line="24" w:lineRule="exact"/>
        <w:rPr>
          <w:sz w:val="24"/>
          <w:szCs w:val="24"/>
          <w:color w:val="auto"/>
        </w:rPr>
      </w:pPr>
    </w:p>
    <w:p>
      <w:pPr>
        <w:ind w:left="780"/>
        <w:spacing w:after="0"/>
        <w:rPr>
          <w:sz w:val="20"/>
          <w:szCs w:val="20"/>
          <w:color w:val="auto"/>
        </w:rPr>
      </w:pPr>
      <w:r>
        <w:rPr>
          <w:rFonts w:ascii="Arial" w:cs="Arial" w:eastAsia="Arial" w:hAnsi="Arial"/>
          <w:sz w:val="15"/>
          <w:szCs w:val="15"/>
          <w:color w:val="auto"/>
        </w:rPr>
        <w:t>(State or Other Jurisdiction of</w:t>
      </w:r>
    </w:p>
    <w:p>
      <w:pPr>
        <w:spacing w:after="0" w:line="14" w:lineRule="exact"/>
        <w:rPr>
          <w:sz w:val="24"/>
          <w:szCs w:val="24"/>
          <w:color w:val="auto"/>
        </w:rPr>
      </w:pPr>
    </w:p>
    <w:p>
      <w:pPr>
        <w:ind w:left="1340"/>
        <w:spacing w:after="0"/>
        <w:rPr>
          <w:sz w:val="20"/>
          <w:szCs w:val="20"/>
          <w:color w:val="auto"/>
        </w:rPr>
      </w:pPr>
      <w:r>
        <w:rPr>
          <w:rFonts w:ascii="Arial" w:cs="Arial" w:eastAsia="Arial" w:hAnsi="Arial"/>
          <w:sz w:val="18"/>
          <w:szCs w:val="18"/>
          <w:color w:val="auto"/>
        </w:rPr>
        <w:t>Incorporation)</w:t>
      </w:r>
    </w:p>
    <w:p>
      <w:pPr>
        <w:spacing w:after="0" w:line="20" w:lineRule="exact"/>
        <w:rPr>
          <w:sz w:val="24"/>
          <w:szCs w:val="24"/>
          <w:color w:val="auto"/>
        </w:rPr>
      </w:pPr>
      <w:r>
        <w:rPr>
          <w:sz w:val="24"/>
          <w:szCs w:val="24"/>
          <w:color w:val="auto"/>
        </w:rPr>
        <w:br w:type="column"/>
      </w:r>
    </w:p>
    <w:p>
      <w:pPr>
        <w:spacing w:after="0" w:line="98" w:lineRule="exact"/>
        <w:rPr>
          <w:sz w:val="24"/>
          <w:szCs w:val="24"/>
          <w:color w:val="auto"/>
        </w:rPr>
      </w:pPr>
    </w:p>
    <w:p>
      <w:pPr>
        <w:jc w:val="center"/>
        <w:ind w:right="1920"/>
        <w:spacing w:after="0"/>
        <w:rPr>
          <w:sz w:val="20"/>
          <w:szCs w:val="20"/>
          <w:color w:val="auto"/>
        </w:rPr>
      </w:pPr>
      <w:r>
        <w:rPr>
          <w:rFonts w:ascii="Arial" w:cs="Arial" w:eastAsia="Arial" w:hAnsi="Arial"/>
          <w:sz w:val="18"/>
          <w:szCs w:val="18"/>
          <w:b w:val="1"/>
          <w:bCs w:val="1"/>
          <w:color w:val="auto"/>
        </w:rPr>
        <w:t>001-36478</w:t>
      </w:r>
    </w:p>
    <w:p>
      <w:pPr>
        <w:spacing w:after="0" w:line="24" w:lineRule="exact"/>
        <w:rPr>
          <w:sz w:val="24"/>
          <w:szCs w:val="24"/>
          <w:color w:val="auto"/>
        </w:rPr>
      </w:pPr>
    </w:p>
    <w:p>
      <w:pPr>
        <w:jc w:val="center"/>
        <w:ind w:right="1920"/>
        <w:spacing w:after="0"/>
        <w:rPr>
          <w:sz w:val="20"/>
          <w:szCs w:val="20"/>
          <w:color w:val="auto"/>
        </w:rPr>
      </w:pPr>
      <w:r>
        <w:rPr>
          <w:rFonts w:ascii="Arial" w:cs="Arial" w:eastAsia="Arial" w:hAnsi="Arial"/>
          <w:sz w:val="15"/>
          <w:szCs w:val="15"/>
          <w:color w:val="auto"/>
        </w:rPr>
        <w:t>(Commission</w:t>
      </w:r>
    </w:p>
    <w:p>
      <w:pPr>
        <w:spacing w:after="0" w:line="14" w:lineRule="exact"/>
        <w:rPr>
          <w:sz w:val="24"/>
          <w:szCs w:val="24"/>
          <w:color w:val="auto"/>
        </w:rPr>
      </w:pPr>
    </w:p>
    <w:p>
      <w:pPr>
        <w:jc w:val="center"/>
        <w:ind w:right="1920"/>
        <w:spacing w:after="0"/>
        <w:rPr>
          <w:sz w:val="20"/>
          <w:szCs w:val="20"/>
          <w:color w:val="auto"/>
        </w:rPr>
      </w:pPr>
      <w:r>
        <w:rPr>
          <w:rFonts w:ascii="Arial" w:cs="Arial" w:eastAsia="Arial" w:hAnsi="Arial"/>
          <w:sz w:val="15"/>
          <w:szCs w:val="15"/>
          <w:color w:val="auto"/>
        </w:rPr>
        <w:t>File Number)</w:t>
      </w:r>
    </w:p>
    <w:p>
      <w:pPr>
        <w:spacing w:after="0" w:line="20" w:lineRule="exact"/>
        <w:rPr>
          <w:sz w:val="24"/>
          <w:szCs w:val="24"/>
          <w:color w:val="auto"/>
        </w:rPr>
      </w:pPr>
      <w:r>
        <w:rPr>
          <w:sz w:val="24"/>
          <w:szCs w:val="24"/>
          <w:color w:val="auto"/>
        </w:rPr>
        <w:br w:type="column"/>
      </w:r>
    </w:p>
    <w:p>
      <w:pPr>
        <w:spacing w:after="0" w:line="98" w:lineRule="exact"/>
        <w:rPr>
          <w:sz w:val="24"/>
          <w:szCs w:val="24"/>
          <w:color w:val="auto"/>
        </w:rPr>
      </w:pPr>
    </w:p>
    <w:p>
      <w:pPr>
        <w:ind w:left="220"/>
        <w:spacing w:after="0"/>
        <w:rPr>
          <w:sz w:val="20"/>
          <w:szCs w:val="20"/>
          <w:color w:val="auto"/>
        </w:rPr>
      </w:pPr>
      <w:r>
        <w:rPr>
          <w:rFonts w:ascii="Arial" w:cs="Arial" w:eastAsia="Arial" w:hAnsi="Arial"/>
          <w:sz w:val="18"/>
          <w:szCs w:val="18"/>
          <w:b w:val="1"/>
          <w:bCs w:val="1"/>
          <w:color w:val="auto"/>
        </w:rPr>
        <w:t>46-5670947</w:t>
      </w:r>
    </w:p>
    <w:p>
      <w:pPr>
        <w:spacing w:after="0" w:line="4" w:lineRule="exact"/>
        <w:rPr>
          <w:sz w:val="24"/>
          <w:szCs w:val="24"/>
          <w:color w:val="auto"/>
        </w:rPr>
      </w:pPr>
    </w:p>
    <w:p>
      <w:pPr>
        <w:ind w:left="100"/>
        <w:spacing w:after="0"/>
        <w:rPr>
          <w:sz w:val="20"/>
          <w:szCs w:val="20"/>
          <w:color w:val="auto"/>
        </w:rPr>
      </w:pPr>
      <w:r>
        <w:rPr>
          <w:rFonts w:ascii="Arial" w:cs="Arial" w:eastAsia="Arial" w:hAnsi="Arial"/>
          <w:sz w:val="18"/>
          <w:szCs w:val="18"/>
          <w:color w:val="auto"/>
        </w:rPr>
        <w:t>(IRS Employer</w:t>
      </w:r>
    </w:p>
    <w:p>
      <w:pPr>
        <w:spacing w:after="0"/>
        <w:rPr>
          <w:sz w:val="20"/>
          <w:szCs w:val="20"/>
          <w:color w:val="auto"/>
        </w:rPr>
      </w:pPr>
      <w:r>
        <w:rPr>
          <w:rFonts w:ascii="Arial" w:cs="Arial" w:eastAsia="Arial" w:hAnsi="Arial"/>
          <w:sz w:val="15"/>
          <w:szCs w:val="15"/>
          <w:color w:val="auto"/>
        </w:rPr>
        <w:t>Identification No.)</w:t>
      </w:r>
    </w:p>
    <w:p>
      <w:pPr>
        <w:spacing w:after="0" w:line="125" w:lineRule="exact"/>
        <w:rPr>
          <w:sz w:val="24"/>
          <w:szCs w:val="24"/>
          <w:color w:val="auto"/>
        </w:rPr>
      </w:pPr>
    </w:p>
    <w:p>
      <w:pPr>
        <w:sectPr>
          <w:pgSz w:w="11900" w:h="16838" w:orient="portrait"/>
          <w:cols w:equalWidth="0" w:num="3">
            <w:col w:w="4380" w:space="720"/>
            <w:col w:w="2880" w:space="720"/>
            <w:col w:w="2380"/>
          </w:cols>
          <w:pgMar w:left="320" w:top="1393" w:right="499" w:bottom="1440" w:gutter="0" w:footer="0" w:header="0"/>
          <w:type w:val="continuous"/>
        </w:sectPr>
      </w:pPr>
    </w:p>
    <w:p>
      <w:pPr>
        <w:jc w:val="center"/>
        <w:ind w:right="1700"/>
        <w:spacing w:after="0"/>
        <w:rPr>
          <w:sz w:val="20"/>
          <w:szCs w:val="20"/>
          <w:color w:val="auto"/>
        </w:rPr>
      </w:pPr>
      <w:r>
        <w:rPr>
          <w:rFonts w:ascii="Arial" w:cs="Arial" w:eastAsia="Arial" w:hAnsi="Arial"/>
          <w:sz w:val="18"/>
          <w:szCs w:val="18"/>
          <w:b w:val="1"/>
          <w:bCs w:val="1"/>
          <w:color w:val="auto"/>
        </w:rPr>
        <w:t>27200 Tourney Road</w:t>
      </w:r>
    </w:p>
    <w:p>
      <w:pPr>
        <w:spacing w:after="0" w:line="22" w:lineRule="exact"/>
        <w:rPr>
          <w:sz w:val="24"/>
          <w:szCs w:val="24"/>
          <w:color w:val="auto"/>
        </w:rPr>
      </w:pPr>
    </w:p>
    <w:p>
      <w:pPr>
        <w:jc w:val="center"/>
        <w:ind w:right="1700"/>
        <w:spacing w:after="0"/>
        <w:rPr>
          <w:sz w:val="20"/>
          <w:szCs w:val="20"/>
          <w:color w:val="auto"/>
        </w:rPr>
      </w:pPr>
      <w:r>
        <w:rPr>
          <w:rFonts w:ascii="Arial" w:cs="Arial" w:eastAsia="Arial" w:hAnsi="Arial"/>
          <w:sz w:val="18"/>
          <w:szCs w:val="18"/>
          <w:b w:val="1"/>
          <w:bCs w:val="1"/>
          <w:color w:val="auto"/>
        </w:rPr>
        <w:t>Suite 200</w:t>
      </w:r>
    </w:p>
    <w:p>
      <w:pPr>
        <w:spacing w:after="0" w:line="18" w:lineRule="exact"/>
        <w:rPr>
          <w:sz w:val="24"/>
          <w:szCs w:val="24"/>
          <w:color w:val="auto"/>
        </w:rPr>
      </w:pPr>
    </w:p>
    <w:p>
      <w:pPr>
        <w:jc w:val="center"/>
        <w:ind w:right="1700"/>
        <w:spacing w:after="0"/>
        <w:rPr>
          <w:sz w:val="20"/>
          <w:szCs w:val="20"/>
          <w:color w:val="auto"/>
        </w:rPr>
      </w:pPr>
      <w:r>
        <w:rPr>
          <w:rFonts w:ascii="Arial" w:cs="Arial" w:eastAsia="Arial" w:hAnsi="Arial"/>
          <w:sz w:val="18"/>
          <w:szCs w:val="18"/>
          <w:b w:val="1"/>
          <w:bCs w:val="1"/>
          <w:color w:val="auto"/>
        </w:rPr>
        <w:t>Santa Clarita</w:t>
      </w:r>
    </w:p>
    <w:p>
      <w:pPr>
        <w:spacing w:after="0" w:line="18" w:lineRule="exact"/>
        <w:rPr>
          <w:sz w:val="24"/>
          <w:szCs w:val="24"/>
          <w:color w:val="auto"/>
        </w:rPr>
      </w:pPr>
    </w:p>
    <w:p>
      <w:pPr>
        <w:jc w:val="center"/>
        <w:ind w:right="1700"/>
        <w:spacing w:after="0"/>
        <w:rPr>
          <w:sz w:val="20"/>
          <w:szCs w:val="20"/>
          <w:color w:val="auto"/>
        </w:rPr>
      </w:pPr>
      <w:r>
        <w:rPr>
          <w:rFonts w:ascii="Arial" w:cs="Arial" w:eastAsia="Arial" w:hAnsi="Arial"/>
          <w:sz w:val="18"/>
          <w:szCs w:val="18"/>
          <w:b w:val="1"/>
          <w:bCs w:val="1"/>
          <w:color w:val="auto"/>
        </w:rPr>
        <w:t>California</w:t>
      </w:r>
    </w:p>
    <w:p>
      <w:pPr>
        <w:spacing w:after="0" w:line="20" w:lineRule="exact"/>
        <w:rPr>
          <w:sz w:val="24"/>
          <w:szCs w:val="24"/>
          <w:color w:val="auto"/>
        </w:rPr>
      </w:pPr>
    </w:p>
    <w:p>
      <w:pPr>
        <w:jc w:val="center"/>
        <w:ind w:right="1700"/>
        <w:spacing w:after="0"/>
        <w:rPr>
          <w:sz w:val="20"/>
          <w:szCs w:val="20"/>
          <w:color w:val="auto"/>
        </w:rPr>
      </w:pPr>
      <w:r>
        <w:rPr>
          <w:rFonts w:ascii="Arial" w:cs="Arial" w:eastAsia="Arial" w:hAnsi="Arial"/>
          <w:sz w:val="15"/>
          <w:szCs w:val="15"/>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jc w:val="center"/>
        <w:ind w:right="2280"/>
        <w:spacing w:after="0"/>
        <w:rPr>
          <w:sz w:val="20"/>
          <w:szCs w:val="20"/>
          <w:color w:val="auto"/>
        </w:rPr>
      </w:pPr>
      <w:r>
        <w:rPr>
          <w:rFonts w:ascii="Arial" w:cs="Arial" w:eastAsia="Arial" w:hAnsi="Arial"/>
          <w:sz w:val="18"/>
          <w:szCs w:val="18"/>
          <w:b w:val="1"/>
          <w:bCs w:val="1"/>
          <w:color w:val="auto"/>
        </w:rPr>
        <w:t>91355</w:t>
      </w:r>
    </w:p>
    <w:p>
      <w:pPr>
        <w:spacing w:after="0" w:line="24" w:lineRule="exact"/>
        <w:rPr>
          <w:sz w:val="24"/>
          <w:szCs w:val="24"/>
          <w:color w:val="auto"/>
        </w:rPr>
      </w:pPr>
    </w:p>
    <w:p>
      <w:pPr>
        <w:jc w:val="center"/>
        <w:ind w:right="2280"/>
        <w:spacing w:after="0"/>
        <w:rPr>
          <w:sz w:val="20"/>
          <w:szCs w:val="20"/>
          <w:color w:val="auto"/>
        </w:rPr>
      </w:pPr>
      <w:r>
        <w:rPr>
          <w:rFonts w:ascii="Arial" w:cs="Arial" w:eastAsia="Arial" w:hAnsi="Arial"/>
          <w:sz w:val="15"/>
          <w:szCs w:val="15"/>
          <w:color w:val="auto"/>
        </w:rPr>
        <w:t>(Zip Code)</w:t>
      </w:r>
    </w:p>
    <w:p>
      <w:pPr>
        <w:spacing w:after="0" w:line="193" w:lineRule="exact"/>
        <w:rPr>
          <w:sz w:val="24"/>
          <w:szCs w:val="24"/>
          <w:color w:val="auto"/>
        </w:rPr>
      </w:pPr>
    </w:p>
    <w:p>
      <w:pPr>
        <w:sectPr>
          <w:pgSz w:w="11900" w:h="16838" w:orient="portrait"/>
          <w:cols w:equalWidth="0" w:num="2">
            <w:col w:w="7300" w:space="720"/>
            <w:col w:w="3060"/>
          </w:cols>
          <w:pgMar w:left="320" w:top="1393" w:right="499" w:bottom="1440" w:gutter="0" w:footer="0" w:header="0"/>
          <w:type w:val="continuous"/>
        </w:sectPr>
      </w:pPr>
    </w:p>
    <w:p>
      <w:pPr>
        <w:ind w:left="3000"/>
        <w:spacing w:after="0"/>
        <w:rPr>
          <w:sz w:val="20"/>
          <w:szCs w:val="20"/>
          <w:color w:val="auto"/>
        </w:rPr>
      </w:pPr>
      <w:r>
        <w:rPr>
          <w:rFonts w:ascii="Arial" w:cs="Arial" w:eastAsia="Arial" w:hAnsi="Arial"/>
          <w:sz w:val="18"/>
          <w:szCs w:val="18"/>
          <w:b w:val="1"/>
          <w:bCs w:val="1"/>
          <w:color w:val="auto"/>
        </w:rPr>
        <w:t>Registrant’s Telephone Number, Including Area Code: (888) 848-4754</w:t>
      </w:r>
    </w:p>
    <w:p>
      <w:pPr>
        <w:spacing w:after="0" w:line="164" w:lineRule="exact"/>
        <w:rPr>
          <w:sz w:val="24"/>
          <w:szCs w:val="24"/>
          <w:color w:val="auto"/>
        </w:rPr>
      </w:pPr>
    </w:p>
    <w:p>
      <w:pPr>
        <w:ind w:left="5480"/>
        <w:spacing w:after="0"/>
        <w:rPr>
          <w:sz w:val="20"/>
          <w:szCs w:val="20"/>
          <w:color w:val="auto"/>
        </w:rPr>
      </w:pPr>
      <w:r>
        <w:rPr>
          <w:rFonts w:ascii="Arial" w:cs="Arial" w:eastAsia="Arial" w:hAnsi="Arial"/>
          <w:sz w:val="18"/>
          <w:szCs w:val="18"/>
          <w:b w:val="1"/>
          <w:bCs w:val="1"/>
          <w:color w:val="auto"/>
        </w:rPr>
        <w:t>N/A</w:t>
      </w:r>
    </w:p>
    <w:p>
      <w:pPr>
        <w:spacing w:after="0" w:line="22"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5" w:lineRule="exact"/>
        <w:rPr>
          <w:sz w:val="24"/>
          <w:szCs w:val="24"/>
          <w:color w:val="auto"/>
        </w:rPr>
      </w:pPr>
    </w:p>
    <w:p>
      <w:pPr>
        <w:ind w:left="4700"/>
        <w:spacing w:after="0"/>
        <w:rPr>
          <w:sz w:val="20"/>
          <w:szCs w:val="20"/>
          <w:color w:val="auto"/>
        </w:rPr>
      </w:pPr>
      <w:r>
        <w:rPr>
          <w:rFonts w:ascii="Arial" w:cs="Arial" w:eastAsia="Arial" w:hAnsi="Arial"/>
          <w:sz w:val="18"/>
          <w:szCs w:val="18"/>
          <w:color w:val="auto"/>
        </w:rPr>
        <w:t>_____________________</w:t>
      </w:r>
    </w:p>
    <w:p>
      <w:pPr>
        <w:spacing w:after="0" w:line="153" w:lineRule="exact"/>
        <w:rPr>
          <w:sz w:val="24"/>
          <w:szCs w:val="24"/>
          <w:color w:val="auto"/>
        </w:rPr>
      </w:pPr>
    </w:p>
    <w:p>
      <w:pPr>
        <w:spacing w:after="0" w:line="264"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88" w:lineRule="exact"/>
        <w:rPr>
          <w:sz w:val="24"/>
          <w:szCs w:val="24"/>
          <w:color w:val="auto"/>
        </w:rPr>
      </w:pPr>
    </w:p>
    <w:p>
      <w:pPr>
        <w:ind w:left="360" w:hanging="354"/>
        <w:spacing w:after="0"/>
        <w:tabs>
          <w:tab w:leader="none" w:pos="360" w:val="left"/>
        </w:tabs>
        <w:numPr>
          <w:ilvl w:val="0"/>
          <w:numId w:val="1"/>
        </w:numPr>
        <w:rPr>
          <w:rFonts w:ascii="MS PGothic" w:cs="MS PGothic" w:eastAsia="MS PGothic" w:hAnsi="MS PGothic"/>
          <w:sz w:val="19"/>
          <w:szCs w:val="19"/>
          <w:color w:val="auto"/>
        </w:rPr>
      </w:pPr>
      <w:r>
        <w:rPr>
          <w:rFonts w:ascii="Arial" w:cs="Arial" w:eastAsia="Arial" w:hAnsi="Arial"/>
          <w:sz w:val="18"/>
          <w:szCs w:val="18"/>
          <w:color w:val="auto"/>
        </w:rPr>
        <w:t>Written communications pursuant to Rule 425 under the Securities Act (17 CFR 230.425)</w:t>
      </w:r>
    </w:p>
    <w:p>
      <w:pPr>
        <w:spacing w:after="0" w:line="124" w:lineRule="exact"/>
        <w:rPr>
          <w:rFonts w:ascii="MS PGothic" w:cs="MS PGothic" w:eastAsia="MS PGothic" w:hAnsi="MS PGothic"/>
          <w:sz w:val="19"/>
          <w:szCs w:val="19"/>
          <w:color w:val="auto"/>
        </w:rPr>
      </w:pPr>
    </w:p>
    <w:p>
      <w:pPr>
        <w:ind w:left="360" w:hanging="354"/>
        <w:spacing w:after="0"/>
        <w:tabs>
          <w:tab w:leader="none" w:pos="360" w:val="left"/>
        </w:tabs>
        <w:numPr>
          <w:ilvl w:val="0"/>
          <w:numId w:val="1"/>
        </w:numPr>
        <w:rPr>
          <w:rFonts w:ascii="MS PGothic" w:cs="MS PGothic" w:eastAsia="MS PGothic" w:hAnsi="MS PGothic"/>
          <w:sz w:val="19"/>
          <w:szCs w:val="19"/>
          <w:color w:val="auto"/>
        </w:rPr>
      </w:pPr>
      <w:r>
        <w:rPr>
          <w:rFonts w:ascii="Arial" w:cs="Arial" w:eastAsia="Arial" w:hAnsi="Arial"/>
          <w:sz w:val="18"/>
          <w:szCs w:val="18"/>
          <w:color w:val="auto"/>
        </w:rPr>
        <w:t>Soliciting material pursuant to Rule 14a-12 under the Exchange Act (17 CFR 240.14a-12)</w:t>
      </w:r>
    </w:p>
    <w:p>
      <w:pPr>
        <w:spacing w:after="0" w:line="124" w:lineRule="exact"/>
        <w:rPr>
          <w:rFonts w:ascii="MS PGothic" w:cs="MS PGothic" w:eastAsia="MS PGothic" w:hAnsi="MS PGothic"/>
          <w:sz w:val="19"/>
          <w:szCs w:val="19"/>
          <w:color w:val="auto"/>
        </w:rPr>
      </w:pPr>
    </w:p>
    <w:p>
      <w:pPr>
        <w:ind w:left="360" w:hanging="354"/>
        <w:spacing w:after="0"/>
        <w:tabs>
          <w:tab w:leader="none" w:pos="360" w:val="left"/>
        </w:tabs>
        <w:numPr>
          <w:ilvl w:val="0"/>
          <w:numId w:val="1"/>
        </w:numPr>
        <w:rPr>
          <w:rFonts w:ascii="MS PGothic" w:cs="MS PGothic" w:eastAsia="MS PGothic" w:hAnsi="MS PGothic"/>
          <w:sz w:val="19"/>
          <w:szCs w:val="19"/>
          <w:color w:val="auto"/>
        </w:rPr>
      </w:pPr>
      <w:r>
        <w:rPr>
          <w:rFonts w:ascii="Arial" w:cs="Arial" w:eastAsia="Arial" w:hAnsi="Arial"/>
          <w:sz w:val="18"/>
          <w:szCs w:val="18"/>
          <w:color w:val="auto"/>
        </w:rPr>
        <w:t>Pre-commencement communications pursuant to Rule 14d-2(b) under the Exchange Act (17 CFR 240.14d-2(b))</w:t>
      </w:r>
    </w:p>
    <w:p>
      <w:pPr>
        <w:spacing w:after="0" w:line="124" w:lineRule="exact"/>
        <w:rPr>
          <w:rFonts w:ascii="MS PGothic" w:cs="MS PGothic" w:eastAsia="MS PGothic" w:hAnsi="MS PGothic"/>
          <w:sz w:val="19"/>
          <w:szCs w:val="19"/>
          <w:color w:val="auto"/>
        </w:rPr>
      </w:pPr>
    </w:p>
    <w:p>
      <w:pPr>
        <w:ind w:left="360" w:hanging="354"/>
        <w:spacing w:after="0"/>
        <w:tabs>
          <w:tab w:leader="none" w:pos="360" w:val="left"/>
        </w:tabs>
        <w:numPr>
          <w:ilvl w:val="0"/>
          <w:numId w:val="1"/>
        </w:numPr>
        <w:rPr>
          <w:rFonts w:ascii="MS PGothic" w:cs="MS PGothic" w:eastAsia="MS PGothic" w:hAnsi="MS PGothic"/>
          <w:sz w:val="19"/>
          <w:szCs w:val="19"/>
          <w:color w:val="auto"/>
        </w:rPr>
      </w:pPr>
      <w:r>
        <w:rPr>
          <w:rFonts w:ascii="Arial" w:cs="Arial" w:eastAsia="Arial" w:hAnsi="Arial"/>
          <w:sz w:val="18"/>
          <w:szCs w:val="18"/>
          <w:color w:val="auto"/>
        </w:rPr>
        <w:t>Pre-commencement communications pursuant to Rule 13e-4(c) under the Exchange Act (17 CFR 240.13e-4(c))</w:t>
      </w:r>
    </w:p>
    <w:p>
      <w:pPr>
        <w:spacing w:after="0" w:line="164"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080"/>
          </w:cols>
          <w:pgMar w:left="320" w:top="1393" w:right="499" w:bottom="1440" w:gutter="0" w:footer="0" w:header="0"/>
          <w:type w:val="continuous"/>
        </w:sectPr>
      </w:pPr>
    </w:p>
    <w:p>
      <w:pPr>
        <w:spacing w:after="0" w:line="118" w:lineRule="exact"/>
        <w:rPr>
          <w:sz w:val="24"/>
          <w:szCs w:val="24"/>
          <w:color w:val="auto"/>
        </w:rPr>
      </w:pPr>
    </w:p>
    <w:p>
      <w:pPr>
        <w:jc w:val="center"/>
        <w:ind w:right="100"/>
        <w:spacing w:after="0"/>
        <w:rPr>
          <w:sz w:val="20"/>
          <w:szCs w:val="20"/>
          <w:color w:val="auto"/>
        </w:rPr>
      </w:pPr>
      <w:r>
        <w:rPr>
          <w:rFonts w:ascii="Arial" w:cs="Arial" w:eastAsia="Arial" w:hAnsi="Arial"/>
          <w:sz w:val="15"/>
          <w:szCs w:val="15"/>
          <w:b w:val="1"/>
          <w:bCs w:val="1"/>
          <w:color w:val="auto"/>
        </w:rPr>
        <w:t>Title of each class</w:t>
      </w:r>
    </w:p>
    <w:p>
      <w:pPr>
        <w:spacing w:after="0" w:line="59" w:lineRule="exact"/>
        <w:rPr>
          <w:sz w:val="24"/>
          <w:szCs w:val="24"/>
          <w:color w:val="auto"/>
        </w:rPr>
      </w:pPr>
    </w:p>
    <w:p>
      <w:pPr>
        <w:jc w:val="center"/>
        <w:ind w:right="100"/>
        <w:spacing w:after="0"/>
        <w:rPr>
          <w:sz w:val="20"/>
          <w:szCs w:val="20"/>
          <w:color w:val="auto"/>
        </w:rPr>
      </w:pPr>
      <w:r>
        <w:rPr>
          <w:rFonts w:ascii="Arial" w:cs="Arial" w:eastAsia="Arial" w:hAnsi="Arial"/>
          <w:sz w:val="18"/>
          <w:szCs w:val="18"/>
          <w:color w:val="auto"/>
        </w:rPr>
        <w:t>Common Stock</w:t>
      </w:r>
    </w:p>
    <w:p>
      <w:pPr>
        <w:spacing w:after="0" w:line="20" w:lineRule="exact"/>
        <w:rPr>
          <w:sz w:val="24"/>
          <w:szCs w:val="24"/>
          <w:color w:val="auto"/>
        </w:rPr>
      </w:pPr>
      <w:r>
        <w:rPr>
          <w:sz w:val="24"/>
          <w:szCs w:val="24"/>
          <w:color w:val="auto"/>
        </w:rPr>
        <w:br w:type="column"/>
      </w:r>
    </w:p>
    <w:p>
      <w:pPr>
        <w:spacing w:after="0" w:line="98" w:lineRule="exact"/>
        <w:rPr>
          <w:sz w:val="24"/>
          <w:szCs w:val="24"/>
          <w:color w:val="auto"/>
        </w:rPr>
      </w:pPr>
    </w:p>
    <w:p>
      <w:pPr>
        <w:jc w:val="center"/>
        <w:ind w:right="860"/>
        <w:spacing w:after="0"/>
        <w:rPr>
          <w:sz w:val="20"/>
          <w:szCs w:val="20"/>
          <w:color w:val="auto"/>
        </w:rPr>
      </w:pPr>
      <w:r>
        <w:rPr>
          <w:rFonts w:ascii="Arial" w:cs="Arial" w:eastAsia="Arial" w:hAnsi="Arial"/>
          <w:sz w:val="15"/>
          <w:szCs w:val="15"/>
          <w:b w:val="1"/>
          <w:bCs w:val="1"/>
          <w:color w:val="auto"/>
        </w:rPr>
        <w:t>Trading Symbol(s)</w:t>
      </w:r>
    </w:p>
    <w:p>
      <w:pPr>
        <w:spacing w:after="0" w:line="59" w:lineRule="exact"/>
        <w:rPr>
          <w:sz w:val="24"/>
          <w:szCs w:val="24"/>
          <w:color w:val="auto"/>
        </w:rPr>
      </w:pPr>
    </w:p>
    <w:p>
      <w:pPr>
        <w:jc w:val="center"/>
        <w:ind w:right="860"/>
        <w:spacing w:after="0"/>
        <w:rPr>
          <w:sz w:val="20"/>
          <w:szCs w:val="20"/>
          <w:color w:val="auto"/>
        </w:rPr>
      </w:pPr>
      <w:r>
        <w:rPr>
          <w:rFonts w:ascii="Arial" w:cs="Arial" w:eastAsia="Arial" w:hAnsi="Arial"/>
          <w:sz w:val="18"/>
          <w:szCs w:val="18"/>
          <w:color w:val="auto"/>
        </w:rPr>
        <w:t>CRC</w:t>
      </w:r>
    </w:p>
    <w:p>
      <w:pPr>
        <w:spacing w:after="0" w:line="20" w:lineRule="exact"/>
        <w:rPr>
          <w:sz w:val="24"/>
          <w:szCs w:val="24"/>
          <w:color w:val="auto"/>
        </w:rPr>
      </w:pPr>
      <w:r>
        <w:rPr>
          <w:sz w:val="24"/>
          <w:szCs w:val="24"/>
          <w:color w:val="auto"/>
        </w:rPr>
        <w:br w:type="column"/>
      </w:r>
    </w:p>
    <w:p>
      <w:pPr>
        <w:spacing w:after="0" w:line="98" w:lineRule="exact"/>
        <w:rPr>
          <w:sz w:val="24"/>
          <w:szCs w:val="24"/>
          <w:color w:val="auto"/>
        </w:rPr>
      </w:pPr>
    </w:p>
    <w:p>
      <w:pPr>
        <w:jc w:val="center"/>
        <w:ind w:right="600"/>
        <w:spacing w:after="0"/>
        <w:rPr>
          <w:sz w:val="20"/>
          <w:szCs w:val="20"/>
          <w:color w:val="auto"/>
        </w:rPr>
      </w:pPr>
      <w:r>
        <w:rPr>
          <w:rFonts w:ascii="Arial" w:cs="Arial" w:eastAsia="Arial" w:hAnsi="Arial"/>
          <w:sz w:val="15"/>
          <w:szCs w:val="15"/>
          <w:b w:val="1"/>
          <w:bCs w:val="1"/>
          <w:color w:val="auto"/>
        </w:rPr>
        <w:t>Name of each exchange on which registered</w:t>
      </w:r>
    </w:p>
    <w:p>
      <w:pPr>
        <w:spacing w:after="0" w:line="59" w:lineRule="exact"/>
        <w:rPr>
          <w:sz w:val="24"/>
          <w:szCs w:val="24"/>
          <w:color w:val="auto"/>
        </w:rPr>
      </w:pPr>
    </w:p>
    <w:p>
      <w:pPr>
        <w:jc w:val="center"/>
        <w:ind w:right="600"/>
        <w:spacing w:after="0"/>
        <w:rPr>
          <w:sz w:val="20"/>
          <w:szCs w:val="20"/>
          <w:color w:val="auto"/>
        </w:rPr>
      </w:pPr>
      <w:r>
        <w:rPr>
          <w:rFonts w:ascii="Arial" w:cs="Arial" w:eastAsia="Arial" w:hAnsi="Arial"/>
          <w:sz w:val="18"/>
          <w:szCs w:val="18"/>
          <w:color w:val="auto"/>
        </w:rPr>
        <w:t>New York Stock Exchange</w:t>
      </w:r>
    </w:p>
    <w:p>
      <w:pPr>
        <w:spacing w:after="0" w:line="164" w:lineRule="exact"/>
        <w:rPr>
          <w:sz w:val="24"/>
          <w:szCs w:val="24"/>
          <w:color w:val="auto"/>
        </w:rPr>
      </w:pPr>
    </w:p>
    <w:p>
      <w:pPr>
        <w:sectPr>
          <w:pgSz w:w="11900" w:h="16838" w:orient="portrait"/>
          <w:cols w:equalWidth="0" w:num="3">
            <w:col w:w="3500" w:space="720"/>
            <w:col w:w="2260" w:space="720"/>
            <w:col w:w="3880"/>
          </w:cols>
          <w:pgMar w:left="320" w:top="1393" w:right="499" w:bottom="1440" w:gutter="0" w:footer="0" w:header="0"/>
          <w:type w:val="continuous"/>
        </w:sectPr>
      </w:pPr>
    </w:p>
    <w:p>
      <w:pPr>
        <w:ind w:right="200"/>
        <w:spacing w:after="0" w:line="264"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86" w:lineRule="exact"/>
        <w:rPr>
          <w:sz w:val="24"/>
          <w:szCs w:val="24"/>
          <w:color w:val="auto"/>
        </w:rPr>
      </w:pPr>
    </w:p>
    <w:p>
      <w:pPr>
        <w:spacing w:after="0" w:line="219"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9"/>
          <w:szCs w:val="19"/>
          <w:color w:val="auto"/>
        </w:rPr>
        <w:t>☐</w:t>
      </w:r>
    </w:p>
    <w:p>
      <w:pPr>
        <w:spacing w:after="0" w:line="207" w:lineRule="exact"/>
        <w:rPr>
          <w:sz w:val="24"/>
          <w:szCs w:val="24"/>
          <w:color w:val="auto"/>
        </w:rPr>
      </w:pPr>
    </w:p>
    <w:p>
      <w:pPr>
        <w:ind w:right="2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762000</wp:posOffset>
            </wp:positionV>
            <wp:extent cx="716026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260" cy="425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210820</wp:posOffset>
            </wp:positionV>
            <wp:extent cx="71348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236220</wp:posOffset>
            </wp:positionV>
            <wp:extent cx="71348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080"/>
          </w:cols>
          <w:pgMar w:left="320" w:top="1393" w:right="499" w:bottom="1440" w:gutter="0" w:footer="0" w:header="0"/>
          <w:type w:val="continuous"/>
        </w:sectPr>
      </w:pPr>
    </w:p>
    <w:bookmarkStart w:id="1" w:name="page2"/>
    <w:bookmarkEnd w:id="1"/>
    <w:p>
      <w:pPr>
        <w:spacing w:after="0" w:line="298"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5"/>
          <w:szCs w:val="15"/>
          <w:b w:val="1"/>
          <w:bCs w:val="1"/>
          <w:color w:val="auto"/>
        </w:rPr>
        <w:t>Results of Operations and Financial Condition.</w:t>
      </w:r>
    </w:p>
    <w:p>
      <w:pPr>
        <w:spacing w:after="0" w:line="210" w:lineRule="exact"/>
        <w:rPr>
          <w:sz w:val="20"/>
          <w:szCs w:val="20"/>
          <w:color w:val="auto"/>
        </w:rPr>
      </w:pPr>
    </w:p>
    <w:p>
      <w:pPr>
        <w:jc w:val="both"/>
        <w:ind w:right="120"/>
        <w:spacing w:after="0" w:line="255" w:lineRule="auto"/>
        <w:rPr>
          <w:sz w:val="20"/>
          <w:szCs w:val="20"/>
          <w:color w:val="auto"/>
        </w:rPr>
      </w:pPr>
      <w:r>
        <w:rPr>
          <w:rFonts w:ascii="Arial" w:cs="Arial" w:eastAsia="Arial" w:hAnsi="Arial"/>
          <w:sz w:val="18"/>
          <w:szCs w:val="18"/>
          <w:color w:val="auto"/>
        </w:rPr>
        <w:t>On August 5, 2021, California Resources Corporation (the “Company”) issued a press release announcing its financial condition and results of operations for the three and six months ended June 30, 2021. A copy of the press release is furnished as Exhibit 99.1 to this report on Form 8-K, and is incorporated herein by reference.</w:t>
      </w:r>
    </w:p>
    <w:p>
      <w:pPr>
        <w:spacing w:after="0" w:line="148" w:lineRule="exact"/>
        <w:rPr>
          <w:sz w:val="20"/>
          <w:szCs w:val="20"/>
          <w:color w:val="auto"/>
        </w:rPr>
      </w:pPr>
    </w:p>
    <w:p>
      <w:pPr>
        <w:jc w:val="both"/>
        <w:ind w:right="120"/>
        <w:spacing w:after="0" w:line="330" w:lineRule="auto"/>
        <w:rPr>
          <w:sz w:val="20"/>
          <w:szCs w:val="20"/>
          <w:color w:val="auto"/>
        </w:rPr>
      </w:pPr>
      <w:r>
        <w:rPr>
          <w:rFonts w:ascii="Arial" w:cs="Arial" w:eastAsia="Arial" w:hAnsi="Arial"/>
          <w:sz w:val="15"/>
          <w:szCs w:val="15"/>
          <w:color w:val="auto"/>
        </w:rPr>
        <w:t>The information contained in this report and the exhibit hereto shall not be deemed to be “filed” for purposes of Section 18 of the Securities Exchange Act of 1934, as amended, (the “Exchange Act”), and shall not be incorporated by reference into any filings made by the Company under the Securities Act of 1933, as amended (the “Securities Act”), or the Exchange Act, except as may be expressly set forth by specific reference in such filing.</w:t>
      </w:r>
    </w:p>
    <w:p>
      <w:pPr>
        <w:spacing w:after="0" w:line="97" w:lineRule="exact"/>
        <w:rPr>
          <w:sz w:val="20"/>
          <w:szCs w:val="20"/>
          <w:color w:val="auto"/>
        </w:rPr>
      </w:pPr>
    </w:p>
    <w:p>
      <w:pPr>
        <w:jc w:val="both"/>
        <w:ind w:right="160"/>
        <w:spacing w:after="0" w:line="271" w:lineRule="auto"/>
        <w:rPr>
          <w:sz w:val="20"/>
          <w:szCs w:val="20"/>
          <w:color w:val="auto"/>
        </w:rPr>
      </w:pPr>
      <w:r>
        <w:rPr>
          <w:rFonts w:ascii="Arial" w:cs="Arial" w:eastAsia="Arial" w:hAnsi="Arial"/>
          <w:sz w:val="17"/>
          <w:szCs w:val="17"/>
          <w:color w:val="auto"/>
        </w:rPr>
        <w:t>Statements contained in the exhibit to this report that state the Company’s or its management’s expectations or predictions of the future are forward-looking statements intended to be covered by the safe harbor provisions of the Securities Act and the Exchange Act. It is important to note that the Company’s actual results could differ materially from those projected in such forward-looking statements. Factors that could affect these results include those mentioned in the documents that the Company has filed with the Securities and Exchange Commission (the “SEC”).</w:t>
      </w:r>
    </w:p>
    <w:p>
      <w:pPr>
        <w:spacing w:after="0" w:line="151" w:lineRule="exact"/>
        <w:rPr>
          <w:sz w:val="20"/>
          <w:szCs w:val="20"/>
          <w:color w:val="auto"/>
        </w:rPr>
      </w:pPr>
    </w:p>
    <w:p>
      <w:pPr>
        <w:jc w:val="both"/>
        <w:ind w:right="240"/>
        <w:spacing w:after="0" w:line="330" w:lineRule="auto"/>
        <w:rPr>
          <w:sz w:val="20"/>
          <w:szCs w:val="20"/>
          <w:color w:val="auto"/>
        </w:rPr>
      </w:pPr>
      <w:r>
        <w:rPr>
          <w:rFonts w:ascii="Arial" w:cs="Arial" w:eastAsia="Arial" w:hAnsi="Arial"/>
          <w:sz w:val="15"/>
          <w:szCs w:val="15"/>
          <w:color w:val="auto"/>
        </w:rPr>
        <w:t>The Company undertakes no duty or obligation to publicly update or revise the information contained in this report, although the Company may do so from time to time as management believes is warranted. Any such updating may be made through the filing of other reports or documents with the SEC, through press releases or through other public disclosure including disclosure in the Investor Relations portion of the Company’s website.</w:t>
      </w:r>
    </w:p>
    <w:p>
      <w:pPr>
        <w:spacing w:after="0" w:line="263" w:lineRule="exact"/>
        <w:rPr>
          <w:sz w:val="20"/>
          <w:szCs w:val="20"/>
          <w:color w:val="auto"/>
        </w:rPr>
      </w:pPr>
    </w:p>
    <w:p>
      <w:pPr>
        <w:ind w:left="980" w:hanging="1271"/>
        <w:spacing w:after="0" w:line="256" w:lineRule="auto"/>
        <w:tabs>
          <w:tab w:leader="none" w:pos="960" w:val="left"/>
        </w:tabs>
        <w:rPr>
          <w:sz w:val="20"/>
          <w:szCs w:val="20"/>
          <w:color w:val="auto"/>
        </w:rPr>
      </w:pPr>
      <w:r>
        <w:rPr>
          <w:rFonts w:ascii="Arial" w:cs="Arial" w:eastAsia="Arial" w:hAnsi="Arial"/>
          <w:sz w:val="18"/>
          <w:szCs w:val="18"/>
          <w:b w:val="1"/>
          <w:bCs w:val="1"/>
          <w:color w:val="auto"/>
        </w:rPr>
        <w:t>Item 5.02</w:t>
        <w:tab/>
        <w:t>Departure of Directors or Certain Officers; Election of Directors; Appointment of Certain Officers; Compensatory Arrangements of Certain Officers.</w:t>
      </w:r>
    </w:p>
    <w:p>
      <w:pPr>
        <w:spacing w:after="0" w:line="134" w:lineRule="exact"/>
        <w:rPr>
          <w:sz w:val="20"/>
          <w:szCs w:val="20"/>
          <w:color w:val="auto"/>
        </w:rPr>
      </w:pPr>
    </w:p>
    <w:p>
      <w:pPr>
        <w:ind w:right="100"/>
        <w:spacing w:after="0" w:line="244" w:lineRule="auto"/>
        <w:rPr>
          <w:sz w:val="20"/>
          <w:szCs w:val="20"/>
          <w:color w:val="auto"/>
        </w:rPr>
      </w:pPr>
      <w:r>
        <w:rPr>
          <w:rFonts w:ascii="Arial" w:cs="Arial" w:eastAsia="Arial" w:hAnsi="Arial"/>
          <w:sz w:val="17"/>
          <w:szCs w:val="17"/>
          <w:color w:val="auto"/>
        </w:rPr>
        <w:t>On August 5, 2021, the Board of Directors (the “Board”) of the Company elected Ms. Nicole Neeman Brady to fill a vacancy on the Board. The Board determined that Ms. Neeman Brady qualifies as an independent director under the director independence standards set forth in the rules and regulations of the Securities and Exchange Commission (the “SEC”) and the applicable listing standards of the New York Stock Exchange (“NYSE”).</w:t>
      </w:r>
    </w:p>
    <w:p>
      <w:pPr>
        <w:spacing w:after="0" w:line="212" w:lineRule="exact"/>
        <w:rPr>
          <w:sz w:val="20"/>
          <w:szCs w:val="20"/>
          <w:color w:val="auto"/>
        </w:rPr>
      </w:pPr>
    </w:p>
    <w:p>
      <w:pPr>
        <w:ind w:right="20"/>
        <w:spacing w:after="0" w:line="247" w:lineRule="auto"/>
        <w:rPr>
          <w:sz w:val="20"/>
          <w:szCs w:val="20"/>
          <w:color w:val="auto"/>
        </w:rPr>
      </w:pPr>
      <w:r>
        <w:rPr>
          <w:rFonts w:ascii="Arial" w:cs="Arial" w:eastAsia="Arial" w:hAnsi="Arial"/>
          <w:sz w:val="17"/>
          <w:szCs w:val="17"/>
          <w:color w:val="auto"/>
        </w:rPr>
        <w:t>Ms. Neeman Brady, 41, has over 20 years of experience as an entrepreneur, executive, investor and community leader with global water, energy, and agricultural expertise. Ms. Neeman Brady has served as the Chief Executive Officer and a director of Sustainable Development Acquisition Corp. since December 2020. Ms. Neeman Brady also served as Principal and Chief Operating Officer at Renewable Resources Group LLC, as well as a member of the Investment Committee and a board member of several of its portfolio companies. Ms. Neeman Brady joined Renewable Resources Group LLC in 2017. From 2008 to 2017, Ms. Neeman Brady was a leader in various parts of Edison International. She held the role of President and Founder at Edison Water Resources, a distributed water purification and recycling business, Vice President of Strategic Planning and Officer at Edison International, Director of Energy Procurement and Director of Renewable &amp; Alternative Power Contracts at Southern California Edison. Earlier in her career, Ms. Neeman Brady worked in consulting for McKinsey &amp; Co, in strategic planning for Twentieth Century Fox and in private equity for Goldman Sachs. Ms. Neeman Brady’s experience also includes prior board service on the Colorado River Board of California and currently, as a Commissioner on the Los Angeles Department of Water and Power and a Board member of the Library Foundation of Los Angeles. Ms. Neeman Brady holds dual AB degrees with honors from Brown University and an MBA, with distinction, from Harvard Business School.</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color w:val="auto"/>
        </w:rPr>
        <w:t>There are no arrangements or understandings between Ms. Neeman Brady and any other persons under which she was selected as a director.</w:t>
      </w:r>
    </w:p>
    <w:p>
      <w:pPr>
        <w:spacing w:after="0" w:line="162" w:lineRule="exact"/>
        <w:rPr>
          <w:sz w:val="20"/>
          <w:szCs w:val="20"/>
          <w:color w:val="auto"/>
        </w:rPr>
      </w:pPr>
    </w:p>
    <w:p>
      <w:pPr>
        <w:ind w:right="20"/>
        <w:spacing w:after="0" w:line="223" w:lineRule="auto"/>
        <w:rPr>
          <w:sz w:val="20"/>
          <w:szCs w:val="20"/>
          <w:color w:val="auto"/>
        </w:rPr>
      </w:pPr>
      <w:r>
        <w:rPr>
          <w:rFonts w:ascii="Arial" w:cs="Arial" w:eastAsia="Arial" w:hAnsi="Arial"/>
          <w:sz w:val="18"/>
          <w:szCs w:val="18"/>
          <w:color w:val="auto"/>
        </w:rPr>
        <w:t>In connection with her appointment, the Company and Ms. Neeman Brady will enter into an indemnification agreement which requires the Company to indemnify her to the fullest extent permitted under Delaware law against liability that may arise by reason of her service as a director, and to advance expenses incurred as a result of any proceeding against her as to which she could be indemnified. The foregoing description of the indemnification agreement is not complete and is qualified in its entirety by reference to the full text of the indemnification agreement, a form of which is filed as Exhibit 10.1 to the Company’s Current Report on Form 8-K filed October 27,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119" w:lineRule="exact"/>
        <w:rPr>
          <w:sz w:val="20"/>
          <w:szCs w:val="20"/>
          <w:color w:val="auto"/>
        </w:rPr>
      </w:pPr>
    </w:p>
    <w:p>
      <w:pPr>
        <w:spacing w:after="0" w:line="229" w:lineRule="auto"/>
        <w:rPr>
          <w:sz w:val="20"/>
          <w:szCs w:val="20"/>
          <w:color w:val="auto"/>
        </w:rPr>
      </w:pPr>
      <w:r>
        <w:rPr>
          <w:rFonts w:ascii="Arial" w:cs="Arial" w:eastAsia="Arial" w:hAnsi="Arial"/>
          <w:sz w:val="18"/>
          <w:szCs w:val="18"/>
          <w:color w:val="auto"/>
        </w:rPr>
        <w:t>Ms. Neeman Brady will receive the same annual director compensation as is paid to the other non-employee directors under the Company’s compensation program for non-employee directors. The specific terms of such compensation are described further in the Company’s annual definitive proxy statement that was filed with the SEC on March 30, 2021.</w:t>
      </w:r>
    </w:p>
    <w:p>
      <w:pPr>
        <w:spacing w:after="0" w:line="329"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180" w:type="dxa"/>
            <w:vAlign w:val="bottom"/>
          </w:tcPr>
          <w:p>
            <w:pPr>
              <w:spacing w:after="0"/>
              <w:rPr>
                <w:sz w:val="20"/>
                <w:szCs w:val="20"/>
                <w:color w:val="auto"/>
              </w:rPr>
            </w:pPr>
            <w:r>
              <w:rPr>
                <w:rFonts w:ascii="Arial" w:cs="Arial" w:eastAsia="Arial" w:hAnsi="Arial"/>
                <w:sz w:val="18"/>
                <w:szCs w:val="18"/>
                <w:color w:val="auto"/>
              </w:rPr>
              <w:t>(d)  Exhibits</w:t>
            </w:r>
          </w:p>
        </w:tc>
        <w:tc>
          <w:tcPr>
            <w:tcW w:w="2500" w:type="dxa"/>
            <w:vAlign w:val="bottom"/>
          </w:tcPr>
          <w:p>
            <w:pPr>
              <w:spacing w:after="0"/>
              <w:rPr>
                <w:sz w:val="19"/>
                <w:szCs w:val="19"/>
                <w:color w:val="auto"/>
              </w:rPr>
            </w:pPr>
          </w:p>
        </w:tc>
        <w:tc>
          <w:tcPr>
            <w:tcW w:w="2460" w:type="dxa"/>
            <w:vAlign w:val="bottom"/>
          </w:tcPr>
          <w:p>
            <w:pPr>
              <w:spacing w:after="0"/>
              <w:rPr>
                <w:sz w:val="19"/>
                <w:szCs w:val="19"/>
                <w:color w:val="auto"/>
              </w:rPr>
            </w:pPr>
          </w:p>
        </w:tc>
      </w:tr>
      <w:tr>
        <w:trPr>
          <w:trHeight w:val="371"/>
        </w:trPr>
        <w:tc>
          <w:tcPr>
            <w:tcW w:w="2180" w:type="dxa"/>
            <w:vAlign w:val="bottom"/>
          </w:tcPr>
          <w:p>
            <w:pPr>
              <w:jc w:val="center"/>
              <w:ind w:right="152"/>
              <w:spacing w:after="0"/>
              <w:rPr>
                <w:sz w:val="20"/>
                <w:szCs w:val="20"/>
                <w:color w:val="auto"/>
              </w:rPr>
            </w:pPr>
            <w:r>
              <w:rPr>
                <w:rFonts w:ascii="Arial" w:cs="Arial" w:eastAsia="Arial" w:hAnsi="Arial"/>
                <w:sz w:val="18"/>
                <w:szCs w:val="18"/>
                <w:b w:val="1"/>
                <w:bCs w:val="1"/>
                <w:color w:val="auto"/>
                <w:w w:val="91"/>
              </w:rPr>
              <w:t>Exhibit No.</w:t>
            </w:r>
          </w:p>
        </w:tc>
        <w:tc>
          <w:tcPr>
            <w:tcW w:w="2500" w:type="dxa"/>
            <w:vAlign w:val="bottom"/>
          </w:tcPr>
          <w:p>
            <w:pPr>
              <w:spacing w:after="0"/>
              <w:rPr>
                <w:sz w:val="24"/>
                <w:szCs w:val="24"/>
                <w:color w:val="auto"/>
              </w:rPr>
            </w:pPr>
          </w:p>
        </w:tc>
        <w:tc>
          <w:tcPr>
            <w:tcW w:w="2460" w:type="dxa"/>
            <w:vAlign w:val="bottom"/>
          </w:tcPr>
          <w:p>
            <w:pPr>
              <w:ind w:left="1580"/>
              <w:spacing w:after="0"/>
              <w:rPr>
                <w:sz w:val="20"/>
                <w:szCs w:val="20"/>
                <w:color w:val="auto"/>
              </w:rPr>
            </w:pPr>
            <w:r>
              <w:rPr>
                <w:rFonts w:ascii="Arial" w:cs="Arial" w:eastAsia="Arial" w:hAnsi="Arial"/>
                <w:sz w:val="18"/>
                <w:szCs w:val="18"/>
                <w:b w:val="1"/>
                <w:bCs w:val="1"/>
                <w:color w:val="auto"/>
                <w:w w:val="86"/>
              </w:rPr>
              <w:t>Description</w:t>
            </w:r>
          </w:p>
        </w:tc>
      </w:tr>
      <w:tr>
        <w:trPr>
          <w:trHeight w:val="240"/>
        </w:trPr>
        <w:tc>
          <w:tcPr>
            <w:tcW w:w="2180" w:type="dxa"/>
            <w:vAlign w:val="bottom"/>
          </w:tcPr>
          <w:p>
            <w:pPr>
              <w:jc w:val="right"/>
              <w:ind w:right="972"/>
              <w:spacing w:after="0"/>
              <w:rPr>
                <w:sz w:val="20"/>
                <w:szCs w:val="20"/>
                <w:color w:val="auto"/>
              </w:rPr>
            </w:pPr>
            <w:r>
              <w:rPr>
                <w:rFonts w:ascii="Arial" w:cs="Arial" w:eastAsia="Arial" w:hAnsi="Arial"/>
                <w:sz w:val="18"/>
                <w:szCs w:val="18"/>
                <w:color w:val="auto"/>
              </w:rPr>
              <w:t>99.1</w:t>
            </w:r>
          </w:p>
        </w:tc>
        <w:tc>
          <w:tcPr>
            <w:tcW w:w="4960" w:type="dxa"/>
            <w:vAlign w:val="bottom"/>
            <w:gridSpan w:val="2"/>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 xml:space="preserve">Press release dated August </w:t>
              </w:r>
            </w:hyperlink>
            <w:r>
              <w:rPr>
                <w:rFonts w:ascii="Arial" w:cs="Arial" w:eastAsia="Arial" w:hAnsi="Arial"/>
                <w:sz w:val="18"/>
                <w:szCs w:val="18"/>
                <w:color w:val="0000FF"/>
              </w:rPr>
              <w:t xml:space="preserve">5, </w:t>
            </w:r>
            <w:hyperlink w:anchor="page5">
              <w:r>
                <w:rPr>
                  <w:rFonts w:ascii="Arial" w:cs="Arial" w:eastAsia="Arial" w:hAnsi="Arial"/>
                  <w:sz w:val="18"/>
                  <w:szCs w:val="18"/>
                  <w:color w:val="0000FF"/>
                </w:rPr>
                <w:t>2021.</w:t>
              </w:r>
            </w:hyperlink>
          </w:p>
        </w:tc>
      </w:tr>
      <w:tr>
        <w:trPr>
          <w:trHeight w:val="20"/>
        </w:trPr>
        <w:tc>
          <w:tcPr>
            <w:tcW w:w="2180" w:type="dxa"/>
            <w:vAlign w:val="bottom"/>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bl>
    <w:p>
      <w:pPr>
        <w:spacing w:after="0" w:line="54" w:lineRule="exact"/>
        <w:rPr>
          <w:sz w:val="20"/>
          <w:szCs w:val="20"/>
          <w:color w:val="auto"/>
        </w:rPr>
      </w:pPr>
    </w:p>
    <w:p>
      <w:pPr>
        <w:ind w:left="2180" w:hanging="1346"/>
        <w:spacing w:after="0"/>
        <w:tabs>
          <w:tab w:leader="none" w:pos="2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84" w:lineRule="exact"/>
        <w:rPr>
          <w:rFonts w:ascii="Arial" w:cs="Arial" w:eastAsia="Arial" w:hAnsi="Arial"/>
          <w:sz w:val="18"/>
          <w:szCs w:val="18"/>
          <w:color w:val="auto"/>
        </w:rPr>
      </w:pPr>
    </w:p>
    <w:p>
      <w:pPr>
        <w:ind w:left="5580"/>
        <w:spacing w:after="0"/>
        <w:rPr>
          <w:rFonts w:ascii="Arial" w:cs="Arial" w:eastAsia="Arial" w:hAnsi="Arial"/>
          <w:sz w:val="18"/>
          <w:szCs w:val="18"/>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060"/>
          </w:cols>
          <w:pgMar w:left="320" w:top="1440" w:right="51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w:t>
      </w:r>
    </w:p>
    <w:p>
      <w:pPr>
        <w:spacing w:after="0" w:line="223" w:lineRule="exact"/>
        <w:rPr>
          <w:sz w:val="20"/>
          <w:szCs w:val="20"/>
          <w:color w:val="auto"/>
        </w:rPr>
      </w:pPr>
    </w:p>
    <w:p>
      <w:pPr>
        <w:ind w:right="520" w:firstLine="636"/>
        <w:spacing w:after="0" w:line="264"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26"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California Resources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 Michael L. Preston</w:t>
      </w:r>
    </w:p>
    <w:p>
      <w:pPr>
        <w:spacing w:after="0" w:line="16" w:lineRule="exact"/>
        <w:rPr>
          <w:sz w:val="20"/>
          <w:szCs w:val="20"/>
          <w:color w:val="auto"/>
        </w:rPr>
      </w:pPr>
    </w:p>
    <w:tbl>
      <w:tblPr>
        <w:tblLayout w:type="fixed"/>
        <w:tblInd w:w="4800" w:type="dxa"/>
        <w:tblCellMar>
          <w:top w:w="0" w:type="dxa"/>
          <w:left w:w="0" w:type="dxa"/>
          <w:bottom w:w="0" w:type="dxa"/>
          <w:right w:w="0" w:type="dxa"/>
        </w:tblCellMar>
      </w:tblPr>
      <w:tr>
        <w:trPr>
          <w:trHeight w:val="220"/>
        </w:trPr>
        <w:tc>
          <w:tcPr>
            <w:tcW w:w="7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Name:</w:t>
            </w:r>
          </w:p>
        </w:tc>
        <w:tc>
          <w:tcPr>
            <w:tcW w:w="5700" w:type="dxa"/>
            <w:vAlign w:val="bottom"/>
            <w:tcBorders>
              <w:top w:val="single" w:sz="8" w:color="auto"/>
            </w:tcBorders>
          </w:tcPr>
          <w:p>
            <w:pPr>
              <w:ind w:left="240"/>
              <w:spacing w:after="0"/>
              <w:rPr>
                <w:sz w:val="20"/>
                <w:szCs w:val="20"/>
                <w:color w:val="auto"/>
              </w:rPr>
            </w:pPr>
            <w:r>
              <w:rPr>
                <w:rFonts w:ascii="Arial" w:cs="Arial" w:eastAsia="Arial" w:hAnsi="Arial"/>
                <w:sz w:val="18"/>
                <w:szCs w:val="18"/>
                <w:color w:val="auto"/>
              </w:rPr>
              <w:t>Michael L. Preston</w:t>
            </w:r>
          </w:p>
        </w:tc>
      </w:tr>
      <w:tr>
        <w:trPr>
          <w:trHeight w:val="237"/>
        </w:trPr>
        <w:tc>
          <w:tcPr>
            <w:tcW w:w="740" w:type="dxa"/>
            <w:vAlign w:val="bottom"/>
          </w:tcPr>
          <w:p>
            <w:pPr>
              <w:ind w:left="20"/>
              <w:spacing w:after="0"/>
              <w:rPr>
                <w:sz w:val="20"/>
                <w:szCs w:val="20"/>
                <w:color w:val="auto"/>
              </w:rPr>
            </w:pPr>
            <w:r>
              <w:rPr>
                <w:rFonts w:ascii="Arial" w:cs="Arial" w:eastAsia="Arial" w:hAnsi="Arial"/>
                <w:sz w:val="18"/>
                <w:szCs w:val="18"/>
                <w:color w:val="auto"/>
              </w:rPr>
              <w:t>Title:</w:t>
            </w:r>
          </w:p>
        </w:tc>
        <w:tc>
          <w:tcPr>
            <w:tcW w:w="5700" w:type="dxa"/>
            <w:vAlign w:val="bottom"/>
          </w:tcPr>
          <w:p>
            <w:pPr>
              <w:ind w:left="240"/>
              <w:spacing w:after="0"/>
              <w:rPr>
                <w:sz w:val="20"/>
                <w:szCs w:val="20"/>
                <w:color w:val="auto"/>
              </w:rPr>
            </w:pPr>
            <w:r>
              <w:rPr>
                <w:rFonts w:ascii="Arial" w:cs="Arial" w:eastAsia="Arial" w:hAnsi="Arial"/>
                <w:sz w:val="18"/>
                <w:szCs w:val="18"/>
                <w:color w:val="auto"/>
                <w:w w:val="90"/>
              </w:rPr>
              <w:t>Executive Vice President, Chief Administrative Officer and General Counsel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auto"/>
        </w:rPr>
        <w:t>DATED: August 5, 2021</w:t>
      </w:r>
    </w:p>
    <w:p>
      <w:pPr>
        <w:sectPr>
          <w:pgSz w:w="11900" w:h="16838" w:orient="portrait"/>
          <w:cols w:equalWidth="0" w:num="1">
            <w:col w:w="11240"/>
          </w:cols>
          <w:pgMar w:left="320" w:top="1393"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5356225</wp:posOffset>
            </wp:positionH>
            <wp:positionV relativeFrom="page">
              <wp:posOffset>720090</wp:posOffset>
            </wp:positionV>
            <wp:extent cx="1985645" cy="5556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985645" cy="555625"/>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Arial" w:cs="Arial" w:eastAsia="Arial" w:hAnsi="Arial"/>
          <w:sz w:val="21"/>
          <w:szCs w:val="21"/>
          <w:color w:val="auto"/>
        </w:rPr>
        <w:t>Exhibit 99.1</w:t>
      </w:r>
    </w:p>
    <w:p>
      <w:pPr>
        <w:spacing w:after="0" w:line="1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NEWS RELEASE</w:t>
      </w:r>
    </w:p>
    <w:p>
      <w:pPr>
        <w:spacing w:after="0" w:line="223" w:lineRule="exact"/>
        <w:rPr>
          <w:sz w:val="20"/>
          <w:szCs w:val="20"/>
          <w:color w:val="auto"/>
        </w:rPr>
      </w:pPr>
    </w:p>
    <w:p>
      <w:pPr>
        <w:jc w:val="center"/>
        <w:ind w:left="340" w:right="80"/>
        <w:spacing w:after="0" w:line="290" w:lineRule="auto"/>
        <w:rPr>
          <w:sz w:val="20"/>
          <w:szCs w:val="20"/>
          <w:color w:val="auto"/>
        </w:rPr>
      </w:pPr>
      <w:r>
        <w:rPr>
          <w:rFonts w:ascii="Arial" w:cs="Arial" w:eastAsia="Arial" w:hAnsi="Arial"/>
          <w:sz w:val="21"/>
          <w:szCs w:val="21"/>
          <w:b w:val="1"/>
          <w:bCs w:val="1"/>
          <w:u w:val="single" w:color="auto"/>
          <w:color w:val="auto"/>
        </w:rPr>
        <w:t>California Resources Corporation Reports Second Quarter 2021 Results, Increases Free Cash Flow Guidance, Raises Share Repurchase Program to $250 Million and Announces Strategic A&amp;D Transactions</w:t>
      </w:r>
    </w:p>
    <w:p>
      <w:pPr>
        <w:spacing w:after="0" w:line="200" w:lineRule="exact"/>
        <w:rPr>
          <w:sz w:val="20"/>
          <w:szCs w:val="20"/>
          <w:color w:val="auto"/>
        </w:rPr>
      </w:pPr>
    </w:p>
    <w:p>
      <w:pPr>
        <w:spacing w:after="0" w:line="210" w:lineRule="exact"/>
        <w:rPr>
          <w:sz w:val="20"/>
          <w:szCs w:val="20"/>
          <w:color w:val="auto"/>
        </w:rPr>
      </w:pPr>
    </w:p>
    <w:p>
      <w:pPr>
        <w:jc w:val="both"/>
        <w:ind w:firstLine="318"/>
        <w:spacing w:after="0" w:line="244" w:lineRule="auto"/>
        <w:rPr>
          <w:sz w:val="20"/>
          <w:szCs w:val="20"/>
          <w:color w:val="auto"/>
        </w:rPr>
      </w:pPr>
      <w:r>
        <w:rPr>
          <w:rFonts w:ascii="Arial" w:cs="Arial" w:eastAsia="Arial" w:hAnsi="Arial"/>
          <w:sz w:val="21"/>
          <w:szCs w:val="21"/>
          <w:color w:val="auto"/>
        </w:rPr>
        <w:t>Santa Clarita, August 5, 2021 - California Resources Corporation (NYSE: CRC), an independent oil and natural gas company committed to energy transition in the sector, today reported second quarter 2021 operational and financial results.</w:t>
      </w:r>
    </w:p>
    <w:p>
      <w:pPr>
        <w:spacing w:after="0" w:line="217" w:lineRule="exact"/>
        <w:rPr>
          <w:sz w:val="20"/>
          <w:szCs w:val="20"/>
          <w:color w:val="auto"/>
        </w:rPr>
      </w:pPr>
    </w:p>
    <w:p>
      <w:pPr>
        <w:jc w:val="both"/>
        <w:ind w:firstLine="318"/>
        <w:spacing w:after="0" w:line="230" w:lineRule="auto"/>
        <w:rPr>
          <w:sz w:val="20"/>
          <w:szCs w:val="20"/>
          <w:color w:val="auto"/>
        </w:rPr>
      </w:pPr>
      <w:r>
        <w:rPr>
          <w:rFonts w:ascii="Arial" w:cs="Arial" w:eastAsia="Arial" w:hAnsi="Arial"/>
          <w:sz w:val="21"/>
          <w:szCs w:val="21"/>
          <w:color w:val="auto"/>
        </w:rPr>
        <w:t>“CRC continued to deliver on its strategy with strong second quarter results driven by robust financial and operational performance, resulting in an increase in 2021 free cash flow</w:t>
      </w:r>
      <w:r>
        <w:rPr>
          <w:rFonts w:ascii="Arial" w:cs="Arial" w:eastAsia="Arial" w:hAnsi="Arial"/>
          <w:sz w:val="27"/>
          <w:szCs w:val="27"/>
          <w:color w:val="auto"/>
          <w:vertAlign w:val="superscript"/>
        </w:rPr>
        <w:t>1</w:t>
      </w:r>
      <w:r>
        <w:rPr>
          <w:rFonts w:ascii="Arial" w:cs="Arial" w:eastAsia="Arial" w:hAnsi="Arial"/>
          <w:sz w:val="21"/>
          <w:szCs w:val="21"/>
          <w:color w:val="auto"/>
        </w:rPr>
        <w:t xml:space="preserve"> guidance to $400 to $500 million. Given our financial strength and low stock valuation relative to fundamentals, we are increasing our Share Repurchase Program from $150 million to $250 million," said Mac McFarland, President and Chief Executive Officer. "I am also pleased to announce an acquisition of the 90% working interest in the joint venture wells held by our partner as well as a planned divestiture of our non-core Ventura operations. These strategic A&amp;D transactions will simplify our business model, lower our overall operating costs and provide positive net cash proceeds."</w:t>
      </w:r>
    </w:p>
    <w:p>
      <w:pPr>
        <w:spacing w:after="0" w:line="222" w:lineRule="exact"/>
        <w:rPr>
          <w:sz w:val="20"/>
          <w:szCs w:val="20"/>
          <w:color w:val="auto"/>
        </w:rPr>
      </w:pPr>
    </w:p>
    <w:p>
      <w:pPr>
        <w:jc w:val="both"/>
        <w:ind w:firstLine="318"/>
        <w:spacing w:after="0" w:line="218" w:lineRule="auto"/>
        <w:rPr>
          <w:sz w:val="20"/>
          <w:szCs w:val="20"/>
          <w:color w:val="auto"/>
        </w:rPr>
      </w:pPr>
      <w:r>
        <w:rPr>
          <w:rFonts w:ascii="Arial" w:cs="Arial" w:eastAsia="Arial" w:hAnsi="Arial"/>
          <w:sz w:val="21"/>
          <w:szCs w:val="21"/>
          <w:color w:val="auto"/>
        </w:rPr>
        <w:t>Mr. McFarland continued, "We continued to make strides on our ESG strategy and are pleased to announce we have identified approximately one billion metric tons of CO</w:t>
      </w:r>
      <w:r>
        <w:rPr>
          <w:rFonts w:ascii="Arial" w:cs="Arial" w:eastAsia="Arial" w:hAnsi="Arial"/>
          <w:sz w:val="27"/>
          <w:szCs w:val="27"/>
          <w:color w:val="auto"/>
          <w:vertAlign w:val="subscript"/>
        </w:rPr>
        <w:t>2</w:t>
      </w:r>
      <w:r>
        <w:rPr>
          <w:rFonts w:ascii="Arial" w:cs="Arial" w:eastAsia="Arial" w:hAnsi="Arial"/>
          <w:sz w:val="21"/>
          <w:szCs w:val="21"/>
          <w:color w:val="auto"/>
        </w:rPr>
        <w:t xml:space="preserve"> permanent storage capacity as well as up to 1,000 megawatts (MW) of front-of-the-meter solar opportunities which will help contribute to the decarbonization of California. As a first step, we are submitting permits for an ~40 million metric ton permanent storage CCS project, Carbon TerraVault I. Further, we are advancing arrangements with SunPower for an initial 12 MW and up to 45 MW of behind-the-meter solar projects.</w:t>
      </w:r>
    </w:p>
    <w:p>
      <w:pPr>
        <w:spacing w:after="0" w:line="211"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21"/>
          <w:szCs w:val="21"/>
          <w:color w:val="auto"/>
        </w:rPr>
        <w:t>"I'm also excited to announce the appointment of Nicole Neeman Brady to our Board and look forward to her contributions, particularly on the Sustainability Committee."</w:t>
      </w:r>
    </w:p>
    <w:p>
      <w:pPr>
        <w:spacing w:after="0" w:line="198"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Second Quarter 2021 Highlights</w:t>
      </w:r>
    </w:p>
    <w:p>
      <w:pPr>
        <w:spacing w:after="0" w:line="249"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Financial</w:t>
      </w:r>
    </w:p>
    <w:p>
      <w:pPr>
        <w:spacing w:after="0" w:line="24" w:lineRule="exact"/>
        <w:rPr>
          <w:sz w:val="20"/>
          <w:szCs w:val="20"/>
          <w:color w:val="auto"/>
        </w:rPr>
      </w:pPr>
    </w:p>
    <w:p>
      <w:pPr>
        <w:ind w:left="320" w:hanging="195"/>
        <w:spacing w:after="0" w:line="224" w:lineRule="auto"/>
        <w:tabs>
          <w:tab w:leader="none" w:pos="262" w:val="left"/>
        </w:tabs>
        <w:numPr>
          <w:ilvl w:val="0"/>
          <w:numId w:val="3"/>
        </w:numPr>
        <w:rPr>
          <w:rFonts w:ascii="Arial" w:cs="Arial" w:eastAsia="Arial" w:hAnsi="Arial"/>
          <w:sz w:val="21"/>
          <w:szCs w:val="21"/>
          <w:color w:val="auto"/>
        </w:rPr>
      </w:pPr>
      <w:r>
        <w:rPr>
          <w:rFonts w:ascii="Arial" w:cs="Arial" w:eastAsia="Arial" w:hAnsi="Arial"/>
          <w:sz w:val="21"/>
          <w:szCs w:val="21"/>
          <w:color w:val="auto"/>
        </w:rPr>
        <w:t>Reported a net loss attributable to common stock of $111 million, or $1.34 per diluted share. Adjusted net income</w:t>
      </w:r>
      <w:r>
        <w:rPr>
          <w:rFonts w:ascii="Arial" w:cs="Arial" w:eastAsia="Arial" w:hAnsi="Arial"/>
          <w:sz w:val="27"/>
          <w:szCs w:val="27"/>
          <w:color w:val="auto"/>
          <w:vertAlign w:val="superscript"/>
        </w:rPr>
        <w:t>1</w:t>
      </w:r>
      <w:r>
        <w:rPr>
          <w:rFonts w:ascii="Arial" w:cs="Arial" w:eastAsia="Arial" w:hAnsi="Arial"/>
          <w:sz w:val="21"/>
          <w:szCs w:val="21"/>
          <w:color w:val="auto"/>
        </w:rPr>
        <w:t xml:space="preserve"> was $78 million, or $0.94 per diluted share</w:t>
      </w:r>
    </w:p>
    <w:p>
      <w:pPr>
        <w:ind w:left="320" w:hanging="195"/>
        <w:spacing w:after="0" w:line="194" w:lineRule="auto"/>
        <w:tabs>
          <w:tab w:leader="none" w:pos="262" w:val="left"/>
        </w:tabs>
        <w:numPr>
          <w:ilvl w:val="0"/>
          <w:numId w:val="3"/>
        </w:numPr>
        <w:rPr>
          <w:rFonts w:ascii="Arial" w:cs="Arial" w:eastAsia="Arial" w:hAnsi="Arial"/>
          <w:sz w:val="21"/>
          <w:szCs w:val="21"/>
          <w:color w:val="auto"/>
        </w:rPr>
      </w:pPr>
      <w:r>
        <w:rPr>
          <w:rFonts w:ascii="Arial" w:cs="Arial" w:eastAsia="Arial" w:hAnsi="Arial"/>
          <w:sz w:val="21"/>
          <w:szCs w:val="21"/>
          <w:color w:val="auto"/>
        </w:rPr>
        <w:t>Generated net cash provided by operating activities of $127 million, adjusted EBITDAX</w:t>
      </w:r>
      <w:r>
        <w:rPr>
          <w:rFonts w:ascii="Arial" w:cs="Arial" w:eastAsia="Arial" w:hAnsi="Arial"/>
          <w:sz w:val="27"/>
          <w:szCs w:val="27"/>
          <w:color w:val="auto"/>
          <w:vertAlign w:val="superscript"/>
        </w:rPr>
        <w:t>1</w:t>
      </w:r>
      <w:r>
        <w:rPr>
          <w:rFonts w:ascii="Arial" w:cs="Arial" w:eastAsia="Arial" w:hAnsi="Arial"/>
          <w:sz w:val="21"/>
          <w:szCs w:val="21"/>
          <w:color w:val="auto"/>
        </w:rPr>
        <w:t xml:space="preserve"> of $169 million and free cash flow</w:t>
      </w:r>
      <w:r>
        <w:rPr>
          <w:rFonts w:ascii="Arial" w:cs="Arial" w:eastAsia="Arial" w:hAnsi="Arial"/>
          <w:sz w:val="27"/>
          <w:szCs w:val="27"/>
          <w:color w:val="auto"/>
          <w:vertAlign w:val="superscript"/>
        </w:rPr>
        <w:t>1</w:t>
      </w:r>
      <w:r>
        <w:rPr>
          <w:rFonts w:ascii="Arial" w:cs="Arial" w:eastAsia="Arial" w:hAnsi="Arial"/>
          <w:sz w:val="21"/>
          <w:szCs w:val="21"/>
          <w:color w:val="auto"/>
        </w:rPr>
        <w:t xml:space="preserve"> of $77 million</w:t>
      </w:r>
    </w:p>
    <w:p>
      <w:pPr>
        <w:spacing w:after="0" w:line="1" w:lineRule="exact"/>
        <w:rPr>
          <w:rFonts w:ascii="Arial" w:cs="Arial" w:eastAsia="Arial" w:hAnsi="Arial"/>
          <w:sz w:val="21"/>
          <w:szCs w:val="21"/>
          <w:color w:val="auto"/>
        </w:rPr>
      </w:pPr>
    </w:p>
    <w:p>
      <w:pPr>
        <w:ind w:left="260" w:hanging="135"/>
        <w:spacing w:after="0" w:line="194" w:lineRule="auto"/>
        <w:tabs>
          <w:tab w:leader="none" w:pos="260" w:val="left"/>
        </w:tabs>
        <w:numPr>
          <w:ilvl w:val="0"/>
          <w:numId w:val="3"/>
        </w:numPr>
        <w:rPr>
          <w:rFonts w:ascii="Arial" w:cs="Arial" w:eastAsia="Arial" w:hAnsi="Arial"/>
          <w:sz w:val="21"/>
          <w:szCs w:val="21"/>
          <w:color w:val="auto"/>
        </w:rPr>
      </w:pPr>
      <w:r>
        <w:rPr>
          <w:rFonts w:ascii="Arial" w:cs="Arial" w:eastAsia="Arial" w:hAnsi="Arial"/>
          <w:sz w:val="21"/>
          <w:szCs w:val="21"/>
          <w:color w:val="auto"/>
        </w:rPr>
        <w:t>Closed the quarter with $151 million of cash on hand, an undrawn credit facility and $518 million of liquidity</w:t>
      </w:r>
      <w:r>
        <w:rPr>
          <w:rFonts w:ascii="Arial" w:cs="Arial" w:eastAsia="Arial" w:hAnsi="Arial"/>
          <w:sz w:val="27"/>
          <w:szCs w:val="27"/>
          <w:color w:val="auto"/>
          <w:vertAlign w:val="superscript"/>
        </w:rPr>
        <w:t>2</w:t>
      </w:r>
    </w:p>
    <w:p>
      <w:pPr>
        <w:ind w:left="320" w:hanging="195"/>
        <w:spacing w:after="0" w:line="264" w:lineRule="auto"/>
        <w:tabs>
          <w:tab w:leader="none" w:pos="262" w:val="left"/>
        </w:tabs>
        <w:numPr>
          <w:ilvl w:val="0"/>
          <w:numId w:val="3"/>
        </w:numPr>
        <w:rPr>
          <w:rFonts w:ascii="Arial" w:cs="Arial" w:eastAsia="Arial" w:hAnsi="Arial"/>
          <w:sz w:val="21"/>
          <w:szCs w:val="21"/>
          <w:color w:val="auto"/>
        </w:rPr>
      </w:pPr>
      <w:r>
        <w:rPr>
          <w:rFonts w:ascii="Arial" w:cs="Arial" w:eastAsia="Arial" w:hAnsi="Arial"/>
          <w:sz w:val="21"/>
          <w:szCs w:val="21"/>
          <w:color w:val="auto"/>
        </w:rPr>
        <w:t>Sustained non-energy operating costs and general and administrative (G&amp;A) expense improvements achieved earlier in 2021</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w:t>
      </w:r>
    </w:p>
    <w:p>
      <w:pPr>
        <w:sectPr>
          <w:pgSz w:w="11900" w:h="16838" w:orient="portrait"/>
          <w:cols w:equalWidth="0" w:num="1">
            <w:col w:w="11240"/>
          </w:cols>
          <w:pgMar w:left="320" w:top="1440" w:right="339" w:bottom="1440" w:gutter="0" w:footer="0" w:header="0"/>
        </w:sectPr>
      </w:pPr>
    </w:p>
    <w:bookmarkStart w:id="5" w:name="page6"/>
    <w:bookmarkEnd w:id="5"/>
    <w:p>
      <w:pPr>
        <w:spacing w:after="0"/>
        <w:rPr>
          <w:sz w:val="20"/>
          <w:szCs w:val="20"/>
          <w:color w:val="auto"/>
        </w:rPr>
      </w:pPr>
      <w:r>
        <w:rPr>
          <w:rFonts w:ascii="Arial" w:cs="Arial" w:eastAsia="Arial" w:hAnsi="Arial"/>
          <w:sz w:val="21"/>
          <w:szCs w:val="21"/>
          <w:b w:val="1"/>
          <w:bCs w:val="1"/>
          <w:i w:val="1"/>
          <w:iCs w:val="1"/>
          <w:color w:val="auto"/>
        </w:rPr>
        <w:t>Operational</w:t>
      </w:r>
    </w:p>
    <w:p>
      <w:pPr>
        <w:spacing w:after="0" w:line="36" w:lineRule="exact"/>
        <w:rPr>
          <w:sz w:val="20"/>
          <w:szCs w:val="20"/>
          <w:color w:val="auto"/>
        </w:rPr>
      </w:pPr>
    </w:p>
    <w:p>
      <w:pPr>
        <w:ind w:left="200" w:hanging="195"/>
        <w:spacing w:after="0" w:line="250" w:lineRule="auto"/>
        <w:tabs>
          <w:tab w:leader="none" w:pos="142" w:val="left"/>
        </w:tabs>
        <w:numPr>
          <w:ilvl w:val="0"/>
          <w:numId w:val="4"/>
        </w:numPr>
        <w:rPr>
          <w:rFonts w:ascii="Arial" w:cs="Arial" w:eastAsia="Arial" w:hAnsi="Arial"/>
          <w:sz w:val="21"/>
          <w:szCs w:val="21"/>
          <w:color w:val="auto"/>
        </w:rPr>
      </w:pPr>
      <w:r>
        <w:rPr>
          <w:rFonts w:ascii="Arial" w:cs="Arial" w:eastAsia="Arial" w:hAnsi="Arial"/>
          <w:sz w:val="21"/>
          <w:szCs w:val="21"/>
          <w:color w:val="auto"/>
        </w:rPr>
        <w:t>Produced an average of 101,000 net barrels of oil equivalent (BOE) per day, including 61,000 barrels per day of oil, with quarterly capital expenditures of $50 million</w:t>
      </w:r>
    </w:p>
    <w:p>
      <w:pPr>
        <w:ind w:left="140" w:hanging="135"/>
        <w:spacing w:after="0"/>
        <w:tabs>
          <w:tab w:leader="none" w:pos="140" w:val="left"/>
        </w:tabs>
        <w:numPr>
          <w:ilvl w:val="0"/>
          <w:numId w:val="4"/>
        </w:numPr>
        <w:rPr>
          <w:rFonts w:ascii="Arial" w:cs="Arial" w:eastAsia="Arial" w:hAnsi="Arial"/>
          <w:sz w:val="21"/>
          <w:szCs w:val="21"/>
          <w:color w:val="auto"/>
        </w:rPr>
      </w:pPr>
      <w:r>
        <w:rPr>
          <w:rFonts w:ascii="Arial" w:cs="Arial" w:eastAsia="Arial" w:hAnsi="Arial"/>
          <w:sz w:val="21"/>
          <w:szCs w:val="21"/>
          <w:color w:val="auto"/>
        </w:rPr>
        <w:t>Operated two drilling rigs in the San Joaquin Basin and drilled 21 wells (21 online in 2Q21)</w:t>
      </w:r>
    </w:p>
    <w:p>
      <w:pPr>
        <w:spacing w:after="0" w:line="10" w:lineRule="exact"/>
        <w:rPr>
          <w:rFonts w:ascii="Arial" w:cs="Arial" w:eastAsia="Arial" w:hAnsi="Arial"/>
          <w:sz w:val="21"/>
          <w:szCs w:val="21"/>
          <w:color w:val="auto"/>
        </w:rPr>
      </w:pPr>
    </w:p>
    <w:p>
      <w:pPr>
        <w:ind w:left="140" w:hanging="135"/>
        <w:spacing w:after="0"/>
        <w:tabs>
          <w:tab w:leader="none" w:pos="140" w:val="left"/>
        </w:tabs>
        <w:numPr>
          <w:ilvl w:val="0"/>
          <w:numId w:val="4"/>
        </w:numPr>
        <w:rPr>
          <w:rFonts w:ascii="Arial" w:cs="Arial" w:eastAsia="Arial" w:hAnsi="Arial"/>
          <w:sz w:val="21"/>
          <w:szCs w:val="21"/>
          <w:color w:val="auto"/>
        </w:rPr>
      </w:pPr>
      <w:r>
        <w:rPr>
          <w:rFonts w:ascii="Arial" w:cs="Arial" w:eastAsia="Arial" w:hAnsi="Arial"/>
          <w:sz w:val="21"/>
          <w:szCs w:val="21"/>
          <w:color w:val="auto"/>
        </w:rPr>
        <w:t>Operated 35 maintenance rigs</w:t>
      </w:r>
    </w:p>
    <w:p>
      <w:pPr>
        <w:spacing w:after="0" w:line="10" w:lineRule="exact"/>
        <w:rPr>
          <w:rFonts w:ascii="Arial" w:cs="Arial" w:eastAsia="Arial" w:hAnsi="Arial"/>
          <w:sz w:val="21"/>
          <w:szCs w:val="21"/>
          <w:color w:val="auto"/>
        </w:rPr>
      </w:pPr>
    </w:p>
    <w:p>
      <w:pPr>
        <w:ind w:left="140" w:hanging="135"/>
        <w:spacing w:after="0"/>
        <w:tabs>
          <w:tab w:leader="none" w:pos="140" w:val="left"/>
        </w:tabs>
        <w:numPr>
          <w:ilvl w:val="0"/>
          <w:numId w:val="4"/>
        </w:numPr>
        <w:rPr>
          <w:rFonts w:ascii="Arial" w:cs="Arial" w:eastAsia="Arial" w:hAnsi="Arial"/>
          <w:sz w:val="21"/>
          <w:szCs w:val="21"/>
          <w:color w:val="auto"/>
        </w:rPr>
      </w:pPr>
      <w:r>
        <w:rPr>
          <w:rFonts w:ascii="Arial" w:cs="Arial" w:eastAsia="Arial" w:hAnsi="Arial"/>
          <w:sz w:val="21"/>
          <w:szCs w:val="21"/>
          <w:color w:val="auto"/>
        </w:rPr>
        <w:t>Completed 48 capital workovers</w:t>
      </w:r>
    </w:p>
    <w:p>
      <w:pPr>
        <w:spacing w:after="0" w:line="223"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Transactional</w:t>
      </w:r>
    </w:p>
    <w:p>
      <w:pPr>
        <w:spacing w:after="0" w:line="36" w:lineRule="exact"/>
        <w:rPr>
          <w:sz w:val="20"/>
          <w:szCs w:val="20"/>
          <w:color w:val="auto"/>
        </w:rPr>
      </w:pPr>
    </w:p>
    <w:p>
      <w:pPr>
        <w:ind w:left="200" w:hanging="195"/>
        <w:spacing w:after="0" w:line="250" w:lineRule="auto"/>
        <w:tabs>
          <w:tab w:leader="none" w:pos="142" w:val="left"/>
        </w:tabs>
        <w:numPr>
          <w:ilvl w:val="0"/>
          <w:numId w:val="5"/>
        </w:numPr>
        <w:rPr>
          <w:rFonts w:ascii="Arial" w:cs="Arial" w:eastAsia="Arial" w:hAnsi="Arial"/>
          <w:sz w:val="21"/>
          <w:szCs w:val="21"/>
          <w:color w:val="auto"/>
        </w:rPr>
      </w:pPr>
      <w:r>
        <w:rPr>
          <w:rFonts w:ascii="Arial" w:cs="Arial" w:eastAsia="Arial" w:hAnsi="Arial"/>
          <w:sz w:val="21"/>
          <w:szCs w:val="21"/>
          <w:color w:val="auto"/>
        </w:rPr>
        <w:t>Signed agreements to divest operations in the Ventura basin for total cash consideration of up to $102 million plus additional earn-out consideration that is linked to future commodity prices</w:t>
      </w:r>
    </w:p>
    <w:p>
      <w:pPr>
        <w:ind w:left="200" w:hanging="195"/>
        <w:spacing w:after="0" w:line="250" w:lineRule="auto"/>
        <w:tabs>
          <w:tab w:leader="none" w:pos="142" w:val="left"/>
        </w:tabs>
        <w:numPr>
          <w:ilvl w:val="0"/>
          <w:numId w:val="5"/>
        </w:numPr>
        <w:rPr>
          <w:rFonts w:ascii="Arial" w:cs="Arial" w:eastAsia="Arial" w:hAnsi="Arial"/>
          <w:sz w:val="21"/>
          <w:szCs w:val="21"/>
          <w:color w:val="auto"/>
        </w:rPr>
      </w:pPr>
      <w:r>
        <w:rPr>
          <w:rFonts w:ascii="Arial" w:cs="Arial" w:eastAsia="Arial" w:hAnsi="Arial"/>
          <w:sz w:val="21"/>
          <w:szCs w:val="21"/>
          <w:color w:val="auto"/>
        </w:rPr>
        <w:t>Post quarter end, acquired the working interest in the joint venture wells held by Macquarie Infrastructure and Real Assets, Inc. (“MIRA”) for $53 million</w:t>
      </w:r>
    </w:p>
    <w:p>
      <w:pPr>
        <w:ind w:left="140" w:hanging="135"/>
        <w:spacing w:after="0" w:line="194" w:lineRule="auto"/>
        <w:tabs>
          <w:tab w:leader="none" w:pos="140" w:val="left"/>
        </w:tabs>
        <w:numPr>
          <w:ilvl w:val="0"/>
          <w:numId w:val="5"/>
        </w:numPr>
        <w:rPr>
          <w:rFonts w:ascii="Arial" w:cs="Arial" w:eastAsia="Arial" w:hAnsi="Arial"/>
          <w:sz w:val="21"/>
          <w:szCs w:val="21"/>
          <w:color w:val="auto"/>
        </w:rPr>
      </w:pPr>
      <w:r>
        <w:rPr>
          <w:rFonts w:ascii="Arial" w:cs="Arial" w:eastAsia="Arial" w:hAnsi="Arial"/>
          <w:sz w:val="21"/>
          <w:szCs w:val="21"/>
          <w:color w:val="auto"/>
        </w:rPr>
        <w:t>Post quarter end, filing permits for an ~40 MMT CO</w:t>
      </w:r>
      <w:r>
        <w:rPr>
          <w:rFonts w:ascii="Arial" w:cs="Arial" w:eastAsia="Arial" w:hAnsi="Arial"/>
          <w:sz w:val="27"/>
          <w:szCs w:val="27"/>
          <w:color w:val="auto"/>
          <w:vertAlign w:val="subscript"/>
        </w:rPr>
        <w:t>2</w:t>
      </w:r>
      <w:r>
        <w:rPr>
          <w:rFonts w:ascii="Arial" w:cs="Arial" w:eastAsia="Arial" w:hAnsi="Arial"/>
          <w:sz w:val="21"/>
          <w:szCs w:val="21"/>
          <w:color w:val="auto"/>
        </w:rPr>
        <w:t xml:space="preserve"> permanent storage CCS project, Carbon TerraVault I</w:t>
      </w:r>
    </w:p>
    <w:p>
      <w:pPr>
        <w:ind w:left="200" w:hanging="195"/>
        <w:spacing w:after="0" w:line="264" w:lineRule="auto"/>
        <w:tabs>
          <w:tab w:leader="none" w:pos="142" w:val="left"/>
        </w:tabs>
        <w:numPr>
          <w:ilvl w:val="0"/>
          <w:numId w:val="5"/>
        </w:numPr>
        <w:rPr>
          <w:rFonts w:ascii="Arial" w:cs="Arial" w:eastAsia="Arial" w:hAnsi="Arial"/>
          <w:sz w:val="21"/>
          <w:szCs w:val="21"/>
          <w:color w:val="auto"/>
        </w:rPr>
      </w:pPr>
      <w:r>
        <w:rPr>
          <w:rFonts w:ascii="Arial" w:cs="Arial" w:eastAsia="Arial" w:hAnsi="Arial"/>
          <w:sz w:val="21"/>
          <w:szCs w:val="21"/>
          <w:color w:val="auto"/>
        </w:rPr>
        <w:t>Advancing a 12 MW behind-the-meter solar project with SunPower for CRC's Mt. Poso field which is expected to be Low Carbon Fuel Standard ("LCFS") eligible; construction is expected to begin in early 2022</w:t>
      </w:r>
    </w:p>
    <w:p>
      <w:pPr>
        <w:spacing w:after="0" w:line="171"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Guidance</w:t>
      </w:r>
    </w:p>
    <w:p>
      <w:pPr>
        <w:ind w:left="140" w:hanging="135"/>
        <w:spacing w:after="0" w:line="222" w:lineRule="auto"/>
        <w:tabs>
          <w:tab w:leader="none" w:pos="140" w:val="left"/>
        </w:tabs>
        <w:numPr>
          <w:ilvl w:val="0"/>
          <w:numId w:val="6"/>
        </w:numPr>
        <w:rPr>
          <w:rFonts w:ascii="Arial" w:cs="Arial" w:eastAsia="Arial" w:hAnsi="Arial"/>
          <w:sz w:val="21"/>
          <w:szCs w:val="21"/>
          <w:b w:val="1"/>
          <w:bCs w:val="1"/>
          <w:i w:val="1"/>
          <w:iCs w:val="1"/>
          <w:color w:val="auto"/>
        </w:rPr>
      </w:pPr>
      <w:r>
        <w:rPr>
          <w:rFonts w:ascii="Arial" w:cs="Arial" w:eastAsia="Arial" w:hAnsi="Arial"/>
          <w:sz w:val="21"/>
          <w:szCs w:val="21"/>
          <w:color w:val="auto"/>
        </w:rPr>
        <w:t>Raised 2021 free cash flow</w:t>
      </w:r>
      <w:r>
        <w:rPr>
          <w:rFonts w:ascii="Arial" w:cs="Arial" w:eastAsia="Arial" w:hAnsi="Arial"/>
          <w:sz w:val="27"/>
          <w:szCs w:val="27"/>
          <w:color w:val="auto"/>
          <w:vertAlign w:val="superscript"/>
        </w:rPr>
        <w:t>1</w:t>
      </w:r>
      <w:r>
        <w:rPr>
          <w:rFonts w:ascii="Arial" w:cs="Arial" w:eastAsia="Arial" w:hAnsi="Arial"/>
          <w:sz w:val="21"/>
          <w:szCs w:val="21"/>
          <w:color w:val="auto"/>
        </w:rPr>
        <w:t xml:space="preserve"> guidance to $400 to $500 million</w:t>
      </w:r>
    </w:p>
    <w:p>
      <w:pPr>
        <w:ind w:left="200" w:hanging="195"/>
        <w:spacing w:after="0" w:line="250" w:lineRule="auto"/>
        <w:tabs>
          <w:tab w:leader="none" w:pos="142" w:val="left"/>
        </w:tabs>
        <w:numPr>
          <w:ilvl w:val="0"/>
          <w:numId w:val="6"/>
        </w:numPr>
        <w:rPr>
          <w:rFonts w:ascii="Arial" w:cs="Arial" w:eastAsia="Arial" w:hAnsi="Arial"/>
          <w:sz w:val="21"/>
          <w:szCs w:val="21"/>
          <w:color w:val="auto"/>
        </w:rPr>
      </w:pPr>
      <w:r>
        <w:rPr>
          <w:rFonts w:ascii="Arial" w:cs="Arial" w:eastAsia="Arial" w:hAnsi="Arial"/>
          <w:sz w:val="21"/>
          <w:szCs w:val="21"/>
          <w:color w:val="auto"/>
        </w:rPr>
        <w:t>Optimized CRC investment dollars by shifting an additional $20 million from drilling and completions to downhole maintenance projects which provide efficiencies and faster payouts</w:t>
      </w:r>
    </w:p>
    <w:p>
      <w:pPr>
        <w:ind w:left="200" w:hanging="195"/>
        <w:spacing w:after="0" w:line="264" w:lineRule="auto"/>
        <w:tabs>
          <w:tab w:leader="none" w:pos="142" w:val="left"/>
        </w:tabs>
        <w:numPr>
          <w:ilvl w:val="0"/>
          <w:numId w:val="6"/>
        </w:numPr>
        <w:rPr>
          <w:rFonts w:ascii="Arial" w:cs="Arial" w:eastAsia="Arial" w:hAnsi="Arial"/>
          <w:sz w:val="21"/>
          <w:szCs w:val="21"/>
          <w:color w:val="auto"/>
        </w:rPr>
      </w:pPr>
      <w:r>
        <w:rPr>
          <w:rFonts w:ascii="Arial" w:cs="Arial" w:eastAsia="Arial" w:hAnsi="Arial"/>
          <w:sz w:val="21"/>
          <w:szCs w:val="21"/>
          <w:color w:val="auto"/>
        </w:rPr>
        <w:t>Raised the Share Repurchase Program ("SRP") to $250 million from $150 million; repurchased 1.4 million shares for $45 million in 2Q21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1120"/>
          </w:cols>
          <w:pgMar w:left="440" w:top="876" w:right="339" w:bottom="1440" w:gutter="0" w:footer="0" w:header="0"/>
        </w:sectPr>
      </w:pPr>
    </w:p>
    <w:bookmarkStart w:id="6" w:name="page7"/>
    <w:bookmarkEnd w:id="6"/>
    <w:p>
      <w:pPr>
        <w:spacing w:after="0"/>
        <w:rPr>
          <w:sz w:val="20"/>
          <w:szCs w:val="20"/>
          <w:color w:val="auto"/>
        </w:rPr>
      </w:pPr>
      <w:r>
        <w:rPr>
          <w:rFonts w:ascii="Arial" w:cs="Arial" w:eastAsia="Arial" w:hAnsi="Arial"/>
          <w:sz w:val="21"/>
          <w:szCs w:val="21"/>
          <w:b w:val="1"/>
          <w:bCs w:val="1"/>
          <w:u w:val="single" w:color="auto"/>
          <w:color w:val="auto"/>
        </w:rPr>
        <w:t>2021 Guidance &amp; Capital Program</w:t>
      </w:r>
    </w:p>
    <w:p>
      <w:pPr>
        <w:spacing w:after="0" w:line="249" w:lineRule="exact"/>
        <w:rPr>
          <w:sz w:val="20"/>
          <w:szCs w:val="20"/>
          <w:color w:val="auto"/>
        </w:rPr>
      </w:pPr>
    </w:p>
    <w:p>
      <w:pPr>
        <w:jc w:val="both"/>
        <w:ind w:firstLine="318"/>
        <w:spacing w:after="0" w:line="238" w:lineRule="auto"/>
        <w:rPr>
          <w:sz w:val="20"/>
          <w:szCs w:val="20"/>
          <w:color w:val="auto"/>
        </w:rPr>
      </w:pPr>
      <w:r>
        <w:rPr>
          <w:rFonts w:ascii="Arial" w:cs="Arial" w:eastAsia="Arial" w:hAnsi="Arial"/>
          <w:sz w:val="21"/>
          <w:szCs w:val="21"/>
          <w:color w:val="auto"/>
        </w:rPr>
        <w:t>Given the strength of the second quarter results, CRC has raised its full year 2021 free cash flow</w:t>
      </w:r>
      <w:r>
        <w:rPr>
          <w:rFonts w:ascii="Arial" w:cs="Arial" w:eastAsia="Arial" w:hAnsi="Arial"/>
          <w:sz w:val="27"/>
          <w:szCs w:val="27"/>
          <w:color w:val="auto"/>
          <w:vertAlign w:val="superscript"/>
        </w:rPr>
        <w:t>1</w:t>
      </w:r>
      <w:r>
        <w:rPr>
          <w:rFonts w:ascii="Arial" w:cs="Arial" w:eastAsia="Arial" w:hAnsi="Arial"/>
          <w:sz w:val="21"/>
          <w:szCs w:val="21"/>
          <w:color w:val="auto"/>
        </w:rPr>
        <w:t xml:space="preserve"> guidance to $400 to $500 million from $250 to $350 million, adjusted EBITDAX</w:t>
      </w:r>
      <w:r>
        <w:rPr>
          <w:rFonts w:ascii="Arial" w:cs="Arial" w:eastAsia="Arial" w:hAnsi="Arial"/>
          <w:sz w:val="27"/>
          <w:szCs w:val="27"/>
          <w:color w:val="auto"/>
          <w:vertAlign w:val="superscript"/>
        </w:rPr>
        <w:t>1</w:t>
      </w:r>
      <w:r>
        <w:rPr>
          <w:rFonts w:ascii="Arial" w:cs="Arial" w:eastAsia="Arial" w:hAnsi="Arial"/>
          <w:sz w:val="21"/>
          <w:szCs w:val="21"/>
          <w:color w:val="auto"/>
        </w:rPr>
        <w:t xml:space="preserve"> guidance to $725 to $825 million from $625 to $725 million and production guidance to 97 to 100 MBOE per day from 96 to 99 MBOE per day. Recognizing capital efficiency improvements and faster payouts on downhole maintenance projects, CRC revised its full year 2021 operating cost and capital guidance by shifting an additional $20 million of drilling capital to these opportunities. In addition to this shift from capital to operating costs, an increase in natural gas prices further raises expected operating costs by approximately $35 million, which is more than offset by increased natural gas revenues as CRC is net long natural gas on the whole. These two items result in revised full year 2021 capital guidance of $170 to $190 million from $185 to $210 million and revised full year 2021 operating cost guidance of $670 to $695 million from $615 to $630 million.</w:t>
      </w:r>
    </w:p>
    <w:p>
      <w:pPr>
        <w:spacing w:after="0" w:line="225" w:lineRule="exact"/>
        <w:rPr>
          <w:sz w:val="20"/>
          <w:szCs w:val="20"/>
          <w:color w:val="auto"/>
        </w:rPr>
      </w:pPr>
    </w:p>
    <w:p>
      <w:pPr>
        <w:jc w:val="both"/>
        <w:ind w:firstLine="318"/>
        <w:spacing w:after="0" w:line="253" w:lineRule="auto"/>
        <w:rPr>
          <w:sz w:val="20"/>
          <w:szCs w:val="20"/>
          <w:color w:val="auto"/>
        </w:rPr>
      </w:pPr>
      <w:r>
        <w:rPr>
          <w:rFonts w:ascii="Arial" w:cs="Arial" w:eastAsia="Arial" w:hAnsi="Arial"/>
          <w:sz w:val="21"/>
          <w:szCs w:val="21"/>
          <w:color w:val="auto"/>
        </w:rPr>
        <w:t>CRC made $77 million of capital investments in the first half of 2021. The current capital program anticipates that CRC will maintain a consistent level of investment throughout the remainder of the year. If commodity prices decline significantly from current levels. CRC may need to decrease the size of its capital program in response to market conditions. The Company's capital program will be dynamic in response to oil market volatility while focusing on maintaining its oil production, strong liquidity and maximizing its free cash flow.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121285</wp:posOffset>
            </wp:positionV>
            <wp:extent cx="71348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78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720" w:type="dxa"/>
            <w:vAlign w:val="bottom"/>
            <w:tcBorders>
              <w:top w:val="single" w:sz="8" w:color="auto"/>
            </w:tcBorders>
            <w:gridSpan w:val="3"/>
          </w:tcPr>
          <w:p>
            <w:pPr>
              <w:jc w:val="center"/>
              <w:ind w:right="100"/>
              <w:spacing w:after="0"/>
              <w:rPr>
                <w:sz w:val="20"/>
                <w:szCs w:val="20"/>
                <w:color w:val="auto"/>
              </w:rPr>
            </w:pPr>
            <w:r>
              <w:rPr>
                <w:rFonts w:ascii="Arial" w:cs="Arial" w:eastAsia="Arial" w:hAnsi="Arial"/>
                <w:sz w:val="14"/>
                <w:szCs w:val="14"/>
                <w:color w:val="auto"/>
              </w:rPr>
              <w:t>Prior</w:t>
            </w:r>
          </w:p>
        </w:tc>
        <w:tc>
          <w:tcPr>
            <w:tcW w:w="162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color w:val="auto"/>
                <w:w w:val="98"/>
              </w:rPr>
              <w:t>Revised</w:t>
            </w:r>
          </w:p>
        </w:tc>
      </w:tr>
      <w:tr>
        <w:trPr>
          <w:trHeight w:val="186"/>
        </w:trPr>
        <w:tc>
          <w:tcPr>
            <w:tcW w:w="78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2021E TOTAL YEAR GUIDANCE</w:t>
            </w:r>
          </w:p>
        </w:tc>
        <w:tc>
          <w:tcPr>
            <w:tcW w:w="100" w:type="dxa"/>
            <w:vAlign w:val="bottom"/>
          </w:tcPr>
          <w:p>
            <w:pPr>
              <w:spacing w:after="0"/>
              <w:rPr>
                <w:sz w:val="16"/>
                <w:szCs w:val="16"/>
                <w:color w:val="auto"/>
              </w:rPr>
            </w:pPr>
          </w:p>
        </w:tc>
        <w:tc>
          <w:tcPr>
            <w:tcW w:w="16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8"/>
              </w:rPr>
              <w:t>Total Year 2021E</w:t>
            </w:r>
          </w:p>
        </w:tc>
        <w:tc>
          <w:tcPr>
            <w:tcW w:w="100" w:type="dxa"/>
            <w:vAlign w:val="bottom"/>
          </w:tcPr>
          <w:p>
            <w:pPr>
              <w:spacing w:after="0"/>
              <w:rPr>
                <w:sz w:val="16"/>
                <w:szCs w:val="16"/>
                <w:color w:val="auto"/>
              </w:rPr>
            </w:pPr>
          </w:p>
        </w:tc>
        <w:tc>
          <w:tcPr>
            <w:tcW w:w="16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8"/>
              </w:rPr>
              <w:t>Total Year 2021E</w:t>
            </w:r>
          </w:p>
        </w:tc>
      </w:tr>
      <w:tr>
        <w:trPr>
          <w:trHeight w:val="417"/>
        </w:trPr>
        <w:tc>
          <w:tcPr>
            <w:tcW w:w="7900" w:type="dxa"/>
            <w:vAlign w:val="bottom"/>
            <w:gridSpan w:val="2"/>
          </w:tcPr>
          <w:p>
            <w:pPr>
              <w:ind w:left="140"/>
              <w:spacing w:after="0"/>
              <w:rPr>
                <w:sz w:val="20"/>
                <w:szCs w:val="20"/>
                <w:color w:val="auto"/>
              </w:rPr>
            </w:pPr>
            <w:r>
              <w:rPr>
                <w:rFonts w:ascii="Arial" w:cs="Arial" w:eastAsia="Arial" w:hAnsi="Arial"/>
                <w:sz w:val="14"/>
                <w:szCs w:val="14"/>
                <w:color w:val="auto"/>
              </w:rPr>
              <w:t>Total Production (Mboe/d)</w:t>
            </w:r>
          </w:p>
        </w:tc>
        <w:tc>
          <w:tcPr>
            <w:tcW w:w="760" w:type="dxa"/>
            <w:vAlign w:val="bottom"/>
          </w:tcPr>
          <w:p>
            <w:pPr>
              <w:jc w:val="right"/>
              <w:spacing w:after="0"/>
              <w:rPr>
                <w:sz w:val="20"/>
                <w:szCs w:val="20"/>
                <w:color w:val="auto"/>
              </w:rPr>
            </w:pPr>
            <w:r>
              <w:rPr>
                <w:rFonts w:ascii="Arial" w:cs="Arial" w:eastAsia="Arial" w:hAnsi="Arial"/>
                <w:sz w:val="14"/>
                <w:szCs w:val="14"/>
                <w:color w:val="auto"/>
              </w:rPr>
              <w:t>96</w:t>
            </w:r>
          </w:p>
        </w:tc>
        <w:tc>
          <w:tcPr>
            <w:tcW w:w="860" w:type="dxa"/>
            <w:vAlign w:val="bottom"/>
          </w:tcPr>
          <w:p>
            <w:pPr>
              <w:ind w:left="20"/>
              <w:spacing w:after="0"/>
              <w:rPr>
                <w:sz w:val="20"/>
                <w:szCs w:val="20"/>
                <w:color w:val="auto"/>
              </w:rPr>
            </w:pPr>
            <w:r>
              <w:rPr>
                <w:rFonts w:ascii="Arial" w:cs="Arial" w:eastAsia="Arial" w:hAnsi="Arial"/>
                <w:sz w:val="14"/>
                <w:szCs w:val="14"/>
                <w:color w:val="auto"/>
              </w:rPr>
              <w:t>- 99</w:t>
            </w:r>
          </w:p>
        </w:tc>
        <w:tc>
          <w:tcPr>
            <w:tcW w:w="100" w:type="dxa"/>
            <w:vAlign w:val="bottom"/>
          </w:tcPr>
          <w:p>
            <w:pPr>
              <w:spacing w:after="0"/>
              <w:rPr>
                <w:sz w:val="24"/>
                <w:szCs w:val="24"/>
                <w:color w:val="auto"/>
              </w:rPr>
            </w:pPr>
          </w:p>
        </w:tc>
        <w:tc>
          <w:tcPr>
            <w:tcW w:w="1620" w:type="dxa"/>
            <w:vAlign w:val="bottom"/>
            <w:gridSpan w:val="2"/>
          </w:tcPr>
          <w:p>
            <w:pPr>
              <w:jc w:val="center"/>
              <w:spacing w:after="0"/>
              <w:rPr>
                <w:sz w:val="20"/>
                <w:szCs w:val="20"/>
                <w:color w:val="auto"/>
              </w:rPr>
            </w:pPr>
            <w:r>
              <w:rPr>
                <w:rFonts w:ascii="Arial" w:cs="Arial" w:eastAsia="Arial" w:hAnsi="Arial"/>
                <w:sz w:val="14"/>
                <w:szCs w:val="14"/>
                <w:color w:val="auto"/>
              </w:rPr>
              <w:t>97 - 100</w:t>
            </w:r>
          </w:p>
        </w:tc>
      </w:tr>
      <w:tr>
        <w:trPr>
          <w:trHeight w:val="185"/>
        </w:trPr>
        <w:tc>
          <w:tcPr>
            <w:tcW w:w="7900" w:type="dxa"/>
            <w:vAlign w:val="bottom"/>
            <w:gridSpan w:val="2"/>
            <w:shd w:val="clear" w:color="auto" w:fill="DBDBDB"/>
          </w:tcPr>
          <w:p>
            <w:pPr>
              <w:ind w:left="140"/>
              <w:spacing w:after="0"/>
              <w:rPr>
                <w:sz w:val="20"/>
                <w:szCs w:val="20"/>
                <w:color w:val="auto"/>
              </w:rPr>
            </w:pPr>
            <w:r>
              <w:rPr>
                <w:rFonts w:ascii="Arial" w:cs="Arial" w:eastAsia="Arial" w:hAnsi="Arial"/>
                <w:sz w:val="14"/>
                <w:szCs w:val="14"/>
                <w:color w:val="auto"/>
              </w:rPr>
              <w:t>Oil Production (Mbbl/d)</w:t>
            </w: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60</w:t>
            </w:r>
          </w:p>
        </w:tc>
        <w:tc>
          <w:tcPr>
            <w:tcW w:w="860" w:type="dxa"/>
            <w:vAlign w:val="bottom"/>
            <w:shd w:val="clear" w:color="auto" w:fill="DBDBDB"/>
          </w:tcPr>
          <w:p>
            <w:pPr>
              <w:ind w:left="20"/>
              <w:spacing w:after="0"/>
              <w:rPr>
                <w:sz w:val="20"/>
                <w:szCs w:val="20"/>
                <w:color w:val="auto"/>
              </w:rPr>
            </w:pPr>
            <w:r>
              <w:rPr>
                <w:rFonts w:ascii="Arial" w:cs="Arial" w:eastAsia="Arial" w:hAnsi="Arial"/>
                <w:sz w:val="14"/>
                <w:szCs w:val="14"/>
                <w:color w:val="auto"/>
              </w:rPr>
              <w:t>- 62</w:t>
            </w:r>
          </w:p>
        </w:tc>
        <w:tc>
          <w:tcPr>
            <w:tcW w:w="100" w:type="dxa"/>
            <w:vAlign w:val="bottom"/>
            <w:shd w:val="clear" w:color="auto" w:fill="DBDBDB"/>
          </w:tcPr>
          <w:p>
            <w:pPr>
              <w:spacing w:after="0"/>
              <w:rPr>
                <w:sz w:val="16"/>
                <w:szCs w:val="16"/>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60</w:t>
            </w:r>
          </w:p>
        </w:tc>
        <w:tc>
          <w:tcPr>
            <w:tcW w:w="840" w:type="dxa"/>
            <w:vAlign w:val="bottom"/>
            <w:shd w:val="clear" w:color="auto" w:fill="DBDBDB"/>
          </w:tcPr>
          <w:p>
            <w:pPr>
              <w:ind w:left="20"/>
              <w:spacing w:after="0"/>
              <w:rPr>
                <w:sz w:val="20"/>
                <w:szCs w:val="20"/>
                <w:color w:val="auto"/>
              </w:rPr>
            </w:pPr>
            <w:r>
              <w:rPr>
                <w:rFonts w:ascii="Arial" w:cs="Arial" w:eastAsia="Arial" w:hAnsi="Arial"/>
                <w:sz w:val="14"/>
                <w:szCs w:val="14"/>
                <w:color w:val="auto"/>
              </w:rPr>
              <w:t>- 62</w:t>
            </w:r>
          </w:p>
        </w:tc>
      </w:tr>
      <w:tr>
        <w:trPr>
          <w:trHeight w:val="186"/>
        </w:trPr>
        <w:tc>
          <w:tcPr>
            <w:tcW w:w="7900" w:type="dxa"/>
            <w:vAlign w:val="bottom"/>
            <w:gridSpan w:val="2"/>
          </w:tcPr>
          <w:p>
            <w:pPr>
              <w:ind w:left="140"/>
              <w:spacing w:after="0"/>
              <w:rPr>
                <w:sz w:val="20"/>
                <w:szCs w:val="20"/>
                <w:color w:val="auto"/>
              </w:rPr>
            </w:pPr>
            <w:r>
              <w:rPr>
                <w:rFonts w:ascii="Arial" w:cs="Arial" w:eastAsia="Arial" w:hAnsi="Arial"/>
                <w:sz w:val="14"/>
                <w:szCs w:val="14"/>
                <w:color w:val="auto"/>
              </w:rPr>
              <w:t>Operating Costs ($ millions)</w:t>
            </w:r>
          </w:p>
        </w:tc>
        <w:tc>
          <w:tcPr>
            <w:tcW w:w="760" w:type="dxa"/>
            <w:vAlign w:val="bottom"/>
          </w:tcPr>
          <w:p>
            <w:pPr>
              <w:jc w:val="right"/>
              <w:spacing w:after="0"/>
              <w:rPr>
                <w:sz w:val="20"/>
                <w:szCs w:val="20"/>
                <w:color w:val="auto"/>
              </w:rPr>
            </w:pPr>
            <w:r>
              <w:rPr>
                <w:rFonts w:ascii="Arial" w:cs="Arial" w:eastAsia="Arial" w:hAnsi="Arial"/>
                <w:sz w:val="14"/>
                <w:szCs w:val="14"/>
                <w:color w:val="auto"/>
              </w:rPr>
              <w:t>$615</w:t>
            </w:r>
          </w:p>
        </w:tc>
        <w:tc>
          <w:tcPr>
            <w:tcW w:w="860" w:type="dxa"/>
            <w:vAlign w:val="bottom"/>
          </w:tcPr>
          <w:p>
            <w:pPr>
              <w:ind w:left="20"/>
              <w:spacing w:after="0"/>
              <w:rPr>
                <w:sz w:val="20"/>
                <w:szCs w:val="20"/>
                <w:color w:val="auto"/>
              </w:rPr>
            </w:pPr>
            <w:r>
              <w:rPr>
                <w:rFonts w:ascii="Arial" w:cs="Arial" w:eastAsia="Arial" w:hAnsi="Arial"/>
                <w:sz w:val="14"/>
                <w:szCs w:val="14"/>
                <w:color w:val="auto"/>
              </w:rPr>
              <w:t>- $630</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$670</w:t>
            </w:r>
          </w:p>
        </w:tc>
        <w:tc>
          <w:tcPr>
            <w:tcW w:w="840" w:type="dxa"/>
            <w:vAlign w:val="bottom"/>
          </w:tcPr>
          <w:p>
            <w:pPr>
              <w:ind w:left="20"/>
              <w:spacing w:after="0"/>
              <w:rPr>
                <w:sz w:val="20"/>
                <w:szCs w:val="20"/>
                <w:color w:val="auto"/>
              </w:rPr>
            </w:pPr>
            <w:r>
              <w:rPr>
                <w:rFonts w:ascii="Arial" w:cs="Arial" w:eastAsia="Arial" w:hAnsi="Arial"/>
                <w:sz w:val="14"/>
                <w:szCs w:val="14"/>
                <w:color w:val="auto"/>
              </w:rPr>
              <w:t>- $695</w:t>
            </w:r>
          </w:p>
        </w:tc>
      </w:tr>
      <w:tr>
        <w:trPr>
          <w:trHeight w:val="185"/>
        </w:trPr>
        <w:tc>
          <w:tcPr>
            <w:tcW w:w="7900" w:type="dxa"/>
            <w:vAlign w:val="bottom"/>
            <w:gridSpan w:val="2"/>
            <w:shd w:val="clear" w:color="auto" w:fill="DBDBDB"/>
          </w:tcPr>
          <w:p>
            <w:pPr>
              <w:ind w:left="140"/>
              <w:spacing w:after="0"/>
              <w:rPr>
                <w:sz w:val="20"/>
                <w:szCs w:val="20"/>
                <w:color w:val="auto"/>
              </w:rPr>
            </w:pPr>
            <w:r>
              <w:rPr>
                <w:rFonts w:ascii="Arial" w:cs="Arial" w:eastAsia="Arial" w:hAnsi="Arial"/>
                <w:sz w:val="14"/>
                <w:szCs w:val="14"/>
                <w:color w:val="auto"/>
              </w:rPr>
              <w:t>General and administrative expenses ($ millions)</w:t>
            </w: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$180</w:t>
            </w:r>
          </w:p>
        </w:tc>
        <w:tc>
          <w:tcPr>
            <w:tcW w:w="860" w:type="dxa"/>
            <w:vAlign w:val="bottom"/>
            <w:shd w:val="clear" w:color="auto" w:fill="DBDBDB"/>
          </w:tcPr>
          <w:p>
            <w:pPr>
              <w:ind w:left="20"/>
              <w:spacing w:after="0"/>
              <w:rPr>
                <w:sz w:val="20"/>
                <w:szCs w:val="20"/>
                <w:color w:val="auto"/>
              </w:rPr>
            </w:pPr>
            <w:r>
              <w:rPr>
                <w:rFonts w:ascii="Arial" w:cs="Arial" w:eastAsia="Arial" w:hAnsi="Arial"/>
                <w:sz w:val="14"/>
                <w:szCs w:val="14"/>
                <w:color w:val="auto"/>
              </w:rPr>
              <w:t>- $190</w:t>
            </w:r>
          </w:p>
        </w:tc>
        <w:tc>
          <w:tcPr>
            <w:tcW w:w="100" w:type="dxa"/>
            <w:vAlign w:val="bottom"/>
            <w:shd w:val="clear" w:color="auto" w:fill="DBDBDB"/>
          </w:tcPr>
          <w:p>
            <w:pPr>
              <w:spacing w:after="0"/>
              <w:rPr>
                <w:sz w:val="16"/>
                <w:szCs w:val="16"/>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$180</w:t>
            </w:r>
          </w:p>
        </w:tc>
        <w:tc>
          <w:tcPr>
            <w:tcW w:w="840" w:type="dxa"/>
            <w:vAlign w:val="bottom"/>
            <w:shd w:val="clear" w:color="auto" w:fill="DBDBDB"/>
          </w:tcPr>
          <w:p>
            <w:pPr>
              <w:ind w:left="20"/>
              <w:spacing w:after="0"/>
              <w:rPr>
                <w:sz w:val="20"/>
                <w:szCs w:val="20"/>
                <w:color w:val="auto"/>
              </w:rPr>
            </w:pPr>
            <w:r>
              <w:rPr>
                <w:rFonts w:ascii="Arial" w:cs="Arial" w:eastAsia="Arial" w:hAnsi="Arial"/>
                <w:sz w:val="14"/>
                <w:szCs w:val="14"/>
                <w:color w:val="auto"/>
              </w:rPr>
              <w:t>- $190</w:t>
            </w:r>
          </w:p>
        </w:tc>
      </w:tr>
      <w:tr>
        <w:trPr>
          <w:trHeight w:val="185"/>
        </w:trPr>
        <w:tc>
          <w:tcPr>
            <w:tcW w:w="7900" w:type="dxa"/>
            <w:vAlign w:val="bottom"/>
            <w:gridSpan w:val="2"/>
          </w:tcPr>
          <w:p>
            <w:pPr>
              <w:ind w:left="140"/>
              <w:spacing w:after="0"/>
              <w:rPr>
                <w:sz w:val="20"/>
                <w:szCs w:val="20"/>
                <w:color w:val="auto"/>
              </w:rPr>
            </w:pPr>
            <w:r>
              <w:rPr>
                <w:rFonts w:ascii="Arial" w:cs="Arial" w:eastAsia="Arial" w:hAnsi="Arial"/>
                <w:sz w:val="14"/>
                <w:szCs w:val="14"/>
                <w:color w:val="auto"/>
              </w:rPr>
              <w:t>Capital ($ millions)</w:t>
            </w:r>
          </w:p>
        </w:tc>
        <w:tc>
          <w:tcPr>
            <w:tcW w:w="760" w:type="dxa"/>
            <w:vAlign w:val="bottom"/>
          </w:tcPr>
          <w:p>
            <w:pPr>
              <w:jc w:val="right"/>
              <w:spacing w:after="0"/>
              <w:rPr>
                <w:sz w:val="20"/>
                <w:szCs w:val="20"/>
                <w:color w:val="auto"/>
              </w:rPr>
            </w:pPr>
            <w:r>
              <w:rPr>
                <w:rFonts w:ascii="Arial" w:cs="Arial" w:eastAsia="Arial" w:hAnsi="Arial"/>
                <w:sz w:val="14"/>
                <w:szCs w:val="14"/>
                <w:color w:val="auto"/>
              </w:rPr>
              <w:t>$185</w:t>
            </w:r>
          </w:p>
        </w:tc>
        <w:tc>
          <w:tcPr>
            <w:tcW w:w="860" w:type="dxa"/>
            <w:vAlign w:val="bottom"/>
          </w:tcPr>
          <w:p>
            <w:pPr>
              <w:ind w:left="20"/>
              <w:spacing w:after="0"/>
              <w:rPr>
                <w:sz w:val="20"/>
                <w:szCs w:val="20"/>
                <w:color w:val="auto"/>
              </w:rPr>
            </w:pPr>
            <w:r>
              <w:rPr>
                <w:rFonts w:ascii="Arial" w:cs="Arial" w:eastAsia="Arial" w:hAnsi="Arial"/>
                <w:sz w:val="14"/>
                <w:szCs w:val="14"/>
                <w:color w:val="auto"/>
              </w:rPr>
              <w:t>- $210</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$170</w:t>
            </w:r>
          </w:p>
        </w:tc>
        <w:tc>
          <w:tcPr>
            <w:tcW w:w="840" w:type="dxa"/>
            <w:vAlign w:val="bottom"/>
          </w:tcPr>
          <w:p>
            <w:pPr>
              <w:ind w:left="20"/>
              <w:spacing w:after="0"/>
              <w:rPr>
                <w:sz w:val="20"/>
                <w:szCs w:val="20"/>
                <w:color w:val="auto"/>
              </w:rPr>
            </w:pPr>
            <w:r>
              <w:rPr>
                <w:rFonts w:ascii="Arial" w:cs="Arial" w:eastAsia="Arial" w:hAnsi="Arial"/>
                <w:sz w:val="14"/>
                <w:szCs w:val="14"/>
                <w:color w:val="auto"/>
              </w:rPr>
              <w:t>- $190</w:t>
            </w:r>
          </w:p>
        </w:tc>
      </w:tr>
      <w:tr>
        <w:trPr>
          <w:trHeight w:val="185"/>
        </w:trPr>
        <w:tc>
          <w:tcPr>
            <w:tcW w:w="7900" w:type="dxa"/>
            <w:vAlign w:val="bottom"/>
            <w:gridSpan w:val="2"/>
            <w:shd w:val="clear" w:color="auto" w:fill="DBDBDB"/>
          </w:tcPr>
          <w:p>
            <w:pPr>
              <w:ind w:left="140"/>
              <w:spacing w:after="0" w:line="186" w:lineRule="exact"/>
              <w:rPr>
                <w:sz w:val="20"/>
                <w:szCs w:val="20"/>
                <w:color w:val="auto"/>
              </w:rPr>
            </w:pPr>
            <w:r>
              <w:rPr>
                <w:rFonts w:ascii="Arial" w:cs="Arial" w:eastAsia="Arial" w:hAnsi="Arial"/>
                <w:sz w:val="14"/>
                <w:szCs w:val="14"/>
                <w:color w:val="auto"/>
              </w:rPr>
              <w:t>Adj. EBITDAX</w:t>
            </w:r>
            <w:r>
              <w:rPr>
                <w:rFonts w:ascii="Arial" w:cs="Arial" w:eastAsia="Arial" w:hAnsi="Arial"/>
                <w:sz w:val="18"/>
                <w:szCs w:val="18"/>
                <w:color w:val="auto"/>
                <w:vertAlign w:val="superscript"/>
              </w:rPr>
              <w:t>1</w:t>
            </w:r>
            <w:r>
              <w:rPr>
                <w:rFonts w:ascii="Arial" w:cs="Arial" w:eastAsia="Arial" w:hAnsi="Arial"/>
                <w:sz w:val="14"/>
                <w:szCs w:val="14"/>
                <w:color w:val="auto"/>
              </w:rPr>
              <w:t xml:space="preserve"> ($ millions)</w:t>
            </w: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$625</w:t>
            </w:r>
          </w:p>
        </w:tc>
        <w:tc>
          <w:tcPr>
            <w:tcW w:w="860" w:type="dxa"/>
            <w:vAlign w:val="bottom"/>
            <w:shd w:val="clear" w:color="auto" w:fill="DBDBDB"/>
          </w:tcPr>
          <w:p>
            <w:pPr>
              <w:ind w:left="20"/>
              <w:spacing w:after="0"/>
              <w:rPr>
                <w:sz w:val="20"/>
                <w:szCs w:val="20"/>
                <w:color w:val="auto"/>
              </w:rPr>
            </w:pPr>
            <w:r>
              <w:rPr>
                <w:rFonts w:ascii="Arial" w:cs="Arial" w:eastAsia="Arial" w:hAnsi="Arial"/>
                <w:sz w:val="14"/>
                <w:szCs w:val="14"/>
                <w:color w:val="auto"/>
              </w:rPr>
              <w:t>- $725</w:t>
            </w:r>
          </w:p>
        </w:tc>
        <w:tc>
          <w:tcPr>
            <w:tcW w:w="100" w:type="dxa"/>
            <w:vAlign w:val="bottom"/>
            <w:shd w:val="clear" w:color="auto" w:fill="DBDBDB"/>
          </w:tcPr>
          <w:p>
            <w:pPr>
              <w:spacing w:after="0"/>
              <w:rPr>
                <w:sz w:val="16"/>
                <w:szCs w:val="16"/>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$725</w:t>
            </w:r>
          </w:p>
        </w:tc>
        <w:tc>
          <w:tcPr>
            <w:tcW w:w="840" w:type="dxa"/>
            <w:vAlign w:val="bottom"/>
            <w:shd w:val="clear" w:color="auto" w:fill="DBDBDB"/>
          </w:tcPr>
          <w:p>
            <w:pPr>
              <w:ind w:left="20"/>
              <w:spacing w:after="0"/>
              <w:rPr>
                <w:sz w:val="20"/>
                <w:szCs w:val="20"/>
                <w:color w:val="auto"/>
              </w:rPr>
            </w:pPr>
            <w:r>
              <w:rPr>
                <w:rFonts w:ascii="Arial" w:cs="Arial" w:eastAsia="Arial" w:hAnsi="Arial"/>
                <w:sz w:val="14"/>
                <w:szCs w:val="14"/>
                <w:color w:val="auto"/>
              </w:rPr>
              <w:t>- $825</w:t>
            </w:r>
          </w:p>
        </w:tc>
      </w:tr>
      <w:tr>
        <w:trPr>
          <w:trHeight w:val="243"/>
        </w:trPr>
        <w:tc>
          <w:tcPr>
            <w:tcW w:w="7900" w:type="dxa"/>
            <w:vAlign w:val="bottom"/>
            <w:gridSpan w:val="2"/>
          </w:tcPr>
          <w:p>
            <w:pPr>
              <w:ind w:left="140"/>
              <w:spacing w:after="0"/>
              <w:rPr>
                <w:sz w:val="20"/>
                <w:szCs w:val="20"/>
                <w:color w:val="auto"/>
              </w:rPr>
            </w:pPr>
            <w:r>
              <w:rPr>
                <w:rFonts w:ascii="Arial" w:cs="Arial" w:eastAsia="Arial" w:hAnsi="Arial"/>
                <w:sz w:val="14"/>
                <w:szCs w:val="14"/>
                <w:color w:val="auto"/>
              </w:rPr>
              <w:t>Free cash flow</w:t>
            </w:r>
            <w:r>
              <w:rPr>
                <w:rFonts w:ascii="Arial" w:cs="Arial" w:eastAsia="Arial" w:hAnsi="Arial"/>
                <w:sz w:val="18"/>
                <w:szCs w:val="18"/>
                <w:color w:val="auto"/>
                <w:vertAlign w:val="superscript"/>
              </w:rPr>
              <w:t>1</w:t>
            </w:r>
            <w:r>
              <w:rPr>
                <w:rFonts w:ascii="Arial" w:cs="Arial" w:eastAsia="Arial" w:hAnsi="Arial"/>
                <w:sz w:val="14"/>
                <w:szCs w:val="14"/>
                <w:color w:val="auto"/>
              </w:rPr>
              <w:t xml:space="preserve"> ($ millions)</w:t>
            </w:r>
          </w:p>
        </w:tc>
        <w:tc>
          <w:tcPr>
            <w:tcW w:w="760" w:type="dxa"/>
            <w:vAlign w:val="bottom"/>
          </w:tcPr>
          <w:p>
            <w:pPr>
              <w:jc w:val="right"/>
              <w:spacing w:after="0"/>
              <w:rPr>
                <w:sz w:val="20"/>
                <w:szCs w:val="20"/>
                <w:color w:val="auto"/>
              </w:rPr>
            </w:pPr>
            <w:r>
              <w:rPr>
                <w:rFonts w:ascii="Arial" w:cs="Arial" w:eastAsia="Arial" w:hAnsi="Arial"/>
                <w:sz w:val="14"/>
                <w:szCs w:val="14"/>
                <w:color w:val="auto"/>
              </w:rPr>
              <w:t>$250</w:t>
            </w:r>
          </w:p>
        </w:tc>
        <w:tc>
          <w:tcPr>
            <w:tcW w:w="860" w:type="dxa"/>
            <w:vAlign w:val="bottom"/>
          </w:tcPr>
          <w:p>
            <w:pPr>
              <w:ind w:left="20"/>
              <w:spacing w:after="0"/>
              <w:rPr>
                <w:sz w:val="20"/>
                <w:szCs w:val="20"/>
                <w:color w:val="auto"/>
              </w:rPr>
            </w:pPr>
            <w:r>
              <w:rPr>
                <w:rFonts w:ascii="Arial" w:cs="Arial" w:eastAsia="Arial" w:hAnsi="Arial"/>
                <w:sz w:val="14"/>
                <w:szCs w:val="14"/>
                <w:color w:val="auto"/>
              </w:rPr>
              <w:t>- $350</w:t>
            </w:r>
          </w:p>
        </w:tc>
        <w:tc>
          <w:tcPr>
            <w:tcW w:w="1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$400</w:t>
            </w:r>
          </w:p>
        </w:tc>
        <w:tc>
          <w:tcPr>
            <w:tcW w:w="840" w:type="dxa"/>
            <w:vAlign w:val="bottom"/>
          </w:tcPr>
          <w:p>
            <w:pPr>
              <w:ind w:left="20"/>
              <w:spacing w:after="0"/>
              <w:rPr>
                <w:sz w:val="20"/>
                <w:szCs w:val="20"/>
                <w:color w:val="auto"/>
              </w:rPr>
            </w:pPr>
            <w:r>
              <w:rPr>
                <w:rFonts w:ascii="Arial" w:cs="Arial" w:eastAsia="Arial" w:hAnsi="Arial"/>
                <w:sz w:val="14"/>
                <w:szCs w:val="14"/>
                <w:color w:val="auto"/>
              </w:rPr>
              <w:t>- $500</w:t>
            </w:r>
          </w:p>
        </w:tc>
      </w:tr>
    </w:tbl>
    <w:p>
      <w:pPr>
        <w:spacing w:after="0" w:line="254"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Increasing the Share Repurchase Program</w:t>
      </w:r>
    </w:p>
    <w:p>
      <w:pPr>
        <w:spacing w:after="0" w:line="27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21"/>
          <w:szCs w:val="21"/>
          <w:color w:val="auto"/>
        </w:rPr>
        <w:t>In August 2021, CRC's Board of Directors increased the Share Repurchase Program by $100 million to $250 million through March 31, 2022.</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w:t>
      </w:r>
    </w:p>
    <w:p>
      <w:pPr>
        <w:sectPr>
          <w:pgSz w:w="11900" w:h="16838" w:orient="portrait"/>
          <w:cols w:equalWidth="0" w:num="1">
            <w:col w:w="11240"/>
          </w:cols>
          <w:pgMar w:left="320" w:top="862" w:right="339" w:bottom="1440" w:gutter="0" w:footer="0" w:header="0"/>
        </w:sectPr>
      </w:pPr>
    </w:p>
    <w:bookmarkStart w:id="7" w:name="page8"/>
    <w:bookmarkEnd w:id="7"/>
    <w:p>
      <w:pPr>
        <w:spacing w:after="0"/>
        <w:rPr>
          <w:sz w:val="20"/>
          <w:szCs w:val="20"/>
          <w:color w:val="auto"/>
        </w:rPr>
      </w:pPr>
      <w:r>
        <w:rPr>
          <w:rFonts w:ascii="Arial" w:cs="Arial" w:eastAsia="Arial" w:hAnsi="Arial"/>
          <w:sz w:val="21"/>
          <w:szCs w:val="21"/>
          <w:b w:val="1"/>
          <w:bCs w:val="1"/>
          <w:u w:val="single" w:color="auto"/>
          <w:color w:val="auto"/>
        </w:rPr>
        <w:t>Acquisitions and Divestitures</w:t>
      </w:r>
    </w:p>
    <w:p>
      <w:pPr>
        <w:spacing w:after="0" w:line="262" w:lineRule="exact"/>
        <w:rPr>
          <w:sz w:val="20"/>
          <w:szCs w:val="20"/>
          <w:color w:val="auto"/>
        </w:rPr>
      </w:pPr>
    </w:p>
    <w:p>
      <w:pPr>
        <w:jc w:val="both"/>
        <w:ind w:firstLine="318"/>
        <w:spacing w:after="0" w:line="239" w:lineRule="auto"/>
        <w:rPr>
          <w:sz w:val="20"/>
          <w:szCs w:val="20"/>
          <w:color w:val="auto"/>
        </w:rPr>
      </w:pPr>
      <w:r>
        <w:rPr>
          <w:rFonts w:ascii="Arial" w:cs="Arial" w:eastAsia="Arial" w:hAnsi="Arial"/>
          <w:sz w:val="21"/>
          <w:szCs w:val="21"/>
          <w:color w:val="auto"/>
        </w:rPr>
        <w:t>In the second quarter of 2021, CRC entered into agreements to sell its Ventura basin operations for expected cash consideration of up to $102 million plus additional earn-out consideration that is linked to future commodity prices. The consideration includes $82 million of cash to be paid at closing and up to $20 million of potential additional consideration if the buyer does not perform certain abandonment obligations with respect to the divested properties. These transactions will simplify CRC's business model, lower its overall operating costs and decrease its asset retirement obligations. For the three months ending June 30, 2021, CRC's Ventura basin operations were producing 3,600 BOE per day (~65% oil). The closing of the transaction is subject to customary closing conditions, including satisfaction of land and environmental due diligence and third-party consents.</w:t>
      </w:r>
    </w:p>
    <w:p>
      <w:pPr>
        <w:spacing w:after="0" w:line="223" w:lineRule="exact"/>
        <w:rPr>
          <w:sz w:val="20"/>
          <w:szCs w:val="20"/>
          <w:color w:val="auto"/>
        </w:rPr>
      </w:pPr>
    </w:p>
    <w:p>
      <w:pPr>
        <w:jc w:val="both"/>
        <w:ind w:firstLine="318"/>
        <w:spacing w:after="0" w:line="241" w:lineRule="auto"/>
        <w:rPr>
          <w:sz w:val="20"/>
          <w:szCs w:val="20"/>
          <w:color w:val="auto"/>
        </w:rPr>
      </w:pPr>
      <w:r>
        <w:rPr>
          <w:rFonts w:ascii="Arial" w:cs="Arial" w:eastAsia="Arial" w:hAnsi="Arial"/>
          <w:sz w:val="21"/>
          <w:szCs w:val="21"/>
          <w:color w:val="auto"/>
        </w:rPr>
        <w:t>In August 2021, CRC continued to demonstrate its focus on core areas by acquiring the 90% working interest in the joint venture wells held by MIRA for $53 million, before transaction costs. The acquisition of MIRA’s working interest would have added oil production of 1,600 BOE per day (~100% oil) for the first half of 2021 with minimal integration costs and underground risk.</w:t>
      </w:r>
    </w:p>
    <w:p>
      <w:pPr>
        <w:spacing w:after="0" w:line="223"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21"/>
          <w:szCs w:val="21"/>
          <w:color w:val="auto"/>
        </w:rPr>
        <w:t>CRC’s full year guidance will be updated upon the closing of the Ventura basin transactions which are expected in the second half of 2021.</w:t>
      </w:r>
    </w:p>
    <w:p>
      <w:pPr>
        <w:spacing w:after="0" w:line="184"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Sustainability Update</w:t>
      </w:r>
    </w:p>
    <w:p>
      <w:pPr>
        <w:spacing w:after="0" w:line="262" w:lineRule="exact"/>
        <w:rPr>
          <w:sz w:val="20"/>
          <w:szCs w:val="20"/>
          <w:color w:val="auto"/>
        </w:rPr>
      </w:pPr>
    </w:p>
    <w:p>
      <w:pPr>
        <w:jc w:val="both"/>
        <w:ind w:firstLine="318"/>
        <w:spacing w:after="0" w:line="219" w:lineRule="auto"/>
        <w:rPr>
          <w:sz w:val="20"/>
          <w:szCs w:val="20"/>
          <w:color w:val="auto"/>
        </w:rPr>
      </w:pPr>
      <w:r>
        <w:rPr>
          <w:rFonts w:ascii="Arial" w:cs="Arial" w:eastAsia="Arial" w:hAnsi="Arial"/>
          <w:sz w:val="21"/>
          <w:szCs w:val="21"/>
          <w:color w:val="auto"/>
        </w:rPr>
        <w:t>According to internal and third party estimates, CRC has some of the lowest carbon intensity production in the U.S. CRC aims to build upon this position through investment in decarbonization projects and other emissions reducing projects to help advance energy transition in California. As part of an initial review, CRC has the potential to permanently store up to 1 billion metric tons of CO</w:t>
      </w:r>
      <w:r>
        <w:rPr>
          <w:rFonts w:ascii="Arial" w:cs="Arial" w:eastAsia="Arial" w:hAnsi="Arial"/>
          <w:sz w:val="27"/>
          <w:szCs w:val="27"/>
          <w:color w:val="auto"/>
          <w:vertAlign w:val="subscript"/>
        </w:rPr>
        <w:t>2</w:t>
      </w:r>
      <w:r>
        <w:rPr>
          <w:rFonts w:ascii="Arial" w:cs="Arial" w:eastAsia="Arial" w:hAnsi="Arial"/>
          <w:sz w:val="21"/>
          <w:szCs w:val="21"/>
          <w:color w:val="auto"/>
        </w:rPr>
        <w:t xml:space="preserve"> in its oil and gas reservoirs as well as the opportunity to generate 300 to 1,000 MW of front-of-the-meter solar power for the grid by utilizing CRC's vast surface land footprint. In addition to these opportunities, CRC has the potential for up to 45 MW of behind-the-meter solar development projects with its partner SunPower.</w:t>
      </w:r>
    </w:p>
    <w:p>
      <w:pPr>
        <w:spacing w:after="0" w:line="210" w:lineRule="exact"/>
        <w:rPr>
          <w:sz w:val="20"/>
          <w:szCs w:val="20"/>
          <w:color w:val="auto"/>
        </w:rPr>
      </w:pPr>
    </w:p>
    <w:p>
      <w:pPr>
        <w:jc w:val="both"/>
        <w:ind w:firstLine="318"/>
        <w:spacing w:after="0" w:line="227" w:lineRule="auto"/>
        <w:rPr>
          <w:sz w:val="20"/>
          <w:szCs w:val="20"/>
          <w:color w:val="auto"/>
        </w:rPr>
      </w:pPr>
      <w:r>
        <w:rPr>
          <w:rFonts w:ascii="Arial" w:cs="Arial" w:eastAsia="Arial" w:hAnsi="Arial"/>
          <w:sz w:val="21"/>
          <w:szCs w:val="21"/>
          <w:color w:val="auto"/>
        </w:rPr>
        <w:t>Building on CRC's carbon capture opportunity, CRC is applying for Class VI EPA permits for a project with a capability of up to 40 million metric tons of permanent CO</w:t>
      </w:r>
      <w:r>
        <w:rPr>
          <w:rFonts w:ascii="Arial" w:cs="Arial" w:eastAsia="Arial" w:hAnsi="Arial"/>
          <w:sz w:val="27"/>
          <w:szCs w:val="27"/>
          <w:color w:val="auto"/>
          <w:vertAlign w:val="subscript"/>
        </w:rPr>
        <w:t>2</w:t>
      </w:r>
      <w:r>
        <w:rPr>
          <w:rFonts w:ascii="Arial" w:cs="Arial" w:eastAsia="Arial" w:hAnsi="Arial"/>
          <w:sz w:val="21"/>
          <w:szCs w:val="21"/>
          <w:color w:val="auto"/>
        </w:rPr>
        <w:t xml:space="preserve"> storage, referred to as Carbon TerraVault I. Injection for this project could begin in the 2025 timeframe with the injection of approximately 1 million metric tons per year, equivalent to the annual emissions of approximately 200,000 passenger vehicles. CRC is proud to be a first mover of CCS operations in California and to help the state make progress on its carbon neutrality goals.</w:t>
      </w:r>
    </w:p>
    <w:p>
      <w:pPr>
        <w:spacing w:after="0" w:line="224" w:lineRule="exact"/>
        <w:rPr>
          <w:sz w:val="20"/>
          <w:szCs w:val="20"/>
          <w:color w:val="auto"/>
        </w:rPr>
      </w:pPr>
    </w:p>
    <w:p>
      <w:pPr>
        <w:jc w:val="both"/>
        <w:ind w:firstLine="318"/>
        <w:spacing w:after="0" w:line="244" w:lineRule="auto"/>
        <w:rPr>
          <w:sz w:val="20"/>
          <w:szCs w:val="20"/>
          <w:color w:val="auto"/>
        </w:rPr>
      </w:pPr>
      <w:r>
        <w:rPr>
          <w:rFonts w:ascii="Arial" w:cs="Arial" w:eastAsia="Arial" w:hAnsi="Arial"/>
          <w:sz w:val="21"/>
          <w:szCs w:val="21"/>
          <w:color w:val="auto"/>
        </w:rPr>
        <w:t>CRC has a dedicated Sustainability Committee chaired by William B. Roby, with members Nicole Neeman Brady and Andrew B. Bremner along with a dedicated corporate function under the executive leadership of Chris Gould as EVP and Chief Sustainability Officer.</w:t>
      </w:r>
    </w:p>
    <w:p>
      <w:pPr>
        <w:spacing w:after="0" w:line="205"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Board Enhancement</w:t>
      </w:r>
    </w:p>
    <w:p>
      <w:pPr>
        <w:spacing w:after="0" w:line="262" w:lineRule="exact"/>
        <w:rPr>
          <w:sz w:val="20"/>
          <w:szCs w:val="20"/>
          <w:color w:val="auto"/>
        </w:rPr>
      </w:pPr>
    </w:p>
    <w:p>
      <w:pPr>
        <w:ind w:left="320"/>
        <w:spacing w:after="0"/>
        <w:rPr>
          <w:sz w:val="20"/>
          <w:szCs w:val="20"/>
          <w:color w:val="auto"/>
        </w:rPr>
      </w:pPr>
      <w:r>
        <w:rPr>
          <w:rFonts w:ascii="Arial" w:cs="Arial" w:eastAsia="Arial" w:hAnsi="Arial"/>
          <w:sz w:val="21"/>
          <w:szCs w:val="21"/>
          <w:color w:val="auto"/>
        </w:rPr>
        <w:t>On August 5, 2021, CRC's Board of Directors elected one new Board member, Nicole Neeman Brady.</w:t>
      </w:r>
    </w:p>
    <w:p>
      <w:pPr>
        <w:spacing w:after="0" w:line="222" w:lineRule="exact"/>
        <w:rPr>
          <w:sz w:val="20"/>
          <w:szCs w:val="20"/>
          <w:color w:val="auto"/>
        </w:rPr>
      </w:pPr>
    </w:p>
    <w:p>
      <w:pPr>
        <w:jc w:val="both"/>
        <w:ind w:firstLine="636"/>
        <w:spacing w:after="0" w:line="251" w:lineRule="auto"/>
        <w:rPr>
          <w:sz w:val="20"/>
          <w:szCs w:val="20"/>
          <w:color w:val="auto"/>
        </w:rPr>
      </w:pPr>
      <w:r>
        <w:rPr>
          <w:rFonts w:ascii="Arial" w:cs="Arial" w:eastAsia="Arial" w:hAnsi="Arial"/>
          <w:sz w:val="21"/>
          <w:szCs w:val="21"/>
          <w:color w:val="auto"/>
        </w:rPr>
        <w:t>Ms. Neeman Brady has over 20 years of experience as an entrepreneur, executive, investor and community leader with global water, energy, and agricultural expertise. She serves as the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w:t>
      </w:r>
    </w:p>
    <w:p>
      <w:pPr>
        <w:sectPr>
          <w:pgSz w:w="11900" w:h="16838" w:orient="portrait"/>
          <w:cols w:equalWidth="0" w:num="1">
            <w:col w:w="11240"/>
          </w:cols>
          <w:pgMar w:left="320" w:top="1114" w:right="339" w:bottom="1440" w:gutter="0" w:footer="0" w:header="0"/>
        </w:sectPr>
      </w:pPr>
    </w:p>
    <w:bookmarkStart w:id="8" w:name="page9"/>
    <w:bookmarkEnd w:id="8"/>
    <w:p>
      <w:pPr>
        <w:jc w:val="both"/>
        <w:spacing w:after="0" w:line="239" w:lineRule="auto"/>
        <w:rPr>
          <w:sz w:val="20"/>
          <w:szCs w:val="20"/>
          <w:color w:val="auto"/>
        </w:rPr>
      </w:pPr>
      <w:r>
        <w:rPr>
          <w:rFonts w:ascii="Arial" w:cs="Arial" w:eastAsia="Arial" w:hAnsi="Arial"/>
          <w:sz w:val="21"/>
          <w:szCs w:val="21"/>
          <w:color w:val="auto"/>
        </w:rPr>
        <w:t>Chief Executive Officer and a director of Sustainable Development Acquisition Corp. since December 2020. She also served as Principal and Chief Operating Officer at Renewable Resources Group LLC, as well as a member of the Investment Committee and a board member of several of its portfolio companies. Her experience also includes a deep understanding of and passion for the public sector, including board service on the Colorado River Board of California and currently, as a Commissioner on the Los Angeles Department of Water and Power, a Board member of Blue Ocean Mariculture and a Board member of the Library Foundation of Los Angeles. Please see www.crc.com for more details.</w:t>
      </w:r>
    </w:p>
    <w:p>
      <w:pPr>
        <w:spacing w:after="0" w:line="201"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Fresh Start Accounting and Predecessor and Successor Periods</w:t>
      </w:r>
    </w:p>
    <w:p>
      <w:pPr>
        <w:spacing w:after="0" w:line="262"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21"/>
          <w:szCs w:val="21"/>
          <w:color w:val="auto"/>
        </w:rPr>
        <w:t>CRC qualified and adopted fresh start accounting upon emergence from bankruptcy on October 27, 2020, at which point CRC became a new entity for financial reporting purposes. CRC adopted an accounting convenience date of October 31, 2020 for the application of fresh start accounting. As a result of the application of fresh start accounting and the effects of the implementation of the joint plan of reorganization, the financial statements after October 31, 2020 may not be comparable to the financial statements prior to that date. Accordingly, “black-line” financial statements are presented to distinguish between the Predecessor and Successor companies. References to "Predecessor” refer to the Company for periods ended on or prior to October 31, 2020 and references to “Successor” refer to the Company for periods subsequent to October 31, 2020.</w:t>
      </w:r>
    </w:p>
    <w:p>
      <w:pPr>
        <w:spacing w:after="0" w:line="198"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Second Quarter 2021 Results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20" w:type="dxa"/>
            <w:vAlign w:val="bottom"/>
            <w:tcBorders>
              <w:top w:val="single" w:sz="8" w:color="DBDBDB"/>
              <w:bottom w:val="single" w:sz="8" w:color="DBDBDB"/>
            </w:tcBorders>
            <w:shd w:val="clear" w:color="auto" w:fill="DBDBDB"/>
          </w:tcPr>
          <w:p>
            <w:pPr>
              <w:spacing w:after="0"/>
              <w:rPr>
                <w:sz w:val="17"/>
                <w:szCs w:val="17"/>
                <w:color w:val="auto"/>
              </w:rPr>
            </w:pPr>
          </w:p>
        </w:tc>
        <w:tc>
          <w:tcPr>
            <w:tcW w:w="1100" w:type="dxa"/>
            <w:vAlign w:val="bottom"/>
            <w:tcBorders>
              <w:top w:val="single" w:sz="8" w:color="DBDBDB"/>
              <w:bottom w:val="single" w:sz="8" w:color="DBDBDB"/>
            </w:tcBorders>
            <w:shd w:val="clear" w:color="auto" w:fill="DBDBDB"/>
          </w:tcPr>
          <w:p>
            <w:pPr>
              <w:spacing w:after="0"/>
              <w:rPr>
                <w:sz w:val="17"/>
                <w:szCs w:val="17"/>
                <w:color w:val="auto"/>
              </w:rPr>
            </w:pPr>
          </w:p>
        </w:tc>
        <w:tc>
          <w:tcPr>
            <w:tcW w:w="660" w:type="dxa"/>
            <w:vAlign w:val="bottom"/>
            <w:tcBorders>
              <w:top w:val="single" w:sz="8" w:color="DBDBDB"/>
              <w:bottom w:val="single" w:sz="8" w:color="DBDBDB"/>
            </w:tcBorders>
            <w:shd w:val="clear" w:color="auto" w:fill="DBDBDB"/>
          </w:tcPr>
          <w:p>
            <w:pPr>
              <w:spacing w:after="0"/>
              <w:rPr>
                <w:sz w:val="17"/>
                <w:szCs w:val="17"/>
                <w:color w:val="auto"/>
              </w:rPr>
            </w:pPr>
          </w:p>
        </w:tc>
        <w:tc>
          <w:tcPr>
            <w:tcW w:w="6800" w:type="dxa"/>
            <w:vAlign w:val="bottom"/>
            <w:tcBorders>
              <w:top w:val="single" w:sz="8" w:color="DBDBDB"/>
              <w:bottom w:val="single" w:sz="8" w:color="DBDBDB"/>
            </w:tcBorders>
            <w:shd w:val="clear" w:color="auto" w:fill="DBDBDB"/>
          </w:tcPr>
          <w:p>
            <w:pPr>
              <w:spacing w:after="0"/>
              <w:rPr>
                <w:sz w:val="17"/>
                <w:szCs w:val="17"/>
                <w:color w:val="auto"/>
              </w:rPr>
            </w:pPr>
          </w:p>
        </w:tc>
        <w:tc>
          <w:tcPr>
            <w:tcW w:w="20" w:type="dxa"/>
            <w:vAlign w:val="bottom"/>
            <w:tcBorders>
              <w:top w:val="single" w:sz="8" w:color="DBDBDB"/>
              <w:bottom w:val="single" w:sz="8" w:color="DBDBDB"/>
            </w:tcBorders>
            <w:shd w:val="clear" w:color="auto" w:fill="DBDBDB"/>
          </w:tcPr>
          <w:p>
            <w:pPr>
              <w:spacing w:after="0"/>
              <w:rPr>
                <w:sz w:val="17"/>
                <w:szCs w:val="17"/>
                <w:color w:val="auto"/>
              </w:rPr>
            </w:pPr>
          </w:p>
        </w:tc>
        <w:tc>
          <w:tcPr>
            <w:tcW w:w="120" w:type="dxa"/>
            <w:vAlign w:val="bottom"/>
            <w:tcBorders>
              <w:top w:val="single" w:sz="8" w:color="auto"/>
              <w:bottom w:val="single" w:sz="8" w:color="auto"/>
            </w:tcBorders>
            <w:shd w:val="clear" w:color="auto" w:fill="DBDBDB"/>
          </w:tcPr>
          <w:p>
            <w:pPr>
              <w:spacing w:after="0"/>
              <w:rPr>
                <w:sz w:val="17"/>
                <w:szCs w:val="17"/>
                <w:color w:val="auto"/>
              </w:rPr>
            </w:pPr>
          </w:p>
        </w:tc>
        <w:tc>
          <w:tcPr>
            <w:tcW w:w="1040" w:type="dxa"/>
            <w:vAlign w:val="bottom"/>
            <w:tcBorders>
              <w:top w:val="single" w:sz="8" w:color="auto"/>
              <w:bottom w:val="single" w:sz="8" w:color="auto"/>
            </w:tcBorders>
            <w:gridSpan w:val="2"/>
            <w:shd w:val="clear" w:color="auto" w:fill="DBDBDB"/>
          </w:tcPr>
          <w:p>
            <w:pPr>
              <w:jc w:val="center"/>
              <w:ind w:right="140"/>
              <w:spacing w:after="0"/>
              <w:rPr>
                <w:sz w:val="20"/>
                <w:szCs w:val="20"/>
                <w:color w:val="auto"/>
              </w:rPr>
            </w:pPr>
            <w:r>
              <w:rPr>
                <w:rFonts w:ascii="Arial" w:cs="Arial" w:eastAsia="Arial" w:hAnsi="Arial"/>
                <w:sz w:val="14"/>
                <w:szCs w:val="14"/>
                <w:b w:val="1"/>
                <w:bCs w:val="1"/>
                <w:color w:val="auto"/>
                <w:w w:val="98"/>
              </w:rPr>
              <w:t>Successor</w:t>
            </w:r>
          </w:p>
        </w:tc>
        <w:tc>
          <w:tcPr>
            <w:tcW w:w="220" w:type="dxa"/>
            <w:vAlign w:val="bottom"/>
            <w:tcBorders>
              <w:top w:val="single" w:sz="8" w:color="DBDBDB"/>
              <w:bottom w:val="single" w:sz="8" w:color="DBDBDB"/>
              <w:right w:val="single" w:sz="8" w:color="auto"/>
            </w:tcBorders>
            <w:shd w:val="clear" w:color="auto" w:fill="DBDBDB"/>
          </w:tcPr>
          <w:p>
            <w:pPr>
              <w:spacing w:after="0"/>
              <w:rPr>
                <w:sz w:val="17"/>
                <w:szCs w:val="17"/>
                <w:color w:val="auto"/>
              </w:rPr>
            </w:pPr>
          </w:p>
        </w:tc>
        <w:tc>
          <w:tcPr>
            <w:tcW w:w="100" w:type="dxa"/>
            <w:vAlign w:val="bottom"/>
            <w:tcBorders>
              <w:top w:val="single" w:sz="8" w:color="DBDBDB"/>
              <w:bottom w:val="single" w:sz="8" w:color="DBDBDB"/>
            </w:tcBorders>
            <w:shd w:val="clear" w:color="auto" w:fill="DBDBDB"/>
          </w:tcPr>
          <w:p>
            <w:pPr>
              <w:spacing w:after="0"/>
              <w:rPr>
                <w:sz w:val="17"/>
                <w:szCs w:val="17"/>
                <w:color w:val="auto"/>
              </w:rPr>
            </w:pPr>
          </w:p>
        </w:tc>
        <w:tc>
          <w:tcPr>
            <w:tcW w:w="140" w:type="dxa"/>
            <w:vAlign w:val="bottom"/>
            <w:tcBorders>
              <w:top w:val="single" w:sz="8" w:color="auto"/>
              <w:bottom w:val="single" w:sz="8" w:color="auto"/>
            </w:tcBorders>
            <w:shd w:val="clear" w:color="auto" w:fill="DBDBDB"/>
          </w:tcPr>
          <w:p>
            <w:pPr>
              <w:spacing w:after="0"/>
              <w:rPr>
                <w:sz w:val="17"/>
                <w:szCs w:val="17"/>
                <w:color w:val="auto"/>
              </w:rPr>
            </w:pPr>
          </w:p>
        </w:tc>
        <w:tc>
          <w:tcPr>
            <w:tcW w:w="1020" w:type="dxa"/>
            <w:vAlign w:val="bottom"/>
            <w:tcBorders>
              <w:top w:val="single" w:sz="8" w:color="auto"/>
              <w:bottom w:val="single" w:sz="8" w:color="auto"/>
            </w:tcBorders>
            <w:shd w:val="clear" w:color="auto" w:fill="DBDBDB"/>
          </w:tcPr>
          <w:p>
            <w:pPr>
              <w:jc w:val="center"/>
              <w:ind w:right="69"/>
              <w:spacing w:after="0"/>
              <w:rPr>
                <w:sz w:val="20"/>
                <w:szCs w:val="20"/>
                <w:color w:val="auto"/>
              </w:rPr>
            </w:pPr>
            <w:r>
              <w:rPr>
                <w:rFonts w:ascii="Arial" w:cs="Arial" w:eastAsia="Arial" w:hAnsi="Arial"/>
                <w:sz w:val="14"/>
                <w:szCs w:val="14"/>
                <w:color w:val="auto"/>
              </w:rPr>
              <w:t>Predecessor</w:t>
            </w:r>
          </w:p>
        </w:tc>
        <w:tc>
          <w:tcPr>
            <w:tcW w:w="0" w:type="dxa"/>
            <w:vAlign w:val="bottom"/>
          </w:tcPr>
          <w:p>
            <w:pPr>
              <w:spacing w:after="0"/>
              <w:rPr>
                <w:sz w:val="1"/>
                <w:szCs w:val="1"/>
                <w:color w:val="auto"/>
              </w:rPr>
            </w:pPr>
          </w:p>
        </w:tc>
      </w:tr>
      <w:tr>
        <w:trPr>
          <w:trHeight w:val="179"/>
        </w:trPr>
        <w:tc>
          <w:tcPr>
            <w:tcW w:w="20" w:type="dxa"/>
            <w:vAlign w:val="bottom"/>
            <w:shd w:val="clear" w:color="auto" w:fill="DBDBDB"/>
          </w:tcPr>
          <w:p>
            <w:pPr>
              <w:spacing w:after="0"/>
              <w:rPr>
                <w:sz w:val="15"/>
                <w:szCs w:val="15"/>
                <w:color w:val="auto"/>
              </w:rPr>
            </w:pPr>
          </w:p>
        </w:tc>
        <w:tc>
          <w:tcPr>
            <w:tcW w:w="1100" w:type="dxa"/>
            <w:vAlign w:val="bottom"/>
            <w:shd w:val="clear" w:color="auto" w:fill="DBDBDB"/>
          </w:tcPr>
          <w:p>
            <w:pPr>
              <w:spacing w:after="0"/>
              <w:rPr>
                <w:sz w:val="15"/>
                <w:szCs w:val="15"/>
                <w:color w:val="auto"/>
              </w:rPr>
            </w:pPr>
          </w:p>
        </w:tc>
        <w:tc>
          <w:tcPr>
            <w:tcW w:w="660" w:type="dxa"/>
            <w:vAlign w:val="bottom"/>
            <w:shd w:val="clear" w:color="auto" w:fill="DBDBDB"/>
          </w:tcPr>
          <w:p>
            <w:pPr>
              <w:spacing w:after="0"/>
              <w:rPr>
                <w:sz w:val="15"/>
                <w:szCs w:val="15"/>
                <w:color w:val="auto"/>
              </w:rPr>
            </w:pPr>
          </w:p>
        </w:tc>
        <w:tc>
          <w:tcPr>
            <w:tcW w:w="6800" w:type="dxa"/>
            <w:vAlign w:val="bottom"/>
            <w:shd w:val="clear" w:color="auto" w:fill="DBDBDB"/>
          </w:tcPr>
          <w:p>
            <w:pPr>
              <w:spacing w:after="0"/>
              <w:rPr>
                <w:sz w:val="15"/>
                <w:szCs w:val="15"/>
                <w:color w:val="auto"/>
              </w:rPr>
            </w:pPr>
          </w:p>
        </w:tc>
        <w:tc>
          <w:tcPr>
            <w:tcW w:w="2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1040" w:type="dxa"/>
            <w:vAlign w:val="bottom"/>
            <w:gridSpan w:val="2"/>
            <w:shd w:val="clear" w:color="auto" w:fill="DBDBDB"/>
          </w:tcPr>
          <w:p>
            <w:pPr>
              <w:jc w:val="center"/>
              <w:ind w:right="160"/>
              <w:spacing w:after="0"/>
              <w:rPr>
                <w:sz w:val="20"/>
                <w:szCs w:val="20"/>
                <w:color w:val="auto"/>
              </w:rPr>
            </w:pPr>
            <w:r>
              <w:rPr>
                <w:rFonts w:ascii="Arial" w:cs="Arial" w:eastAsia="Arial" w:hAnsi="Arial"/>
                <w:sz w:val="14"/>
                <w:szCs w:val="14"/>
                <w:b w:val="1"/>
                <w:bCs w:val="1"/>
                <w:color w:val="auto"/>
              </w:rPr>
              <w:t>2nd Quarter</w:t>
            </w:r>
          </w:p>
        </w:tc>
        <w:tc>
          <w:tcPr>
            <w:tcW w:w="220" w:type="dxa"/>
            <w:vAlign w:val="bottom"/>
            <w:tcBorders>
              <w:right w:val="single" w:sz="8" w:color="auto"/>
            </w:tcBorders>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1020" w:type="dxa"/>
            <w:vAlign w:val="bottom"/>
            <w:shd w:val="clear" w:color="auto" w:fill="DBDBDB"/>
          </w:tcPr>
          <w:p>
            <w:pPr>
              <w:jc w:val="center"/>
              <w:ind w:right="69"/>
              <w:spacing w:after="0"/>
              <w:rPr>
                <w:sz w:val="20"/>
                <w:szCs w:val="20"/>
                <w:color w:val="auto"/>
              </w:rPr>
            </w:pPr>
            <w:r>
              <w:rPr>
                <w:rFonts w:ascii="Arial" w:cs="Arial" w:eastAsia="Arial" w:hAnsi="Arial"/>
                <w:sz w:val="14"/>
                <w:szCs w:val="14"/>
                <w:color w:val="auto"/>
              </w:rPr>
              <w:t>2nd Quarter</w:t>
            </w:r>
          </w:p>
        </w:tc>
        <w:tc>
          <w:tcPr>
            <w:tcW w:w="0" w:type="dxa"/>
            <w:vAlign w:val="bottom"/>
          </w:tcPr>
          <w:p>
            <w:pPr>
              <w:spacing w:after="0"/>
              <w:rPr>
                <w:sz w:val="1"/>
                <w:szCs w:val="1"/>
                <w:color w:val="auto"/>
              </w:rPr>
            </w:pPr>
          </w:p>
        </w:tc>
      </w:tr>
      <w:tr>
        <w:trPr>
          <w:trHeight w:val="186"/>
        </w:trPr>
        <w:tc>
          <w:tcPr>
            <w:tcW w:w="20" w:type="dxa"/>
            <w:vAlign w:val="bottom"/>
            <w:tcBorders>
              <w:bottom w:val="single" w:sz="8" w:color="auto"/>
            </w:tcBorders>
            <w:shd w:val="clear" w:color="auto" w:fill="DBDBDB"/>
          </w:tcPr>
          <w:p>
            <w:pPr>
              <w:spacing w:after="0"/>
              <w:rPr>
                <w:sz w:val="16"/>
                <w:szCs w:val="16"/>
                <w:color w:val="auto"/>
              </w:rPr>
            </w:pPr>
          </w:p>
        </w:tc>
        <w:tc>
          <w:tcPr>
            <w:tcW w:w="8580" w:type="dxa"/>
            <w:vAlign w:val="bottom"/>
            <w:tcBorders>
              <w:bottom w:val="single" w:sz="8" w:color="auto"/>
            </w:tcBorders>
            <w:gridSpan w:val="4"/>
            <w:shd w:val="clear" w:color="auto" w:fill="DBDBDB"/>
          </w:tcPr>
          <w:p>
            <w:pPr>
              <w:spacing w:after="0"/>
              <w:rPr>
                <w:sz w:val="20"/>
                <w:szCs w:val="20"/>
                <w:color w:val="auto"/>
              </w:rPr>
            </w:pPr>
            <w:r>
              <w:rPr>
                <w:rFonts w:ascii="Arial" w:cs="Arial" w:eastAsia="Arial" w:hAnsi="Arial"/>
                <w:sz w:val="14"/>
                <w:szCs w:val="14"/>
                <w:color w:val="auto"/>
              </w:rPr>
              <w:t>($ and shares in millions, except per share amounts)</w:t>
            </w:r>
          </w:p>
        </w:tc>
        <w:tc>
          <w:tcPr>
            <w:tcW w:w="120" w:type="dxa"/>
            <w:vAlign w:val="bottom"/>
            <w:tcBorders>
              <w:bottom w:val="single" w:sz="8" w:color="auto"/>
            </w:tcBorders>
            <w:shd w:val="clear" w:color="auto" w:fill="DBDBDB"/>
          </w:tcPr>
          <w:p>
            <w:pPr>
              <w:spacing w:after="0"/>
              <w:rPr>
                <w:sz w:val="16"/>
                <w:szCs w:val="16"/>
                <w:color w:val="auto"/>
              </w:rPr>
            </w:pPr>
          </w:p>
        </w:tc>
        <w:tc>
          <w:tcPr>
            <w:tcW w:w="1020" w:type="dxa"/>
            <w:vAlign w:val="bottom"/>
            <w:tcBorders>
              <w:bottom w:val="single" w:sz="8" w:color="auto"/>
            </w:tcBorders>
            <w:shd w:val="clear" w:color="auto" w:fill="DBDBDB"/>
          </w:tcPr>
          <w:p>
            <w:pPr>
              <w:jc w:val="center"/>
              <w:ind w:right="49"/>
              <w:spacing w:after="0"/>
              <w:rPr>
                <w:sz w:val="20"/>
                <w:szCs w:val="20"/>
                <w:color w:val="auto"/>
              </w:rPr>
            </w:pPr>
            <w:r>
              <w:rPr>
                <w:rFonts w:ascii="Arial" w:cs="Arial" w:eastAsia="Arial" w:hAnsi="Arial"/>
                <w:sz w:val="14"/>
                <w:szCs w:val="14"/>
                <w:b w:val="1"/>
                <w:bCs w:val="1"/>
                <w:color w:val="auto"/>
                <w:w w:val="96"/>
              </w:rPr>
              <w:t>2021</w:t>
            </w:r>
          </w:p>
        </w:tc>
        <w:tc>
          <w:tcPr>
            <w:tcW w:w="20" w:type="dxa"/>
            <w:vAlign w:val="bottom"/>
            <w:tcBorders>
              <w:bottom w:val="single" w:sz="8" w:color="auto"/>
            </w:tcBorders>
            <w:shd w:val="clear" w:color="auto" w:fill="DBDBDB"/>
          </w:tcPr>
          <w:p>
            <w:pPr>
              <w:spacing w:after="0"/>
              <w:rPr>
                <w:sz w:val="16"/>
                <w:szCs w:val="16"/>
                <w:color w:val="auto"/>
              </w:rPr>
            </w:pPr>
          </w:p>
        </w:tc>
        <w:tc>
          <w:tcPr>
            <w:tcW w:w="220" w:type="dxa"/>
            <w:vAlign w:val="bottom"/>
            <w:tcBorders>
              <w:right w:val="single" w:sz="8" w:color="auto"/>
            </w:tcBorders>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40" w:type="dxa"/>
            <w:vAlign w:val="bottom"/>
            <w:tcBorders>
              <w:bottom w:val="single" w:sz="8" w:color="auto"/>
            </w:tcBorders>
            <w:shd w:val="clear" w:color="auto" w:fill="DBDBDB"/>
          </w:tcPr>
          <w:p>
            <w:pPr>
              <w:spacing w:after="0"/>
              <w:rPr>
                <w:sz w:val="16"/>
                <w:szCs w:val="16"/>
                <w:color w:val="auto"/>
              </w:rPr>
            </w:pPr>
          </w:p>
        </w:tc>
        <w:tc>
          <w:tcPr>
            <w:tcW w:w="1020" w:type="dxa"/>
            <w:vAlign w:val="bottom"/>
            <w:tcBorders>
              <w:bottom w:val="single" w:sz="8" w:color="auto"/>
            </w:tcBorders>
            <w:shd w:val="clear" w:color="auto" w:fill="DBDBDB"/>
          </w:tcPr>
          <w:p>
            <w:pPr>
              <w:jc w:val="center"/>
              <w:ind w:right="69"/>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8580" w:type="dxa"/>
            <w:vAlign w:val="bottom"/>
            <w:gridSpan w:val="4"/>
          </w:tcPr>
          <w:p>
            <w:pPr>
              <w:spacing w:after="0"/>
              <w:rPr>
                <w:sz w:val="20"/>
                <w:szCs w:val="20"/>
                <w:color w:val="auto"/>
              </w:rPr>
            </w:pPr>
            <w:r>
              <w:rPr>
                <w:rFonts w:ascii="Arial" w:cs="Arial" w:eastAsia="Arial" w:hAnsi="Arial"/>
                <w:sz w:val="14"/>
                <w:szCs w:val="14"/>
                <w:b w:val="1"/>
                <w:bCs w:val="1"/>
                <w:color w:val="auto"/>
              </w:rPr>
              <w:t>Statements of Operations:</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20" w:type="dxa"/>
            <w:vAlign w:val="bottom"/>
            <w:tcBorders>
              <w:bottom w:val="single" w:sz="8" w:color="DBDBDB"/>
            </w:tcBorders>
          </w:tcPr>
          <w:p>
            <w:pPr>
              <w:spacing w:after="0"/>
              <w:rPr>
                <w:sz w:val="16"/>
                <w:szCs w:val="16"/>
                <w:color w:val="auto"/>
              </w:rPr>
            </w:pPr>
          </w:p>
        </w:tc>
        <w:tc>
          <w:tcPr>
            <w:tcW w:w="1760" w:type="dxa"/>
            <w:vAlign w:val="bottom"/>
            <w:tcBorders>
              <w:top w:val="single" w:sz="8" w:color="auto"/>
              <w:bottom w:val="single" w:sz="8" w:color="DBDBDB"/>
            </w:tcBorders>
            <w:gridSpan w:val="2"/>
          </w:tcPr>
          <w:p>
            <w:pPr>
              <w:spacing w:after="0"/>
              <w:rPr>
                <w:sz w:val="20"/>
                <w:szCs w:val="20"/>
                <w:color w:val="auto"/>
              </w:rPr>
            </w:pPr>
            <w:r>
              <w:rPr>
                <w:rFonts w:ascii="Arial" w:cs="Arial" w:eastAsia="Arial" w:hAnsi="Arial"/>
                <w:sz w:val="14"/>
                <w:szCs w:val="14"/>
                <w:b w:val="1"/>
                <w:bCs w:val="1"/>
                <w:color w:val="auto"/>
              </w:rPr>
              <w:t>Revenues</w:t>
            </w:r>
          </w:p>
        </w:tc>
        <w:tc>
          <w:tcPr>
            <w:tcW w:w="6820" w:type="dxa"/>
            <w:vAlign w:val="bottom"/>
            <w:tcBorders>
              <w:bottom w:val="single" w:sz="8" w:color="DBDBDB"/>
            </w:tcBorders>
            <w:gridSpan w:val="2"/>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DBDBDB"/>
              <w:right w:val="single" w:sz="8" w:color="auto"/>
            </w:tcBorders>
          </w:tcPr>
          <w:p>
            <w:pPr>
              <w:spacing w:after="0"/>
              <w:rPr>
                <w:sz w:val="16"/>
                <w:szCs w:val="16"/>
                <w:color w:val="auto"/>
              </w:rPr>
            </w:pPr>
          </w:p>
        </w:tc>
        <w:tc>
          <w:tcPr>
            <w:tcW w:w="100" w:type="dxa"/>
            <w:vAlign w:val="bottom"/>
            <w:tcBorders>
              <w:bottom w:val="single" w:sz="8" w:color="DBDBDB"/>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0" w:type="dxa"/>
            <w:vAlign w:val="bottom"/>
            <w:shd w:val="clear" w:color="auto" w:fill="DBDBDB"/>
          </w:tcPr>
          <w:p>
            <w:pPr>
              <w:spacing w:after="0"/>
              <w:rPr>
                <w:sz w:val="15"/>
                <w:szCs w:val="15"/>
                <w:color w:val="auto"/>
              </w:rPr>
            </w:pPr>
          </w:p>
        </w:tc>
        <w:tc>
          <w:tcPr>
            <w:tcW w:w="8580" w:type="dxa"/>
            <w:vAlign w:val="bottom"/>
            <w:gridSpan w:val="4"/>
            <w:shd w:val="clear" w:color="auto" w:fill="DBDBDB"/>
          </w:tcPr>
          <w:p>
            <w:pPr>
              <w:ind w:left="200"/>
              <w:spacing w:after="0"/>
              <w:rPr>
                <w:sz w:val="20"/>
                <w:szCs w:val="20"/>
                <w:color w:val="auto"/>
              </w:rPr>
            </w:pPr>
            <w:r>
              <w:rPr>
                <w:rFonts w:ascii="Arial" w:cs="Arial" w:eastAsia="Arial" w:hAnsi="Arial"/>
                <w:sz w:val="14"/>
                <w:szCs w:val="14"/>
                <w:color w:val="auto"/>
              </w:rPr>
              <w:t>Total revenues</w:t>
            </w: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b w:val="1"/>
                <w:bCs w:val="1"/>
                <w:color w:val="auto"/>
                <w:w w:val="76"/>
              </w:rPr>
              <w:t>$</w:t>
            </w: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b w:val="1"/>
                <w:bCs w:val="1"/>
                <w:color w:val="auto"/>
              </w:rPr>
              <w:t>304</w:t>
            </w:r>
          </w:p>
        </w:tc>
        <w:tc>
          <w:tcPr>
            <w:tcW w:w="20" w:type="dxa"/>
            <w:vAlign w:val="bottom"/>
            <w:tcBorders>
              <w:bottom w:val="single" w:sz="8" w:color="auto"/>
            </w:tcBorders>
            <w:shd w:val="clear" w:color="auto" w:fill="DBDBDB"/>
          </w:tcPr>
          <w:p>
            <w:pPr>
              <w:spacing w:after="0"/>
              <w:rPr>
                <w:sz w:val="15"/>
                <w:szCs w:val="15"/>
                <w:color w:val="auto"/>
              </w:rPr>
            </w:pPr>
          </w:p>
        </w:tc>
        <w:tc>
          <w:tcPr>
            <w:tcW w:w="220" w:type="dxa"/>
            <w:vAlign w:val="bottom"/>
            <w:tcBorders>
              <w:right w:val="single" w:sz="8" w:color="auto"/>
            </w:tcBorders>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b w:val="1"/>
                <w:bCs w:val="1"/>
                <w:color w:val="auto"/>
              </w:rPr>
              <w:t>276</w:t>
            </w:r>
          </w:p>
        </w:tc>
        <w:tc>
          <w:tcPr>
            <w:tcW w:w="0" w:type="dxa"/>
            <w:vAlign w:val="bottom"/>
          </w:tcPr>
          <w:p>
            <w:pPr>
              <w:spacing w:after="0"/>
              <w:rPr>
                <w:sz w:val="1"/>
                <w:szCs w:val="1"/>
                <w:color w:val="auto"/>
              </w:rPr>
            </w:pPr>
          </w:p>
        </w:tc>
      </w:tr>
      <w:tr>
        <w:trPr>
          <w:trHeight w:val="272"/>
        </w:trPr>
        <w:tc>
          <w:tcPr>
            <w:tcW w:w="20" w:type="dxa"/>
            <w:vAlign w:val="bottom"/>
            <w:tcBorders>
              <w:bottom w:val="single" w:sz="8" w:color="DBDBDB"/>
            </w:tcBorders>
          </w:tcPr>
          <w:p>
            <w:pPr>
              <w:spacing w:after="0"/>
              <w:rPr>
                <w:sz w:val="23"/>
                <w:szCs w:val="23"/>
                <w:color w:val="auto"/>
              </w:rPr>
            </w:pPr>
          </w:p>
        </w:tc>
        <w:tc>
          <w:tcPr>
            <w:tcW w:w="8580" w:type="dxa"/>
            <w:vAlign w:val="bottom"/>
            <w:tcBorders>
              <w:bottom w:val="single" w:sz="8" w:color="DBDBDB"/>
            </w:tcBorders>
            <w:gridSpan w:val="4"/>
          </w:tcPr>
          <w:p>
            <w:pPr>
              <w:spacing w:after="0"/>
              <w:rPr>
                <w:sz w:val="20"/>
                <w:szCs w:val="20"/>
                <w:color w:val="auto"/>
              </w:rPr>
            </w:pPr>
            <w:r>
              <w:rPr>
                <w:rFonts w:ascii="Arial" w:cs="Arial" w:eastAsia="Arial" w:hAnsi="Arial"/>
                <w:sz w:val="14"/>
                <w:szCs w:val="14"/>
                <w:b w:val="1"/>
                <w:bCs w:val="1"/>
                <w:color w:val="auto"/>
              </w:rPr>
              <w:t>Costs</w:t>
            </w:r>
          </w:p>
        </w:tc>
        <w:tc>
          <w:tcPr>
            <w:tcW w:w="1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20" w:type="dxa"/>
            <w:vAlign w:val="bottom"/>
            <w:tcBorders>
              <w:bottom w:val="single" w:sz="8" w:color="DBDBDB"/>
              <w:right w:val="single" w:sz="8" w:color="auto"/>
            </w:tcBorders>
          </w:tcPr>
          <w:p>
            <w:pPr>
              <w:spacing w:after="0"/>
              <w:rPr>
                <w:sz w:val="23"/>
                <w:szCs w:val="23"/>
                <w:color w:val="auto"/>
              </w:rPr>
            </w:pPr>
          </w:p>
        </w:tc>
        <w:tc>
          <w:tcPr>
            <w:tcW w:w="100" w:type="dxa"/>
            <w:vAlign w:val="bottom"/>
            <w:tcBorders>
              <w:bottom w:val="single" w:sz="8" w:color="DBDBDB"/>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79"/>
        </w:trPr>
        <w:tc>
          <w:tcPr>
            <w:tcW w:w="20" w:type="dxa"/>
            <w:vAlign w:val="bottom"/>
            <w:shd w:val="clear" w:color="auto" w:fill="DBDBDB"/>
          </w:tcPr>
          <w:p>
            <w:pPr>
              <w:spacing w:after="0"/>
              <w:rPr>
                <w:sz w:val="15"/>
                <w:szCs w:val="15"/>
                <w:color w:val="auto"/>
              </w:rPr>
            </w:pPr>
          </w:p>
        </w:tc>
        <w:tc>
          <w:tcPr>
            <w:tcW w:w="8580" w:type="dxa"/>
            <w:vAlign w:val="bottom"/>
            <w:gridSpan w:val="4"/>
            <w:shd w:val="clear" w:color="auto" w:fill="DBDBDB"/>
          </w:tcPr>
          <w:p>
            <w:pPr>
              <w:ind w:left="200"/>
              <w:spacing w:after="0"/>
              <w:rPr>
                <w:sz w:val="20"/>
                <w:szCs w:val="20"/>
                <w:color w:val="auto"/>
              </w:rPr>
            </w:pPr>
            <w:r>
              <w:rPr>
                <w:rFonts w:ascii="Arial" w:cs="Arial" w:eastAsia="Arial" w:hAnsi="Arial"/>
                <w:sz w:val="14"/>
                <w:szCs w:val="14"/>
                <w:color w:val="auto"/>
              </w:rPr>
              <w:t>Total costs</w:t>
            </w:r>
          </w:p>
        </w:tc>
        <w:tc>
          <w:tcPr>
            <w:tcW w:w="120" w:type="dxa"/>
            <w:vAlign w:val="bottom"/>
            <w:tcBorders>
              <w:bottom w:val="single" w:sz="8" w:color="auto"/>
            </w:tcBorders>
            <w:shd w:val="clear" w:color="auto" w:fill="DBDBDB"/>
          </w:tcPr>
          <w:p>
            <w:pPr>
              <w:spacing w:after="0"/>
              <w:rPr>
                <w:sz w:val="15"/>
                <w:szCs w:val="15"/>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b w:val="1"/>
                <w:bCs w:val="1"/>
                <w:color w:val="auto"/>
              </w:rPr>
              <w:t>394</w:t>
            </w:r>
          </w:p>
        </w:tc>
        <w:tc>
          <w:tcPr>
            <w:tcW w:w="20" w:type="dxa"/>
            <w:vAlign w:val="bottom"/>
            <w:tcBorders>
              <w:bottom w:val="single" w:sz="8" w:color="auto"/>
            </w:tcBorders>
            <w:shd w:val="clear" w:color="auto" w:fill="DBDBDB"/>
          </w:tcPr>
          <w:p>
            <w:pPr>
              <w:spacing w:after="0"/>
              <w:rPr>
                <w:sz w:val="15"/>
                <w:szCs w:val="15"/>
                <w:color w:val="auto"/>
              </w:rPr>
            </w:pPr>
          </w:p>
        </w:tc>
        <w:tc>
          <w:tcPr>
            <w:tcW w:w="220" w:type="dxa"/>
            <w:vAlign w:val="bottom"/>
            <w:tcBorders>
              <w:right w:val="single" w:sz="8" w:color="auto"/>
            </w:tcBorders>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40" w:type="dxa"/>
            <w:vAlign w:val="bottom"/>
            <w:tcBorders>
              <w:bottom w:val="single" w:sz="8" w:color="auto"/>
            </w:tcBorders>
            <w:shd w:val="clear" w:color="auto" w:fill="DBDBDB"/>
          </w:tcPr>
          <w:p>
            <w:pPr>
              <w:spacing w:after="0"/>
              <w:rPr>
                <w:sz w:val="15"/>
                <w:szCs w:val="15"/>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391</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580" w:type="dxa"/>
            <w:vAlign w:val="bottom"/>
            <w:gridSpan w:val="4"/>
          </w:tcPr>
          <w:p>
            <w:pPr>
              <w:spacing w:after="0"/>
              <w:rPr>
                <w:sz w:val="20"/>
                <w:szCs w:val="20"/>
                <w:color w:val="auto"/>
              </w:rPr>
            </w:pPr>
            <w:r>
              <w:rPr>
                <w:rFonts w:ascii="Arial" w:cs="Arial" w:eastAsia="Arial" w:hAnsi="Arial"/>
                <w:sz w:val="14"/>
                <w:szCs w:val="14"/>
                <w:b w:val="1"/>
                <w:bCs w:val="1"/>
                <w:color w:val="auto"/>
              </w:rPr>
              <w:t>Operating Loss</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(90)</w:t>
            </w:r>
          </w:p>
        </w:tc>
        <w:tc>
          <w:tcPr>
            <w:tcW w:w="20" w:type="dxa"/>
            <w:vAlign w:val="bottom"/>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(115)</w:t>
            </w:r>
          </w:p>
        </w:tc>
        <w:tc>
          <w:tcPr>
            <w:tcW w:w="0" w:type="dxa"/>
            <w:vAlign w:val="bottom"/>
          </w:tcPr>
          <w:p>
            <w:pPr>
              <w:spacing w:after="0"/>
              <w:rPr>
                <w:sz w:val="1"/>
                <w:szCs w:val="1"/>
                <w:color w:val="auto"/>
              </w:rPr>
            </w:pPr>
          </w:p>
        </w:tc>
      </w:tr>
      <w:tr>
        <w:trPr>
          <w:trHeight w:val="20"/>
        </w:trPr>
        <w:tc>
          <w:tcPr>
            <w:tcW w:w="20" w:type="dxa"/>
            <w:vAlign w:val="bottom"/>
            <w:tcBorders>
              <w:bottom w:val="single" w:sz="8" w:color="DBDBDB"/>
            </w:tcBorders>
          </w:tcPr>
          <w:p>
            <w:pPr>
              <w:spacing w:after="0" w:line="20" w:lineRule="exact"/>
              <w:rPr>
                <w:sz w:val="1"/>
                <w:szCs w:val="1"/>
                <w:color w:val="auto"/>
              </w:rPr>
            </w:pPr>
          </w:p>
        </w:tc>
        <w:tc>
          <w:tcPr>
            <w:tcW w:w="1100" w:type="dxa"/>
            <w:vAlign w:val="bottom"/>
            <w:tcBorders>
              <w:bottom w:val="single" w:sz="8" w:color="DBDBDB"/>
            </w:tcBorders>
          </w:tcPr>
          <w:p>
            <w:pPr>
              <w:spacing w:after="0" w:line="20" w:lineRule="exact"/>
              <w:rPr>
                <w:sz w:val="1"/>
                <w:szCs w:val="1"/>
                <w:color w:val="auto"/>
              </w:rPr>
            </w:pPr>
          </w:p>
        </w:tc>
        <w:tc>
          <w:tcPr>
            <w:tcW w:w="660" w:type="dxa"/>
            <w:vAlign w:val="bottom"/>
            <w:tcBorders>
              <w:bottom w:val="single" w:sz="8" w:color="DBDBDB"/>
            </w:tcBorders>
          </w:tcPr>
          <w:p>
            <w:pPr>
              <w:spacing w:after="0" w:line="20" w:lineRule="exact"/>
              <w:rPr>
                <w:sz w:val="1"/>
                <w:szCs w:val="1"/>
                <w:color w:val="auto"/>
              </w:rPr>
            </w:pPr>
          </w:p>
        </w:tc>
        <w:tc>
          <w:tcPr>
            <w:tcW w:w="6800" w:type="dxa"/>
            <w:vAlign w:val="bottom"/>
            <w:tcBorders>
              <w:bottom w:val="single" w:sz="8" w:color="DBDBDB"/>
            </w:tcBorders>
          </w:tcPr>
          <w:p>
            <w:pPr>
              <w:spacing w:after="0" w:line="20" w:lineRule="exact"/>
              <w:rPr>
                <w:sz w:val="1"/>
                <w:szCs w:val="1"/>
                <w:color w:val="auto"/>
              </w:rPr>
            </w:pPr>
          </w:p>
        </w:tc>
        <w:tc>
          <w:tcPr>
            <w:tcW w:w="20" w:type="dxa"/>
            <w:vAlign w:val="bottom"/>
            <w:tcBorders>
              <w:bottom w:val="single" w:sz="8" w:color="DBDBDB"/>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DBDBDB"/>
              <w:right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shd w:val="clear" w:color="auto" w:fill="DBDBDB"/>
          </w:tcPr>
          <w:p>
            <w:pPr>
              <w:spacing w:after="0"/>
              <w:rPr>
                <w:sz w:val="15"/>
                <w:szCs w:val="15"/>
                <w:color w:val="auto"/>
              </w:rPr>
            </w:pPr>
          </w:p>
        </w:tc>
        <w:tc>
          <w:tcPr>
            <w:tcW w:w="8580" w:type="dxa"/>
            <w:vAlign w:val="bottom"/>
            <w:gridSpan w:val="4"/>
            <w:shd w:val="clear" w:color="auto" w:fill="DBDBDB"/>
          </w:tcPr>
          <w:p>
            <w:pPr>
              <w:spacing w:after="0"/>
              <w:rPr>
                <w:sz w:val="20"/>
                <w:szCs w:val="20"/>
                <w:color w:val="auto"/>
              </w:rPr>
            </w:pPr>
            <w:r>
              <w:rPr>
                <w:rFonts w:ascii="Arial" w:cs="Arial" w:eastAsia="Arial" w:hAnsi="Arial"/>
                <w:sz w:val="14"/>
                <w:szCs w:val="14"/>
                <w:b w:val="1"/>
                <w:bCs w:val="1"/>
                <w:color w:val="auto"/>
              </w:rPr>
              <w:t>Net Loss Attributable to Common Stock</w:t>
            </w: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w w:val="76"/>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(111)</w:t>
            </w:r>
          </w:p>
        </w:tc>
        <w:tc>
          <w:tcPr>
            <w:tcW w:w="20" w:type="dxa"/>
            <w:vAlign w:val="bottom"/>
            <w:shd w:val="clear" w:color="auto" w:fill="DBDBDB"/>
          </w:tcPr>
          <w:p>
            <w:pPr>
              <w:spacing w:after="0"/>
              <w:rPr>
                <w:sz w:val="15"/>
                <w:szCs w:val="15"/>
                <w:color w:val="auto"/>
              </w:rPr>
            </w:pPr>
          </w:p>
        </w:tc>
        <w:tc>
          <w:tcPr>
            <w:tcW w:w="220" w:type="dxa"/>
            <w:vAlign w:val="bottom"/>
            <w:tcBorders>
              <w:right w:val="single" w:sz="8" w:color="auto"/>
            </w:tcBorders>
            <w:shd w:val="clear" w:color="auto" w:fill="DBDBDB"/>
          </w:tcPr>
          <w:p>
            <w:pPr>
              <w:spacing w:after="0"/>
              <w:rPr>
                <w:sz w:val="15"/>
                <w:szCs w:val="15"/>
                <w:color w:val="auto"/>
              </w:rPr>
            </w:pPr>
          </w:p>
        </w:tc>
        <w:tc>
          <w:tcPr>
            <w:tcW w:w="240" w:type="dxa"/>
            <w:vAlign w:val="bottom"/>
            <w:gridSpan w:val="2"/>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(271)</w:t>
            </w: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580" w:type="dxa"/>
            <w:vAlign w:val="bottom"/>
            <w:gridSpan w:val="4"/>
          </w:tcPr>
          <w:p>
            <w:pPr>
              <w:spacing w:after="0"/>
              <w:rPr>
                <w:sz w:val="20"/>
                <w:szCs w:val="20"/>
                <w:color w:val="auto"/>
              </w:rPr>
            </w:pPr>
            <w:r>
              <w:rPr>
                <w:rFonts w:ascii="Arial" w:cs="Arial" w:eastAsia="Arial" w:hAnsi="Arial"/>
                <w:sz w:val="14"/>
                <w:szCs w:val="14"/>
                <w:color w:val="auto"/>
              </w:rPr>
              <w:t>Net loss attributable to common stock per share - basic and diluted</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(1.34)</w:t>
            </w:r>
          </w:p>
        </w:tc>
        <w:tc>
          <w:tcPr>
            <w:tcW w:w="2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(5.47)</w:t>
            </w:r>
          </w:p>
        </w:tc>
        <w:tc>
          <w:tcPr>
            <w:tcW w:w="0" w:type="dxa"/>
            <w:vAlign w:val="bottom"/>
          </w:tcPr>
          <w:p>
            <w:pPr>
              <w:spacing w:after="0"/>
              <w:rPr>
                <w:sz w:val="1"/>
                <w:szCs w:val="1"/>
                <w:color w:val="auto"/>
              </w:rPr>
            </w:pPr>
          </w:p>
        </w:tc>
      </w:tr>
      <w:tr>
        <w:trPr>
          <w:trHeight w:val="185"/>
        </w:trPr>
        <w:tc>
          <w:tcPr>
            <w:tcW w:w="20" w:type="dxa"/>
            <w:vAlign w:val="bottom"/>
            <w:shd w:val="clear" w:color="auto" w:fill="DBDBDB"/>
          </w:tcPr>
          <w:p>
            <w:pPr>
              <w:spacing w:after="0"/>
              <w:rPr>
                <w:sz w:val="16"/>
                <w:szCs w:val="16"/>
                <w:color w:val="auto"/>
              </w:rPr>
            </w:pPr>
          </w:p>
        </w:tc>
        <w:tc>
          <w:tcPr>
            <w:tcW w:w="8580" w:type="dxa"/>
            <w:vAlign w:val="bottom"/>
            <w:gridSpan w:val="4"/>
            <w:shd w:val="clear" w:color="auto" w:fill="DBDBDB"/>
          </w:tcPr>
          <w:p>
            <w:pPr>
              <w:spacing w:after="0"/>
              <w:rPr>
                <w:sz w:val="20"/>
                <w:szCs w:val="20"/>
                <w:color w:val="auto"/>
              </w:rPr>
            </w:pPr>
            <w:r>
              <w:rPr>
                <w:rFonts w:ascii="Arial" w:cs="Arial" w:eastAsia="Arial" w:hAnsi="Arial"/>
                <w:sz w:val="14"/>
                <w:szCs w:val="14"/>
                <w:color w:val="auto"/>
              </w:rPr>
              <w:t>Adjusted net income (loss)</w:t>
            </w: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w w:val="76"/>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78</w:t>
            </w:r>
          </w:p>
        </w:tc>
        <w:tc>
          <w:tcPr>
            <w:tcW w:w="20" w:type="dxa"/>
            <w:vAlign w:val="bottom"/>
            <w:shd w:val="clear" w:color="auto" w:fill="DBDBDB"/>
          </w:tcPr>
          <w:p>
            <w:pPr>
              <w:spacing w:after="0"/>
              <w:rPr>
                <w:sz w:val="16"/>
                <w:szCs w:val="16"/>
                <w:color w:val="auto"/>
              </w:rPr>
            </w:pPr>
          </w:p>
        </w:tc>
        <w:tc>
          <w:tcPr>
            <w:tcW w:w="220" w:type="dxa"/>
            <w:vAlign w:val="bottom"/>
            <w:tcBorders>
              <w:right w:val="single" w:sz="8" w:color="auto"/>
            </w:tcBorders>
            <w:shd w:val="clear" w:color="auto" w:fill="DBDBDB"/>
          </w:tcPr>
          <w:p>
            <w:pPr>
              <w:spacing w:after="0"/>
              <w:rPr>
                <w:sz w:val="16"/>
                <w:szCs w:val="16"/>
                <w:color w:val="auto"/>
              </w:rPr>
            </w:pPr>
          </w:p>
        </w:tc>
        <w:tc>
          <w:tcPr>
            <w:tcW w:w="240" w:type="dxa"/>
            <w:vAlign w:val="bottom"/>
            <w:gridSpan w:val="2"/>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(202)</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580" w:type="dxa"/>
            <w:vAlign w:val="bottom"/>
            <w:gridSpan w:val="4"/>
          </w:tcPr>
          <w:p>
            <w:pPr>
              <w:spacing w:after="0"/>
              <w:rPr>
                <w:sz w:val="20"/>
                <w:szCs w:val="20"/>
                <w:color w:val="auto"/>
              </w:rPr>
            </w:pPr>
            <w:r>
              <w:rPr>
                <w:rFonts w:ascii="Arial" w:cs="Arial" w:eastAsia="Arial" w:hAnsi="Arial"/>
                <w:sz w:val="14"/>
                <w:szCs w:val="14"/>
                <w:color w:val="auto"/>
              </w:rPr>
              <w:t>Adjusted net income (loss) per share - basic</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0.94</w:t>
            </w:r>
          </w:p>
        </w:tc>
        <w:tc>
          <w:tcPr>
            <w:tcW w:w="20" w:type="dxa"/>
            <w:vAlign w:val="bottom"/>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(4.08)</w:t>
            </w:r>
          </w:p>
        </w:tc>
        <w:tc>
          <w:tcPr>
            <w:tcW w:w="0" w:type="dxa"/>
            <w:vAlign w:val="bottom"/>
          </w:tcPr>
          <w:p>
            <w:pPr>
              <w:spacing w:after="0"/>
              <w:rPr>
                <w:sz w:val="1"/>
                <w:szCs w:val="1"/>
                <w:color w:val="auto"/>
              </w:rPr>
            </w:pPr>
          </w:p>
        </w:tc>
      </w:tr>
      <w:tr>
        <w:trPr>
          <w:trHeight w:val="185"/>
        </w:trPr>
        <w:tc>
          <w:tcPr>
            <w:tcW w:w="20" w:type="dxa"/>
            <w:vAlign w:val="bottom"/>
            <w:shd w:val="clear" w:color="auto" w:fill="DBDBDB"/>
          </w:tcPr>
          <w:p>
            <w:pPr>
              <w:spacing w:after="0"/>
              <w:rPr>
                <w:sz w:val="16"/>
                <w:szCs w:val="16"/>
                <w:color w:val="auto"/>
              </w:rPr>
            </w:pPr>
          </w:p>
        </w:tc>
        <w:tc>
          <w:tcPr>
            <w:tcW w:w="8580" w:type="dxa"/>
            <w:vAlign w:val="bottom"/>
            <w:gridSpan w:val="4"/>
            <w:shd w:val="clear" w:color="auto" w:fill="DBDBDB"/>
          </w:tcPr>
          <w:p>
            <w:pPr>
              <w:spacing w:after="0"/>
              <w:rPr>
                <w:sz w:val="20"/>
                <w:szCs w:val="20"/>
                <w:color w:val="auto"/>
              </w:rPr>
            </w:pPr>
            <w:r>
              <w:rPr>
                <w:rFonts w:ascii="Arial" w:cs="Arial" w:eastAsia="Arial" w:hAnsi="Arial"/>
                <w:sz w:val="14"/>
                <w:szCs w:val="14"/>
                <w:color w:val="auto"/>
              </w:rPr>
              <w:t>Weighted-average common shares outstanding - basic</w:t>
            </w:r>
          </w:p>
        </w:tc>
        <w:tc>
          <w:tcPr>
            <w:tcW w:w="120" w:type="dxa"/>
            <w:vAlign w:val="bottom"/>
            <w:shd w:val="clear" w:color="auto" w:fill="DBDBDB"/>
          </w:tcPr>
          <w:p>
            <w:pPr>
              <w:spacing w:after="0"/>
              <w:rPr>
                <w:sz w:val="16"/>
                <w:szCs w:val="16"/>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83.1</w:t>
            </w:r>
          </w:p>
        </w:tc>
        <w:tc>
          <w:tcPr>
            <w:tcW w:w="20" w:type="dxa"/>
            <w:vAlign w:val="bottom"/>
            <w:shd w:val="clear" w:color="auto" w:fill="DBDBDB"/>
          </w:tcPr>
          <w:p>
            <w:pPr>
              <w:spacing w:after="0"/>
              <w:rPr>
                <w:sz w:val="16"/>
                <w:szCs w:val="16"/>
                <w:color w:val="auto"/>
              </w:rPr>
            </w:pPr>
          </w:p>
        </w:tc>
        <w:tc>
          <w:tcPr>
            <w:tcW w:w="220" w:type="dxa"/>
            <w:vAlign w:val="bottom"/>
            <w:tcBorders>
              <w:right w:val="single" w:sz="8" w:color="auto"/>
            </w:tcBorders>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49.5</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580" w:type="dxa"/>
            <w:vAlign w:val="bottom"/>
            <w:gridSpan w:val="4"/>
          </w:tcPr>
          <w:p>
            <w:pPr>
              <w:spacing w:after="0"/>
              <w:rPr>
                <w:sz w:val="20"/>
                <w:szCs w:val="20"/>
                <w:color w:val="auto"/>
              </w:rPr>
            </w:pPr>
            <w:r>
              <w:rPr>
                <w:rFonts w:ascii="Arial" w:cs="Arial" w:eastAsia="Arial" w:hAnsi="Arial"/>
                <w:sz w:val="14"/>
                <w:szCs w:val="14"/>
                <w:color w:val="auto"/>
              </w:rPr>
              <w:t>Adjusted EBITDAX</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169</w:t>
            </w:r>
          </w:p>
        </w:tc>
        <w:tc>
          <w:tcPr>
            <w:tcW w:w="20" w:type="dxa"/>
            <w:vAlign w:val="bottom"/>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358"/>
        </w:trPr>
        <w:tc>
          <w:tcPr>
            <w:tcW w:w="20" w:type="dxa"/>
            <w:vAlign w:val="bottom"/>
            <w:tcBorders>
              <w:bottom w:val="single" w:sz="8" w:color="DBDBDB"/>
            </w:tcBorders>
          </w:tcPr>
          <w:p>
            <w:pPr>
              <w:spacing w:after="0"/>
              <w:rPr>
                <w:sz w:val="24"/>
                <w:szCs w:val="24"/>
                <w:color w:val="auto"/>
              </w:rPr>
            </w:pPr>
          </w:p>
        </w:tc>
        <w:tc>
          <w:tcPr>
            <w:tcW w:w="1100" w:type="dxa"/>
            <w:vAlign w:val="bottom"/>
            <w:tcBorders>
              <w:bottom w:val="single" w:sz="8" w:color="DBDBDB"/>
            </w:tcBorders>
          </w:tcPr>
          <w:p>
            <w:pPr>
              <w:spacing w:after="0"/>
              <w:rPr>
                <w:sz w:val="24"/>
                <w:szCs w:val="24"/>
                <w:color w:val="auto"/>
              </w:rPr>
            </w:pPr>
          </w:p>
        </w:tc>
        <w:tc>
          <w:tcPr>
            <w:tcW w:w="660" w:type="dxa"/>
            <w:vAlign w:val="bottom"/>
            <w:tcBorders>
              <w:bottom w:val="single" w:sz="8" w:color="DBDBDB"/>
            </w:tcBorders>
          </w:tcPr>
          <w:p>
            <w:pPr>
              <w:spacing w:after="0"/>
              <w:rPr>
                <w:sz w:val="24"/>
                <w:szCs w:val="24"/>
                <w:color w:val="auto"/>
              </w:rPr>
            </w:pPr>
          </w:p>
        </w:tc>
        <w:tc>
          <w:tcPr>
            <w:tcW w:w="6800" w:type="dxa"/>
            <w:vAlign w:val="bottom"/>
            <w:tcBorders>
              <w:bottom w:val="single" w:sz="8" w:color="DBDBDB"/>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DBDBDB"/>
            </w:tcBorders>
          </w:tcPr>
          <w:p>
            <w:pPr>
              <w:spacing w:after="0"/>
              <w:rPr>
                <w:sz w:val="24"/>
                <w:szCs w:val="24"/>
                <w:color w:val="auto"/>
              </w:rPr>
            </w:pPr>
          </w:p>
        </w:tc>
        <w:tc>
          <w:tcPr>
            <w:tcW w:w="220" w:type="dxa"/>
            <w:vAlign w:val="bottom"/>
            <w:tcBorders>
              <w:bottom w:val="single" w:sz="8" w:color="DBDBDB"/>
            </w:tcBorders>
          </w:tcPr>
          <w:p>
            <w:pPr>
              <w:spacing w:after="0"/>
              <w:rPr>
                <w:sz w:val="24"/>
                <w:szCs w:val="24"/>
                <w:color w:val="auto"/>
              </w:rPr>
            </w:pPr>
          </w:p>
        </w:tc>
        <w:tc>
          <w:tcPr>
            <w:tcW w:w="100" w:type="dxa"/>
            <w:vAlign w:val="bottom"/>
            <w:tcBorders>
              <w:bottom w:val="single" w:sz="8" w:color="DBDBDB"/>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Borders>
              <w:bottom w:val="single" w:sz="8" w:color="DBDBDB"/>
            </w:tcBorders>
            <w:shd w:val="clear" w:color="auto" w:fill="DBDBDB"/>
          </w:tcPr>
          <w:p>
            <w:pPr>
              <w:spacing w:after="0"/>
              <w:rPr>
                <w:sz w:val="15"/>
                <w:szCs w:val="15"/>
                <w:color w:val="auto"/>
              </w:rPr>
            </w:pPr>
          </w:p>
        </w:tc>
        <w:tc>
          <w:tcPr>
            <w:tcW w:w="1100" w:type="dxa"/>
            <w:vAlign w:val="bottom"/>
            <w:tcBorders>
              <w:bottom w:val="single" w:sz="8" w:color="DBDBDB"/>
            </w:tcBorders>
            <w:shd w:val="clear" w:color="auto" w:fill="DBDBDB"/>
          </w:tcPr>
          <w:p>
            <w:pPr>
              <w:spacing w:after="0"/>
              <w:rPr>
                <w:sz w:val="15"/>
                <w:szCs w:val="15"/>
                <w:color w:val="auto"/>
              </w:rPr>
            </w:pPr>
          </w:p>
        </w:tc>
        <w:tc>
          <w:tcPr>
            <w:tcW w:w="660" w:type="dxa"/>
            <w:vAlign w:val="bottom"/>
            <w:tcBorders>
              <w:bottom w:val="single" w:sz="8" w:color="DBDBDB"/>
            </w:tcBorders>
            <w:shd w:val="clear" w:color="auto" w:fill="DBDBDB"/>
          </w:tcPr>
          <w:p>
            <w:pPr>
              <w:spacing w:after="0"/>
              <w:rPr>
                <w:sz w:val="15"/>
                <w:szCs w:val="15"/>
                <w:color w:val="auto"/>
              </w:rPr>
            </w:pPr>
          </w:p>
        </w:tc>
        <w:tc>
          <w:tcPr>
            <w:tcW w:w="6800" w:type="dxa"/>
            <w:vAlign w:val="bottom"/>
            <w:tcBorders>
              <w:bottom w:val="single" w:sz="8" w:color="DBDBDB"/>
            </w:tcBorders>
            <w:shd w:val="clear" w:color="auto" w:fill="DBDBDB"/>
          </w:tcPr>
          <w:p>
            <w:pPr>
              <w:spacing w:after="0"/>
              <w:rPr>
                <w:sz w:val="15"/>
                <w:szCs w:val="15"/>
                <w:color w:val="auto"/>
              </w:rPr>
            </w:pPr>
          </w:p>
        </w:tc>
        <w:tc>
          <w:tcPr>
            <w:tcW w:w="20" w:type="dxa"/>
            <w:vAlign w:val="bottom"/>
            <w:tcBorders>
              <w:bottom w:val="single" w:sz="8" w:color="auto"/>
            </w:tcBorders>
            <w:shd w:val="clear" w:color="auto" w:fill="DBDBDB"/>
          </w:tcPr>
          <w:p>
            <w:pPr>
              <w:spacing w:after="0"/>
              <w:rPr>
                <w:sz w:val="15"/>
                <w:szCs w:val="15"/>
                <w:color w:val="auto"/>
              </w:rPr>
            </w:pPr>
          </w:p>
        </w:tc>
        <w:tc>
          <w:tcPr>
            <w:tcW w:w="120" w:type="dxa"/>
            <w:vAlign w:val="bottom"/>
            <w:tcBorders>
              <w:bottom w:val="single" w:sz="8" w:color="auto"/>
            </w:tcBorders>
            <w:shd w:val="clear" w:color="auto" w:fill="DBDBDB"/>
          </w:tcPr>
          <w:p>
            <w:pPr>
              <w:spacing w:after="0"/>
              <w:rPr>
                <w:sz w:val="15"/>
                <w:szCs w:val="15"/>
                <w:color w:val="auto"/>
              </w:rPr>
            </w:pPr>
          </w:p>
        </w:tc>
        <w:tc>
          <w:tcPr>
            <w:tcW w:w="1020" w:type="dxa"/>
            <w:vAlign w:val="bottom"/>
            <w:tcBorders>
              <w:bottom w:val="single" w:sz="8" w:color="auto"/>
            </w:tcBorders>
            <w:shd w:val="clear" w:color="auto" w:fill="DBDBDB"/>
          </w:tcPr>
          <w:p>
            <w:pPr>
              <w:jc w:val="center"/>
              <w:ind w:right="69"/>
              <w:spacing w:after="0"/>
              <w:rPr>
                <w:sz w:val="20"/>
                <w:szCs w:val="20"/>
                <w:color w:val="auto"/>
              </w:rPr>
            </w:pPr>
            <w:r>
              <w:rPr>
                <w:rFonts w:ascii="Arial" w:cs="Arial" w:eastAsia="Arial" w:hAnsi="Arial"/>
                <w:sz w:val="14"/>
                <w:szCs w:val="14"/>
                <w:b w:val="1"/>
                <w:bCs w:val="1"/>
                <w:color w:val="auto"/>
              </w:rPr>
              <w:t>Successor</w:t>
            </w:r>
          </w:p>
        </w:tc>
        <w:tc>
          <w:tcPr>
            <w:tcW w:w="20" w:type="dxa"/>
            <w:vAlign w:val="bottom"/>
            <w:tcBorders>
              <w:bottom w:val="single" w:sz="8" w:color="DBDBDB"/>
            </w:tcBorders>
            <w:shd w:val="clear" w:color="auto" w:fill="DBDBDB"/>
          </w:tcPr>
          <w:p>
            <w:pPr>
              <w:spacing w:after="0"/>
              <w:rPr>
                <w:sz w:val="15"/>
                <w:szCs w:val="15"/>
                <w:color w:val="auto"/>
              </w:rPr>
            </w:pPr>
          </w:p>
        </w:tc>
        <w:tc>
          <w:tcPr>
            <w:tcW w:w="220" w:type="dxa"/>
            <w:vAlign w:val="bottom"/>
            <w:tcBorders>
              <w:bottom w:val="single" w:sz="8" w:color="DBDBDB"/>
              <w:right w:val="single" w:sz="8" w:color="auto"/>
            </w:tcBorders>
            <w:shd w:val="clear" w:color="auto" w:fill="DBDBDB"/>
          </w:tcPr>
          <w:p>
            <w:pPr>
              <w:spacing w:after="0"/>
              <w:rPr>
                <w:sz w:val="15"/>
                <w:szCs w:val="15"/>
                <w:color w:val="auto"/>
              </w:rPr>
            </w:pPr>
          </w:p>
        </w:tc>
        <w:tc>
          <w:tcPr>
            <w:tcW w:w="100" w:type="dxa"/>
            <w:vAlign w:val="bottom"/>
            <w:tcBorders>
              <w:bottom w:val="single" w:sz="8" w:color="DBDBDB"/>
            </w:tcBorders>
            <w:shd w:val="clear" w:color="auto" w:fill="DBDBDB"/>
          </w:tcPr>
          <w:p>
            <w:pPr>
              <w:spacing w:after="0"/>
              <w:rPr>
                <w:sz w:val="15"/>
                <w:szCs w:val="15"/>
                <w:color w:val="auto"/>
              </w:rPr>
            </w:pPr>
          </w:p>
        </w:tc>
        <w:tc>
          <w:tcPr>
            <w:tcW w:w="140" w:type="dxa"/>
            <w:vAlign w:val="bottom"/>
            <w:tcBorders>
              <w:bottom w:val="single" w:sz="8" w:color="auto"/>
            </w:tcBorders>
            <w:shd w:val="clear" w:color="auto" w:fill="DBDBDB"/>
          </w:tcPr>
          <w:p>
            <w:pPr>
              <w:spacing w:after="0"/>
              <w:rPr>
                <w:sz w:val="15"/>
                <w:szCs w:val="15"/>
                <w:color w:val="auto"/>
              </w:rPr>
            </w:pPr>
          </w:p>
        </w:tc>
        <w:tc>
          <w:tcPr>
            <w:tcW w:w="1020" w:type="dxa"/>
            <w:vAlign w:val="bottom"/>
            <w:tcBorders>
              <w:bottom w:val="single" w:sz="8" w:color="auto"/>
            </w:tcBorders>
            <w:shd w:val="clear" w:color="auto" w:fill="DBDBDB"/>
          </w:tcPr>
          <w:p>
            <w:pPr>
              <w:jc w:val="center"/>
              <w:ind w:right="69"/>
              <w:spacing w:after="0"/>
              <w:rPr>
                <w:sz w:val="20"/>
                <w:szCs w:val="20"/>
                <w:color w:val="auto"/>
              </w:rPr>
            </w:pPr>
            <w:r>
              <w:rPr>
                <w:rFonts w:ascii="Arial" w:cs="Arial" w:eastAsia="Arial" w:hAnsi="Arial"/>
                <w:sz w:val="14"/>
                <w:szCs w:val="14"/>
                <w:color w:val="auto"/>
              </w:rPr>
              <w:t>Predecessor</w:t>
            </w:r>
          </w:p>
        </w:tc>
        <w:tc>
          <w:tcPr>
            <w:tcW w:w="0" w:type="dxa"/>
            <w:vAlign w:val="bottom"/>
          </w:tcPr>
          <w:p>
            <w:pPr>
              <w:spacing w:after="0"/>
              <w:rPr>
                <w:sz w:val="1"/>
                <w:szCs w:val="1"/>
                <w:color w:val="auto"/>
              </w:rPr>
            </w:pPr>
          </w:p>
        </w:tc>
      </w:tr>
      <w:tr>
        <w:trPr>
          <w:trHeight w:val="179"/>
        </w:trPr>
        <w:tc>
          <w:tcPr>
            <w:tcW w:w="20" w:type="dxa"/>
            <w:vAlign w:val="bottom"/>
            <w:shd w:val="clear" w:color="auto" w:fill="DBDBDB"/>
          </w:tcPr>
          <w:p>
            <w:pPr>
              <w:spacing w:after="0"/>
              <w:rPr>
                <w:sz w:val="15"/>
                <w:szCs w:val="15"/>
                <w:color w:val="auto"/>
              </w:rPr>
            </w:pPr>
          </w:p>
        </w:tc>
        <w:tc>
          <w:tcPr>
            <w:tcW w:w="1100" w:type="dxa"/>
            <w:vAlign w:val="bottom"/>
            <w:shd w:val="clear" w:color="auto" w:fill="DBDBDB"/>
          </w:tcPr>
          <w:p>
            <w:pPr>
              <w:spacing w:after="0"/>
              <w:rPr>
                <w:sz w:val="15"/>
                <w:szCs w:val="15"/>
                <w:color w:val="auto"/>
              </w:rPr>
            </w:pPr>
          </w:p>
        </w:tc>
        <w:tc>
          <w:tcPr>
            <w:tcW w:w="660" w:type="dxa"/>
            <w:vAlign w:val="bottom"/>
            <w:shd w:val="clear" w:color="auto" w:fill="DBDBDB"/>
          </w:tcPr>
          <w:p>
            <w:pPr>
              <w:spacing w:after="0"/>
              <w:rPr>
                <w:sz w:val="15"/>
                <w:szCs w:val="15"/>
                <w:color w:val="auto"/>
              </w:rPr>
            </w:pPr>
          </w:p>
        </w:tc>
        <w:tc>
          <w:tcPr>
            <w:tcW w:w="6800" w:type="dxa"/>
            <w:vAlign w:val="bottom"/>
            <w:shd w:val="clear" w:color="auto" w:fill="DBDBDB"/>
          </w:tcPr>
          <w:p>
            <w:pPr>
              <w:spacing w:after="0"/>
              <w:rPr>
                <w:sz w:val="15"/>
                <w:szCs w:val="15"/>
                <w:color w:val="auto"/>
              </w:rPr>
            </w:pPr>
          </w:p>
        </w:tc>
        <w:tc>
          <w:tcPr>
            <w:tcW w:w="2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1020" w:type="dxa"/>
            <w:vAlign w:val="bottom"/>
            <w:shd w:val="clear" w:color="auto" w:fill="DBDBDB"/>
          </w:tcPr>
          <w:p>
            <w:pPr>
              <w:jc w:val="center"/>
              <w:ind w:right="69"/>
              <w:spacing w:after="0"/>
              <w:rPr>
                <w:sz w:val="20"/>
                <w:szCs w:val="20"/>
                <w:color w:val="auto"/>
              </w:rPr>
            </w:pPr>
            <w:r>
              <w:rPr>
                <w:rFonts w:ascii="Arial" w:cs="Arial" w:eastAsia="Arial" w:hAnsi="Arial"/>
                <w:sz w:val="14"/>
                <w:szCs w:val="14"/>
                <w:b w:val="1"/>
                <w:bCs w:val="1"/>
                <w:color w:val="auto"/>
              </w:rPr>
              <w:t>2nd Quarter</w:t>
            </w:r>
          </w:p>
        </w:tc>
        <w:tc>
          <w:tcPr>
            <w:tcW w:w="20" w:type="dxa"/>
            <w:vAlign w:val="bottom"/>
            <w:shd w:val="clear" w:color="auto" w:fill="DBDBDB"/>
          </w:tcPr>
          <w:p>
            <w:pPr>
              <w:spacing w:after="0"/>
              <w:rPr>
                <w:sz w:val="15"/>
                <w:szCs w:val="15"/>
                <w:color w:val="auto"/>
              </w:rPr>
            </w:pPr>
          </w:p>
        </w:tc>
        <w:tc>
          <w:tcPr>
            <w:tcW w:w="220" w:type="dxa"/>
            <w:vAlign w:val="bottom"/>
            <w:tcBorders>
              <w:right w:val="single" w:sz="8" w:color="auto"/>
            </w:tcBorders>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1020" w:type="dxa"/>
            <w:vAlign w:val="bottom"/>
            <w:shd w:val="clear" w:color="auto" w:fill="DBDBDB"/>
          </w:tcPr>
          <w:p>
            <w:pPr>
              <w:jc w:val="center"/>
              <w:ind w:right="69"/>
              <w:spacing w:after="0"/>
              <w:rPr>
                <w:sz w:val="20"/>
                <w:szCs w:val="20"/>
                <w:color w:val="auto"/>
              </w:rPr>
            </w:pPr>
            <w:r>
              <w:rPr>
                <w:rFonts w:ascii="Arial" w:cs="Arial" w:eastAsia="Arial" w:hAnsi="Arial"/>
                <w:sz w:val="14"/>
                <w:szCs w:val="14"/>
                <w:color w:val="auto"/>
              </w:rPr>
              <w:t>2nd Quarter</w:t>
            </w:r>
          </w:p>
        </w:tc>
        <w:tc>
          <w:tcPr>
            <w:tcW w:w="0" w:type="dxa"/>
            <w:vAlign w:val="bottom"/>
          </w:tcPr>
          <w:p>
            <w:pPr>
              <w:spacing w:after="0"/>
              <w:rPr>
                <w:sz w:val="1"/>
                <w:szCs w:val="1"/>
                <w:color w:val="auto"/>
              </w:rPr>
            </w:pPr>
          </w:p>
        </w:tc>
      </w:tr>
      <w:tr>
        <w:trPr>
          <w:trHeight w:val="185"/>
        </w:trPr>
        <w:tc>
          <w:tcPr>
            <w:tcW w:w="20" w:type="dxa"/>
            <w:vAlign w:val="bottom"/>
            <w:tcBorders>
              <w:bottom w:val="single" w:sz="8" w:color="auto"/>
            </w:tcBorders>
            <w:shd w:val="clear" w:color="auto" w:fill="DBDBDB"/>
          </w:tcPr>
          <w:p>
            <w:pPr>
              <w:spacing w:after="0"/>
              <w:rPr>
                <w:sz w:val="16"/>
                <w:szCs w:val="16"/>
                <w:color w:val="auto"/>
              </w:rPr>
            </w:pPr>
          </w:p>
        </w:tc>
        <w:tc>
          <w:tcPr>
            <w:tcW w:w="8560" w:type="dxa"/>
            <w:vAlign w:val="bottom"/>
            <w:tcBorders>
              <w:bottom w:val="single" w:sz="8" w:color="auto"/>
            </w:tcBorders>
            <w:gridSpan w:val="3"/>
            <w:shd w:val="clear" w:color="auto" w:fill="DBDBDB"/>
          </w:tcPr>
          <w:p>
            <w:pPr>
              <w:spacing w:after="0"/>
              <w:rPr>
                <w:sz w:val="20"/>
                <w:szCs w:val="20"/>
                <w:color w:val="auto"/>
              </w:rPr>
            </w:pPr>
            <w:r>
              <w:rPr>
                <w:rFonts w:ascii="Arial" w:cs="Arial" w:eastAsia="Arial" w:hAnsi="Arial"/>
                <w:sz w:val="14"/>
                <w:szCs w:val="14"/>
                <w:color w:val="auto"/>
              </w:rPr>
              <w:t>($ in millions)</w:t>
            </w:r>
          </w:p>
        </w:tc>
        <w:tc>
          <w:tcPr>
            <w:tcW w:w="20" w:type="dxa"/>
            <w:vAlign w:val="bottom"/>
            <w:tcBorders>
              <w:bottom w:val="single" w:sz="8" w:color="auto"/>
            </w:tcBorders>
            <w:shd w:val="clear" w:color="auto" w:fill="DBDBDB"/>
          </w:tcPr>
          <w:p>
            <w:pPr>
              <w:spacing w:after="0"/>
              <w:rPr>
                <w:sz w:val="16"/>
                <w:szCs w:val="16"/>
                <w:color w:val="auto"/>
              </w:rPr>
            </w:pPr>
          </w:p>
        </w:tc>
        <w:tc>
          <w:tcPr>
            <w:tcW w:w="120" w:type="dxa"/>
            <w:vAlign w:val="bottom"/>
            <w:tcBorders>
              <w:bottom w:val="single" w:sz="8" w:color="auto"/>
            </w:tcBorders>
            <w:shd w:val="clear" w:color="auto" w:fill="DBDBDB"/>
          </w:tcPr>
          <w:p>
            <w:pPr>
              <w:spacing w:after="0"/>
              <w:rPr>
                <w:sz w:val="16"/>
                <w:szCs w:val="16"/>
                <w:color w:val="auto"/>
              </w:rPr>
            </w:pPr>
          </w:p>
        </w:tc>
        <w:tc>
          <w:tcPr>
            <w:tcW w:w="1020" w:type="dxa"/>
            <w:vAlign w:val="bottom"/>
            <w:tcBorders>
              <w:bottom w:val="single" w:sz="8" w:color="auto"/>
            </w:tcBorders>
            <w:shd w:val="clear" w:color="auto" w:fill="DBDBDB"/>
          </w:tcPr>
          <w:p>
            <w:pPr>
              <w:jc w:val="center"/>
              <w:ind w:right="69"/>
              <w:spacing w:after="0"/>
              <w:rPr>
                <w:sz w:val="20"/>
                <w:szCs w:val="20"/>
                <w:color w:val="auto"/>
              </w:rPr>
            </w:pPr>
            <w:r>
              <w:rPr>
                <w:rFonts w:ascii="Arial" w:cs="Arial" w:eastAsia="Arial" w:hAnsi="Arial"/>
                <w:sz w:val="14"/>
                <w:szCs w:val="14"/>
                <w:b w:val="1"/>
                <w:bCs w:val="1"/>
                <w:color w:val="auto"/>
              </w:rPr>
              <w:t>2021</w:t>
            </w:r>
          </w:p>
        </w:tc>
        <w:tc>
          <w:tcPr>
            <w:tcW w:w="20" w:type="dxa"/>
            <w:vAlign w:val="bottom"/>
            <w:shd w:val="clear" w:color="auto" w:fill="DBDBDB"/>
          </w:tcPr>
          <w:p>
            <w:pPr>
              <w:spacing w:after="0"/>
              <w:rPr>
                <w:sz w:val="16"/>
                <w:szCs w:val="16"/>
                <w:color w:val="auto"/>
              </w:rPr>
            </w:pPr>
          </w:p>
        </w:tc>
        <w:tc>
          <w:tcPr>
            <w:tcW w:w="220" w:type="dxa"/>
            <w:vAlign w:val="bottom"/>
            <w:tcBorders>
              <w:right w:val="single" w:sz="8" w:color="auto"/>
            </w:tcBorders>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40" w:type="dxa"/>
            <w:vAlign w:val="bottom"/>
            <w:tcBorders>
              <w:bottom w:val="single" w:sz="8" w:color="auto"/>
            </w:tcBorders>
            <w:shd w:val="clear" w:color="auto" w:fill="DBDBDB"/>
          </w:tcPr>
          <w:p>
            <w:pPr>
              <w:spacing w:after="0"/>
              <w:rPr>
                <w:sz w:val="16"/>
                <w:szCs w:val="16"/>
                <w:color w:val="auto"/>
              </w:rPr>
            </w:pPr>
          </w:p>
        </w:tc>
        <w:tc>
          <w:tcPr>
            <w:tcW w:w="1020" w:type="dxa"/>
            <w:vAlign w:val="bottom"/>
            <w:tcBorders>
              <w:bottom w:val="single" w:sz="8" w:color="auto"/>
            </w:tcBorders>
            <w:shd w:val="clear" w:color="auto" w:fill="DBDBDB"/>
          </w:tcPr>
          <w:p>
            <w:pPr>
              <w:jc w:val="center"/>
              <w:ind w:right="69"/>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580" w:type="dxa"/>
            <w:vAlign w:val="bottom"/>
            <w:gridSpan w:val="4"/>
          </w:tcPr>
          <w:p>
            <w:pPr>
              <w:spacing w:after="0" w:line="152" w:lineRule="exact"/>
              <w:rPr>
                <w:sz w:val="20"/>
                <w:szCs w:val="20"/>
                <w:color w:val="auto"/>
              </w:rPr>
            </w:pPr>
            <w:r>
              <w:rPr>
                <w:rFonts w:ascii="Arial" w:cs="Arial" w:eastAsia="Arial" w:hAnsi="Arial"/>
                <w:sz w:val="14"/>
                <w:szCs w:val="14"/>
                <w:b w:val="1"/>
                <w:bCs w:val="1"/>
                <w:color w:val="auto"/>
              </w:rPr>
              <w:t>Cash Flow Data:</w:t>
            </w:r>
          </w:p>
        </w:tc>
        <w:tc>
          <w:tcPr>
            <w:tcW w:w="1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76"/>
              </w:rPr>
              <w:t>$</w:t>
            </w:r>
          </w:p>
        </w:tc>
        <w:tc>
          <w:tcPr>
            <w:tcW w:w="1020" w:type="dxa"/>
            <w:vAlign w:val="bottom"/>
            <w:vMerge w:val="restart"/>
          </w:tcPr>
          <w:p>
            <w:pPr>
              <w:jc w:val="right"/>
              <w:ind w:right="9"/>
              <w:spacing w:after="0"/>
              <w:rPr>
                <w:sz w:val="20"/>
                <w:szCs w:val="20"/>
                <w:color w:val="auto"/>
              </w:rPr>
            </w:pPr>
            <w:r>
              <w:rPr>
                <w:rFonts w:ascii="Arial" w:cs="Arial" w:eastAsia="Arial" w:hAnsi="Arial"/>
                <w:sz w:val="14"/>
                <w:szCs w:val="14"/>
                <w:b w:val="1"/>
                <w:bCs w:val="1"/>
                <w:color w:val="auto"/>
              </w:rPr>
              <w:t>127</w:t>
            </w:r>
          </w:p>
        </w:tc>
        <w:tc>
          <w:tcPr>
            <w:tcW w:w="20" w:type="dxa"/>
            <w:vAlign w:val="bottom"/>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7480" w:type="dxa"/>
            <w:vAlign w:val="bottom"/>
            <w:gridSpan w:val="3"/>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102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8580" w:type="dxa"/>
            <w:vAlign w:val="bottom"/>
            <w:gridSpan w:val="4"/>
          </w:tcPr>
          <w:p>
            <w:pPr>
              <w:spacing w:after="0"/>
              <w:rPr>
                <w:sz w:val="20"/>
                <w:szCs w:val="20"/>
                <w:color w:val="auto"/>
              </w:rPr>
            </w:pPr>
            <w:r>
              <w:rPr>
                <w:rFonts w:ascii="Arial" w:cs="Arial" w:eastAsia="Arial" w:hAnsi="Arial"/>
                <w:sz w:val="14"/>
                <w:szCs w:val="14"/>
                <w:color w:val="auto"/>
              </w:rPr>
              <w:t>Net cash provided by operating activities</w:t>
            </w:r>
          </w:p>
        </w:tc>
        <w:tc>
          <w:tcPr>
            <w:tcW w:w="120" w:type="dxa"/>
            <w:vAlign w:val="bottom"/>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(135)</w:t>
            </w:r>
          </w:p>
        </w:tc>
        <w:tc>
          <w:tcPr>
            <w:tcW w:w="0" w:type="dxa"/>
            <w:vAlign w:val="bottom"/>
          </w:tcPr>
          <w:p>
            <w:pPr>
              <w:spacing w:after="0"/>
              <w:rPr>
                <w:sz w:val="1"/>
                <w:szCs w:val="1"/>
                <w:color w:val="auto"/>
              </w:rPr>
            </w:pPr>
          </w:p>
        </w:tc>
      </w:tr>
      <w:tr>
        <w:trPr>
          <w:trHeight w:val="185"/>
        </w:trPr>
        <w:tc>
          <w:tcPr>
            <w:tcW w:w="20" w:type="dxa"/>
            <w:vAlign w:val="bottom"/>
            <w:shd w:val="clear" w:color="auto" w:fill="DBDBDB"/>
          </w:tcPr>
          <w:p>
            <w:pPr>
              <w:spacing w:after="0"/>
              <w:rPr>
                <w:sz w:val="16"/>
                <w:szCs w:val="16"/>
                <w:color w:val="auto"/>
              </w:rPr>
            </w:pPr>
          </w:p>
        </w:tc>
        <w:tc>
          <w:tcPr>
            <w:tcW w:w="8580" w:type="dxa"/>
            <w:vAlign w:val="bottom"/>
            <w:gridSpan w:val="4"/>
            <w:shd w:val="clear" w:color="auto" w:fill="DBDBDB"/>
          </w:tcPr>
          <w:p>
            <w:pPr>
              <w:spacing w:after="0"/>
              <w:rPr>
                <w:sz w:val="20"/>
                <w:szCs w:val="20"/>
                <w:color w:val="auto"/>
              </w:rPr>
            </w:pPr>
            <w:r>
              <w:rPr>
                <w:rFonts w:ascii="Arial" w:cs="Arial" w:eastAsia="Arial" w:hAnsi="Arial"/>
                <w:sz w:val="14"/>
                <w:szCs w:val="14"/>
                <w:color w:val="auto"/>
              </w:rPr>
              <w:t>Net cash used in investing activities</w:t>
            </w: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w w:val="76"/>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(43)</w:t>
            </w:r>
          </w:p>
        </w:tc>
        <w:tc>
          <w:tcPr>
            <w:tcW w:w="20" w:type="dxa"/>
            <w:vAlign w:val="bottom"/>
            <w:shd w:val="clear" w:color="auto" w:fill="DBDBDB"/>
          </w:tcPr>
          <w:p>
            <w:pPr>
              <w:spacing w:after="0"/>
              <w:rPr>
                <w:sz w:val="16"/>
                <w:szCs w:val="16"/>
                <w:color w:val="auto"/>
              </w:rPr>
            </w:pPr>
          </w:p>
        </w:tc>
        <w:tc>
          <w:tcPr>
            <w:tcW w:w="220" w:type="dxa"/>
            <w:vAlign w:val="bottom"/>
            <w:tcBorders>
              <w:right w:val="single" w:sz="8" w:color="auto"/>
            </w:tcBorders>
            <w:shd w:val="clear" w:color="auto" w:fill="DBDBDB"/>
          </w:tcPr>
          <w:p>
            <w:pPr>
              <w:spacing w:after="0"/>
              <w:rPr>
                <w:sz w:val="16"/>
                <w:szCs w:val="16"/>
                <w:color w:val="auto"/>
              </w:rPr>
            </w:pPr>
          </w:p>
        </w:tc>
        <w:tc>
          <w:tcPr>
            <w:tcW w:w="240" w:type="dxa"/>
            <w:vAlign w:val="bottom"/>
            <w:gridSpan w:val="2"/>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580" w:type="dxa"/>
            <w:vAlign w:val="bottom"/>
            <w:gridSpan w:val="4"/>
          </w:tcPr>
          <w:p>
            <w:pPr>
              <w:spacing w:after="0"/>
              <w:rPr>
                <w:sz w:val="20"/>
                <w:szCs w:val="20"/>
                <w:color w:val="auto"/>
              </w:rPr>
            </w:pPr>
            <w:r>
              <w:rPr>
                <w:rFonts w:ascii="Arial" w:cs="Arial" w:eastAsia="Arial" w:hAnsi="Arial"/>
                <w:sz w:val="14"/>
                <w:szCs w:val="14"/>
                <w:color w:val="auto"/>
              </w:rPr>
              <w:t>Net cash (used in) provided by financing activities</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(63)</w:t>
            </w:r>
          </w:p>
        </w:tc>
        <w:tc>
          <w:tcPr>
            <w:tcW w:w="20" w:type="dxa"/>
            <w:vAlign w:val="bottom"/>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199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w:t>
      </w:r>
    </w:p>
    <w:p>
      <w:pPr>
        <w:sectPr>
          <w:pgSz w:w="11900" w:h="16838" w:orient="portrait"/>
          <w:cols w:equalWidth="0" w:num="1">
            <w:col w:w="11240"/>
          </w:cols>
          <w:pgMar w:left="320" w:top="888" w:right="339" w:bottom="1440" w:gutter="0" w:footer="0" w:header="0"/>
        </w:sectPr>
      </w:pPr>
    </w:p>
    <w:bookmarkStart w:id="9" w:name="page10"/>
    <w:bookmarkEnd w:id="9"/>
    <w:p>
      <w:pPr>
        <w:spacing w:after="0"/>
        <w:rPr>
          <w:sz w:val="20"/>
          <w:szCs w:val="20"/>
          <w:color w:val="auto"/>
        </w:rPr>
      </w:pPr>
      <w:r>
        <w:rPr>
          <w:rFonts w:ascii="Arial" w:cs="Arial" w:eastAsia="Arial" w:hAnsi="Arial"/>
          <w:sz w:val="21"/>
          <w:szCs w:val="21"/>
          <w:b w:val="1"/>
          <w:bCs w:val="1"/>
          <w:u w:val="single" w:color="auto"/>
          <w:color w:val="auto"/>
        </w:rPr>
        <w:t>Six-Month 2021 Results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20" w:type="dxa"/>
            <w:vAlign w:val="bottom"/>
            <w:tcBorders>
              <w:top w:val="single" w:sz="8" w:color="DBDBDB"/>
              <w:bottom w:val="single" w:sz="8" w:color="DBDBDB"/>
            </w:tcBorders>
            <w:shd w:val="clear" w:color="auto" w:fill="DBDBDB"/>
          </w:tcPr>
          <w:p>
            <w:pPr>
              <w:spacing w:after="0"/>
              <w:rPr>
                <w:sz w:val="17"/>
                <w:szCs w:val="17"/>
                <w:color w:val="auto"/>
              </w:rPr>
            </w:pPr>
          </w:p>
        </w:tc>
        <w:tc>
          <w:tcPr>
            <w:tcW w:w="1100" w:type="dxa"/>
            <w:vAlign w:val="bottom"/>
            <w:tcBorders>
              <w:top w:val="single" w:sz="8" w:color="DBDBDB"/>
              <w:bottom w:val="single" w:sz="8" w:color="DBDBDB"/>
            </w:tcBorders>
            <w:shd w:val="clear" w:color="auto" w:fill="DBDBDB"/>
          </w:tcPr>
          <w:p>
            <w:pPr>
              <w:spacing w:after="0"/>
              <w:rPr>
                <w:sz w:val="17"/>
                <w:szCs w:val="17"/>
                <w:color w:val="auto"/>
              </w:rPr>
            </w:pPr>
          </w:p>
        </w:tc>
        <w:tc>
          <w:tcPr>
            <w:tcW w:w="660" w:type="dxa"/>
            <w:vAlign w:val="bottom"/>
            <w:tcBorders>
              <w:top w:val="single" w:sz="8" w:color="DBDBDB"/>
              <w:bottom w:val="single" w:sz="8" w:color="DBDBDB"/>
            </w:tcBorders>
            <w:shd w:val="clear" w:color="auto" w:fill="DBDBDB"/>
          </w:tcPr>
          <w:p>
            <w:pPr>
              <w:spacing w:after="0"/>
              <w:rPr>
                <w:sz w:val="17"/>
                <w:szCs w:val="17"/>
                <w:color w:val="auto"/>
              </w:rPr>
            </w:pPr>
          </w:p>
        </w:tc>
        <w:tc>
          <w:tcPr>
            <w:tcW w:w="6800" w:type="dxa"/>
            <w:vAlign w:val="bottom"/>
            <w:tcBorders>
              <w:top w:val="single" w:sz="8" w:color="DBDBDB"/>
              <w:bottom w:val="single" w:sz="8" w:color="DBDBDB"/>
            </w:tcBorders>
            <w:shd w:val="clear" w:color="auto" w:fill="DBDBDB"/>
          </w:tcPr>
          <w:p>
            <w:pPr>
              <w:spacing w:after="0"/>
              <w:rPr>
                <w:sz w:val="17"/>
                <w:szCs w:val="17"/>
                <w:color w:val="auto"/>
              </w:rPr>
            </w:pPr>
          </w:p>
        </w:tc>
        <w:tc>
          <w:tcPr>
            <w:tcW w:w="20" w:type="dxa"/>
            <w:vAlign w:val="bottom"/>
            <w:tcBorders>
              <w:top w:val="single" w:sz="8" w:color="DBDBDB"/>
              <w:bottom w:val="single" w:sz="8" w:color="DBDBDB"/>
            </w:tcBorders>
            <w:shd w:val="clear" w:color="auto" w:fill="DBDBDB"/>
          </w:tcPr>
          <w:p>
            <w:pPr>
              <w:spacing w:after="0"/>
              <w:rPr>
                <w:sz w:val="17"/>
                <w:szCs w:val="17"/>
                <w:color w:val="auto"/>
              </w:rPr>
            </w:pPr>
          </w:p>
        </w:tc>
        <w:tc>
          <w:tcPr>
            <w:tcW w:w="140" w:type="dxa"/>
            <w:vAlign w:val="bottom"/>
            <w:tcBorders>
              <w:top w:val="single" w:sz="8" w:color="auto"/>
              <w:bottom w:val="single" w:sz="8" w:color="auto"/>
            </w:tcBorders>
            <w:shd w:val="clear" w:color="auto" w:fill="DBDBDB"/>
          </w:tcPr>
          <w:p>
            <w:pPr>
              <w:spacing w:after="0"/>
              <w:rPr>
                <w:sz w:val="17"/>
                <w:szCs w:val="17"/>
                <w:color w:val="auto"/>
              </w:rPr>
            </w:pPr>
          </w:p>
        </w:tc>
        <w:tc>
          <w:tcPr>
            <w:tcW w:w="1020" w:type="dxa"/>
            <w:vAlign w:val="bottom"/>
            <w:tcBorders>
              <w:top w:val="single" w:sz="8" w:color="auto"/>
              <w:bottom w:val="single" w:sz="8" w:color="auto"/>
            </w:tcBorders>
            <w:gridSpan w:val="2"/>
            <w:shd w:val="clear" w:color="auto" w:fill="DBDBDB"/>
          </w:tcPr>
          <w:p>
            <w:pPr>
              <w:jc w:val="center"/>
              <w:ind w:right="160"/>
              <w:spacing w:after="0"/>
              <w:rPr>
                <w:sz w:val="20"/>
                <w:szCs w:val="20"/>
                <w:color w:val="auto"/>
              </w:rPr>
            </w:pPr>
            <w:r>
              <w:rPr>
                <w:rFonts w:ascii="Arial" w:cs="Arial" w:eastAsia="Arial" w:hAnsi="Arial"/>
                <w:sz w:val="14"/>
                <w:szCs w:val="14"/>
                <w:b w:val="1"/>
                <w:bCs w:val="1"/>
                <w:color w:val="auto"/>
                <w:w w:val="98"/>
              </w:rPr>
              <w:t>Successor</w:t>
            </w:r>
          </w:p>
        </w:tc>
        <w:tc>
          <w:tcPr>
            <w:tcW w:w="220" w:type="dxa"/>
            <w:vAlign w:val="bottom"/>
            <w:tcBorders>
              <w:top w:val="single" w:sz="8" w:color="DBDBDB"/>
              <w:bottom w:val="single" w:sz="8" w:color="DBDBDB"/>
              <w:right w:val="single" w:sz="8" w:color="auto"/>
            </w:tcBorders>
            <w:shd w:val="clear" w:color="auto" w:fill="DBDBDB"/>
          </w:tcPr>
          <w:p>
            <w:pPr>
              <w:spacing w:after="0"/>
              <w:rPr>
                <w:sz w:val="17"/>
                <w:szCs w:val="17"/>
                <w:color w:val="auto"/>
              </w:rPr>
            </w:pPr>
          </w:p>
        </w:tc>
        <w:tc>
          <w:tcPr>
            <w:tcW w:w="100" w:type="dxa"/>
            <w:vAlign w:val="bottom"/>
            <w:tcBorders>
              <w:top w:val="single" w:sz="8" w:color="DBDBDB"/>
              <w:bottom w:val="single" w:sz="8" w:color="DBDBDB"/>
            </w:tcBorders>
            <w:shd w:val="clear" w:color="auto" w:fill="DBDBDB"/>
          </w:tcPr>
          <w:p>
            <w:pPr>
              <w:spacing w:after="0"/>
              <w:rPr>
                <w:sz w:val="17"/>
                <w:szCs w:val="17"/>
                <w:color w:val="auto"/>
              </w:rPr>
            </w:pPr>
          </w:p>
        </w:tc>
        <w:tc>
          <w:tcPr>
            <w:tcW w:w="140" w:type="dxa"/>
            <w:vAlign w:val="bottom"/>
            <w:tcBorders>
              <w:top w:val="single" w:sz="8" w:color="auto"/>
              <w:bottom w:val="single" w:sz="8" w:color="auto"/>
            </w:tcBorders>
            <w:shd w:val="clear" w:color="auto" w:fill="DBDBDB"/>
          </w:tcPr>
          <w:p>
            <w:pPr>
              <w:spacing w:after="0"/>
              <w:rPr>
                <w:sz w:val="17"/>
                <w:szCs w:val="17"/>
                <w:color w:val="auto"/>
              </w:rPr>
            </w:pPr>
          </w:p>
        </w:tc>
        <w:tc>
          <w:tcPr>
            <w:tcW w:w="1020" w:type="dxa"/>
            <w:vAlign w:val="bottom"/>
            <w:tcBorders>
              <w:top w:val="single" w:sz="8" w:color="auto"/>
              <w:bottom w:val="single" w:sz="8" w:color="auto"/>
            </w:tcBorders>
            <w:shd w:val="clear" w:color="auto" w:fill="DBDBDB"/>
          </w:tcPr>
          <w:p>
            <w:pPr>
              <w:jc w:val="center"/>
              <w:ind w:right="69"/>
              <w:spacing w:after="0"/>
              <w:rPr>
                <w:sz w:val="20"/>
                <w:szCs w:val="20"/>
                <w:color w:val="auto"/>
              </w:rPr>
            </w:pPr>
            <w:r>
              <w:rPr>
                <w:rFonts w:ascii="Arial" w:cs="Arial" w:eastAsia="Arial" w:hAnsi="Arial"/>
                <w:sz w:val="14"/>
                <w:szCs w:val="14"/>
                <w:color w:val="auto"/>
              </w:rPr>
              <w:t>Predecessor</w:t>
            </w:r>
          </w:p>
        </w:tc>
        <w:tc>
          <w:tcPr>
            <w:tcW w:w="0" w:type="dxa"/>
            <w:vAlign w:val="bottom"/>
          </w:tcPr>
          <w:p>
            <w:pPr>
              <w:spacing w:after="0"/>
              <w:rPr>
                <w:sz w:val="1"/>
                <w:szCs w:val="1"/>
                <w:color w:val="auto"/>
              </w:rPr>
            </w:pPr>
          </w:p>
        </w:tc>
      </w:tr>
      <w:tr>
        <w:trPr>
          <w:trHeight w:val="179"/>
        </w:trPr>
        <w:tc>
          <w:tcPr>
            <w:tcW w:w="20" w:type="dxa"/>
            <w:vAlign w:val="bottom"/>
            <w:shd w:val="clear" w:color="auto" w:fill="DBDBDB"/>
          </w:tcPr>
          <w:p>
            <w:pPr>
              <w:spacing w:after="0"/>
              <w:rPr>
                <w:sz w:val="15"/>
                <w:szCs w:val="15"/>
                <w:color w:val="auto"/>
              </w:rPr>
            </w:pPr>
          </w:p>
        </w:tc>
        <w:tc>
          <w:tcPr>
            <w:tcW w:w="1100" w:type="dxa"/>
            <w:vAlign w:val="bottom"/>
            <w:shd w:val="clear" w:color="auto" w:fill="DBDBDB"/>
          </w:tcPr>
          <w:p>
            <w:pPr>
              <w:spacing w:after="0"/>
              <w:rPr>
                <w:sz w:val="15"/>
                <w:szCs w:val="15"/>
                <w:color w:val="auto"/>
              </w:rPr>
            </w:pPr>
          </w:p>
        </w:tc>
        <w:tc>
          <w:tcPr>
            <w:tcW w:w="660" w:type="dxa"/>
            <w:vAlign w:val="bottom"/>
            <w:shd w:val="clear" w:color="auto" w:fill="DBDBDB"/>
          </w:tcPr>
          <w:p>
            <w:pPr>
              <w:spacing w:after="0"/>
              <w:rPr>
                <w:sz w:val="15"/>
                <w:szCs w:val="15"/>
                <w:color w:val="auto"/>
              </w:rPr>
            </w:pPr>
          </w:p>
        </w:tc>
        <w:tc>
          <w:tcPr>
            <w:tcW w:w="6800" w:type="dxa"/>
            <w:vAlign w:val="bottom"/>
            <w:shd w:val="clear" w:color="auto" w:fill="DBDBDB"/>
          </w:tcPr>
          <w:p>
            <w:pPr>
              <w:spacing w:after="0"/>
              <w:rPr>
                <w:sz w:val="15"/>
                <w:szCs w:val="15"/>
                <w:color w:val="auto"/>
              </w:rPr>
            </w:pPr>
          </w:p>
        </w:tc>
        <w:tc>
          <w:tcPr>
            <w:tcW w:w="2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1020" w:type="dxa"/>
            <w:vAlign w:val="bottom"/>
            <w:gridSpan w:val="2"/>
            <w:shd w:val="clear" w:color="auto" w:fill="DBDBDB"/>
          </w:tcPr>
          <w:p>
            <w:pPr>
              <w:jc w:val="center"/>
              <w:ind w:right="160"/>
              <w:spacing w:after="0"/>
              <w:rPr>
                <w:sz w:val="20"/>
                <w:szCs w:val="20"/>
                <w:color w:val="auto"/>
              </w:rPr>
            </w:pPr>
            <w:r>
              <w:rPr>
                <w:rFonts w:ascii="Arial" w:cs="Arial" w:eastAsia="Arial" w:hAnsi="Arial"/>
                <w:sz w:val="14"/>
                <w:szCs w:val="14"/>
                <w:b w:val="1"/>
                <w:bCs w:val="1"/>
                <w:color w:val="auto"/>
                <w:w w:val="99"/>
              </w:rPr>
              <w:t>Six Months</w:t>
            </w:r>
          </w:p>
        </w:tc>
        <w:tc>
          <w:tcPr>
            <w:tcW w:w="220" w:type="dxa"/>
            <w:vAlign w:val="bottom"/>
            <w:tcBorders>
              <w:right w:val="single" w:sz="8" w:color="auto"/>
            </w:tcBorders>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1020" w:type="dxa"/>
            <w:vAlign w:val="bottom"/>
            <w:shd w:val="clear" w:color="auto" w:fill="DBDBDB"/>
          </w:tcPr>
          <w:p>
            <w:pPr>
              <w:jc w:val="center"/>
              <w:ind w:right="49"/>
              <w:spacing w:after="0"/>
              <w:rPr>
                <w:sz w:val="20"/>
                <w:szCs w:val="20"/>
                <w:color w:val="auto"/>
              </w:rPr>
            </w:pPr>
            <w:r>
              <w:rPr>
                <w:rFonts w:ascii="Arial" w:cs="Arial" w:eastAsia="Arial" w:hAnsi="Arial"/>
                <w:sz w:val="14"/>
                <w:szCs w:val="14"/>
                <w:color w:val="auto"/>
              </w:rPr>
              <w:t>Six Months</w:t>
            </w:r>
          </w:p>
        </w:tc>
        <w:tc>
          <w:tcPr>
            <w:tcW w:w="0" w:type="dxa"/>
            <w:vAlign w:val="bottom"/>
          </w:tcPr>
          <w:p>
            <w:pPr>
              <w:spacing w:after="0"/>
              <w:rPr>
                <w:sz w:val="1"/>
                <w:szCs w:val="1"/>
                <w:color w:val="auto"/>
              </w:rPr>
            </w:pPr>
          </w:p>
        </w:tc>
      </w:tr>
      <w:tr>
        <w:trPr>
          <w:trHeight w:val="186"/>
        </w:trPr>
        <w:tc>
          <w:tcPr>
            <w:tcW w:w="20" w:type="dxa"/>
            <w:vAlign w:val="bottom"/>
            <w:tcBorders>
              <w:bottom w:val="single" w:sz="8" w:color="auto"/>
            </w:tcBorders>
            <w:shd w:val="clear" w:color="auto" w:fill="DBDBDB"/>
          </w:tcPr>
          <w:p>
            <w:pPr>
              <w:spacing w:after="0"/>
              <w:rPr>
                <w:sz w:val="16"/>
                <w:szCs w:val="16"/>
                <w:color w:val="auto"/>
              </w:rPr>
            </w:pPr>
          </w:p>
        </w:tc>
        <w:tc>
          <w:tcPr>
            <w:tcW w:w="8580" w:type="dxa"/>
            <w:vAlign w:val="bottom"/>
            <w:tcBorders>
              <w:bottom w:val="single" w:sz="8" w:color="auto"/>
            </w:tcBorders>
            <w:gridSpan w:val="4"/>
            <w:shd w:val="clear" w:color="auto" w:fill="DBDBDB"/>
          </w:tcPr>
          <w:p>
            <w:pPr>
              <w:spacing w:after="0"/>
              <w:rPr>
                <w:sz w:val="20"/>
                <w:szCs w:val="20"/>
                <w:color w:val="auto"/>
              </w:rPr>
            </w:pPr>
            <w:r>
              <w:rPr>
                <w:rFonts w:ascii="Arial" w:cs="Arial" w:eastAsia="Arial" w:hAnsi="Arial"/>
                <w:sz w:val="14"/>
                <w:szCs w:val="14"/>
                <w:color w:val="auto"/>
              </w:rPr>
              <w:t>($ and shares in millions, except per share amounts)</w:t>
            </w:r>
          </w:p>
        </w:tc>
        <w:tc>
          <w:tcPr>
            <w:tcW w:w="140" w:type="dxa"/>
            <w:vAlign w:val="bottom"/>
            <w:tcBorders>
              <w:bottom w:val="single" w:sz="8" w:color="auto"/>
            </w:tcBorders>
            <w:shd w:val="clear" w:color="auto" w:fill="DBDBDB"/>
          </w:tcPr>
          <w:p>
            <w:pPr>
              <w:spacing w:after="0"/>
              <w:rPr>
                <w:sz w:val="16"/>
                <w:szCs w:val="16"/>
                <w:color w:val="auto"/>
              </w:rPr>
            </w:pPr>
          </w:p>
        </w:tc>
        <w:tc>
          <w:tcPr>
            <w:tcW w:w="1000" w:type="dxa"/>
            <w:vAlign w:val="bottom"/>
            <w:tcBorders>
              <w:bottom w:val="single" w:sz="8" w:color="auto"/>
            </w:tcBorders>
            <w:shd w:val="clear" w:color="auto" w:fill="DBDBDB"/>
          </w:tcPr>
          <w:p>
            <w:pPr>
              <w:jc w:val="center"/>
              <w:ind w:right="69"/>
              <w:spacing w:after="0"/>
              <w:rPr>
                <w:sz w:val="20"/>
                <w:szCs w:val="20"/>
                <w:color w:val="auto"/>
              </w:rPr>
            </w:pPr>
            <w:r>
              <w:rPr>
                <w:rFonts w:ascii="Arial" w:cs="Arial" w:eastAsia="Arial" w:hAnsi="Arial"/>
                <w:sz w:val="14"/>
                <w:szCs w:val="14"/>
                <w:b w:val="1"/>
                <w:bCs w:val="1"/>
                <w:color w:val="auto"/>
                <w:w w:val="96"/>
              </w:rPr>
              <w:t>2021</w:t>
            </w:r>
          </w:p>
        </w:tc>
        <w:tc>
          <w:tcPr>
            <w:tcW w:w="20" w:type="dxa"/>
            <w:vAlign w:val="bottom"/>
            <w:tcBorders>
              <w:bottom w:val="single" w:sz="8" w:color="auto"/>
            </w:tcBorders>
            <w:shd w:val="clear" w:color="auto" w:fill="DBDBDB"/>
          </w:tcPr>
          <w:p>
            <w:pPr>
              <w:spacing w:after="0"/>
              <w:rPr>
                <w:sz w:val="16"/>
                <w:szCs w:val="16"/>
                <w:color w:val="auto"/>
              </w:rPr>
            </w:pPr>
          </w:p>
        </w:tc>
        <w:tc>
          <w:tcPr>
            <w:tcW w:w="220" w:type="dxa"/>
            <w:vAlign w:val="bottom"/>
            <w:tcBorders>
              <w:right w:val="single" w:sz="8" w:color="auto"/>
            </w:tcBorders>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40" w:type="dxa"/>
            <w:vAlign w:val="bottom"/>
            <w:tcBorders>
              <w:bottom w:val="single" w:sz="8" w:color="auto"/>
            </w:tcBorders>
            <w:shd w:val="clear" w:color="auto" w:fill="DBDBDB"/>
          </w:tcPr>
          <w:p>
            <w:pPr>
              <w:spacing w:after="0"/>
              <w:rPr>
                <w:sz w:val="16"/>
                <w:szCs w:val="16"/>
                <w:color w:val="auto"/>
              </w:rPr>
            </w:pPr>
          </w:p>
        </w:tc>
        <w:tc>
          <w:tcPr>
            <w:tcW w:w="1020" w:type="dxa"/>
            <w:vAlign w:val="bottom"/>
            <w:tcBorders>
              <w:bottom w:val="single" w:sz="8" w:color="auto"/>
            </w:tcBorders>
            <w:shd w:val="clear" w:color="auto" w:fill="DBDBDB"/>
          </w:tcPr>
          <w:p>
            <w:pPr>
              <w:jc w:val="center"/>
              <w:ind w:right="69"/>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8580" w:type="dxa"/>
            <w:vAlign w:val="bottom"/>
            <w:gridSpan w:val="4"/>
          </w:tcPr>
          <w:p>
            <w:pPr>
              <w:spacing w:after="0"/>
              <w:rPr>
                <w:sz w:val="20"/>
                <w:szCs w:val="20"/>
                <w:color w:val="auto"/>
              </w:rPr>
            </w:pPr>
            <w:r>
              <w:rPr>
                <w:rFonts w:ascii="Arial" w:cs="Arial" w:eastAsia="Arial" w:hAnsi="Arial"/>
                <w:sz w:val="14"/>
                <w:szCs w:val="14"/>
                <w:b w:val="1"/>
                <w:bCs w:val="1"/>
                <w:color w:val="auto"/>
              </w:rPr>
              <w:t>Statements of Operations:</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20" w:type="dxa"/>
            <w:vAlign w:val="bottom"/>
            <w:tcBorders>
              <w:bottom w:val="single" w:sz="8" w:color="DBDBDB"/>
            </w:tcBorders>
          </w:tcPr>
          <w:p>
            <w:pPr>
              <w:spacing w:after="0"/>
              <w:rPr>
                <w:sz w:val="16"/>
                <w:szCs w:val="16"/>
                <w:color w:val="auto"/>
              </w:rPr>
            </w:pPr>
          </w:p>
        </w:tc>
        <w:tc>
          <w:tcPr>
            <w:tcW w:w="1760" w:type="dxa"/>
            <w:vAlign w:val="bottom"/>
            <w:tcBorders>
              <w:top w:val="single" w:sz="8" w:color="auto"/>
              <w:bottom w:val="single" w:sz="8" w:color="DBDBDB"/>
            </w:tcBorders>
            <w:gridSpan w:val="2"/>
          </w:tcPr>
          <w:p>
            <w:pPr>
              <w:spacing w:after="0"/>
              <w:rPr>
                <w:sz w:val="20"/>
                <w:szCs w:val="20"/>
                <w:color w:val="auto"/>
              </w:rPr>
            </w:pPr>
            <w:r>
              <w:rPr>
                <w:rFonts w:ascii="Arial" w:cs="Arial" w:eastAsia="Arial" w:hAnsi="Arial"/>
                <w:sz w:val="14"/>
                <w:szCs w:val="14"/>
                <w:b w:val="1"/>
                <w:bCs w:val="1"/>
                <w:color w:val="auto"/>
              </w:rPr>
              <w:t>Revenues</w:t>
            </w:r>
          </w:p>
        </w:tc>
        <w:tc>
          <w:tcPr>
            <w:tcW w:w="6820" w:type="dxa"/>
            <w:vAlign w:val="bottom"/>
            <w:tcBorders>
              <w:bottom w:val="single" w:sz="8" w:color="DBDBDB"/>
            </w:tcBorders>
            <w:gridSpan w:val="2"/>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DBDBDB"/>
              <w:right w:val="single" w:sz="8" w:color="auto"/>
            </w:tcBorders>
          </w:tcPr>
          <w:p>
            <w:pPr>
              <w:spacing w:after="0"/>
              <w:rPr>
                <w:sz w:val="16"/>
                <w:szCs w:val="16"/>
                <w:color w:val="auto"/>
              </w:rPr>
            </w:pPr>
          </w:p>
        </w:tc>
        <w:tc>
          <w:tcPr>
            <w:tcW w:w="100" w:type="dxa"/>
            <w:vAlign w:val="bottom"/>
            <w:tcBorders>
              <w:bottom w:val="single" w:sz="8" w:color="DBDBDB"/>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0" w:type="dxa"/>
            <w:vAlign w:val="bottom"/>
            <w:shd w:val="clear" w:color="auto" w:fill="DBDBDB"/>
          </w:tcPr>
          <w:p>
            <w:pPr>
              <w:spacing w:after="0"/>
              <w:rPr>
                <w:sz w:val="15"/>
                <w:szCs w:val="15"/>
                <w:color w:val="auto"/>
              </w:rPr>
            </w:pPr>
          </w:p>
        </w:tc>
        <w:tc>
          <w:tcPr>
            <w:tcW w:w="8580" w:type="dxa"/>
            <w:vAlign w:val="bottom"/>
            <w:gridSpan w:val="4"/>
            <w:shd w:val="clear" w:color="auto" w:fill="DBDBDB"/>
          </w:tcPr>
          <w:p>
            <w:pPr>
              <w:ind w:left="200"/>
              <w:spacing w:after="0"/>
              <w:rPr>
                <w:sz w:val="20"/>
                <w:szCs w:val="20"/>
                <w:color w:val="auto"/>
              </w:rPr>
            </w:pPr>
            <w:r>
              <w:rPr>
                <w:rFonts w:ascii="Arial" w:cs="Arial" w:eastAsia="Arial" w:hAnsi="Arial"/>
                <w:sz w:val="14"/>
                <w:szCs w:val="14"/>
                <w:color w:val="auto"/>
              </w:rPr>
              <w:t>Total revenues</w:t>
            </w: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w w:val="76"/>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667</w:t>
            </w:r>
          </w:p>
        </w:tc>
        <w:tc>
          <w:tcPr>
            <w:tcW w:w="20" w:type="dxa"/>
            <w:vAlign w:val="bottom"/>
            <w:shd w:val="clear" w:color="auto" w:fill="DBDBDB"/>
          </w:tcPr>
          <w:p>
            <w:pPr>
              <w:spacing w:after="0"/>
              <w:rPr>
                <w:sz w:val="15"/>
                <w:szCs w:val="15"/>
                <w:color w:val="auto"/>
              </w:rPr>
            </w:pPr>
          </w:p>
        </w:tc>
        <w:tc>
          <w:tcPr>
            <w:tcW w:w="220" w:type="dxa"/>
            <w:vAlign w:val="bottom"/>
            <w:tcBorders>
              <w:right w:val="single" w:sz="8" w:color="auto"/>
            </w:tcBorders>
            <w:shd w:val="clear" w:color="auto" w:fill="DBDBDB"/>
          </w:tcPr>
          <w:p>
            <w:pPr>
              <w:spacing w:after="0"/>
              <w:rPr>
                <w:sz w:val="15"/>
                <w:szCs w:val="15"/>
                <w:color w:val="auto"/>
              </w:rPr>
            </w:pPr>
          </w:p>
        </w:tc>
        <w:tc>
          <w:tcPr>
            <w:tcW w:w="240" w:type="dxa"/>
            <w:vAlign w:val="bottom"/>
            <w:gridSpan w:val="2"/>
            <w:shd w:val="clear" w:color="auto" w:fill="DBDBDB"/>
          </w:tcPr>
          <w:p>
            <w:pPr>
              <w:jc w:val="right"/>
              <w:ind w:right="40"/>
              <w:spacing w:after="0"/>
              <w:rPr>
                <w:sz w:val="20"/>
                <w:szCs w:val="20"/>
                <w:color w:val="auto"/>
              </w:rPr>
            </w:pPr>
            <w:r>
              <w:rPr>
                <w:rFonts w:ascii="Arial" w:cs="Arial" w:eastAsia="Arial" w:hAnsi="Arial"/>
                <w:sz w:val="14"/>
                <w:szCs w:val="14"/>
                <w:color w:val="auto"/>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849</w:t>
            </w:r>
          </w:p>
        </w:tc>
        <w:tc>
          <w:tcPr>
            <w:tcW w:w="0" w:type="dxa"/>
            <w:vAlign w:val="bottom"/>
          </w:tcPr>
          <w:p>
            <w:pPr>
              <w:spacing w:after="0"/>
              <w:rPr>
                <w:sz w:val="1"/>
                <w:szCs w:val="1"/>
                <w:color w:val="auto"/>
              </w:rPr>
            </w:pPr>
          </w:p>
        </w:tc>
      </w:tr>
      <w:tr>
        <w:trPr>
          <w:trHeight w:val="272"/>
        </w:trPr>
        <w:tc>
          <w:tcPr>
            <w:tcW w:w="20" w:type="dxa"/>
            <w:vAlign w:val="bottom"/>
            <w:tcBorders>
              <w:bottom w:val="single" w:sz="8" w:color="DBDBDB"/>
            </w:tcBorders>
          </w:tcPr>
          <w:p>
            <w:pPr>
              <w:spacing w:after="0"/>
              <w:rPr>
                <w:sz w:val="23"/>
                <w:szCs w:val="23"/>
                <w:color w:val="auto"/>
              </w:rPr>
            </w:pPr>
          </w:p>
        </w:tc>
        <w:tc>
          <w:tcPr>
            <w:tcW w:w="8580" w:type="dxa"/>
            <w:vAlign w:val="bottom"/>
            <w:tcBorders>
              <w:bottom w:val="single" w:sz="8" w:color="DBDBDB"/>
            </w:tcBorders>
            <w:gridSpan w:val="4"/>
          </w:tcPr>
          <w:p>
            <w:pPr>
              <w:spacing w:after="0"/>
              <w:rPr>
                <w:sz w:val="20"/>
                <w:szCs w:val="20"/>
                <w:color w:val="auto"/>
              </w:rPr>
            </w:pPr>
            <w:r>
              <w:rPr>
                <w:rFonts w:ascii="Arial" w:cs="Arial" w:eastAsia="Arial" w:hAnsi="Arial"/>
                <w:sz w:val="14"/>
                <w:szCs w:val="14"/>
                <w:b w:val="1"/>
                <w:bCs w:val="1"/>
                <w:color w:val="auto"/>
              </w:rPr>
              <w:t>Costs</w:t>
            </w:r>
          </w:p>
        </w:tc>
        <w:tc>
          <w:tcPr>
            <w:tcW w:w="140" w:type="dxa"/>
            <w:vAlign w:val="bottom"/>
            <w:tcBorders>
              <w:top w:val="single" w:sz="8" w:color="auto"/>
              <w:bottom w:val="single" w:sz="8" w:color="auto"/>
            </w:tcBorders>
          </w:tcPr>
          <w:p>
            <w:pPr>
              <w:spacing w:after="0"/>
              <w:rPr>
                <w:sz w:val="23"/>
                <w:szCs w:val="23"/>
                <w:color w:val="auto"/>
              </w:rPr>
            </w:pPr>
          </w:p>
        </w:tc>
        <w:tc>
          <w:tcPr>
            <w:tcW w:w="1000" w:type="dxa"/>
            <w:vAlign w:val="bottom"/>
            <w:tcBorders>
              <w:top w:val="single" w:sz="8" w:color="auto"/>
              <w:bottom w:val="single" w:sz="8" w:color="auto"/>
            </w:tcBorders>
          </w:tcPr>
          <w:p>
            <w:pPr>
              <w:spacing w:after="0"/>
              <w:rPr>
                <w:sz w:val="23"/>
                <w:szCs w:val="23"/>
                <w:color w:val="auto"/>
              </w:rPr>
            </w:pPr>
          </w:p>
        </w:tc>
        <w:tc>
          <w:tcPr>
            <w:tcW w:w="20" w:type="dxa"/>
            <w:vAlign w:val="bottom"/>
            <w:tcBorders>
              <w:top w:val="single" w:sz="8" w:color="auto"/>
              <w:bottom w:val="single" w:sz="8" w:color="auto"/>
            </w:tcBorders>
          </w:tcPr>
          <w:p>
            <w:pPr>
              <w:spacing w:after="0"/>
              <w:rPr>
                <w:sz w:val="23"/>
                <w:szCs w:val="23"/>
                <w:color w:val="auto"/>
              </w:rPr>
            </w:pPr>
          </w:p>
        </w:tc>
        <w:tc>
          <w:tcPr>
            <w:tcW w:w="220" w:type="dxa"/>
            <w:vAlign w:val="bottom"/>
            <w:tcBorders>
              <w:bottom w:val="single" w:sz="8" w:color="DBDBDB"/>
              <w:right w:val="single" w:sz="8" w:color="auto"/>
            </w:tcBorders>
          </w:tcPr>
          <w:p>
            <w:pPr>
              <w:spacing w:after="0"/>
              <w:rPr>
                <w:sz w:val="23"/>
                <w:szCs w:val="23"/>
                <w:color w:val="auto"/>
              </w:rPr>
            </w:pPr>
          </w:p>
        </w:tc>
        <w:tc>
          <w:tcPr>
            <w:tcW w:w="100" w:type="dxa"/>
            <w:vAlign w:val="bottom"/>
            <w:tcBorders>
              <w:bottom w:val="single" w:sz="8" w:color="DBDBDB"/>
            </w:tcBorders>
          </w:tcPr>
          <w:p>
            <w:pPr>
              <w:spacing w:after="0"/>
              <w:rPr>
                <w:sz w:val="23"/>
                <w:szCs w:val="23"/>
                <w:color w:val="auto"/>
              </w:rPr>
            </w:pPr>
          </w:p>
        </w:tc>
        <w:tc>
          <w:tcPr>
            <w:tcW w:w="140" w:type="dxa"/>
            <w:vAlign w:val="bottom"/>
            <w:tcBorders>
              <w:top w:val="single" w:sz="8" w:color="auto"/>
              <w:bottom w:val="single" w:sz="8" w:color="auto"/>
            </w:tcBorders>
          </w:tcPr>
          <w:p>
            <w:pPr>
              <w:spacing w:after="0"/>
              <w:rPr>
                <w:sz w:val="23"/>
                <w:szCs w:val="23"/>
                <w:color w:val="auto"/>
              </w:rPr>
            </w:pPr>
          </w:p>
        </w:tc>
        <w:tc>
          <w:tcPr>
            <w:tcW w:w="1020" w:type="dxa"/>
            <w:vAlign w:val="bottom"/>
            <w:tcBorders>
              <w:top w:val="single" w:sz="8" w:color="auto"/>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79"/>
        </w:trPr>
        <w:tc>
          <w:tcPr>
            <w:tcW w:w="20" w:type="dxa"/>
            <w:vAlign w:val="bottom"/>
            <w:shd w:val="clear" w:color="auto" w:fill="DBDBDB"/>
          </w:tcPr>
          <w:p>
            <w:pPr>
              <w:spacing w:after="0"/>
              <w:rPr>
                <w:sz w:val="15"/>
                <w:szCs w:val="15"/>
                <w:color w:val="auto"/>
              </w:rPr>
            </w:pPr>
          </w:p>
        </w:tc>
        <w:tc>
          <w:tcPr>
            <w:tcW w:w="8580" w:type="dxa"/>
            <w:vAlign w:val="bottom"/>
            <w:gridSpan w:val="4"/>
            <w:shd w:val="clear" w:color="auto" w:fill="DBDBDB"/>
          </w:tcPr>
          <w:p>
            <w:pPr>
              <w:ind w:left="200"/>
              <w:spacing w:after="0"/>
              <w:rPr>
                <w:sz w:val="20"/>
                <w:szCs w:val="20"/>
                <w:color w:val="auto"/>
              </w:rPr>
            </w:pPr>
            <w:r>
              <w:rPr>
                <w:rFonts w:ascii="Arial" w:cs="Arial" w:eastAsia="Arial" w:hAnsi="Arial"/>
                <w:sz w:val="14"/>
                <w:szCs w:val="14"/>
                <w:color w:val="auto"/>
              </w:rPr>
              <w:t>Total costs</w:t>
            </w:r>
          </w:p>
        </w:tc>
        <w:tc>
          <w:tcPr>
            <w:tcW w:w="140" w:type="dxa"/>
            <w:vAlign w:val="bottom"/>
            <w:tcBorders>
              <w:bottom w:val="single" w:sz="8" w:color="auto"/>
            </w:tcBorders>
            <w:shd w:val="clear" w:color="auto" w:fill="DBDBDB"/>
          </w:tcPr>
          <w:p>
            <w:pPr>
              <w:spacing w:after="0"/>
              <w:rPr>
                <w:sz w:val="15"/>
                <w:szCs w:val="15"/>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b w:val="1"/>
                <w:bCs w:val="1"/>
                <w:color w:val="auto"/>
              </w:rPr>
              <w:t>830</w:t>
            </w:r>
          </w:p>
        </w:tc>
        <w:tc>
          <w:tcPr>
            <w:tcW w:w="20" w:type="dxa"/>
            <w:vAlign w:val="bottom"/>
            <w:tcBorders>
              <w:bottom w:val="single" w:sz="8" w:color="auto"/>
            </w:tcBorders>
            <w:shd w:val="clear" w:color="auto" w:fill="DBDBDB"/>
          </w:tcPr>
          <w:p>
            <w:pPr>
              <w:spacing w:after="0"/>
              <w:rPr>
                <w:sz w:val="15"/>
                <w:szCs w:val="15"/>
                <w:color w:val="auto"/>
              </w:rPr>
            </w:pPr>
          </w:p>
        </w:tc>
        <w:tc>
          <w:tcPr>
            <w:tcW w:w="220" w:type="dxa"/>
            <w:vAlign w:val="bottom"/>
            <w:tcBorders>
              <w:right w:val="single" w:sz="8" w:color="auto"/>
            </w:tcBorders>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40" w:type="dxa"/>
            <w:vAlign w:val="bottom"/>
            <w:tcBorders>
              <w:bottom w:val="single" w:sz="8" w:color="auto"/>
            </w:tcBorders>
            <w:shd w:val="clear" w:color="auto" w:fill="DBDBDB"/>
          </w:tcPr>
          <w:p>
            <w:pPr>
              <w:spacing w:after="0"/>
              <w:rPr>
                <w:sz w:val="15"/>
                <w:szCs w:val="15"/>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2,613</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580" w:type="dxa"/>
            <w:vAlign w:val="bottom"/>
            <w:gridSpan w:val="4"/>
          </w:tcPr>
          <w:p>
            <w:pPr>
              <w:spacing w:after="0"/>
              <w:rPr>
                <w:sz w:val="20"/>
                <w:szCs w:val="20"/>
                <w:color w:val="auto"/>
              </w:rPr>
            </w:pPr>
            <w:r>
              <w:rPr>
                <w:rFonts w:ascii="Arial" w:cs="Arial" w:eastAsia="Arial" w:hAnsi="Arial"/>
                <w:sz w:val="14"/>
                <w:szCs w:val="14"/>
                <w:b w:val="1"/>
                <w:bCs w:val="1"/>
                <w:color w:val="auto"/>
              </w:rPr>
              <w:t>Operating Loss</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(163)</w:t>
            </w:r>
          </w:p>
        </w:tc>
        <w:tc>
          <w:tcPr>
            <w:tcW w:w="20" w:type="dxa"/>
            <w:vAlign w:val="bottom"/>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(1,764)</w:t>
            </w:r>
          </w:p>
        </w:tc>
        <w:tc>
          <w:tcPr>
            <w:tcW w:w="0" w:type="dxa"/>
            <w:vAlign w:val="bottom"/>
          </w:tcPr>
          <w:p>
            <w:pPr>
              <w:spacing w:after="0"/>
              <w:rPr>
                <w:sz w:val="1"/>
                <w:szCs w:val="1"/>
                <w:color w:val="auto"/>
              </w:rPr>
            </w:pPr>
          </w:p>
        </w:tc>
      </w:tr>
      <w:tr>
        <w:trPr>
          <w:trHeight w:val="20"/>
        </w:trPr>
        <w:tc>
          <w:tcPr>
            <w:tcW w:w="20" w:type="dxa"/>
            <w:vAlign w:val="bottom"/>
            <w:tcBorders>
              <w:bottom w:val="single" w:sz="8" w:color="DBDBDB"/>
            </w:tcBorders>
          </w:tcPr>
          <w:p>
            <w:pPr>
              <w:spacing w:after="0" w:line="20" w:lineRule="exact"/>
              <w:rPr>
                <w:sz w:val="1"/>
                <w:szCs w:val="1"/>
                <w:color w:val="auto"/>
              </w:rPr>
            </w:pPr>
          </w:p>
        </w:tc>
        <w:tc>
          <w:tcPr>
            <w:tcW w:w="1100" w:type="dxa"/>
            <w:vAlign w:val="bottom"/>
            <w:tcBorders>
              <w:bottom w:val="single" w:sz="8" w:color="DBDBDB"/>
            </w:tcBorders>
          </w:tcPr>
          <w:p>
            <w:pPr>
              <w:spacing w:after="0" w:line="20" w:lineRule="exact"/>
              <w:rPr>
                <w:sz w:val="1"/>
                <w:szCs w:val="1"/>
                <w:color w:val="auto"/>
              </w:rPr>
            </w:pPr>
          </w:p>
        </w:tc>
        <w:tc>
          <w:tcPr>
            <w:tcW w:w="660" w:type="dxa"/>
            <w:vAlign w:val="bottom"/>
            <w:tcBorders>
              <w:bottom w:val="single" w:sz="8" w:color="DBDBDB"/>
            </w:tcBorders>
          </w:tcPr>
          <w:p>
            <w:pPr>
              <w:spacing w:after="0" w:line="20" w:lineRule="exact"/>
              <w:rPr>
                <w:sz w:val="1"/>
                <w:szCs w:val="1"/>
                <w:color w:val="auto"/>
              </w:rPr>
            </w:pPr>
          </w:p>
        </w:tc>
        <w:tc>
          <w:tcPr>
            <w:tcW w:w="6800" w:type="dxa"/>
            <w:vAlign w:val="bottom"/>
            <w:tcBorders>
              <w:bottom w:val="single" w:sz="8" w:color="DBDBDB"/>
            </w:tcBorders>
          </w:tcPr>
          <w:p>
            <w:pPr>
              <w:spacing w:after="0" w:line="20" w:lineRule="exact"/>
              <w:rPr>
                <w:sz w:val="1"/>
                <w:szCs w:val="1"/>
                <w:color w:val="auto"/>
              </w:rPr>
            </w:pPr>
          </w:p>
        </w:tc>
        <w:tc>
          <w:tcPr>
            <w:tcW w:w="20" w:type="dxa"/>
            <w:vAlign w:val="bottom"/>
            <w:tcBorders>
              <w:bottom w:val="single" w:sz="8" w:color="DBDBDB"/>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DBDBDB"/>
              <w:right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shd w:val="clear" w:color="auto" w:fill="DBDBDB"/>
          </w:tcPr>
          <w:p>
            <w:pPr>
              <w:spacing w:after="0"/>
              <w:rPr>
                <w:sz w:val="15"/>
                <w:szCs w:val="15"/>
                <w:color w:val="auto"/>
              </w:rPr>
            </w:pPr>
          </w:p>
        </w:tc>
        <w:tc>
          <w:tcPr>
            <w:tcW w:w="8580" w:type="dxa"/>
            <w:vAlign w:val="bottom"/>
            <w:gridSpan w:val="4"/>
            <w:shd w:val="clear" w:color="auto" w:fill="DBDBDB"/>
          </w:tcPr>
          <w:p>
            <w:pPr>
              <w:spacing w:after="0"/>
              <w:rPr>
                <w:sz w:val="20"/>
                <w:szCs w:val="20"/>
                <w:color w:val="auto"/>
              </w:rPr>
            </w:pPr>
            <w:r>
              <w:rPr>
                <w:rFonts w:ascii="Arial" w:cs="Arial" w:eastAsia="Arial" w:hAnsi="Arial"/>
                <w:sz w:val="14"/>
                <w:szCs w:val="14"/>
                <w:b w:val="1"/>
                <w:bCs w:val="1"/>
                <w:color w:val="auto"/>
              </w:rPr>
              <w:t>Net Loss Attributable to Common Stock</w:t>
            </w: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w w:val="76"/>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(205)</w:t>
            </w:r>
          </w:p>
        </w:tc>
        <w:tc>
          <w:tcPr>
            <w:tcW w:w="20" w:type="dxa"/>
            <w:vAlign w:val="bottom"/>
            <w:shd w:val="clear" w:color="auto" w:fill="DBDBDB"/>
          </w:tcPr>
          <w:p>
            <w:pPr>
              <w:spacing w:after="0"/>
              <w:rPr>
                <w:sz w:val="15"/>
                <w:szCs w:val="15"/>
                <w:color w:val="auto"/>
              </w:rPr>
            </w:pPr>
          </w:p>
        </w:tc>
        <w:tc>
          <w:tcPr>
            <w:tcW w:w="220" w:type="dxa"/>
            <w:vAlign w:val="bottom"/>
            <w:tcBorders>
              <w:right w:val="single" w:sz="8" w:color="auto"/>
            </w:tcBorders>
            <w:shd w:val="clear" w:color="auto" w:fill="DBDBDB"/>
          </w:tcPr>
          <w:p>
            <w:pPr>
              <w:spacing w:after="0"/>
              <w:rPr>
                <w:sz w:val="15"/>
                <w:szCs w:val="15"/>
                <w:color w:val="auto"/>
              </w:rPr>
            </w:pPr>
          </w:p>
        </w:tc>
        <w:tc>
          <w:tcPr>
            <w:tcW w:w="240" w:type="dxa"/>
            <w:vAlign w:val="bottom"/>
            <w:gridSpan w:val="2"/>
            <w:shd w:val="clear" w:color="auto" w:fill="DBDBDB"/>
          </w:tcPr>
          <w:p>
            <w:pPr>
              <w:jc w:val="right"/>
              <w:ind w:right="40"/>
              <w:spacing w:after="0"/>
              <w:rPr>
                <w:sz w:val="20"/>
                <w:szCs w:val="20"/>
                <w:color w:val="auto"/>
              </w:rPr>
            </w:pPr>
            <w:r>
              <w:rPr>
                <w:rFonts w:ascii="Arial" w:cs="Arial" w:eastAsia="Arial" w:hAnsi="Arial"/>
                <w:sz w:val="14"/>
                <w:szCs w:val="14"/>
                <w:color w:val="auto"/>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(2,067)</w:t>
            </w: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580" w:type="dxa"/>
            <w:vAlign w:val="bottom"/>
            <w:gridSpan w:val="4"/>
          </w:tcPr>
          <w:p>
            <w:pPr>
              <w:spacing w:after="0"/>
              <w:rPr>
                <w:sz w:val="20"/>
                <w:szCs w:val="20"/>
                <w:color w:val="auto"/>
              </w:rPr>
            </w:pPr>
            <w:r>
              <w:rPr>
                <w:rFonts w:ascii="Arial" w:cs="Arial" w:eastAsia="Arial" w:hAnsi="Arial"/>
                <w:sz w:val="14"/>
                <w:szCs w:val="14"/>
                <w:color w:val="auto"/>
              </w:rPr>
              <w:t>Net loss attributable to common stock per share - basic and diluted</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(2.46)</w:t>
            </w:r>
          </w:p>
        </w:tc>
        <w:tc>
          <w:tcPr>
            <w:tcW w:w="2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(41.84)</w:t>
            </w:r>
          </w:p>
        </w:tc>
        <w:tc>
          <w:tcPr>
            <w:tcW w:w="0" w:type="dxa"/>
            <w:vAlign w:val="bottom"/>
          </w:tcPr>
          <w:p>
            <w:pPr>
              <w:spacing w:after="0"/>
              <w:rPr>
                <w:sz w:val="1"/>
                <w:szCs w:val="1"/>
                <w:color w:val="auto"/>
              </w:rPr>
            </w:pPr>
          </w:p>
        </w:tc>
      </w:tr>
      <w:tr>
        <w:trPr>
          <w:trHeight w:val="186"/>
        </w:trPr>
        <w:tc>
          <w:tcPr>
            <w:tcW w:w="20" w:type="dxa"/>
            <w:vAlign w:val="bottom"/>
            <w:shd w:val="clear" w:color="auto" w:fill="DBDBDB"/>
          </w:tcPr>
          <w:p>
            <w:pPr>
              <w:spacing w:after="0"/>
              <w:rPr>
                <w:sz w:val="16"/>
                <w:szCs w:val="16"/>
                <w:color w:val="auto"/>
              </w:rPr>
            </w:pPr>
          </w:p>
        </w:tc>
        <w:tc>
          <w:tcPr>
            <w:tcW w:w="8580" w:type="dxa"/>
            <w:vAlign w:val="bottom"/>
            <w:gridSpan w:val="4"/>
            <w:shd w:val="clear" w:color="auto" w:fill="DBDBDB"/>
          </w:tcPr>
          <w:p>
            <w:pPr>
              <w:spacing w:after="0"/>
              <w:rPr>
                <w:sz w:val="20"/>
                <w:szCs w:val="20"/>
                <w:color w:val="auto"/>
              </w:rPr>
            </w:pPr>
            <w:r>
              <w:rPr>
                <w:rFonts w:ascii="Arial" w:cs="Arial" w:eastAsia="Arial" w:hAnsi="Arial"/>
                <w:sz w:val="14"/>
                <w:szCs w:val="14"/>
                <w:color w:val="auto"/>
              </w:rPr>
              <w:t>Adjusted net income (loss)</w:t>
            </w: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w w:val="76"/>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180</w:t>
            </w:r>
          </w:p>
        </w:tc>
        <w:tc>
          <w:tcPr>
            <w:tcW w:w="20" w:type="dxa"/>
            <w:vAlign w:val="bottom"/>
            <w:shd w:val="clear" w:color="auto" w:fill="DBDBDB"/>
          </w:tcPr>
          <w:p>
            <w:pPr>
              <w:spacing w:after="0"/>
              <w:rPr>
                <w:sz w:val="16"/>
                <w:szCs w:val="16"/>
                <w:color w:val="auto"/>
              </w:rPr>
            </w:pPr>
          </w:p>
        </w:tc>
        <w:tc>
          <w:tcPr>
            <w:tcW w:w="220" w:type="dxa"/>
            <w:vAlign w:val="bottom"/>
            <w:tcBorders>
              <w:right w:val="single" w:sz="8" w:color="auto"/>
            </w:tcBorders>
            <w:shd w:val="clear" w:color="auto" w:fill="DBDBDB"/>
          </w:tcPr>
          <w:p>
            <w:pPr>
              <w:spacing w:after="0"/>
              <w:rPr>
                <w:sz w:val="16"/>
                <w:szCs w:val="16"/>
                <w:color w:val="auto"/>
              </w:rPr>
            </w:pPr>
          </w:p>
        </w:tc>
        <w:tc>
          <w:tcPr>
            <w:tcW w:w="240" w:type="dxa"/>
            <w:vAlign w:val="bottom"/>
            <w:gridSpan w:val="2"/>
            <w:shd w:val="clear" w:color="auto" w:fill="DBDBDB"/>
          </w:tcPr>
          <w:p>
            <w:pPr>
              <w:jc w:val="right"/>
              <w:ind w:right="40"/>
              <w:spacing w:after="0"/>
              <w:rPr>
                <w:sz w:val="20"/>
                <w:szCs w:val="20"/>
                <w:color w:val="auto"/>
              </w:rPr>
            </w:pPr>
            <w:r>
              <w:rPr>
                <w:rFonts w:ascii="Arial" w:cs="Arial" w:eastAsia="Arial" w:hAnsi="Arial"/>
                <w:sz w:val="14"/>
                <w:szCs w:val="14"/>
                <w:color w:val="auto"/>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(210)</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580" w:type="dxa"/>
            <w:vAlign w:val="bottom"/>
            <w:gridSpan w:val="4"/>
          </w:tcPr>
          <w:p>
            <w:pPr>
              <w:spacing w:after="0"/>
              <w:rPr>
                <w:sz w:val="20"/>
                <w:szCs w:val="20"/>
                <w:color w:val="auto"/>
              </w:rPr>
            </w:pPr>
            <w:r>
              <w:rPr>
                <w:rFonts w:ascii="Arial" w:cs="Arial" w:eastAsia="Arial" w:hAnsi="Arial"/>
                <w:sz w:val="14"/>
                <w:szCs w:val="14"/>
                <w:color w:val="auto"/>
              </w:rPr>
              <w:t>Adjusted net income (loss) per share - basic</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2.16</w:t>
            </w:r>
          </w:p>
        </w:tc>
        <w:tc>
          <w:tcPr>
            <w:tcW w:w="20" w:type="dxa"/>
            <w:vAlign w:val="bottom"/>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(4.25)</w:t>
            </w:r>
          </w:p>
        </w:tc>
        <w:tc>
          <w:tcPr>
            <w:tcW w:w="0" w:type="dxa"/>
            <w:vAlign w:val="bottom"/>
          </w:tcPr>
          <w:p>
            <w:pPr>
              <w:spacing w:after="0"/>
              <w:rPr>
                <w:sz w:val="1"/>
                <w:szCs w:val="1"/>
                <w:color w:val="auto"/>
              </w:rPr>
            </w:pPr>
          </w:p>
        </w:tc>
      </w:tr>
      <w:tr>
        <w:trPr>
          <w:trHeight w:val="186"/>
        </w:trPr>
        <w:tc>
          <w:tcPr>
            <w:tcW w:w="20" w:type="dxa"/>
            <w:vAlign w:val="bottom"/>
            <w:shd w:val="clear" w:color="auto" w:fill="DBDBDB"/>
          </w:tcPr>
          <w:p>
            <w:pPr>
              <w:spacing w:after="0"/>
              <w:rPr>
                <w:sz w:val="16"/>
                <w:szCs w:val="16"/>
                <w:color w:val="auto"/>
              </w:rPr>
            </w:pPr>
          </w:p>
        </w:tc>
        <w:tc>
          <w:tcPr>
            <w:tcW w:w="8580" w:type="dxa"/>
            <w:vAlign w:val="bottom"/>
            <w:gridSpan w:val="4"/>
            <w:shd w:val="clear" w:color="auto" w:fill="DBDBDB"/>
          </w:tcPr>
          <w:p>
            <w:pPr>
              <w:spacing w:after="0"/>
              <w:rPr>
                <w:sz w:val="20"/>
                <w:szCs w:val="20"/>
                <w:color w:val="auto"/>
              </w:rPr>
            </w:pPr>
            <w:r>
              <w:rPr>
                <w:rFonts w:ascii="Arial" w:cs="Arial" w:eastAsia="Arial" w:hAnsi="Arial"/>
                <w:sz w:val="14"/>
                <w:szCs w:val="14"/>
                <w:color w:val="auto"/>
              </w:rPr>
              <w:t>Weighted-average common shares outstanding - basic</w:t>
            </w:r>
          </w:p>
        </w:tc>
        <w:tc>
          <w:tcPr>
            <w:tcW w:w="140" w:type="dxa"/>
            <w:vAlign w:val="bottom"/>
            <w:shd w:val="clear" w:color="auto" w:fill="DBDBDB"/>
          </w:tcPr>
          <w:p>
            <w:pPr>
              <w:spacing w:after="0"/>
              <w:rPr>
                <w:sz w:val="16"/>
                <w:szCs w:val="16"/>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83.2</w:t>
            </w:r>
          </w:p>
        </w:tc>
        <w:tc>
          <w:tcPr>
            <w:tcW w:w="20" w:type="dxa"/>
            <w:vAlign w:val="bottom"/>
            <w:shd w:val="clear" w:color="auto" w:fill="DBDBDB"/>
          </w:tcPr>
          <w:p>
            <w:pPr>
              <w:spacing w:after="0"/>
              <w:rPr>
                <w:sz w:val="16"/>
                <w:szCs w:val="16"/>
                <w:color w:val="auto"/>
              </w:rPr>
            </w:pPr>
          </w:p>
        </w:tc>
        <w:tc>
          <w:tcPr>
            <w:tcW w:w="220" w:type="dxa"/>
            <w:vAlign w:val="bottom"/>
            <w:tcBorders>
              <w:right w:val="single" w:sz="8" w:color="auto"/>
            </w:tcBorders>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49.4</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580" w:type="dxa"/>
            <w:vAlign w:val="bottom"/>
            <w:gridSpan w:val="4"/>
          </w:tcPr>
          <w:p>
            <w:pPr>
              <w:spacing w:after="0"/>
              <w:rPr>
                <w:sz w:val="20"/>
                <w:szCs w:val="20"/>
                <w:color w:val="auto"/>
              </w:rPr>
            </w:pPr>
            <w:r>
              <w:rPr>
                <w:rFonts w:ascii="Arial" w:cs="Arial" w:eastAsia="Arial" w:hAnsi="Arial"/>
                <w:sz w:val="14"/>
                <w:szCs w:val="14"/>
                <w:color w:val="auto"/>
              </w:rPr>
              <w:t>Adjusted EBITDAX</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358</w:t>
            </w:r>
          </w:p>
        </w:tc>
        <w:tc>
          <w:tcPr>
            <w:tcW w:w="20" w:type="dxa"/>
            <w:vAlign w:val="bottom"/>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270</w:t>
            </w:r>
          </w:p>
        </w:tc>
        <w:tc>
          <w:tcPr>
            <w:tcW w:w="0" w:type="dxa"/>
            <w:vAlign w:val="bottom"/>
          </w:tcPr>
          <w:p>
            <w:pPr>
              <w:spacing w:after="0"/>
              <w:rPr>
                <w:sz w:val="1"/>
                <w:szCs w:val="1"/>
                <w:color w:val="auto"/>
              </w:rPr>
            </w:pPr>
          </w:p>
        </w:tc>
      </w:tr>
      <w:tr>
        <w:trPr>
          <w:trHeight w:val="358"/>
        </w:trPr>
        <w:tc>
          <w:tcPr>
            <w:tcW w:w="20" w:type="dxa"/>
            <w:vAlign w:val="bottom"/>
            <w:tcBorders>
              <w:bottom w:val="single" w:sz="8" w:color="DBDBDB"/>
            </w:tcBorders>
          </w:tcPr>
          <w:p>
            <w:pPr>
              <w:spacing w:after="0"/>
              <w:rPr>
                <w:sz w:val="24"/>
                <w:szCs w:val="24"/>
                <w:color w:val="auto"/>
              </w:rPr>
            </w:pPr>
          </w:p>
        </w:tc>
        <w:tc>
          <w:tcPr>
            <w:tcW w:w="1100" w:type="dxa"/>
            <w:vAlign w:val="bottom"/>
            <w:tcBorders>
              <w:bottom w:val="single" w:sz="8" w:color="DBDBDB"/>
            </w:tcBorders>
          </w:tcPr>
          <w:p>
            <w:pPr>
              <w:spacing w:after="0"/>
              <w:rPr>
                <w:sz w:val="24"/>
                <w:szCs w:val="24"/>
                <w:color w:val="auto"/>
              </w:rPr>
            </w:pPr>
          </w:p>
        </w:tc>
        <w:tc>
          <w:tcPr>
            <w:tcW w:w="660" w:type="dxa"/>
            <w:vAlign w:val="bottom"/>
            <w:tcBorders>
              <w:bottom w:val="single" w:sz="8" w:color="DBDBDB"/>
            </w:tcBorders>
          </w:tcPr>
          <w:p>
            <w:pPr>
              <w:spacing w:after="0"/>
              <w:rPr>
                <w:sz w:val="24"/>
                <w:szCs w:val="24"/>
                <w:color w:val="auto"/>
              </w:rPr>
            </w:pPr>
          </w:p>
        </w:tc>
        <w:tc>
          <w:tcPr>
            <w:tcW w:w="6800" w:type="dxa"/>
            <w:vAlign w:val="bottom"/>
            <w:tcBorders>
              <w:bottom w:val="single" w:sz="8" w:color="DBDBDB"/>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DBDBDB"/>
            </w:tcBorders>
          </w:tcPr>
          <w:p>
            <w:pPr>
              <w:spacing w:after="0"/>
              <w:rPr>
                <w:sz w:val="24"/>
                <w:szCs w:val="24"/>
                <w:color w:val="auto"/>
              </w:rPr>
            </w:pPr>
          </w:p>
        </w:tc>
        <w:tc>
          <w:tcPr>
            <w:tcW w:w="220" w:type="dxa"/>
            <w:vAlign w:val="bottom"/>
            <w:tcBorders>
              <w:bottom w:val="single" w:sz="8" w:color="DBDBDB"/>
            </w:tcBorders>
          </w:tcPr>
          <w:p>
            <w:pPr>
              <w:spacing w:after="0"/>
              <w:rPr>
                <w:sz w:val="24"/>
                <w:szCs w:val="24"/>
                <w:color w:val="auto"/>
              </w:rPr>
            </w:pPr>
          </w:p>
        </w:tc>
        <w:tc>
          <w:tcPr>
            <w:tcW w:w="100" w:type="dxa"/>
            <w:vAlign w:val="bottom"/>
            <w:tcBorders>
              <w:bottom w:val="single" w:sz="8" w:color="DBDBDB"/>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Borders>
              <w:bottom w:val="single" w:sz="8" w:color="DBDBDB"/>
            </w:tcBorders>
            <w:shd w:val="clear" w:color="auto" w:fill="DBDBDB"/>
          </w:tcPr>
          <w:p>
            <w:pPr>
              <w:spacing w:after="0"/>
              <w:rPr>
                <w:sz w:val="15"/>
                <w:szCs w:val="15"/>
                <w:color w:val="auto"/>
              </w:rPr>
            </w:pPr>
          </w:p>
        </w:tc>
        <w:tc>
          <w:tcPr>
            <w:tcW w:w="1100" w:type="dxa"/>
            <w:vAlign w:val="bottom"/>
            <w:tcBorders>
              <w:bottom w:val="single" w:sz="8" w:color="DBDBDB"/>
            </w:tcBorders>
            <w:shd w:val="clear" w:color="auto" w:fill="DBDBDB"/>
          </w:tcPr>
          <w:p>
            <w:pPr>
              <w:spacing w:after="0"/>
              <w:rPr>
                <w:sz w:val="15"/>
                <w:szCs w:val="15"/>
                <w:color w:val="auto"/>
              </w:rPr>
            </w:pPr>
          </w:p>
        </w:tc>
        <w:tc>
          <w:tcPr>
            <w:tcW w:w="660" w:type="dxa"/>
            <w:vAlign w:val="bottom"/>
            <w:tcBorders>
              <w:bottom w:val="single" w:sz="8" w:color="DBDBDB"/>
            </w:tcBorders>
            <w:shd w:val="clear" w:color="auto" w:fill="DBDBDB"/>
          </w:tcPr>
          <w:p>
            <w:pPr>
              <w:spacing w:after="0"/>
              <w:rPr>
                <w:sz w:val="15"/>
                <w:szCs w:val="15"/>
                <w:color w:val="auto"/>
              </w:rPr>
            </w:pPr>
          </w:p>
        </w:tc>
        <w:tc>
          <w:tcPr>
            <w:tcW w:w="6800" w:type="dxa"/>
            <w:vAlign w:val="bottom"/>
            <w:tcBorders>
              <w:bottom w:val="single" w:sz="8" w:color="DBDBDB"/>
            </w:tcBorders>
            <w:shd w:val="clear" w:color="auto" w:fill="DBDBDB"/>
          </w:tcPr>
          <w:p>
            <w:pPr>
              <w:spacing w:after="0"/>
              <w:rPr>
                <w:sz w:val="15"/>
                <w:szCs w:val="15"/>
                <w:color w:val="auto"/>
              </w:rPr>
            </w:pPr>
          </w:p>
        </w:tc>
        <w:tc>
          <w:tcPr>
            <w:tcW w:w="20" w:type="dxa"/>
            <w:vAlign w:val="bottom"/>
            <w:tcBorders>
              <w:bottom w:val="single" w:sz="8" w:color="auto"/>
            </w:tcBorders>
            <w:shd w:val="clear" w:color="auto" w:fill="DBDBDB"/>
          </w:tcPr>
          <w:p>
            <w:pPr>
              <w:spacing w:after="0"/>
              <w:rPr>
                <w:sz w:val="15"/>
                <w:szCs w:val="15"/>
                <w:color w:val="auto"/>
              </w:rPr>
            </w:pPr>
          </w:p>
        </w:tc>
        <w:tc>
          <w:tcPr>
            <w:tcW w:w="140" w:type="dxa"/>
            <w:vAlign w:val="bottom"/>
            <w:tcBorders>
              <w:bottom w:val="single" w:sz="8" w:color="auto"/>
            </w:tcBorders>
            <w:shd w:val="clear" w:color="auto" w:fill="DBDBDB"/>
          </w:tcPr>
          <w:p>
            <w:pPr>
              <w:spacing w:after="0"/>
              <w:rPr>
                <w:sz w:val="15"/>
                <w:szCs w:val="15"/>
                <w:color w:val="auto"/>
              </w:rPr>
            </w:pPr>
          </w:p>
        </w:tc>
        <w:tc>
          <w:tcPr>
            <w:tcW w:w="1000" w:type="dxa"/>
            <w:vAlign w:val="bottom"/>
            <w:tcBorders>
              <w:bottom w:val="single" w:sz="8" w:color="auto"/>
            </w:tcBorders>
            <w:shd w:val="clear" w:color="auto" w:fill="DBDBDB"/>
          </w:tcPr>
          <w:p>
            <w:pPr>
              <w:jc w:val="center"/>
              <w:ind w:right="89"/>
              <w:spacing w:after="0"/>
              <w:rPr>
                <w:sz w:val="20"/>
                <w:szCs w:val="20"/>
                <w:color w:val="auto"/>
              </w:rPr>
            </w:pPr>
            <w:r>
              <w:rPr>
                <w:rFonts w:ascii="Arial" w:cs="Arial" w:eastAsia="Arial" w:hAnsi="Arial"/>
                <w:sz w:val="14"/>
                <w:szCs w:val="14"/>
                <w:b w:val="1"/>
                <w:bCs w:val="1"/>
                <w:color w:val="auto"/>
              </w:rPr>
              <w:t>Successor</w:t>
            </w:r>
          </w:p>
        </w:tc>
        <w:tc>
          <w:tcPr>
            <w:tcW w:w="20" w:type="dxa"/>
            <w:vAlign w:val="bottom"/>
            <w:tcBorders>
              <w:bottom w:val="single" w:sz="8" w:color="DBDBDB"/>
            </w:tcBorders>
            <w:shd w:val="clear" w:color="auto" w:fill="DBDBDB"/>
          </w:tcPr>
          <w:p>
            <w:pPr>
              <w:spacing w:after="0"/>
              <w:rPr>
                <w:sz w:val="15"/>
                <w:szCs w:val="15"/>
                <w:color w:val="auto"/>
              </w:rPr>
            </w:pPr>
          </w:p>
        </w:tc>
        <w:tc>
          <w:tcPr>
            <w:tcW w:w="220" w:type="dxa"/>
            <w:vAlign w:val="bottom"/>
            <w:tcBorders>
              <w:bottom w:val="single" w:sz="8" w:color="DBDBDB"/>
              <w:right w:val="single" w:sz="8" w:color="auto"/>
            </w:tcBorders>
            <w:shd w:val="clear" w:color="auto" w:fill="DBDBDB"/>
          </w:tcPr>
          <w:p>
            <w:pPr>
              <w:spacing w:after="0"/>
              <w:rPr>
                <w:sz w:val="15"/>
                <w:szCs w:val="15"/>
                <w:color w:val="auto"/>
              </w:rPr>
            </w:pPr>
          </w:p>
        </w:tc>
        <w:tc>
          <w:tcPr>
            <w:tcW w:w="100" w:type="dxa"/>
            <w:vAlign w:val="bottom"/>
            <w:tcBorders>
              <w:bottom w:val="single" w:sz="8" w:color="DBDBDB"/>
            </w:tcBorders>
            <w:shd w:val="clear" w:color="auto" w:fill="DBDBDB"/>
          </w:tcPr>
          <w:p>
            <w:pPr>
              <w:spacing w:after="0"/>
              <w:rPr>
                <w:sz w:val="15"/>
                <w:szCs w:val="15"/>
                <w:color w:val="auto"/>
              </w:rPr>
            </w:pPr>
          </w:p>
        </w:tc>
        <w:tc>
          <w:tcPr>
            <w:tcW w:w="140" w:type="dxa"/>
            <w:vAlign w:val="bottom"/>
            <w:tcBorders>
              <w:bottom w:val="single" w:sz="8" w:color="auto"/>
            </w:tcBorders>
            <w:shd w:val="clear" w:color="auto" w:fill="DBDBDB"/>
          </w:tcPr>
          <w:p>
            <w:pPr>
              <w:spacing w:after="0"/>
              <w:rPr>
                <w:sz w:val="15"/>
                <w:szCs w:val="15"/>
                <w:color w:val="auto"/>
              </w:rPr>
            </w:pPr>
          </w:p>
        </w:tc>
        <w:tc>
          <w:tcPr>
            <w:tcW w:w="1020" w:type="dxa"/>
            <w:vAlign w:val="bottom"/>
            <w:tcBorders>
              <w:bottom w:val="single" w:sz="8" w:color="auto"/>
            </w:tcBorders>
            <w:shd w:val="clear" w:color="auto" w:fill="DBDBDB"/>
          </w:tcPr>
          <w:p>
            <w:pPr>
              <w:jc w:val="center"/>
              <w:ind w:right="69"/>
              <w:spacing w:after="0"/>
              <w:rPr>
                <w:sz w:val="20"/>
                <w:szCs w:val="20"/>
                <w:color w:val="auto"/>
              </w:rPr>
            </w:pPr>
            <w:r>
              <w:rPr>
                <w:rFonts w:ascii="Arial" w:cs="Arial" w:eastAsia="Arial" w:hAnsi="Arial"/>
                <w:sz w:val="14"/>
                <w:szCs w:val="14"/>
                <w:color w:val="auto"/>
              </w:rPr>
              <w:t>Predecessor</w:t>
            </w:r>
          </w:p>
        </w:tc>
        <w:tc>
          <w:tcPr>
            <w:tcW w:w="0" w:type="dxa"/>
            <w:vAlign w:val="bottom"/>
          </w:tcPr>
          <w:p>
            <w:pPr>
              <w:spacing w:after="0"/>
              <w:rPr>
                <w:sz w:val="1"/>
                <w:szCs w:val="1"/>
                <w:color w:val="auto"/>
              </w:rPr>
            </w:pPr>
          </w:p>
        </w:tc>
      </w:tr>
      <w:tr>
        <w:trPr>
          <w:trHeight w:val="179"/>
        </w:trPr>
        <w:tc>
          <w:tcPr>
            <w:tcW w:w="20" w:type="dxa"/>
            <w:vAlign w:val="bottom"/>
            <w:shd w:val="clear" w:color="auto" w:fill="DBDBDB"/>
          </w:tcPr>
          <w:p>
            <w:pPr>
              <w:spacing w:after="0"/>
              <w:rPr>
                <w:sz w:val="15"/>
                <w:szCs w:val="15"/>
                <w:color w:val="auto"/>
              </w:rPr>
            </w:pPr>
          </w:p>
        </w:tc>
        <w:tc>
          <w:tcPr>
            <w:tcW w:w="1100" w:type="dxa"/>
            <w:vAlign w:val="bottom"/>
            <w:shd w:val="clear" w:color="auto" w:fill="DBDBDB"/>
          </w:tcPr>
          <w:p>
            <w:pPr>
              <w:spacing w:after="0"/>
              <w:rPr>
                <w:sz w:val="15"/>
                <w:szCs w:val="15"/>
                <w:color w:val="auto"/>
              </w:rPr>
            </w:pPr>
          </w:p>
        </w:tc>
        <w:tc>
          <w:tcPr>
            <w:tcW w:w="660" w:type="dxa"/>
            <w:vAlign w:val="bottom"/>
            <w:shd w:val="clear" w:color="auto" w:fill="DBDBDB"/>
          </w:tcPr>
          <w:p>
            <w:pPr>
              <w:spacing w:after="0"/>
              <w:rPr>
                <w:sz w:val="15"/>
                <w:szCs w:val="15"/>
                <w:color w:val="auto"/>
              </w:rPr>
            </w:pPr>
          </w:p>
        </w:tc>
        <w:tc>
          <w:tcPr>
            <w:tcW w:w="6800" w:type="dxa"/>
            <w:vAlign w:val="bottom"/>
            <w:shd w:val="clear" w:color="auto" w:fill="DBDBDB"/>
          </w:tcPr>
          <w:p>
            <w:pPr>
              <w:spacing w:after="0"/>
              <w:rPr>
                <w:sz w:val="15"/>
                <w:szCs w:val="15"/>
                <w:color w:val="auto"/>
              </w:rPr>
            </w:pPr>
          </w:p>
        </w:tc>
        <w:tc>
          <w:tcPr>
            <w:tcW w:w="2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1000" w:type="dxa"/>
            <w:vAlign w:val="bottom"/>
            <w:shd w:val="clear" w:color="auto" w:fill="DBDBDB"/>
          </w:tcPr>
          <w:p>
            <w:pPr>
              <w:jc w:val="center"/>
              <w:ind w:right="89"/>
              <w:spacing w:after="0"/>
              <w:rPr>
                <w:sz w:val="20"/>
                <w:szCs w:val="20"/>
                <w:color w:val="auto"/>
              </w:rPr>
            </w:pPr>
            <w:r>
              <w:rPr>
                <w:rFonts w:ascii="Arial" w:cs="Arial" w:eastAsia="Arial" w:hAnsi="Arial"/>
                <w:sz w:val="14"/>
                <w:szCs w:val="14"/>
                <w:b w:val="1"/>
                <w:bCs w:val="1"/>
                <w:color w:val="auto"/>
              </w:rPr>
              <w:t>Six Months</w:t>
            </w:r>
          </w:p>
        </w:tc>
        <w:tc>
          <w:tcPr>
            <w:tcW w:w="20" w:type="dxa"/>
            <w:vAlign w:val="bottom"/>
            <w:shd w:val="clear" w:color="auto" w:fill="DBDBDB"/>
          </w:tcPr>
          <w:p>
            <w:pPr>
              <w:spacing w:after="0"/>
              <w:rPr>
                <w:sz w:val="15"/>
                <w:szCs w:val="15"/>
                <w:color w:val="auto"/>
              </w:rPr>
            </w:pPr>
          </w:p>
        </w:tc>
        <w:tc>
          <w:tcPr>
            <w:tcW w:w="220" w:type="dxa"/>
            <w:vAlign w:val="bottom"/>
            <w:tcBorders>
              <w:right w:val="single" w:sz="8" w:color="auto"/>
            </w:tcBorders>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1020" w:type="dxa"/>
            <w:vAlign w:val="bottom"/>
            <w:shd w:val="clear" w:color="auto" w:fill="DBDBDB"/>
          </w:tcPr>
          <w:p>
            <w:pPr>
              <w:jc w:val="center"/>
              <w:ind w:right="49"/>
              <w:spacing w:after="0"/>
              <w:rPr>
                <w:sz w:val="20"/>
                <w:szCs w:val="20"/>
                <w:color w:val="auto"/>
              </w:rPr>
            </w:pPr>
            <w:r>
              <w:rPr>
                <w:rFonts w:ascii="Arial" w:cs="Arial" w:eastAsia="Arial" w:hAnsi="Arial"/>
                <w:sz w:val="14"/>
                <w:szCs w:val="14"/>
                <w:color w:val="auto"/>
              </w:rPr>
              <w:t>Six Months</w:t>
            </w:r>
          </w:p>
        </w:tc>
        <w:tc>
          <w:tcPr>
            <w:tcW w:w="0" w:type="dxa"/>
            <w:vAlign w:val="bottom"/>
          </w:tcPr>
          <w:p>
            <w:pPr>
              <w:spacing w:after="0"/>
              <w:rPr>
                <w:sz w:val="1"/>
                <w:szCs w:val="1"/>
                <w:color w:val="auto"/>
              </w:rPr>
            </w:pPr>
          </w:p>
        </w:tc>
      </w:tr>
      <w:tr>
        <w:trPr>
          <w:trHeight w:val="186"/>
        </w:trPr>
        <w:tc>
          <w:tcPr>
            <w:tcW w:w="20" w:type="dxa"/>
            <w:vAlign w:val="bottom"/>
            <w:tcBorders>
              <w:bottom w:val="single" w:sz="8" w:color="auto"/>
            </w:tcBorders>
            <w:shd w:val="clear" w:color="auto" w:fill="DBDBDB"/>
          </w:tcPr>
          <w:p>
            <w:pPr>
              <w:spacing w:after="0"/>
              <w:rPr>
                <w:sz w:val="16"/>
                <w:szCs w:val="16"/>
                <w:color w:val="auto"/>
              </w:rPr>
            </w:pPr>
          </w:p>
        </w:tc>
        <w:tc>
          <w:tcPr>
            <w:tcW w:w="8560" w:type="dxa"/>
            <w:vAlign w:val="bottom"/>
            <w:tcBorders>
              <w:bottom w:val="single" w:sz="8" w:color="auto"/>
            </w:tcBorders>
            <w:gridSpan w:val="3"/>
            <w:shd w:val="clear" w:color="auto" w:fill="DBDBDB"/>
          </w:tcPr>
          <w:p>
            <w:pPr>
              <w:spacing w:after="0"/>
              <w:rPr>
                <w:sz w:val="20"/>
                <w:szCs w:val="20"/>
                <w:color w:val="auto"/>
              </w:rPr>
            </w:pPr>
            <w:r>
              <w:rPr>
                <w:rFonts w:ascii="Arial" w:cs="Arial" w:eastAsia="Arial" w:hAnsi="Arial"/>
                <w:sz w:val="14"/>
                <w:szCs w:val="14"/>
                <w:color w:val="auto"/>
              </w:rPr>
              <w:t>($ in millions)</w:t>
            </w:r>
          </w:p>
        </w:tc>
        <w:tc>
          <w:tcPr>
            <w:tcW w:w="20" w:type="dxa"/>
            <w:vAlign w:val="bottom"/>
            <w:tcBorders>
              <w:bottom w:val="single" w:sz="8" w:color="auto"/>
            </w:tcBorders>
            <w:shd w:val="clear" w:color="auto" w:fill="DBDBDB"/>
          </w:tcPr>
          <w:p>
            <w:pPr>
              <w:spacing w:after="0"/>
              <w:rPr>
                <w:sz w:val="16"/>
                <w:szCs w:val="16"/>
                <w:color w:val="auto"/>
              </w:rPr>
            </w:pPr>
          </w:p>
        </w:tc>
        <w:tc>
          <w:tcPr>
            <w:tcW w:w="140" w:type="dxa"/>
            <w:vAlign w:val="bottom"/>
            <w:tcBorders>
              <w:bottom w:val="single" w:sz="8" w:color="auto"/>
            </w:tcBorders>
            <w:shd w:val="clear" w:color="auto" w:fill="DBDBDB"/>
          </w:tcPr>
          <w:p>
            <w:pPr>
              <w:spacing w:after="0"/>
              <w:rPr>
                <w:sz w:val="16"/>
                <w:szCs w:val="16"/>
                <w:color w:val="auto"/>
              </w:rPr>
            </w:pPr>
          </w:p>
        </w:tc>
        <w:tc>
          <w:tcPr>
            <w:tcW w:w="1000" w:type="dxa"/>
            <w:vAlign w:val="bottom"/>
            <w:tcBorders>
              <w:bottom w:val="single" w:sz="8" w:color="auto"/>
            </w:tcBorders>
            <w:shd w:val="clear" w:color="auto" w:fill="DBDBDB"/>
          </w:tcPr>
          <w:p>
            <w:pPr>
              <w:jc w:val="center"/>
              <w:ind w:right="89"/>
              <w:spacing w:after="0"/>
              <w:rPr>
                <w:sz w:val="20"/>
                <w:szCs w:val="20"/>
                <w:color w:val="auto"/>
              </w:rPr>
            </w:pPr>
            <w:r>
              <w:rPr>
                <w:rFonts w:ascii="Arial" w:cs="Arial" w:eastAsia="Arial" w:hAnsi="Arial"/>
                <w:sz w:val="14"/>
                <w:szCs w:val="14"/>
                <w:b w:val="1"/>
                <w:bCs w:val="1"/>
                <w:color w:val="auto"/>
              </w:rPr>
              <w:t>2021</w:t>
            </w:r>
          </w:p>
        </w:tc>
        <w:tc>
          <w:tcPr>
            <w:tcW w:w="20" w:type="dxa"/>
            <w:vAlign w:val="bottom"/>
            <w:shd w:val="clear" w:color="auto" w:fill="DBDBDB"/>
          </w:tcPr>
          <w:p>
            <w:pPr>
              <w:spacing w:after="0"/>
              <w:rPr>
                <w:sz w:val="16"/>
                <w:szCs w:val="16"/>
                <w:color w:val="auto"/>
              </w:rPr>
            </w:pPr>
          </w:p>
        </w:tc>
        <w:tc>
          <w:tcPr>
            <w:tcW w:w="220" w:type="dxa"/>
            <w:vAlign w:val="bottom"/>
            <w:tcBorders>
              <w:right w:val="single" w:sz="8" w:color="auto"/>
            </w:tcBorders>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40" w:type="dxa"/>
            <w:vAlign w:val="bottom"/>
            <w:tcBorders>
              <w:bottom w:val="single" w:sz="8" w:color="auto"/>
            </w:tcBorders>
            <w:shd w:val="clear" w:color="auto" w:fill="DBDBDB"/>
          </w:tcPr>
          <w:p>
            <w:pPr>
              <w:spacing w:after="0"/>
              <w:rPr>
                <w:sz w:val="16"/>
                <w:szCs w:val="16"/>
                <w:color w:val="auto"/>
              </w:rPr>
            </w:pPr>
          </w:p>
        </w:tc>
        <w:tc>
          <w:tcPr>
            <w:tcW w:w="1020" w:type="dxa"/>
            <w:vAlign w:val="bottom"/>
            <w:tcBorders>
              <w:bottom w:val="single" w:sz="8" w:color="auto"/>
            </w:tcBorders>
            <w:shd w:val="clear" w:color="auto" w:fill="DBDBDB"/>
          </w:tcPr>
          <w:p>
            <w:pPr>
              <w:jc w:val="center"/>
              <w:ind w:right="69"/>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580" w:type="dxa"/>
            <w:vAlign w:val="bottom"/>
            <w:gridSpan w:val="4"/>
          </w:tcPr>
          <w:p>
            <w:pPr>
              <w:spacing w:after="0" w:line="152" w:lineRule="exact"/>
              <w:rPr>
                <w:sz w:val="20"/>
                <w:szCs w:val="20"/>
                <w:color w:val="auto"/>
              </w:rPr>
            </w:pPr>
            <w:r>
              <w:rPr>
                <w:rFonts w:ascii="Arial" w:cs="Arial" w:eastAsia="Arial" w:hAnsi="Arial"/>
                <w:sz w:val="14"/>
                <w:szCs w:val="14"/>
                <w:b w:val="1"/>
                <w:bCs w:val="1"/>
                <w:color w:val="auto"/>
              </w:rPr>
              <w:t>Cash Flow Data:</w:t>
            </w:r>
          </w:p>
        </w:tc>
        <w:tc>
          <w:tcPr>
            <w:tcW w:w="1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76"/>
              </w:rPr>
              <w:t>$</w:t>
            </w:r>
          </w:p>
        </w:tc>
        <w:tc>
          <w:tcPr>
            <w:tcW w:w="1000" w:type="dxa"/>
            <w:vAlign w:val="bottom"/>
            <w:vMerge w:val="restart"/>
          </w:tcPr>
          <w:p>
            <w:pPr>
              <w:jc w:val="right"/>
              <w:ind w:right="9"/>
              <w:spacing w:after="0"/>
              <w:rPr>
                <w:sz w:val="20"/>
                <w:szCs w:val="20"/>
                <w:color w:val="auto"/>
              </w:rPr>
            </w:pPr>
            <w:r>
              <w:rPr>
                <w:rFonts w:ascii="Arial" w:cs="Arial" w:eastAsia="Arial" w:hAnsi="Arial"/>
                <w:sz w:val="14"/>
                <w:szCs w:val="14"/>
                <w:b w:val="1"/>
                <w:bCs w:val="1"/>
                <w:color w:val="auto"/>
              </w:rPr>
              <w:t>274</w:t>
            </w:r>
          </w:p>
        </w:tc>
        <w:tc>
          <w:tcPr>
            <w:tcW w:w="20" w:type="dxa"/>
            <w:vAlign w:val="bottom"/>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7480" w:type="dxa"/>
            <w:vAlign w:val="bottom"/>
            <w:gridSpan w:val="3"/>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100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8580" w:type="dxa"/>
            <w:vAlign w:val="bottom"/>
            <w:gridSpan w:val="4"/>
          </w:tcPr>
          <w:p>
            <w:pPr>
              <w:spacing w:after="0"/>
              <w:rPr>
                <w:sz w:val="20"/>
                <w:szCs w:val="20"/>
                <w:color w:val="auto"/>
              </w:rPr>
            </w:pPr>
            <w:r>
              <w:rPr>
                <w:rFonts w:ascii="Arial" w:cs="Arial" w:eastAsia="Arial" w:hAnsi="Arial"/>
                <w:sz w:val="14"/>
                <w:szCs w:val="14"/>
                <w:color w:val="auto"/>
              </w:rPr>
              <w:t>Net cash provided by operating activities</w:t>
            </w:r>
          </w:p>
        </w:tc>
        <w:tc>
          <w:tcPr>
            <w:tcW w:w="14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186"/>
        </w:trPr>
        <w:tc>
          <w:tcPr>
            <w:tcW w:w="20" w:type="dxa"/>
            <w:vAlign w:val="bottom"/>
            <w:shd w:val="clear" w:color="auto" w:fill="DBDBDB"/>
          </w:tcPr>
          <w:p>
            <w:pPr>
              <w:spacing w:after="0"/>
              <w:rPr>
                <w:sz w:val="16"/>
                <w:szCs w:val="16"/>
                <w:color w:val="auto"/>
              </w:rPr>
            </w:pPr>
          </w:p>
        </w:tc>
        <w:tc>
          <w:tcPr>
            <w:tcW w:w="8580" w:type="dxa"/>
            <w:vAlign w:val="bottom"/>
            <w:gridSpan w:val="4"/>
            <w:shd w:val="clear" w:color="auto" w:fill="DBDBDB"/>
          </w:tcPr>
          <w:p>
            <w:pPr>
              <w:spacing w:after="0"/>
              <w:rPr>
                <w:sz w:val="20"/>
                <w:szCs w:val="20"/>
                <w:color w:val="auto"/>
              </w:rPr>
            </w:pPr>
            <w:r>
              <w:rPr>
                <w:rFonts w:ascii="Arial" w:cs="Arial" w:eastAsia="Arial" w:hAnsi="Arial"/>
                <w:sz w:val="14"/>
                <w:szCs w:val="14"/>
                <w:color w:val="auto"/>
              </w:rPr>
              <w:t>Net cash used by investing activities</w:t>
            </w: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w w:val="76"/>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(63)</w:t>
            </w:r>
          </w:p>
        </w:tc>
        <w:tc>
          <w:tcPr>
            <w:tcW w:w="20" w:type="dxa"/>
            <w:vAlign w:val="bottom"/>
            <w:shd w:val="clear" w:color="auto" w:fill="DBDBDB"/>
          </w:tcPr>
          <w:p>
            <w:pPr>
              <w:spacing w:after="0"/>
              <w:rPr>
                <w:sz w:val="16"/>
                <w:szCs w:val="16"/>
                <w:color w:val="auto"/>
              </w:rPr>
            </w:pPr>
          </w:p>
        </w:tc>
        <w:tc>
          <w:tcPr>
            <w:tcW w:w="220" w:type="dxa"/>
            <w:vAlign w:val="bottom"/>
            <w:tcBorders>
              <w:right w:val="single" w:sz="8" w:color="auto"/>
            </w:tcBorders>
            <w:shd w:val="clear" w:color="auto" w:fill="DBDBDB"/>
          </w:tcPr>
          <w:p>
            <w:pPr>
              <w:spacing w:after="0"/>
              <w:rPr>
                <w:sz w:val="16"/>
                <w:szCs w:val="16"/>
                <w:color w:val="auto"/>
              </w:rPr>
            </w:pPr>
          </w:p>
        </w:tc>
        <w:tc>
          <w:tcPr>
            <w:tcW w:w="240" w:type="dxa"/>
            <w:vAlign w:val="bottom"/>
            <w:gridSpan w:val="2"/>
            <w:shd w:val="clear" w:color="auto" w:fill="DBDBDB"/>
          </w:tcPr>
          <w:p>
            <w:pPr>
              <w:jc w:val="right"/>
              <w:ind w:right="40"/>
              <w:spacing w:after="0"/>
              <w:rPr>
                <w:sz w:val="20"/>
                <w:szCs w:val="20"/>
                <w:color w:val="auto"/>
              </w:rPr>
            </w:pPr>
            <w:r>
              <w:rPr>
                <w:rFonts w:ascii="Arial" w:cs="Arial" w:eastAsia="Arial" w:hAnsi="Arial"/>
                <w:sz w:val="14"/>
                <w:szCs w:val="14"/>
                <w:color w:val="auto"/>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580" w:type="dxa"/>
            <w:vAlign w:val="bottom"/>
            <w:gridSpan w:val="4"/>
          </w:tcPr>
          <w:p>
            <w:pPr>
              <w:spacing w:after="0"/>
              <w:rPr>
                <w:sz w:val="20"/>
                <w:szCs w:val="20"/>
                <w:color w:val="auto"/>
              </w:rPr>
            </w:pPr>
            <w:r>
              <w:rPr>
                <w:rFonts w:ascii="Arial" w:cs="Arial" w:eastAsia="Arial" w:hAnsi="Arial"/>
                <w:sz w:val="14"/>
                <w:szCs w:val="14"/>
                <w:color w:val="auto"/>
              </w:rPr>
              <w:t>Net cash (used) provided by financing activities</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(88)</w:t>
            </w:r>
          </w:p>
        </w:tc>
        <w:tc>
          <w:tcPr>
            <w:tcW w:w="20" w:type="dxa"/>
            <w:vAlign w:val="bottom"/>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bl>
    <w:p>
      <w:pPr>
        <w:spacing w:after="0" w:line="299"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Review of Operating and Financial Results</w:t>
      </w:r>
    </w:p>
    <w:p>
      <w:pPr>
        <w:spacing w:after="0" w:line="200" w:lineRule="exact"/>
        <w:rPr>
          <w:sz w:val="20"/>
          <w:szCs w:val="20"/>
          <w:color w:val="auto"/>
        </w:rPr>
      </w:pPr>
    </w:p>
    <w:p>
      <w:pPr>
        <w:spacing w:after="0" w:line="300" w:lineRule="exact"/>
        <w:rPr>
          <w:sz w:val="20"/>
          <w:szCs w:val="20"/>
          <w:color w:val="auto"/>
        </w:rPr>
      </w:pPr>
    </w:p>
    <w:p>
      <w:pPr>
        <w:jc w:val="both"/>
        <w:ind w:firstLine="318"/>
        <w:spacing w:after="0" w:line="239" w:lineRule="auto"/>
        <w:rPr>
          <w:sz w:val="20"/>
          <w:szCs w:val="20"/>
          <w:color w:val="auto"/>
        </w:rPr>
      </w:pPr>
      <w:r>
        <w:rPr>
          <w:rFonts w:ascii="Arial" w:cs="Arial" w:eastAsia="Arial" w:hAnsi="Arial"/>
          <w:sz w:val="21"/>
          <w:szCs w:val="21"/>
          <w:color w:val="auto"/>
        </w:rPr>
        <w:t>Total daily net production volumes decreased 10% from 112,000 BOE per day for the second quarter of 2020 to 101,000 BOE per day for the second quarter of 2021. The decrease from the same period in 2020 was primarily due to limited drilling activity and capital investment during the prior twelve months and natural decline rates. Total daily net production volumes decreased 15% from 117,000 BOE per day for the six months ended June 30, 2020 to 100,000 BOE per day for the same period in 2021. Production sharing type contracts (PSC-type) at CRC's Long Beach assets negatively impacted oil production by approximately 5,000 and 4,000 barrels per day in the three and six months ended June 30, 2021, respectively, compared to the same prior-year period. See Attachment 3 for further information on production.</w:t>
      </w:r>
    </w:p>
    <w:p>
      <w:pPr>
        <w:spacing w:after="0" w:line="236" w:lineRule="exact"/>
        <w:rPr>
          <w:sz w:val="20"/>
          <w:szCs w:val="20"/>
          <w:color w:val="auto"/>
        </w:rPr>
      </w:pPr>
    </w:p>
    <w:p>
      <w:pPr>
        <w:jc w:val="both"/>
        <w:ind w:firstLine="318"/>
        <w:spacing w:after="0" w:line="253" w:lineRule="auto"/>
        <w:rPr>
          <w:sz w:val="20"/>
          <w:szCs w:val="20"/>
          <w:color w:val="auto"/>
        </w:rPr>
      </w:pPr>
      <w:r>
        <w:rPr>
          <w:rFonts w:ascii="Arial" w:cs="Arial" w:eastAsia="Arial" w:hAnsi="Arial"/>
          <w:sz w:val="21"/>
          <w:szCs w:val="21"/>
          <w:color w:val="auto"/>
        </w:rPr>
        <w:t>Realized oil prices, including the effect of settled hedges, increased by $23.28 per barrel from $30.82 per barrel in the second quarter of 2020 to $54.10 per barrel in the second quarter of 2021. For the six months ended June 30, 2021, realized oil prices, including the effect of settled hedges, increased by $10.15 to $53.91 from $43.76 in the same period of 2020. Realized oil prices were higher in the second quarter of 2021 compared to the same prior-year period as oil demand recovered from its COVID-19 driven lows. See Attachment 4 for further information on prices.</w:t>
      </w:r>
    </w:p>
    <w:p>
      <w:pPr>
        <w:spacing w:after="0" w:line="224" w:lineRule="exact"/>
        <w:rPr>
          <w:sz w:val="20"/>
          <w:szCs w:val="20"/>
          <w:color w:val="auto"/>
        </w:rPr>
      </w:pPr>
    </w:p>
    <w:p>
      <w:pPr>
        <w:jc w:val="both"/>
        <w:ind w:firstLine="318"/>
        <w:spacing w:after="0" w:line="220" w:lineRule="auto"/>
        <w:rPr>
          <w:sz w:val="20"/>
          <w:szCs w:val="20"/>
          <w:color w:val="auto"/>
        </w:rPr>
      </w:pPr>
      <w:r>
        <w:rPr>
          <w:rFonts w:ascii="Arial" w:cs="Arial" w:eastAsia="Arial" w:hAnsi="Arial"/>
          <w:sz w:val="21"/>
          <w:szCs w:val="21"/>
          <w:color w:val="auto"/>
        </w:rPr>
        <w:t>Adjusted EBITDAX</w:t>
      </w:r>
      <w:r>
        <w:rPr>
          <w:rFonts w:ascii="Arial" w:cs="Arial" w:eastAsia="Arial" w:hAnsi="Arial"/>
          <w:sz w:val="27"/>
          <w:szCs w:val="27"/>
          <w:color w:val="auto"/>
          <w:vertAlign w:val="superscript"/>
        </w:rPr>
        <w:t>1</w:t>
      </w:r>
      <w:r>
        <w:rPr>
          <w:rFonts w:ascii="Arial" w:cs="Arial" w:eastAsia="Arial" w:hAnsi="Arial"/>
          <w:sz w:val="21"/>
          <w:szCs w:val="21"/>
          <w:color w:val="auto"/>
        </w:rPr>
        <w:t xml:space="preserve"> for the second quarter of 2021 was $169 million and net cash provided by operating activities was $127 million. Internally funded capital invested during the second quarter</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w:t>
      </w:r>
    </w:p>
    <w:p>
      <w:pPr>
        <w:sectPr>
          <w:pgSz w:w="11900" w:h="16838" w:orient="portrait"/>
          <w:cols w:equalWidth="0" w:num="1">
            <w:col w:w="11240"/>
          </w:cols>
          <w:pgMar w:left="320" w:top="876" w:right="339" w:bottom="1440" w:gutter="0" w:footer="0" w:header="0"/>
        </w:sectPr>
      </w:pPr>
    </w:p>
    <w:bookmarkStart w:id="10" w:name="page11"/>
    <w:bookmarkEnd w:id="10"/>
    <w:p>
      <w:pPr>
        <w:jc w:val="both"/>
        <w:ind w:right="100"/>
        <w:spacing w:after="0" w:line="238" w:lineRule="auto"/>
        <w:rPr>
          <w:sz w:val="20"/>
          <w:szCs w:val="20"/>
          <w:color w:val="auto"/>
        </w:rPr>
      </w:pPr>
      <w:r>
        <w:rPr>
          <w:rFonts w:ascii="Arial" w:cs="Arial" w:eastAsia="Arial" w:hAnsi="Arial"/>
          <w:sz w:val="21"/>
          <w:szCs w:val="21"/>
          <w:color w:val="auto"/>
        </w:rPr>
        <w:t>of 2021 was $50 million. Free cash flow</w:t>
      </w:r>
      <w:r>
        <w:rPr>
          <w:rFonts w:ascii="Arial" w:cs="Arial" w:eastAsia="Arial" w:hAnsi="Arial"/>
          <w:sz w:val="27"/>
          <w:szCs w:val="27"/>
          <w:color w:val="auto"/>
          <w:vertAlign w:val="superscript"/>
        </w:rPr>
        <w:t>1</w:t>
      </w:r>
      <w:r>
        <w:rPr>
          <w:rFonts w:ascii="Arial" w:cs="Arial" w:eastAsia="Arial" w:hAnsi="Arial"/>
          <w:sz w:val="21"/>
          <w:szCs w:val="21"/>
          <w:color w:val="auto"/>
        </w:rPr>
        <w:t xml:space="preserve"> was $77 million. Adjusted EBITDAX</w:t>
      </w:r>
      <w:r>
        <w:rPr>
          <w:rFonts w:ascii="Arial" w:cs="Arial" w:eastAsia="Arial" w:hAnsi="Arial"/>
          <w:sz w:val="27"/>
          <w:szCs w:val="27"/>
          <w:color w:val="auto"/>
          <w:vertAlign w:val="superscript"/>
        </w:rPr>
        <w:t>1</w:t>
      </w:r>
      <w:r>
        <w:rPr>
          <w:rFonts w:ascii="Arial" w:cs="Arial" w:eastAsia="Arial" w:hAnsi="Arial"/>
          <w:sz w:val="21"/>
          <w:szCs w:val="21"/>
          <w:color w:val="auto"/>
        </w:rPr>
        <w:t xml:space="preserve"> for the six months ended June 30, 2021 was $358 million and net cash provided by operating activities was $274 million. For the first half of 2021, internally funded capital invested was $77 million. Free cash flow</w:t>
      </w:r>
      <w:r>
        <w:rPr>
          <w:rFonts w:ascii="Arial" w:cs="Arial" w:eastAsia="Arial" w:hAnsi="Arial"/>
          <w:sz w:val="27"/>
          <w:szCs w:val="27"/>
          <w:color w:val="auto"/>
          <w:vertAlign w:val="superscript"/>
        </w:rPr>
        <w:t>1</w:t>
      </w:r>
      <w:r>
        <w:rPr>
          <w:rFonts w:ascii="Arial" w:cs="Arial" w:eastAsia="Arial" w:hAnsi="Arial"/>
          <w:sz w:val="21"/>
          <w:szCs w:val="21"/>
          <w:color w:val="auto"/>
        </w:rPr>
        <w:t xml:space="preserve"> was $197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107950</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133350</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FREE CASH FLOW</w:t>
      </w:r>
    </w:p>
    <w:p>
      <w:pPr>
        <w:spacing w:after="0" w:line="135" w:lineRule="exact"/>
        <w:rPr>
          <w:sz w:val="20"/>
          <w:szCs w:val="20"/>
          <w:color w:val="auto"/>
        </w:rPr>
      </w:pPr>
    </w:p>
    <w:p>
      <w:pPr>
        <w:jc w:val="both"/>
        <w:ind w:left="340" w:right="20" w:firstLine="318"/>
        <w:spacing w:after="0" w:line="216" w:lineRule="auto"/>
        <w:rPr>
          <w:sz w:val="20"/>
          <w:szCs w:val="20"/>
          <w:color w:val="auto"/>
        </w:rPr>
      </w:pPr>
      <w:r>
        <w:rPr>
          <w:rFonts w:ascii="Arial" w:cs="Arial" w:eastAsia="Arial" w:hAnsi="Arial"/>
          <w:sz w:val="14"/>
          <w:szCs w:val="14"/>
          <w:color w:val="auto"/>
        </w:rPr>
        <w:t>Management uses free cash flow, which is defined by us as net cash provided by operating activities less capital investments, as a measure of liquidity. The following table presents a reconciliation of our net cash provided by operating activities to free cash flow. We have excluded one-time costs for bankruptcy related fees during 2021 and 2020 a supplemental measure of free cash flow.</w:t>
      </w:r>
    </w:p>
    <w:p>
      <w:pPr>
        <w:spacing w:after="0" w:line="84" w:lineRule="exact"/>
        <w:rPr>
          <w:sz w:val="20"/>
          <w:szCs w:val="20"/>
          <w:color w:val="auto"/>
        </w:rPr>
      </w:pPr>
    </w:p>
    <w:tbl>
      <w:tblPr>
        <w:tblLayout w:type="fixed"/>
        <w:tblInd w:w="320" w:type="dxa"/>
        <w:tblCellMar>
          <w:top w:w="0" w:type="dxa"/>
          <w:left w:w="0" w:type="dxa"/>
          <w:bottom w:w="0" w:type="dxa"/>
          <w:right w:w="0" w:type="dxa"/>
        </w:tblCellMar>
      </w:tblPr>
      <w:tr>
        <w:trPr>
          <w:trHeight w:val="199"/>
        </w:trPr>
        <w:tc>
          <w:tcPr>
            <w:tcW w:w="4380" w:type="dxa"/>
            <w:vAlign w:val="bottom"/>
            <w:tcBorders>
              <w:top w:val="single" w:sz="8" w:color="DBDBDB"/>
              <w:bottom w:val="single" w:sz="8" w:color="DBDBDB"/>
            </w:tcBorders>
            <w:shd w:val="clear" w:color="auto" w:fill="DBDBDB"/>
          </w:tcPr>
          <w:p>
            <w:pPr>
              <w:spacing w:after="0"/>
              <w:rPr>
                <w:sz w:val="17"/>
                <w:szCs w:val="17"/>
                <w:color w:val="auto"/>
              </w:rPr>
            </w:pPr>
          </w:p>
        </w:tc>
        <w:tc>
          <w:tcPr>
            <w:tcW w:w="100" w:type="dxa"/>
            <w:vAlign w:val="bottom"/>
            <w:tcBorders>
              <w:top w:val="single" w:sz="8" w:color="DBDBDB"/>
              <w:bottom w:val="single" w:sz="8" w:color="DBDBDB"/>
            </w:tcBorders>
            <w:shd w:val="clear" w:color="auto" w:fill="DBDBDB"/>
          </w:tcPr>
          <w:p>
            <w:pPr>
              <w:spacing w:after="0"/>
              <w:rPr>
                <w:sz w:val="17"/>
                <w:szCs w:val="17"/>
                <w:color w:val="auto"/>
              </w:rPr>
            </w:pPr>
          </w:p>
        </w:tc>
        <w:tc>
          <w:tcPr>
            <w:tcW w:w="460" w:type="dxa"/>
            <w:vAlign w:val="bottom"/>
            <w:tcBorders>
              <w:top w:val="single" w:sz="8" w:color="auto"/>
              <w:bottom w:val="single" w:sz="8" w:color="auto"/>
            </w:tcBorders>
            <w:shd w:val="clear" w:color="auto" w:fill="DBDBDB"/>
          </w:tcPr>
          <w:p>
            <w:pPr>
              <w:spacing w:after="0"/>
              <w:rPr>
                <w:sz w:val="17"/>
                <w:szCs w:val="17"/>
                <w:color w:val="auto"/>
              </w:rPr>
            </w:pPr>
          </w:p>
        </w:tc>
        <w:tc>
          <w:tcPr>
            <w:tcW w:w="1060" w:type="dxa"/>
            <w:vAlign w:val="bottom"/>
            <w:tcBorders>
              <w:top w:val="single" w:sz="8" w:color="auto"/>
              <w:bottom w:val="single" w:sz="8" w:color="auto"/>
            </w:tcBorders>
            <w:shd w:val="clear" w:color="auto" w:fill="DBDBDB"/>
          </w:tcPr>
          <w:p>
            <w:pPr>
              <w:jc w:val="center"/>
              <w:ind w:right="69"/>
              <w:spacing w:after="0"/>
              <w:rPr>
                <w:sz w:val="20"/>
                <w:szCs w:val="20"/>
                <w:color w:val="auto"/>
              </w:rPr>
            </w:pPr>
            <w:r>
              <w:rPr>
                <w:rFonts w:ascii="Arial" w:cs="Arial" w:eastAsia="Arial" w:hAnsi="Arial"/>
                <w:sz w:val="14"/>
                <w:szCs w:val="14"/>
                <w:b w:val="1"/>
                <w:bCs w:val="1"/>
                <w:color w:val="auto"/>
              </w:rPr>
              <w:t>Successor</w:t>
            </w:r>
          </w:p>
        </w:tc>
        <w:tc>
          <w:tcPr>
            <w:tcW w:w="120" w:type="dxa"/>
            <w:vAlign w:val="bottom"/>
            <w:tcBorders>
              <w:top w:val="single" w:sz="8" w:color="DBDBDB"/>
              <w:bottom w:val="single" w:sz="8" w:color="DBDBDB"/>
              <w:right w:val="single" w:sz="8" w:color="auto"/>
            </w:tcBorders>
            <w:shd w:val="clear" w:color="auto" w:fill="DBDBDB"/>
          </w:tcPr>
          <w:p>
            <w:pPr>
              <w:spacing w:after="0"/>
              <w:rPr>
                <w:sz w:val="17"/>
                <w:szCs w:val="17"/>
                <w:color w:val="auto"/>
              </w:rPr>
            </w:pPr>
          </w:p>
        </w:tc>
        <w:tc>
          <w:tcPr>
            <w:tcW w:w="80" w:type="dxa"/>
            <w:vAlign w:val="bottom"/>
            <w:tcBorders>
              <w:top w:val="single" w:sz="8" w:color="DBDBDB"/>
              <w:bottom w:val="single" w:sz="8" w:color="DBDBDB"/>
            </w:tcBorders>
            <w:shd w:val="clear" w:color="auto" w:fill="DBDBDB"/>
          </w:tcPr>
          <w:p>
            <w:pPr>
              <w:spacing w:after="0"/>
              <w:rPr>
                <w:sz w:val="17"/>
                <w:szCs w:val="17"/>
                <w:color w:val="auto"/>
              </w:rPr>
            </w:pPr>
          </w:p>
        </w:tc>
        <w:tc>
          <w:tcPr>
            <w:tcW w:w="460" w:type="dxa"/>
            <w:vAlign w:val="bottom"/>
            <w:tcBorders>
              <w:top w:val="single" w:sz="8" w:color="auto"/>
              <w:bottom w:val="single" w:sz="8" w:color="auto"/>
            </w:tcBorders>
            <w:shd w:val="clear" w:color="auto" w:fill="DBDBDB"/>
          </w:tcPr>
          <w:p>
            <w:pPr>
              <w:spacing w:after="0"/>
              <w:rPr>
                <w:sz w:val="17"/>
                <w:szCs w:val="17"/>
                <w:color w:val="auto"/>
              </w:rPr>
            </w:pPr>
          </w:p>
        </w:tc>
        <w:tc>
          <w:tcPr>
            <w:tcW w:w="1080" w:type="dxa"/>
            <w:vAlign w:val="bottom"/>
            <w:tcBorders>
              <w:top w:val="single" w:sz="8" w:color="auto"/>
              <w:bottom w:val="single" w:sz="8" w:color="auto"/>
            </w:tcBorders>
            <w:shd w:val="clear" w:color="auto" w:fill="DBDBDB"/>
          </w:tcPr>
          <w:p>
            <w:pPr>
              <w:jc w:val="center"/>
              <w:ind w:right="89"/>
              <w:spacing w:after="0"/>
              <w:rPr>
                <w:sz w:val="20"/>
                <w:szCs w:val="20"/>
                <w:color w:val="auto"/>
              </w:rPr>
            </w:pPr>
            <w:r>
              <w:rPr>
                <w:rFonts w:ascii="Arial" w:cs="Arial" w:eastAsia="Arial" w:hAnsi="Arial"/>
                <w:sz w:val="14"/>
                <w:szCs w:val="14"/>
                <w:color w:val="auto"/>
              </w:rPr>
              <w:t>Predecessor</w:t>
            </w:r>
          </w:p>
        </w:tc>
        <w:tc>
          <w:tcPr>
            <w:tcW w:w="240" w:type="dxa"/>
            <w:vAlign w:val="bottom"/>
            <w:tcBorders>
              <w:top w:val="single" w:sz="8" w:color="DBDBDB"/>
              <w:bottom w:val="single" w:sz="8" w:color="DBDBDB"/>
            </w:tcBorders>
            <w:shd w:val="clear" w:color="auto" w:fill="DBDBDB"/>
          </w:tcPr>
          <w:p>
            <w:pPr>
              <w:spacing w:after="0"/>
              <w:rPr>
                <w:sz w:val="17"/>
                <w:szCs w:val="17"/>
                <w:color w:val="auto"/>
              </w:rPr>
            </w:pPr>
          </w:p>
        </w:tc>
        <w:tc>
          <w:tcPr>
            <w:tcW w:w="480" w:type="dxa"/>
            <w:vAlign w:val="bottom"/>
            <w:tcBorders>
              <w:top w:val="single" w:sz="8" w:color="auto"/>
              <w:bottom w:val="single" w:sz="8" w:color="auto"/>
            </w:tcBorders>
            <w:shd w:val="clear" w:color="auto" w:fill="DBDBDB"/>
          </w:tcPr>
          <w:p>
            <w:pPr>
              <w:spacing w:after="0"/>
              <w:rPr>
                <w:sz w:val="17"/>
                <w:szCs w:val="17"/>
                <w:color w:val="auto"/>
              </w:rPr>
            </w:pPr>
          </w:p>
        </w:tc>
        <w:tc>
          <w:tcPr>
            <w:tcW w:w="1040" w:type="dxa"/>
            <w:vAlign w:val="bottom"/>
            <w:tcBorders>
              <w:top w:val="single" w:sz="8" w:color="auto"/>
              <w:bottom w:val="single" w:sz="8" w:color="auto"/>
            </w:tcBorders>
            <w:shd w:val="clear" w:color="auto" w:fill="DBDBDB"/>
          </w:tcPr>
          <w:p>
            <w:pPr>
              <w:jc w:val="center"/>
              <w:ind w:right="89"/>
              <w:spacing w:after="0"/>
              <w:rPr>
                <w:sz w:val="20"/>
                <w:szCs w:val="20"/>
                <w:color w:val="auto"/>
              </w:rPr>
            </w:pPr>
            <w:r>
              <w:rPr>
                <w:rFonts w:ascii="Arial" w:cs="Arial" w:eastAsia="Arial" w:hAnsi="Arial"/>
                <w:sz w:val="14"/>
                <w:szCs w:val="14"/>
                <w:b w:val="1"/>
                <w:bCs w:val="1"/>
                <w:color w:val="auto"/>
              </w:rPr>
              <w:t>Successor</w:t>
            </w:r>
          </w:p>
        </w:tc>
        <w:tc>
          <w:tcPr>
            <w:tcW w:w="120" w:type="dxa"/>
            <w:vAlign w:val="bottom"/>
            <w:tcBorders>
              <w:top w:val="single" w:sz="8" w:color="DBDBDB"/>
              <w:bottom w:val="single" w:sz="8" w:color="DBDBDB"/>
              <w:right w:val="single" w:sz="8" w:color="auto"/>
            </w:tcBorders>
            <w:shd w:val="clear" w:color="auto" w:fill="DBDBDB"/>
          </w:tcPr>
          <w:p>
            <w:pPr>
              <w:spacing w:after="0"/>
              <w:rPr>
                <w:sz w:val="17"/>
                <w:szCs w:val="17"/>
                <w:color w:val="auto"/>
              </w:rPr>
            </w:pPr>
          </w:p>
        </w:tc>
        <w:tc>
          <w:tcPr>
            <w:tcW w:w="60" w:type="dxa"/>
            <w:vAlign w:val="bottom"/>
            <w:tcBorders>
              <w:top w:val="single" w:sz="8" w:color="DBDBDB"/>
              <w:bottom w:val="single" w:sz="8" w:color="DBDBDB"/>
            </w:tcBorders>
            <w:shd w:val="clear" w:color="auto" w:fill="DBDBDB"/>
          </w:tcPr>
          <w:p>
            <w:pPr>
              <w:spacing w:after="0"/>
              <w:rPr>
                <w:sz w:val="17"/>
                <w:szCs w:val="17"/>
                <w:color w:val="auto"/>
              </w:rPr>
            </w:pPr>
          </w:p>
        </w:tc>
        <w:tc>
          <w:tcPr>
            <w:tcW w:w="480" w:type="dxa"/>
            <w:vAlign w:val="bottom"/>
            <w:tcBorders>
              <w:top w:val="single" w:sz="8" w:color="auto"/>
              <w:bottom w:val="single" w:sz="8" w:color="auto"/>
            </w:tcBorders>
            <w:shd w:val="clear" w:color="auto" w:fill="DBDBDB"/>
          </w:tcPr>
          <w:p>
            <w:pPr>
              <w:spacing w:after="0"/>
              <w:rPr>
                <w:sz w:val="17"/>
                <w:szCs w:val="17"/>
                <w:color w:val="auto"/>
              </w:rPr>
            </w:pPr>
          </w:p>
        </w:tc>
        <w:tc>
          <w:tcPr>
            <w:tcW w:w="860" w:type="dxa"/>
            <w:vAlign w:val="bottom"/>
            <w:tcBorders>
              <w:top w:val="single" w:sz="8" w:color="auto"/>
              <w:bottom w:val="single" w:sz="8" w:color="auto"/>
            </w:tcBorders>
            <w:shd w:val="clear" w:color="auto" w:fill="DBDBDB"/>
          </w:tcPr>
          <w:p>
            <w:pPr>
              <w:jc w:val="center"/>
              <w:spacing w:after="0"/>
              <w:rPr>
                <w:sz w:val="20"/>
                <w:szCs w:val="20"/>
                <w:color w:val="auto"/>
              </w:rPr>
            </w:pPr>
            <w:r>
              <w:rPr>
                <w:rFonts w:ascii="Arial" w:cs="Arial" w:eastAsia="Arial" w:hAnsi="Arial"/>
                <w:sz w:val="14"/>
                <w:szCs w:val="14"/>
                <w:color w:val="auto"/>
              </w:rPr>
              <w:t>Predecessor</w:t>
            </w:r>
          </w:p>
        </w:tc>
      </w:tr>
      <w:tr>
        <w:trPr>
          <w:trHeight w:val="179"/>
        </w:trPr>
        <w:tc>
          <w:tcPr>
            <w:tcW w:w="438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460" w:type="dxa"/>
            <w:vAlign w:val="bottom"/>
            <w:shd w:val="clear" w:color="auto" w:fill="DBDBDB"/>
          </w:tcPr>
          <w:p>
            <w:pPr>
              <w:spacing w:after="0"/>
              <w:rPr>
                <w:sz w:val="15"/>
                <w:szCs w:val="15"/>
                <w:color w:val="auto"/>
              </w:rPr>
            </w:pPr>
          </w:p>
        </w:tc>
        <w:tc>
          <w:tcPr>
            <w:tcW w:w="1060" w:type="dxa"/>
            <w:vAlign w:val="bottom"/>
            <w:shd w:val="clear" w:color="auto" w:fill="DBDBDB"/>
          </w:tcPr>
          <w:p>
            <w:pPr>
              <w:jc w:val="center"/>
              <w:ind w:right="69"/>
              <w:spacing w:after="0"/>
              <w:rPr>
                <w:sz w:val="20"/>
                <w:szCs w:val="20"/>
                <w:color w:val="auto"/>
              </w:rPr>
            </w:pPr>
            <w:r>
              <w:rPr>
                <w:rFonts w:ascii="Arial" w:cs="Arial" w:eastAsia="Arial" w:hAnsi="Arial"/>
                <w:sz w:val="14"/>
                <w:szCs w:val="14"/>
                <w:b w:val="1"/>
                <w:bCs w:val="1"/>
                <w:color w:val="auto"/>
              </w:rPr>
              <w:t>2nd Quarter</w:t>
            </w:r>
          </w:p>
        </w:tc>
        <w:tc>
          <w:tcPr>
            <w:tcW w:w="120" w:type="dxa"/>
            <w:vAlign w:val="bottom"/>
            <w:tcBorders>
              <w:right w:val="single" w:sz="8" w:color="auto"/>
            </w:tcBorders>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460" w:type="dxa"/>
            <w:vAlign w:val="bottom"/>
            <w:shd w:val="clear" w:color="auto" w:fill="DBDBDB"/>
          </w:tcPr>
          <w:p>
            <w:pPr>
              <w:spacing w:after="0"/>
              <w:rPr>
                <w:sz w:val="15"/>
                <w:szCs w:val="15"/>
                <w:color w:val="auto"/>
              </w:rPr>
            </w:pPr>
          </w:p>
        </w:tc>
        <w:tc>
          <w:tcPr>
            <w:tcW w:w="1080" w:type="dxa"/>
            <w:vAlign w:val="bottom"/>
            <w:shd w:val="clear" w:color="auto" w:fill="DBDBDB"/>
          </w:tcPr>
          <w:p>
            <w:pPr>
              <w:jc w:val="center"/>
              <w:ind w:right="89"/>
              <w:spacing w:after="0"/>
              <w:rPr>
                <w:sz w:val="20"/>
                <w:szCs w:val="20"/>
                <w:color w:val="auto"/>
              </w:rPr>
            </w:pPr>
            <w:r>
              <w:rPr>
                <w:rFonts w:ascii="Arial" w:cs="Arial" w:eastAsia="Arial" w:hAnsi="Arial"/>
                <w:sz w:val="14"/>
                <w:szCs w:val="14"/>
                <w:color w:val="auto"/>
              </w:rPr>
              <w:t>2nd Quarter</w:t>
            </w:r>
          </w:p>
        </w:tc>
        <w:tc>
          <w:tcPr>
            <w:tcW w:w="240" w:type="dxa"/>
            <w:vAlign w:val="bottom"/>
            <w:shd w:val="clear" w:color="auto" w:fill="DBDBDB"/>
          </w:tcPr>
          <w:p>
            <w:pPr>
              <w:spacing w:after="0"/>
              <w:rPr>
                <w:sz w:val="15"/>
                <w:szCs w:val="15"/>
                <w:color w:val="auto"/>
              </w:rPr>
            </w:pPr>
          </w:p>
        </w:tc>
        <w:tc>
          <w:tcPr>
            <w:tcW w:w="480" w:type="dxa"/>
            <w:vAlign w:val="bottom"/>
            <w:shd w:val="clear" w:color="auto" w:fill="DBDBDB"/>
          </w:tcPr>
          <w:p>
            <w:pPr>
              <w:spacing w:after="0"/>
              <w:rPr>
                <w:sz w:val="15"/>
                <w:szCs w:val="15"/>
                <w:color w:val="auto"/>
              </w:rPr>
            </w:pPr>
          </w:p>
        </w:tc>
        <w:tc>
          <w:tcPr>
            <w:tcW w:w="1040" w:type="dxa"/>
            <w:vAlign w:val="bottom"/>
            <w:shd w:val="clear" w:color="auto" w:fill="DBDBDB"/>
          </w:tcPr>
          <w:p>
            <w:pPr>
              <w:jc w:val="center"/>
              <w:ind w:right="89"/>
              <w:spacing w:after="0"/>
              <w:rPr>
                <w:sz w:val="20"/>
                <w:szCs w:val="20"/>
                <w:color w:val="auto"/>
              </w:rPr>
            </w:pPr>
            <w:r>
              <w:rPr>
                <w:rFonts w:ascii="Arial" w:cs="Arial" w:eastAsia="Arial" w:hAnsi="Arial"/>
                <w:sz w:val="14"/>
                <w:szCs w:val="14"/>
                <w:b w:val="1"/>
                <w:bCs w:val="1"/>
                <w:color w:val="auto"/>
              </w:rPr>
              <w:t>Six Months</w:t>
            </w:r>
          </w:p>
        </w:tc>
        <w:tc>
          <w:tcPr>
            <w:tcW w:w="120" w:type="dxa"/>
            <w:vAlign w:val="bottom"/>
            <w:tcBorders>
              <w:right w:val="single" w:sz="8" w:color="auto"/>
            </w:tcBorders>
            <w:shd w:val="clear" w:color="auto" w:fill="DBDBDB"/>
          </w:tcPr>
          <w:p>
            <w:pPr>
              <w:spacing w:after="0"/>
              <w:rPr>
                <w:sz w:val="15"/>
                <w:szCs w:val="15"/>
                <w:color w:val="auto"/>
              </w:rPr>
            </w:pPr>
          </w:p>
        </w:tc>
        <w:tc>
          <w:tcPr>
            <w:tcW w:w="60" w:type="dxa"/>
            <w:vAlign w:val="bottom"/>
            <w:shd w:val="clear" w:color="auto" w:fill="DBDBDB"/>
          </w:tcPr>
          <w:p>
            <w:pPr>
              <w:spacing w:after="0"/>
              <w:rPr>
                <w:sz w:val="15"/>
                <w:szCs w:val="15"/>
                <w:color w:val="auto"/>
              </w:rPr>
            </w:pPr>
          </w:p>
        </w:tc>
        <w:tc>
          <w:tcPr>
            <w:tcW w:w="480" w:type="dxa"/>
            <w:vAlign w:val="bottom"/>
            <w:shd w:val="clear" w:color="auto" w:fill="DBDBDB"/>
          </w:tcPr>
          <w:p>
            <w:pPr>
              <w:spacing w:after="0"/>
              <w:rPr>
                <w:sz w:val="15"/>
                <w:szCs w:val="15"/>
                <w:color w:val="auto"/>
              </w:rPr>
            </w:pPr>
          </w:p>
        </w:tc>
        <w:tc>
          <w:tcPr>
            <w:tcW w:w="860" w:type="dxa"/>
            <w:vAlign w:val="bottom"/>
            <w:shd w:val="clear" w:color="auto" w:fill="DBDBDB"/>
          </w:tcPr>
          <w:p>
            <w:pPr>
              <w:jc w:val="center"/>
              <w:ind w:left="9"/>
              <w:spacing w:after="0"/>
              <w:rPr>
                <w:sz w:val="20"/>
                <w:szCs w:val="20"/>
                <w:color w:val="auto"/>
              </w:rPr>
            </w:pPr>
            <w:r>
              <w:rPr>
                <w:rFonts w:ascii="Arial" w:cs="Arial" w:eastAsia="Arial" w:hAnsi="Arial"/>
                <w:sz w:val="14"/>
                <w:szCs w:val="14"/>
                <w:color w:val="auto"/>
              </w:rPr>
              <w:t>Six Months</w:t>
            </w:r>
          </w:p>
        </w:tc>
      </w:tr>
      <w:tr>
        <w:trPr>
          <w:trHeight w:val="186"/>
        </w:trPr>
        <w:tc>
          <w:tcPr>
            <w:tcW w:w="4380" w:type="dxa"/>
            <w:vAlign w:val="bottom"/>
            <w:tcBorders>
              <w:bottom w:val="single" w:sz="8" w:color="auto"/>
            </w:tcBorders>
            <w:shd w:val="clear" w:color="auto" w:fill="DBDBDB"/>
          </w:tcPr>
          <w:p>
            <w:pPr>
              <w:ind w:left="340"/>
              <w:spacing w:after="0"/>
              <w:rPr>
                <w:sz w:val="20"/>
                <w:szCs w:val="20"/>
                <w:color w:val="auto"/>
              </w:rPr>
            </w:pPr>
            <w:r>
              <w:rPr>
                <w:rFonts w:ascii="Arial" w:cs="Arial" w:eastAsia="Arial" w:hAnsi="Arial"/>
                <w:sz w:val="14"/>
                <w:szCs w:val="14"/>
                <w:color w:val="auto"/>
              </w:rPr>
              <w:t>($ millions)</w:t>
            </w:r>
          </w:p>
        </w:tc>
        <w:tc>
          <w:tcPr>
            <w:tcW w:w="100" w:type="dxa"/>
            <w:vAlign w:val="bottom"/>
            <w:shd w:val="clear" w:color="auto" w:fill="DBDBDB"/>
          </w:tcPr>
          <w:p>
            <w:pPr>
              <w:spacing w:after="0"/>
              <w:rPr>
                <w:sz w:val="16"/>
                <w:szCs w:val="16"/>
                <w:color w:val="auto"/>
              </w:rPr>
            </w:pPr>
          </w:p>
        </w:tc>
        <w:tc>
          <w:tcPr>
            <w:tcW w:w="460" w:type="dxa"/>
            <w:vAlign w:val="bottom"/>
            <w:tcBorders>
              <w:bottom w:val="single" w:sz="8" w:color="auto"/>
            </w:tcBorders>
            <w:shd w:val="clear" w:color="auto" w:fill="DBDBDB"/>
          </w:tcPr>
          <w:p>
            <w:pPr>
              <w:spacing w:after="0"/>
              <w:rPr>
                <w:sz w:val="16"/>
                <w:szCs w:val="16"/>
                <w:color w:val="auto"/>
              </w:rPr>
            </w:pPr>
          </w:p>
        </w:tc>
        <w:tc>
          <w:tcPr>
            <w:tcW w:w="1060" w:type="dxa"/>
            <w:vAlign w:val="bottom"/>
            <w:tcBorders>
              <w:bottom w:val="single" w:sz="8" w:color="auto"/>
            </w:tcBorders>
            <w:shd w:val="clear" w:color="auto" w:fill="DBDBDB"/>
          </w:tcPr>
          <w:p>
            <w:pPr>
              <w:jc w:val="center"/>
              <w:ind w:right="6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right w:val="single" w:sz="8" w:color="auto"/>
            </w:tcBorders>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460" w:type="dxa"/>
            <w:vAlign w:val="bottom"/>
            <w:tcBorders>
              <w:bottom w:val="single" w:sz="8" w:color="auto"/>
            </w:tcBorders>
            <w:shd w:val="clear" w:color="auto" w:fill="DBDBDB"/>
          </w:tcPr>
          <w:p>
            <w:pPr>
              <w:spacing w:after="0"/>
              <w:rPr>
                <w:sz w:val="16"/>
                <w:szCs w:val="16"/>
                <w:color w:val="auto"/>
              </w:rPr>
            </w:pPr>
          </w:p>
        </w:tc>
        <w:tc>
          <w:tcPr>
            <w:tcW w:w="1080" w:type="dxa"/>
            <w:vAlign w:val="bottom"/>
            <w:tcBorders>
              <w:bottom w:val="single" w:sz="8" w:color="auto"/>
            </w:tcBorders>
            <w:shd w:val="clear" w:color="auto" w:fill="DBDBDB"/>
          </w:tcPr>
          <w:p>
            <w:pPr>
              <w:jc w:val="center"/>
              <w:ind w:right="89"/>
              <w:spacing w:after="0"/>
              <w:rPr>
                <w:sz w:val="20"/>
                <w:szCs w:val="20"/>
                <w:color w:val="auto"/>
              </w:rPr>
            </w:pPr>
            <w:r>
              <w:rPr>
                <w:rFonts w:ascii="Arial" w:cs="Arial" w:eastAsia="Arial" w:hAnsi="Arial"/>
                <w:sz w:val="14"/>
                <w:szCs w:val="14"/>
                <w:color w:val="auto"/>
              </w:rPr>
              <w:t>2020</w:t>
            </w:r>
          </w:p>
        </w:tc>
        <w:tc>
          <w:tcPr>
            <w:tcW w:w="240" w:type="dxa"/>
            <w:vAlign w:val="bottom"/>
            <w:shd w:val="clear" w:color="auto" w:fill="DBDBDB"/>
          </w:tcPr>
          <w:p>
            <w:pPr>
              <w:spacing w:after="0"/>
              <w:rPr>
                <w:sz w:val="16"/>
                <w:szCs w:val="16"/>
                <w:color w:val="auto"/>
              </w:rPr>
            </w:pPr>
          </w:p>
        </w:tc>
        <w:tc>
          <w:tcPr>
            <w:tcW w:w="480" w:type="dxa"/>
            <w:vAlign w:val="bottom"/>
            <w:tcBorders>
              <w:bottom w:val="single" w:sz="8" w:color="auto"/>
            </w:tcBorders>
            <w:shd w:val="clear" w:color="auto" w:fill="DBDBDB"/>
          </w:tcPr>
          <w:p>
            <w:pPr>
              <w:spacing w:after="0"/>
              <w:rPr>
                <w:sz w:val="16"/>
                <w:szCs w:val="16"/>
                <w:color w:val="auto"/>
              </w:rPr>
            </w:pPr>
          </w:p>
        </w:tc>
        <w:tc>
          <w:tcPr>
            <w:tcW w:w="1040" w:type="dxa"/>
            <w:vAlign w:val="bottom"/>
            <w:tcBorders>
              <w:bottom w:val="single" w:sz="8" w:color="auto"/>
            </w:tcBorders>
            <w:shd w:val="clear" w:color="auto" w:fill="DBDBDB"/>
          </w:tcPr>
          <w:p>
            <w:pPr>
              <w:jc w:val="center"/>
              <w:ind w:right="8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right w:val="single" w:sz="8" w:color="auto"/>
            </w:tcBorders>
            <w:shd w:val="clear" w:color="auto" w:fill="DBDBDB"/>
          </w:tcPr>
          <w:p>
            <w:pPr>
              <w:spacing w:after="0"/>
              <w:rPr>
                <w:sz w:val="16"/>
                <w:szCs w:val="16"/>
                <w:color w:val="auto"/>
              </w:rPr>
            </w:pPr>
          </w:p>
        </w:tc>
        <w:tc>
          <w:tcPr>
            <w:tcW w:w="60" w:type="dxa"/>
            <w:vAlign w:val="bottom"/>
            <w:shd w:val="clear" w:color="auto" w:fill="DBDBDB"/>
          </w:tcPr>
          <w:p>
            <w:pPr>
              <w:spacing w:after="0"/>
              <w:rPr>
                <w:sz w:val="16"/>
                <w:szCs w:val="16"/>
                <w:color w:val="auto"/>
              </w:rPr>
            </w:pPr>
          </w:p>
        </w:tc>
        <w:tc>
          <w:tcPr>
            <w:tcW w:w="480" w:type="dxa"/>
            <w:vAlign w:val="bottom"/>
            <w:tcBorders>
              <w:bottom w:val="single" w:sz="8" w:color="auto"/>
            </w:tcBorders>
            <w:shd w:val="clear" w:color="auto" w:fill="DBDBDB"/>
          </w:tcPr>
          <w:p>
            <w:pPr>
              <w:spacing w:after="0"/>
              <w:rPr>
                <w:sz w:val="16"/>
                <w:szCs w:val="16"/>
                <w:color w:val="auto"/>
              </w:rPr>
            </w:pPr>
          </w:p>
        </w:tc>
        <w:tc>
          <w:tcPr>
            <w:tcW w:w="860" w:type="dxa"/>
            <w:vAlign w:val="bottom"/>
            <w:tcBorders>
              <w:bottom w:val="single" w:sz="8" w:color="auto"/>
            </w:tcBorders>
            <w:shd w:val="clear" w:color="auto" w:fill="DBDBDB"/>
          </w:tcPr>
          <w:p>
            <w:pPr>
              <w:jc w:val="center"/>
              <w:spacing w:after="0"/>
              <w:rPr>
                <w:sz w:val="20"/>
                <w:szCs w:val="20"/>
                <w:color w:val="auto"/>
              </w:rPr>
            </w:pPr>
            <w:r>
              <w:rPr>
                <w:rFonts w:ascii="Arial" w:cs="Arial" w:eastAsia="Arial" w:hAnsi="Arial"/>
                <w:sz w:val="14"/>
                <w:szCs w:val="14"/>
                <w:color w:val="auto"/>
              </w:rPr>
              <w:t>2020</w:t>
            </w:r>
          </w:p>
        </w:tc>
      </w:tr>
      <w:tr>
        <w:trPr>
          <w:trHeight w:val="378"/>
        </w:trPr>
        <w:tc>
          <w:tcPr>
            <w:tcW w:w="4380" w:type="dxa"/>
            <w:vAlign w:val="bottom"/>
          </w:tcPr>
          <w:p>
            <w:pPr>
              <w:ind w:left="340"/>
              <w:spacing w:after="0"/>
              <w:rPr>
                <w:sz w:val="20"/>
                <w:szCs w:val="20"/>
                <w:color w:val="auto"/>
              </w:rPr>
            </w:pPr>
            <w:r>
              <w:rPr>
                <w:rFonts w:ascii="Arial" w:cs="Arial" w:eastAsia="Arial" w:hAnsi="Arial"/>
                <w:sz w:val="14"/>
                <w:szCs w:val="14"/>
                <w:color w:val="auto"/>
              </w:rPr>
              <w:t>Net cash provided by operating activities</w:t>
            </w: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127</w:t>
            </w:r>
          </w:p>
        </w:tc>
        <w:tc>
          <w:tcPr>
            <w:tcW w:w="1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(135)</w:t>
            </w: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274</w:t>
            </w:r>
          </w:p>
        </w:tc>
        <w:tc>
          <w:tcPr>
            <w:tcW w:w="12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spacing w:after="0"/>
              <w:rPr>
                <w:sz w:val="24"/>
                <w:szCs w:val="24"/>
                <w:color w:val="auto"/>
              </w:rPr>
            </w:pPr>
          </w:p>
        </w:tc>
      </w:tr>
      <w:tr>
        <w:trPr>
          <w:trHeight w:val="185"/>
        </w:trPr>
        <w:tc>
          <w:tcPr>
            <w:tcW w:w="4380" w:type="dxa"/>
            <w:vAlign w:val="bottom"/>
            <w:shd w:val="clear" w:color="auto" w:fill="DBDBDB"/>
          </w:tcPr>
          <w:p>
            <w:pPr>
              <w:ind w:left="420"/>
              <w:spacing w:after="0"/>
              <w:rPr>
                <w:sz w:val="20"/>
                <w:szCs w:val="20"/>
                <w:color w:val="auto"/>
              </w:rPr>
            </w:pPr>
            <w:r>
              <w:rPr>
                <w:rFonts w:ascii="Arial" w:cs="Arial" w:eastAsia="Arial" w:hAnsi="Arial"/>
                <w:sz w:val="14"/>
                <w:szCs w:val="14"/>
                <w:color w:val="auto"/>
              </w:rPr>
              <w:t>Capital investments</w:t>
            </w:r>
          </w:p>
        </w:tc>
        <w:tc>
          <w:tcPr>
            <w:tcW w:w="100" w:type="dxa"/>
            <w:vAlign w:val="bottom"/>
            <w:shd w:val="clear" w:color="auto" w:fill="DBDBDB"/>
          </w:tcPr>
          <w:p>
            <w:pPr>
              <w:spacing w:after="0"/>
              <w:rPr>
                <w:sz w:val="16"/>
                <w:szCs w:val="16"/>
                <w:color w:val="auto"/>
              </w:rPr>
            </w:pPr>
          </w:p>
        </w:tc>
        <w:tc>
          <w:tcPr>
            <w:tcW w:w="460" w:type="dxa"/>
            <w:vAlign w:val="bottom"/>
            <w:tcBorders>
              <w:bottom w:val="single" w:sz="8" w:color="auto"/>
            </w:tcBorders>
            <w:shd w:val="clear" w:color="auto" w:fill="DBDBDB"/>
          </w:tcPr>
          <w:p>
            <w:pPr>
              <w:spacing w:after="0"/>
              <w:rPr>
                <w:sz w:val="16"/>
                <w:szCs w:val="16"/>
                <w:color w:val="auto"/>
              </w:rPr>
            </w:pP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b w:val="1"/>
                <w:bCs w:val="1"/>
                <w:color w:val="auto"/>
              </w:rPr>
              <w:t>(50)</w:t>
            </w:r>
          </w:p>
        </w:tc>
        <w:tc>
          <w:tcPr>
            <w:tcW w:w="120" w:type="dxa"/>
            <w:vAlign w:val="bottom"/>
            <w:tcBorders>
              <w:right w:val="single" w:sz="8" w:color="auto"/>
            </w:tcBorders>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460" w:type="dxa"/>
            <w:vAlign w:val="bottom"/>
            <w:tcBorders>
              <w:bottom w:val="single" w:sz="8" w:color="auto"/>
            </w:tcBorders>
            <w:shd w:val="clear" w:color="auto" w:fill="DBDBDB"/>
          </w:tcPr>
          <w:p>
            <w:pPr>
              <w:spacing w:after="0"/>
              <w:rPr>
                <w:sz w:val="16"/>
                <w:szCs w:val="16"/>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(3)</w:t>
            </w:r>
          </w:p>
        </w:tc>
        <w:tc>
          <w:tcPr>
            <w:tcW w:w="240" w:type="dxa"/>
            <w:vAlign w:val="bottom"/>
          </w:tcPr>
          <w:p>
            <w:pPr>
              <w:spacing w:after="0"/>
              <w:rPr>
                <w:sz w:val="16"/>
                <w:szCs w:val="16"/>
                <w:color w:val="auto"/>
              </w:rPr>
            </w:pPr>
          </w:p>
        </w:tc>
        <w:tc>
          <w:tcPr>
            <w:tcW w:w="480" w:type="dxa"/>
            <w:vAlign w:val="bottom"/>
            <w:tcBorders>
              <w:bottom w:val="single" w:sz="8" w:color="auto"/>
            </w:tcBorders>
            <w:shd w:val="clear" w:color="auto" w:fill="DBDBDB"/>
          </w:tcPr>
          <w:p>
            <w:pPr>
              <w:spacing w:after="0"/>
              <w:rPr>
                <w:sz w:val="16"/>
                <w:szCs w:val="16"/>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b w:val="1"/>
                <w:bCs w:val="1"/>
                <w:color w:val="auto"/>
              </w:rPr>
              <w:t>(77)</w:t>
            </w:r>
          </w:p>
        </w:tc>
        <w:tc>
          <w:tcPr>
            <w:tcW w:w="120" w:type="dxa"/>
            <w:vAlign w:val="bottom"/>
            <w:tcBorders>
              <w:right w:val="single" w:sz="8" w:color="auto"/>
            </w:tcBorders>
            <w:shd w:val="clear" w:color="auto" w:fill="DBDBDB"/>
          </w:tcPr>
          <w:p>
            <w:pPr>
              <w:spacing w:after="0"/>
              <w:rPr>
                <w:sz w:val="16"/>
                <w:szCs w:val="16"/>
                <w:color w:val="auto"/>
              </w:rPr>
            </w:pPr>
          </w:p>
        </w:tc>
        <w:tc>
          <w:tcPr>
            <w:tcW w:w="60" w:type="dxa"/>
            <w:vAlign w:val="bottom"/>
            <w:shd w:val="clear" w:color="auto" w:fill="DBDBDB"/>
          </w:tcPr>
          <w:p>
            <w:pPr>
              <w:spacing w:after="0"/>
              <w:rPr>
                <w:sz w:val="16"/>
                <w:szCs w:val="16"/>
                <w:color w:val="auto"/>
              </w:rPr>
            </w:pPr>
          </w:p>
        </w:tc>
        <w:tc>
          <w:tcPr>
            <w:tcW w:w="480" w:type="dxa"/>
            <w:vAlign w:val="bottom"/>
            <w:tcBorders>
              <w:bottom w:val="single" w:sz="8" w:color="auto"/>
            </w:tcBorders>
            <w:shd w:val="clear" w:color="auto" w:fill="DBDBDB"/>
          </w:tcPr>
          <w:p>
            <w:pPr>
              <w:spacing w:after="0"/>
              <w:rPr>
                <w:sz w:val="16"/>
                <w:szCs w:val="16"/>
                <w:color w:val="auto"/>
              </w:rPr>
            </w:pP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w:t>
            </w:r>
          </w:p>
        </w:tc>
      </w:tr>
      <w:tr>
        <w:trPr>
          <w:trHeight w:val="179"/>
        </w:trPr>
        <w:tc>
          <w:tcPr>
            <w:tcW w:w="4380" w:type="dxa"/>
            <w:vAlign w:val="bottom"/>
          </w:tcPr>
          <w:p>
            <w:pPr>
              <w:ind w:left="340"/>
              <w:spacing w:after="0"/>
              <w:rPr>
                <w:sz w:val="20"/>
                <w:szCs w:val="20"/>
                <w:color w:val="auto"/>
              </w:rPr>
            </w:pPr>
            <w:r>
              <w:rPr>
                <w:rFonts w:ascii="Arial" w:cs="Arial" w:eastAsia="Arial" w:hAnsi="Arial"/>
                <w:sz w:val="14"/>
                <w:szCs w:val="14"/>
                <w:color w:val="auto"/>
              </w:rPr>
              <w:t>Free cash flow</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77</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(138)</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197</w:t>
            </w: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6"/>
        </w:trPr>
        <w:tc>
          <w:tcPr>
            <w:tcW w:w="4380" w:type="dxa"/>
            <w:vAlign w:val="bottom"/>
            <w:shd w:val="clear" w:color="auto" w:fill="DBDBDB"/>
          </w:tcPr>
          <w:p>
            <w:pPr>
              <w:ind w:left="460"/>
              <w:spacing w:after="0"/>
              <w:rPr>
                <w:sz w:val="20"/>
                <w:szCs w:val="20"/>
                <w:color w:val="auto"/>
              </w:rPr>
            </w:pPr>
            <w:r>
              <w:rPr>
                <w:rFonts w:ascii="Arial" w:cs="Arial" w:eastAsia="Arial" w:hAnsi="Arial"/>
                <w:sz w:val="14"/>
                <w:szCs w:val="14"/>
                <w:color w:val="auto"/>
              </w:rPr>
              <w:t>One-time bankruptcy related fees</w:t>
            </w:r>
          </w:p>
        </w:tc>
        <w:tc>
          <w:tcPr>
            <w:tcW w:w="100" w:type="dxa"/>
            <w:vAlign w:val="bottom"/>
            <w:shd w:val="clear" w:color="auto" w:fill="DBDBDB"/>
          </w:tcPr>
          <w:p>
            <w:pPr>
              <w:spacing w:after="0"/>
              <w:rPr>
                <w:sz w:val="16"/>
                <w:szCs w:val="16"/>
                <w:color w:val="auto"/>
              </w:rPr>
            </w:pPr>
          </w:p>
        </w:tc>
        <w:tc>
          <w:tcPr>
            <w:tcW w:w="460" w:type="dxa"/>
            <w:vAlign w:val="bottom"/>
            <w:tcBorders>
              <w:bottom w:val="single" w:sz="8" w:color="auto"/>
            </w:tcBorders>
            <w:shd w:val="clear" w:color="auto" w:fill="DBDBDB"/>
          </w:tcPr>
          <w:p>
            <w:pPr>
              <w:spacing w:after="0"/>
              <w:rPr>
                <w:sz w:val="16"/>
                <w:szCs w:val="16"/>
                <w:color w:val="auto"/>
              </w:rPr>
            </w:pP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b w:val="1"/>
                <w:bCs w:val="1"/>
                <w:color w:val="auto"/>
              </w:rPr>
              <w:t>2</w:t>
            </w:r>
          </w:p>
        </w:tc>
        <w:tc>
          <w:tcPr>
            <w:tcW w:w="120" w:type="dxa"/>
            <w:vAlign w:val="bottom"/>
            <w:tcBorders>
              <w:right w:val="single" w:sz="8" w:color="auto"/>
            </w:tcBorders>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460" w:type="dxa"/>
            <w:vAlign w:val="bottom"/>
            <w:tcBorders>
              <w:bottom w:val="single" w:sz="8" w:color="auto"/>
            </w:tcBorders>
            <w:shd w:val="clear" w:color="auto" w:fill="DBDBDB"/>
          </w:tcPr>
          <w:p>
            <w:pPr>
              <w:spacing w:after="0"/>
              <w:rPr>
                <w:sz w:val="16"/>
                <w:szCs w:val="16"/>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42</w:t>
            </w:r>
          </w:p>
        </w:tc>
        <w:tc>
          <w:tcPr>
            <w:tcW w:w="240" w:type="dxa"/>
            <w:vAlign w:val="bottom"/>
          </w:tcPr>
          <w:p>
            <w:pPr>
              <w:spacing w:after="0"/>
              <w:rPr>
                <w:sz w:val="16"/>
                <w:szCs w:val="16"/>
                <w:color w:val="auto"/>
              </w:rPr>
            </w:pPr>
          </w:p>
        </w:tc>
        <w:tc>
          <w:tcPr>
            <w:tcW w:w="480" w:type="dxa"/>
            <w:vAlign w:val="bottom"/>
            <w:tcBorders>
              <w:bottom w:val="single" w:sz="8" w:color="auto"/>
            </w:tcBorders>
            <w:shd w:val="clear" w:color="auto" w:fill="DBDBDB"/>
          </w:tcPr>
          <w:p>
            <w:pPr>
              <w:spacing w:after="0"/>
              <w:rPr>
                <w:sz w:val="16"/>
                <w:szCs w:val="16"/>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b w:val="1"/>
                <w:bCs w:val="1"/>
                <w:color w:val="auto"/>
              </w:rPr>
              <w:t>4</w:t>
            </w:r>
          </w:p>
        </w:tc>
        <w:tc>
          <w:tcPr>
            <w:tcW w:w="120" w:type="dxa"/>
            <w:vAlign w:val="bottom"/>
            <w:tcBorders>
              <w:right w:val="single" w:sz="8" w:color="auto"/>
            </w:tcBorders>
            <w:shd w:val="clear" w:color="auto" w:fill="DBDBDB"/>
          </w:tcPr>
          <w:p>
            <w:pPr>
              <w:spacing w:after="0"/>
              <w:rPr>
                <w:sz w:val="16"/>
                <w:szCs w:val="16"/>
                <w:color w:val="auto"/>
              </w:rPr>
            </w:pPr>
          </w:p>
        </w:tc>
        <w:tc>
          <w:tcPr>
            <w:tcW w:w="60" w:type="dxa"/>
            <w:vAlign w:val="bottom"/>
            <w:shd w:val="clear" w:color="auto" w:fill="DBDBDB"/>
          </w:tcPr>
          <w:p>
            <w:pPr>
              <w:spacing w:after="0"/>
              <w:rPr>
                <w:sz w:val="16"/>
                <w:szCs w:val="16"/>
                <w:color w:val="auto"/>
              </w:rPr>
            </w:pPr>
          </w:p>
        </w:tc>
        <w:tc>
          <w:tcPr>
            <w:tcW w:w="480" w:type="dxa"/>
            <w:vAlign w:val="bottom"/>
            <w:tcBorders>
              <w:bottom w:val="single" w:sz="8" w:color="auto"/>
            </w:tcBorders>
            <w:shd w:val="clear" w:color="auto" w:fill="DBDBDB"/>
          </w:tcPr>
          <w:p>
            <w:pPr>
              <w:spacing w:after="0"/>
              <w:rPr>
                <w:sz w:val="16"/>
                <w:szCs w:val="16"/>
                <w:color w:val="auto"/>
              </w:rPr>
            </w:pPr>
          </w:p>
        </w:tc>
        <w:tc>
          <w:tcPr>
            <w:tcW w:w="860" w:type="dxa"/>
            <w:vAlign w:val="bottom"/>
            <w:tcBorders>
              <w:bottom w:val="single" w:sz="8" w:color="auto"/>
            </w:tcBorders>
            <w:shd w:val="clear" w:color="auto" w:fill="DBDBDB"/>
          </w:tcPr>
          <w:p>
            <w:pPr>
              <w:spacing w:after="0"/>
              <w:rPr>
                <w:sz w:val="16"/>
                <w:szCs w:val="16"/>
                <w:color w:val="auto"/>
              </w:rPr>
            </w:pPr>
          </w:p>
        </w:tc>
      </w:tr>
      <w:tr>
        <w:trPr>
          <w:trHeight w:val="219"/>
        </w:trPr>
        <w:tc>
          <w:tcPr>
            <w:tcW w:w="4380" w:type="dxa"/>
            <w:vAlign w:val="bottom"/>
          </w:tcPr>
          <w:p>
            <w:pPr>
              <w:ind w:left="340"/>
              <w:spacing w:after="0"/>
              <w:rPr>
                <w:sz w:val="20"/>
                <w:szCs w:val="20"/>
                <w:color w:val="auto"/>
              </w:rPr>
            </w:pPr>
            <w:r>
              <w:rPr>
                <w:rFonts w:ascii="Arial" w:cs="Arial" w:eastAsia="Arial" w:hAnsi="Arial"/>
                <w:sz w:val="14"/>
                <w:szCs w:val="14"/>
                <w:color w:val="auto"/>
              </w:rPr>
              <w:t>Free cash flow, after special items</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79</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w:t>
            </w:r>
          </w:p>
        </w:tc>
        <w:tc>
          <w:tcPr>
            <w:tcW w:w="240" w:type="dxa"/>
            <w:vAlign w:val="bottom"/>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r>
    </w:tbl>
    <w:p>
      <w:pPr>
        <w:spacing w:after="0" w:line="325" w:lineRule="exact"/>
        <w:rPr>
          <w:sz w:val="20"/>
          <w:szCs w:val="20"/>
          <w:color w:val="auto"/>
        </w:rPr>
      </w:pPr>
    </w:p>
    <w:p>
      <w:pPr>
        <w:jc w:val="both"/>
        <w:ind w:right="100" w:firstLine="318"/>
        <w:spacing w:after="0" w:line="238" w:lineRule="auto"/>
        <w:rPr>
          <w:sz w:val="20"/>
          <w:szCs w:val="20"/>
          <w:color w:val="auto"/>
        </w:rPr>
      </w:pPr>
      <w:r>
        <w:rPr>
          <w:rFonts w:ascii="Arial" w:cs="Arial" w:eastAsia="Arial" w:hAnsi="Arial"/>
          <w:sz w:val="21"/>
          <w:szCs w:val="21"/>
          <w:color w:val="auto"/>
        </w:rPr>
        <w:t>Operating costs for the second quarter of 2021 were $169 million compared to $127 million for the second quarter of 2020. Operating costs for the six months ended June 30, 2021 were $333 million compared to $319 million for the same period in 2020. The increase was primarily attributable to higher downhole maintenance activity in 2021 which was deferred in 2020 as CRC shut-in wells. Additionally, operating costs increased in 2021 due to higher energy costs and natural gas prices as compared to 2020. Partially offsetting these increases were lower compensation-related costs from streamlining CRC's operations, which included headcount reductions in late 2020 and early 2021. CRC's second quarter 2020 reflect cost savings for reduced work hours and reduced management salaries in response to the industry downturn and the COVID-19 pandemic. Although higher natural gas and electricity prices in 2021 increased CRC's operating costs, higher prices have a net positive effect on operating results due to higher revenue from sales of these commodities which CRC also produces.</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21"/>
          <w:szCs w:val="21"/>
          <w:color w:val="auto"/>
        </w:rPr>
        <w:t>Operating costs per BOE are presented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170180</wp:posOffset>
            </wp:positionV>
            <wp:extent cx="69951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195580</wp:posOffset>
            </wp:positionV>
            <wp:extent cx="69951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01"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OPERATING COSTS PER BOE</w:t>
      </w:r>
    </w:p>
    <w:p>
      <w:pPr>
        <w:spacing w:after="0" w:line="135" w:lineRule="exact"/>
        <w:rPr>
          <w:sz w:val="20"/>
          <w:szCs w:val="20"/>
          <w:color w:val="auto"/>
        </w:rPr>
      </w:pPr>
    </w:p>
    <w:p>
      <w:pPr>
        <w:ind w:left="340" w:right="180" w:firstLine="318"/>
        <w:spacing w:after="0" w:line="225" w:lineRule="auto"/>
        <w:rPr>
          <w:sz w:val="20"/>
          <w:szCs w:val="20"/>
          <w:color w:val="auto"/>
        </w:rPr>
      </w:pPr>
      <w:r>
        <w:rPr>
          <w:rFonts w:ascii="Arial" w:cs="Arial" w:eastAsia="Arial" w:hAnsi="Arial"/>
          <w:sz w:val="14"/>
          <w:szCs w:val="14"/>
          <w:color w:val="auto"/>
        </w:rPr>
        <w:t>The reporting of our PSC- type contracts creates a difference between reported operating costs, which are for the full field, and reported volumes, which are only our net share, inflating the per barrel operating costs. The following table presents operating costs after adjusting for the excess costs attributable to PSC-type contracts.</w:t>
      </w:r>
    </w:p>
    <w:p>
      <w:pPr>
        <w:spacing w:after="0" w:line="137" w:lineRule="exact"/>
        <w:rPr>
          <w:sz w:val="20"/>
          <w:szCs w:val="20"/>
          <w:color w:val="auto"/>
        </w:rPr>
      </w:pPr>
    </w:p>
    <w:tbl>
      <w:tblPr>
        <w:tblLayout w:type="fixed"/>
        <w:tblInd w:w="320" w:type="dxa"/>
        <w:tblCellMar>
          <w:top w:w="0" w:type="dxa"/>
          <w:left w:w="0" w:type="dxa"/>
          <w:bottom w:w="0" w:type="dxa"/>
          <w:right w:w="0" w:type="dxa"/>
        </w:tblCellMar>
      </w:tblPr>
      <w:tr>
        <w:trPr>
          <w:trHeight w:val="199"/>
        </w:trPr>
        <w:tc>
          <w:tcPr>
            <w:tcW w:w="4580" w:type="dxa"/>
            <w:vAlign w:val="bottom"/>
            <w:tcBorders>
              <w:top w:val="single" w:sz="8" w:color="DBDBDB"/>
              <w:bottom w:val="single" w:sz="8" w:color="DBDBDB"/>
            </w:tcBorders>
            <w:shd w:val="clear" w:color="auto" w:fill="DBDBDB"/>
          </w:tcPr>
          <w:p>
            <w:pPr>
              <w:spacing w:after="0"/>
              <w:rPr>
                <w:sz w:val="17"/>
                <w:szCs w:val="17"/>
                <w:color w:val="auto"/>
              </w:rPr>
            </w:pPr>
          </w:p>
        </w:tc>
        <w:tc>
          <w:tcPr>
            <w:tcW w:w="120" w:type="dxa"/>
            <w:vAlign w:val="bottom"/>
            <w:tcBorders>
              <w:top w:val="single" w:sz="8" w:color="DBDBDB"/>
              <w:bottom w:val="single" w:sz="8" w:color="DBDBDB"/>
            </w:tcBorders>
            <w:shd w:val="clear" w:color="auto" w:fill="DBDBDB"/>
          </w:tcPr>
          <w:p>
            <w:pPr>
              <w:spacing w:after="0"/>
              <w:rPr>
                <w:sz w:val="17"/>
                <w:szCs w:val="17"/>
                <w:color w:val="auto"/>
              </w:rPr>
            </w:pPr>
          </w:p>
        </w:tc>
        <w:tc>
          <w:tcPr>
            <w:tcW w:w="460" w:type="dxa"/>
            <w:vAlign w:val="bottom"/>
            <w:tcBorders>
              <w:top w:val="single" w:sz="8" w:color="auto"/>
              <w:bottom w:val="single" w:sz="8" w:color="auto"/>
            </w:tcBorders>
            <w:shd w:val="clear" w:color="auto" w:fill="DBDBDB"/>
          </w:tcPr>
          <w:p>
            <w:pPr>
              <w:spacing w:after="0"/>
              <w:rPr>
                <w:sz w:val="17"/>
                <w:szCs w:val="17"/>
                <w:color w:val="auto"/>
              </w:rPr>
            </w:pPr>
          </w:p>
        </w:tc>
        <w:tc>
          <w:tcPr>
            <w:tcW w:w="1020" w:type="dxa"/>
            <w:vAlign w:val="bottom"/>
            <w:tcBorders>
              <w:top w:val="single" w:sz="8" w:color="auto"/>
              <w:bottom w:val="single" w:sz="8" w:color="auto"/>
            </w:tcBorders>
            <w:shd w:val="clear" w:color="auto" w:fill="DBDBDB"/>
          </w:tcPr>
          <w:p>
            <w:pPr>
              <w:jc w:val="center"/>
              <w:ind w:right="69"/>
              <w:spacing w:after="0"/>
              <w:rPr>
                <w:sz w:val="20"/>
                <w:szCs w:val="20"/>
                <w:color w:val="auto"/>
              </w:rPr>
            </w:pPr>
            <w:r>
              <w:rPr>
                <w:rFonts w:ascii="Arial" w:cs="Arial" w:eastAsia="Arial" w:hAnsi="Arial"/>
                <w:sz w:val="14"/>
                <w:szCs w:val="14"/>
                <w:b w:val="1"/>
                <w:bCs w:val="1"/>
                <w:color w:val="auto"/>
              </w:rPr>
              <w:t>Successor</w:t>
            </w:r>
          </w:p>
        </w:tc>
        <w:tc>
          <w:tcPr>
            <w:tcW w:w="120" w:type="dxa"/>
            <w:vAlign w:val="bottom"/>
            <w:tcBorders>
              <w:top w:val="single" w:sz="8" w:color="DBDBDB"/>
              <w:bottom w:val="single" w:sz="8" w:color="DBDBDB"/>
              <w:right w:val="single" w:sz="8" w:color="auto"/>
            </w:tcBorders>
            <w:shd w:val="clear" w:color="auto" w:fill="DBDBDB"/>
          </w:tcPr>
          <w:p>
            <w:pPr>
              <w:spacing w:after="0"/>
              <w:rPr>
                <w:sz w:val="17"/>
                <w:szCs w:val="17"/>
                <w:color w:val="auto"/>
              </w:rPr>
            </w:pPr>
          </w:p>
        </w:tc>
        <w:tc>
          <w:tcPr>
            <w:tcW w:w="60" w:type="dxa"/>
            <w:vAlign w:val="bottom"/>
            <w:tcBorders>
              <w:top w:val="single" w:sz="8" w:color="DBDBDB"/>
              <w:bottom w:val="single" w:sz="8" w:color="DBDBDB"/>
            </w:tcBorders>
            <w:shd w:val="clear" w:color="auto" w:fill="DBDBDB"/>
          </w:tcPr>
          <w:p>
            <w:pPr>
              <w:spacing w:after="0"/>
              <w:rPr>
                <w:sz w:val="17"/>
                <w:szCs w:val="17"/>
                <w:color w:val="auto"/>
              </w:rPr>
            </w:pPr>
          </w:p>
        </w:tc>
        <w:tc>
          <w:tcPr>
            <w:tcW w:w="460" w:type="dxa"/>
            <w:vAlign w:val="bottom"/>
            <w:tcBorders>
              <w:top w:val="single" w:sz="8" w:color="auto"/>
              <w:bottom w:val="single" w:sz="8" w:color="auto"/>
            </w:tcBorders>
            <w:shd w:val="clear" w:color="auto" w:fill="DBDBDB"/>
          </w:tcPr>
          <w:p>
            <w:pPr>
              <w:spacing w:after="0"/>
              <w:rPr>
                <w:sz w:val="17"/>
                <w:szCs w:val="17"/>
                <w:color w:val="auto"/>
              </w:rPr>
            </w:pPr>
          </w:p>
        </w:tc>
        <w:tc>
          <w:tcPr>
            <w:tcW w:w="1020" w:type="dxa"/>
            <w:vAlign w:val="bottom"/>
            <w:tcBorders>
              <w:top w:val="single" w:sz="8" w:color="auto"/>
              <w:bottom w:val="single" w:sz="8" w:color="auto"/>
            </w:tcBorders>
            <w:shd w:val="clear" w:color="auto" w:fill="DBDBDB"/>
          </w:tcPr>
          <w:p>
            <w:pPr>
              <w:jc w:val="center"/>
              <w:ind w:right="69"/>
              <w:spacing w:after="0"/>
              <w:rPr>
                <w:sz w:val="20"/>
                <w:szCs w:val="20"/>
                <w:color w:val="auto"/>
              </w:rPr>
            </w:pPr>
            <w:r>
              <w:rPr>
                <w:rFonts w:ascii="Arial" w:cs="Arial" w:eastAsia="Arial" w:hAnsi="Arial"/>
                <w:sz w:val="14"/>
                <w:szCs w:val="14"/>
                <w:color w:val="auto"/>
              </w:rPr>
              <w:t>Predecessor</w:t>
            </w:r>
          </w:p>
        </w:tc>
        <w:tc>
          <w:tcPr>
            <w:tcW w:w="240" w:type="dxa"/>
            <w:vAlign w:val="bottom"/>
            <w:tcBorders>
              <w:top w:val="single" w:sz="8" w:color="DBDBDB"/>
              <w:bottom w:val="single" w:sz="8" w:color="DBDBDB"/>
            </w:tcBorders>
            <w:shd w:val="clear" w:color="auto" w:fill="DBDBDB"/>
          </w:tcPr>
          <w:p>
            <w:pPr>
              <w:spacing w:after="0"/>
              <w:rPr>
                <w:sz w:val="17"/>
                <w:szCs w:val="17"/>
                <w:color w:val="auto"/>
              </w:rPr>
            </w:pPr>
          </w:p>
        </w:tc>
        <w:tc>
          <w:tcPr>
            <w:tcW w:w="480" w:type="dxa"/>
            <w:vAlign w:val="bottom"/>
            <w:tcBorders>
              <w:top w:val="single" w:sz="8" w:color="auto"/>
              <w:bottom w:val="single" w:sz="8" w:color="auto"/>
            </w:tcBorders>
            <w:shd w:val="clear" w:color="auto" w:fill="DBDBDB"/>
          </w:tcPr>
          <w:p>
            <w:pPr>
              <w:spacing w:after="0"/>
              <w:rPr>
                <w:sz w:val="17"/>
                <w:szCs w:val="17"/>
                <w:color w:val="auto"/>
              </w:rPr>
            </w:pPr>
          </w:p>
        </w:tc>
        <w:tc>
          <w:tcPr>
            <w:tcW w:w="1020" w:type="dxa"/>
            <w:vAlign w:val="bottom"/>
            <w:tcBorders>
              <w:top w:val="single" w:sz="8" w:color="auto"/>
              <w:bottom w:val="single" w:sz="8" w:color="auto"/>
            </w:tcBorders>
            <w:shd w:val="clear" w:color="auto" w:fill="DBDBDB"/>
          </w:tcPr>
          <w:p>
            <w:pPr>
              <w:jc w:val="center"/>
              <w:ind w:right="89"/>
              <w:spacing w:after="0"/>
              <w:rPr>
                <w:sz w:val="20"/>
                <w:szCs w:val="20"/>
                <w:color w:val="auto"/>
              </w:rPr>
            </w:pPr>
            <w:r>
              <w:rPr>
                <w:rFonts w:ascii="Arial" w:cs="Arial" w:eastAsia="Arial" w:hAnsi="Arial"/>
                <w:sz w:val="14"/>
                <w:szCs w:val="14"/>
                <w:b w:val="1"/>
                <w:bCs w:val="1"/>
                <w:color w:val="auto"/>
                <w:w w:val="98"/>
              </w:rPr>
              <w:t>Successor</w:t>
            </w:r>
          </w:p>
        </w:tc>
        <w:tc>
          <w:tcPr>
            <w:tcW w:w="100" w:type="dxa"/>
            <w:vAlign w:val="bottom"/>
            <w:tcBorders>
              <w:top w:val="single" w:sz="8" w:color="DBDBDB"/>
              <w:bottom w:val="single" w:sz="8" w:color="DBDBDB"/>
              <w:right w:val="single" w:sz="8" w:color="auto"/>
            </w:tcBorders>
            <w:shd w:val="clear" w:color="auto" w:fill="DBDBDB"/>
          </w:tcPr>
          <w:p>
            <w:pPr>
              <w:spacing w:after="0"/>
              <w:rPr>
                <w:sz w:val="17"/>
                <w:szCs w:val="17"/>
                <w:color w:val="auto"/>
              </w:rPr>
            </w:pPr>
          </w:p>
        </w:tc>
        <w:tc>
          <w:tcPr>
            <w:tcW w:w="80" w:type="dxa"/>
            <w:vAlign w:val="bottom"/>
            <w:tcBorders>
              <w:top w:val="single" w:sz="8" w:color="DBDBDB"/>
              <w:bottom w:val="single" w:sz="8" w:color="DBDBDB"/>
            </w:tcBorders>
            <w:shd w:val="clear" w:color="auto" w:fill="DBDBDB"/>
          </w:tcPr>
          <w:p>
            <w:pPr>
              <w:spacing w:after="0"/>
              <w:rPr>
                <w:sz w:val="17"/>
                <w:szCs w:val="17"/>
                <w:color w:val="auto"/>
              </w:rPr>
            </w:pPr>
          </w:p>
        </w:tc>
        <w:tc>
          <w:tcPr>
            <w:tcW w:w="460" w:type="dxa"/>
            <w:vAlign w:val="bottom"/>
            <w:tcBorders>
              <w:top w:val="single" w:sz="8" w:color="auto"/>
              <w:bottom w:val="single" w:sz="8" w:color="auto"/>
            </w:tcBorders>
            <w:shd w:val="clear" w:color="auto" w:fill="DBDBDB"/>
          </w:tcPr>
          <w:p>
            <w:pPr>
              <w:spacing w:after="0"/>
              <w:rPr>
                <w:sz w:val="17"/>
                <w:szCs w:val="17"/>
                <w:color w:val="auto"/>
              </w:rPr>
            </w:pPr>
          </w:p>
        </w:tc>
        <w:tc>
          <w:tcPr>
            <w:tcW w:w="8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Predecesso</w:t>
            </w:r>
          </w:p>
        </w:tc>
      </w:tr>
      <w:tr>
        <w:trPr>
          <w:trHeight w:val="179"/>
        </w:trPr>
        <w:tc>
          <w:tcPr>
            <w:tcW w:w="458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460" w:type="dxa"/>
            <w:vAlign w:val="bottom"/>
            <w:shd w:val="clear" w:color="auto" w:fill="DBDBDB"/>
          </w:tcPr>
          <w:p>
            <w:pPr>
              <w:spacing w:after="0"/>
              <w:rPr>
                <w:sz w:val="15"/>
                <w:szCs w:val="15"/>
                <w:color w:val="auto"/>
              </w:rPr>
            </w:pPr>
          </w:p>
        </w:tc>
        <w:tc>
          <w:tcPr>
            <w:tcW w:w="1020" w:type="dxa"/>
            <w:vAlign w:val="bottom"/>
            <w:shd w:val="clear" w:color="auto" w:fill="DBDBDB"/>
          </w:tcPr>
          <w:p>
            <w:pPr>
              <w:jc w:val="center"/>
              <w:ind w:right="69"/>
              <w:spacing w:after="0"/>
              <w:rPr>
                <w:sz w:val="20"/>
                <w:szCs w:val="20"/>
                <w:color w:val="auto"/>
              </w:rPr>
            </w:pPr>
            <w:r>
              <w:rPr>
                <w:rFonts w:ascii="Arial" w:cs="Arial" w:eastAsia="Arial" w:hAnsi="Arial"/>
                <w:sz w:val="14"/>
                <w:szCs w:val="14"/>
                <w:b w:val="1"/>
                <w:bCs w:val="1"/>
                <w:color w:val="auto"/>
              </w:rPr>
              <w:t>2nd Quarter</w:t>
            </w:r>
          </w:p>
        </w:tc>
        <w:tc>
          <w:tcPr>
            <w:tcW w:w="120" w:type="dxa"/>
            <w:vAlign w:val="bottom"/>
            <w:tcBorders>
              <w:right w:val="single" w:sz="8" w:color="auto"/>
            </w:tcBorders>
            <w:shd w:val="clear" w:color="auto" w:fill="DBDBDB"/>
          </w:tcPr>
          <w:p>
            <w:pPr>
              <w:spacing w:after="0"/>
              <w:rPr>
                <w:sz w:val="15"/>
                <w:szCs w:val="15"/>
                <w:color w:val="auto"/>
              </w:rPr>
            </w:pPr>
          </w:p>
        </w:tc>
        <w:tc>
          <w:tcPr>
            <w:tcW w:w="60" w:type="dxa"/>
            <w:vAlign w:val="bottom"/>
            <w:shd w:val="clear" w:color="auto" w:fill="DBDBDB"/>
          </w:tcPr>
          <w:p>
            <w:pPr>
              <w:spacing w:after="0"/>
              <w:rPr>
                <w:sz w:val="15"/>
                <w:szCs w:val="15"/>
                <w:color w:val="auto"/>
              </w:rPr>
            </w:pPr>
          </w:p>
        </w:tc>
        <w:tc>
          <w:tcPr>
            <w:tcW w:w="460" w:type="dxa"/>
            <w:vAlign w:val="bottom"/>
            <w:shd w:val="clear" w:color="auto" w:fill="DBDBDB"/>
          </w:tcPr>
          <w:p>
            <w:pPr>
              <w:spacing w:after="0"/>
              <w:rPr>
                <w:sz w:val="15"/>
                <w:szCs w:val="15"/>
                <w:color w:val="auto"/>
              </w:rPr>
            </w:pPr>
          </w:p>
        </w:tc>
        <w:tc>
          <w:tcPr>
            <w:tcW w:w="1260" w:type="dxa"/>
            <w:vAlign w:val="bottom"/>
            <w:gridSpan w:val="2"/>
            <w:shd w:val="clear" w:color="auto" w:fill="DBDBDB"/>
          </w:tcPr>
          <w:p>
            <w:pPr>
              <w:jc w:val="center"/>
              <w:ind w:right="380"/>
              <w:spacing w:after="0"/>
              <w:rPr>
                <w:sz w:val="20"/>
                <w:szCs w:val="20"/>
                <w:color w:val="auto"/>
              </w:rPr>
            </w:pPr>
            <w:r>
              <w:rPr>
                <w:rFonts w:ascii="Arial" w:cs="Arial" w:eastAsia="Arial" w:hAnsi="Arial"/>
                <w:sz w:val="14"/>
                <w:szCs w:val="14"/>
                <w:color w:val="auto"/>
              </w:rPr>
              <w:t>2nd Quarter</w:t>
            </w:r>
          </w:p>
        </w:tc>
        <w:tc>
          <w:tcPr>
            <w:tcW w:w="480" w:type="dxa"/>
            <w:vAlign w:val="bottom"/>
            <w:shd w:val="clear" w:color="auto" w:fill="DBDBDB"/>
          </w:tcPr>
          <w:p>
            <w:pPr>
              <w:spacing w:after="0"/>
              <w:rPr>
                <w:sz w:val="15"/>
                <w:szCs w:val="15"/>
                <w:color w:val="auto"/>
              </w:rPr>
            </w:pPr>
          </w:p>
        </w:tc>
        <w:tc>
          <w:tcPr>
            <w:tcW w:w="1020" w:type="dxa"/>
            <w:vAlign w:val="bottom"/>
            <w:shd w:val="clear" w:color="auto" w:fill="DBDBDB"/>
          </w:tcPr>
          <w:p>
            <w:pPr>
              <w:jc w:val="center"/>
              <w:ind w:right="89"/>
              <w:spacing w:after="0"/>
              <w:rPr>
                <w:sz w:val="20"/>
                <w:szCs w:val="20"/>
                <w:color w:val="auto"/>
              </w:rPr>
            </w:pPr>
            <w:r>
              <w:rPr>
                <w:rFonts w:ascii="Arial" w:cs="Arial" w:eastAsia="Arial" w:hAnsi="Arial"/>
                <w:sz w:val="14"/>
                <w:szCs w:val="14"/>
                <w:b w:val="1"/>
                <w:bCs w:val="1"/>
                <w:color w:val="auto"/>
                <w:w w:val="99"/>
              </w:rPr>
              <w:t>Six Months</w:t>
            </w:r>
          </w:p>
        </w:tc>
        <w:tc>
          <w:tcPr>
            <w:tcW w:w="100" w:type="dxa"/>
            <w:vAlign w:val="bottom"/>
            <w:tcBorders>
              <w:right w:val="single" w:sz="8" w:color="auto"/>
            </w:tcBorders>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460" w:type="dxa"/>
            <w:vAlign w:val="bottom"/>
            <w:shd w:val="clear" w:color="auto" w:fill="DBDBDB"/>
          </w:tcPr>
          <w:p>
            <w:pPr>
              <w:spacing w:after="0"/>
              <w:rPr>
                <w:sz w:val="15"/>
                <w:szCs w:val="15"/>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Six Months</w:t>
            </w:r>
          </w:p>
        </w:tc>
      </w:tr>
      <w:tr>
        <w:trPr>
          <w:trHeight w:val="186"/>
        </w:trPr>
        <w:tc>
          <w:tcPr>
            <w:tcW w:w="4580" w:type="dxa"/>
            <w:vAlign w:val="bottom"/>
            <w:shd w:val="clear" w:color="auto" w:fill="DBDBDB"/>
          </w:tcPr>
          <w:p>
            <w:pPr>
              <w:ind w:left="340"/>
              <w:spacing w:after="0"/>
              <w:rPr>
                <w:sz w:val="20"/>
                <w:szCs w:val="20"/>
                <w:color w:val="auto"/>
              </w:rPr>
            </w:pPr>
            <w:r>
              <w:rPr>
                <w:rFonts w:ascii="Arial" w:cs="Arial" w:eastAsia="Arial" w:hAnsi="Arial"/>
                <w:sz w:val="14"/>
                <w:szCs w:val="14"/>
                <w:color w:val="auto"/>
              </w:rPr>
              <w:t>($ per Boe)</w:t>
            </w:r>
          </w:p>
        </w:tc>
        <w:tc>
          <w:tcPr>
            <w:tcW w:w="120" w:type="dxa"/>
            <w:vAlign w:val="bottom"/>
            <w:shd w:val="clear" w:color="auto" w:fill="DBDBDB"/>
          </w:tcPr>
          <w:p>
            <w:pPr>
              <w:spacing w:after="0"/>
              <w:rPr>
                <w:sz w:val="16"/>
                <w:szCs w:val="16"/>
                <w:color w:val="auto"/>
              </w:rPr>
            </w:pPr>
          </w:p>
        </w:tc>
        <w:tc>
          <w:tcPr>
            <w:tcW w:w="460" w:type="dxa"/>
            <w:vAlign w:val="bottom"/>
            <w:tcBorders>
              <w:bottom w:val="single" w:sz="8" w:color="auto"/>
            </w:tcBorders>
            <w:shd w:val="clear" w:color="auto" w:fill="DBDBDB"/>
          </w:tcPr>
          <w:p>
            <w:pPr>
              <w:spacing w:after="0"/>
              <w:rPr>
                <w:sz w:val="16"/>
                <w:szCs w:val="16"/>
                <w:color w:val="auto"/>
              </w:rPr>
            </w:pPr>
          </w:p>
        </w:tc>
        <w:tc>
          <w:tcPr>
            <w:tcW w:w="1020" w:type="dxa"/>
            <w:vAlign w:val="bottom"/>
            <w:tcBorders>
              <w:bottom w:val="single" w:sz="8" w:color="auto"/>
            </w:tcBorders>
            <w:shd w:val="clear" w:color="auto" w:fill="DBDBDB"/>
          </w:tcPr>
          <w:p>
            <w:pPr>
              <w:jc w:val="center"/>
              <w:ind w:right="6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right w:val="single" w:sz="8" w:color="auto"/>
            </w:tcBorders>
            <w:shd w:val="clear" w:color="auto" w:fill="DBDBDB"/>
          </w:tcPr>
          <w:p>
            <w:pPr>
              <w:spacing w:after="0"/>
              <w:rPr>
                <w:sz w:val="16"/>
                <w:szCs w:val="16"/>
                <w:color w:val="auto"/>
              </w:rPr>
            </w:pPr>
          </w:p>
        </w:tc>
        <w:tc>
          <w:tcPr>
            <w:tcW w:w="60" w:type="dxa"/>
            <w:vAlign w:val="bottom"/>
            <w:shd w:val="clear" w:color="auto" w:fill="DBDBDB"/>
          </w:tcPr>
          <w:p>
            <w:pPr>
              <w:spacing w:after="0"/>
              <w:rPr>
                <w:sz w:val="16"/>
                <w:szCs w:val="16"/>
                <w:color w:val="auto"/>
              </w:rPr>
            </w:pPr>
          </w:p>
        </w:tc>
        <w:tc>
          <w:tcPr>
            <w:tcW w:w="460" w:type="dxa"/>
            <w:vAlign w:val="bottom"/>
            <w:tcBorders>
              <w:bottom w:val="single" w:sz="8" w:color="auto"/>
            </w:tcBorders>
            <w:shd w:val="clear" w:color="auto" w:fill="DBDBDB"/>
          </w:tcPr>
          <w:p>
            <w:pPr>
              <w:spacing w:after="0"/>
              <w:rPr>
                <w:sz w:val="16"/>
                <w:szCs w:val="16"/>
                <w:color w:val="auto"/>
              </w:rPr>
            </w:pPr>
          </w:p>
        </w:tc>
        <w:tc>
          <w:tcPr>
            <w:tcW w:w="1020" w:type="dxa"/>
            <w:vAlign w:val="bottom"/>
            <w:tcBorders>
              <w:bottom w:val="single" w:sz="8" w:color="auto"/>
            </w:tcBorders>
            <w:shd w:val="clear" w:color="auto" w:fill="DBDBDB"/>
          </w:tcPr>
          <w:p>
            <w:pPr>
              <w:jc w:val="center"/>
              <w:ind w:right="69"/>
              <w:spacing w:after="0"/>
              <w:rPr>
                <w:sz w:val="20"/>
                <w:szCs w:val="20"/>
                <w:color w:val="auto"/>
              </w:rPr>
            </w:pPr>
            <w:r>
              <w:rPr>
                <w:rFonts w:ascii="Arial" w:cs="Arial" w:eastAsia="Arial" w:hAnsi="Arial"/>
                <w:sz w:val="14"/>
                <w:szCs w:val="14"/>
                <w:color w:val="auto"/>
              </w:rPr>
              <w:t>2020</w:t>
            </w:r>
          </w:p>
        </w:tc>
        <w:tc>
          <w:tcPr>
            <w:tcW w:w="240" w:type="dxa"/>
            <w:vAlign w:val="bottom"/>
            <w:shd w:val="clear" w:color="auto" w:fill="DBDBDB"/>
          </w:tcPr>
          <w:p>
            <w:pPr>
              <w:spacing w:after="0"/>
              <w:rPr>
                <w:sz w:val="16"/>
                <w:szCs w:val="16"/>
                <w:color w:val="auto"/>
              </w:rPr>
            </w:pPr>
          </w:p>
        </w:tc>
        <w:tc>
          <w:tcPr>
            <w:tcW w:w="480" w:type="dxa"/>
            <w:vAlign w:val="bottom"/>
            <w:tcBorders>
              <w:bottom w:val="single" w:sz="8" w:color="auto"/>
            </w:tcBorders>
            <w:shd w:val="clear" w:color="auto" w:fill="DBDBDB"/>
          </w:tcPr>
          <w:p>
            <w:pPr>
              <w:spacing w:after="0"/>
              <w:rPr>
                <w:sz w:val="16"/>
                <w:szCs w:val="16"/>
                <w:color w:val="auto"/>
              </w:rPr>
            </w:pPr>
          </w:p>
        </w:tc>
        <w:tc>
          <w:tcPr>
            <w:tcW w:w="1020" w:type="dxa"/>
            <w:vAlign w:val="bottom"/>
            <w:tcBorders>
              <w:bottom w:val="single" w:sz="8" w:color="auto"/>
            </w:tcBorders>
            <w:shd w:val="clear" w:color="auto" w:fill="DBDBDB"/>
          </w:tcPr>
          <w:p>
            <w:pPr>
              <w:jc w:val="center"/>
              <w:ind w:right="89"/>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Borders>
              <w:right w:val="single" w:sz="8" w:color="auto"/>
            </w:tcBorders>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460" w:type="dxa"/>
            <w:vAlign w:val="bottom"/>
            <w:tcBorders>
              <w:bottom w:val="single" w:sz="8" w:color="auto"/>
            </w:tcBorders>
            <w:shd w:val="clear" w:color="auto" w:fill="DBDBDB"/>
          </w:tcPr>
          <w:p>
            <w:pPr>
              <w:spacing w:after="0"/>
              <w:rPr>
                <w:sz w:val="16"/>
                <w:szCs w:val="16"/>
                <w:color w:val="auto"/>
              </w:rPr>
            </w:pPr>
          </w:p>
        </w:tc>
        <w:tc>
          <w:tcPr>
            <w:tcW w:w="800" w:type="dxa"/>
            <w:vAlign w:val="bottom"/>
            <w:tcBorders>
              <w:bottom w:val="single" w:sz="8" w:color="auto"/>
            </w:tcBorders>
            <w:shd w:val="clear" w:color="auto" w:fill="DBDBDB"/>
          </w:tcPr>
          <w:p>
            <w:pPr>
              <w:jc w:val="right"/>
              <w:ind w:right="129"/>
              <w:spacing w:after="0"/>
              <w:rPr>
                <w:sz w:val="20"/>
                <w:szCs w:val="20"/>
                <w:color w:val="auto"/>
              </w:rPr>
            </w:pPr>
            <w:r>
              <w:rPr>
                <w:rFonts w:ascii="Arial" w:cs="Arial" w:eastAsia="Arial" w:hAnsi="Arial"/>
                <w:sz w:val="14"/>
                <w:szCs w:val="14"/>
                <w:color w:val="auto"/>
              </w:rPr>
              <w:t>2020</w:t>
            </w:r>
          </w:p>
        </w:tc>
      </w:tr>
      <w:tr>
        <w:trPr>
          <w:trHeight w:val="179"/>
        </w:trPr>
        <w:tc>
          <w:tcPr>
            <w:tcW w:w="4580" w:type="dxa"/>
            <w:vAlign w:val="bottom"/>
          </w:tcPr>
          <w:p>
            <w:pPr>
              <w:ind w:left="340"/>
              <w:spacing w:after="0" w:line="179" w:lineRule="exact"/>
              <w:rPr>
                <w:sz w:val="20"/>
                <w:szCs w:val="20"/>
                <w:color w:val="auto"/>
              </w:rPr>
            </w:pPr>
            <w:r>
              <w:rPr>
                <w:rFonts w:ascii="Arial" w:cs="Arial" w:eastAsia="Arial" w:hAnsi="Arial"/>
                <w:sz w:val="14"/>
                <w:szCs w:val="14"/>
                <w:color w:val="auto"/>
              </w:rPr>
              <w:t xml:space="preserve">Energy operating costs </w:t>
            </w:r>
            <w:r>
              <w:rPr>
                <w:rFonts w:ascii="Arial" w:cs="Arial" w:eastAsia="Arial" w:hAnsi="Arial"/>
                <w:sz w:val="18"/>
                <w:szCs w:val="18"/>
                <w:color w:val="auto"/>
                <w:vertAlign w:val="superscript"/>
              </w:rPr>
              <w:t>(a)</w:t>
            </w: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4.70</w:t>
            </w: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3.51</w:t>
            </w:r>
          </w:p>
        </w:tc>
        <w:tc>
          <w:tcPr>
            <w:tcW w:w="2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ind w:right="9"/>
              <w:spacing w:after="0"/>
              <w:rPr>
                <w:sz w:val="20"/>
                <w:szCs w:val="20"/>
                <w:color w:val="auto"/>
              </w:rPr>
            </w:pPr>
            <w:r>
              <w:rPr>
                <w:rFonts w:ascii="Arial" w:cs="Arial" w:eastAsia="Arial" w:hAnsi="Arial"/>
                <w:sz w:val="14"/>
                <w:szCs w:val="14"/>
                <w:b w:val="1"/>
                <w:bCs w:val="1"/>
                <w:color w:val="auto"/>
              </w:rPr>
              <w:t>4.70</w:t>
            </w: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185"/>
        </w:trPr>
        <w:tc>
          <w:tcPr>
            <w:tcW w:w="4580" w:type="dxa"/>
            <w:vAlign w:val="bottom"/>
            <w:shd w:val="clear" w:color="auto" w:fill="DBDBDB"/>
          </w:tcPr>
          <w:p>
            <w:pPr>
              <w:ind w:left="340"/>
              <w:spacing w:after="0"/>
              <w:rPr>
                <w:sz w:val="20"/>
                <w:szCs w:val="20"/>
                <w:color w:val="auto"/>
              </w:rPr>
            </w:pPr>
            <w:r>
              <w:rPr>
                <w:rFonts w:ascii="Arial" w:cs="Arial" w:eastAsia="Arial" w:hAnsi="Arial"/>
                <w:sz w:val="14"/>
                <w:szCs w:val="14"/>
                <w:color w:val="auto"/>
              </w:rPr>
              <w:t>Gas processing costs</w:t>
            </w:r>
          </w:p>
        </w:tc>
        <w:tc>
          <w:tcPr>
            <w:tcW w:w="120" w:type="dxa"/>
            <w:vAlign w:val="bottom"/>
            <w:shd w:val="clear" w:color="auto" w:fill="DBDBDB"/>
          </w:tcPr>
          <w:p>
            <w:pPr>
              <w:spacing w:after="0"/>
              <w:rPr>
                <w:sz w:val="16"/>
                <w:szCs w:val="16"/>
                <w:color w:val="auto"/>
              </w:rPr>
            </w:pPr>
          </w:p>
        </w:tc>
        <w:tc>
          <w:tcPr>
            <w:tcW w:w="460" w:type="dxa"/>
            <w:vAlign w:val="bottom"/>
            <w:shd w:val="clear" w:color="auto" w:fill="DBDBDB"/>
          </w:tcPr>
          <w:p>
            <w:pPr>
              <w:spacing w:after="0"/>
              <w:rPr>
                <w:sz w:val="16"/>
                <w:szCs w:val="16"/>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0.66</w:t>
            </w:r>
          </w:p>
        </w:tc>
        <w:tc>
          <w:tcPr>
            <w:tcW w:w="120" w:type="dxa"/>
            <w:vAlign w:val="bottom"/>
            <w:tcBorders>
              <w:right w:val="single" w:sz="8" w:color="auto"/>
            </w:tcBorders>
            <w:shd w:val="clear" w:color="auto" w:fill="DBDBDB"/>
          </w:tcPr>
          <w:p>
            <w:pPr>
              <w:spacing w:after="0"/>
              <w:rPr>
                <w:sz w:val="16"/>
                <w:szCs w:val="16"/>
                <w:color w:val="auto"/>
              </w:rPr>
            </w:pPr>
          </w:p>
        </w:tc>
        <w:tc>
          <w:tcPr>
            <w:tcW w:w="60" w:type="dxa"/>
            <w:vAlign w:val="bottom"/>
            <w:shd w:val="clear" w:color="auto" w:fill="DBDBDB"/>
          </w:tcPr>
          <w:p>
            <w:pPr>
              <w:spacing w:after="0"/>
              <w:rPr>
                <w:sz w:val="16"/>
                <w:szCs w:val="16"/>
                <w:color w:val="auto"/>
              </w:rPr>
            </w:pPr>
          </w:p>
        </w:tc>
        <w:tc>
          <w:tcPr>
            <w:tcW w:w="460" w:type="dxa"/>
            <w:vAlign w:val="bottom"/>
            <w:shd w:val="clear" w:color="auto" w:fill="DBDBDB"/>
          </w:tcPr>
          <w:p>
            <w:pPr>
              <w:spacing w:after="0"/>
              <w:rPr>
                <w:sz w:val="16"/>
                <w:szCs w:val="16"/>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0.46</w:t>
            </w:r>
          </w:p>
        </w:tc>
        <w:tc>
          <w:tcPr>
            <w:tcW w:w="240" w:type="dxa"/>
            <w:vAlign w:val="bottom"/>
            <w:shd w:val="clear" w:color="auto" w:fill="DBDBDB"/>
          </w:tcPr>
          <w:p>
            <w:pPr>
              <w:spacing w:after="0"/>
              <w:rPr>
                <w:sz w:val="16"/>
                <w:szCs w:val="16"/>
                <w:color w:val="auto"/>
              </w:rPr>
            </w:pPr>
          </w:p>
        </w:tc>
        <w:tc>
          <w:tcPr>
            <w:tcW w:w="480" w:type="dxa"/>
            <w:vAlign w:val="bottom"/>
            <w:shd w:val="clear" w:color="auto" w:fill="DBDBDB"/>
          </w:tcPr>
          <w:p>
            <w:pPr>
              <w:spacing w:after="0"/>
              <w:rPr>
                <w:sz w:val="16"/>
                <w:szCs w:val="16"/>
                <w:color w:val="auto"/>
              </w:rPr>
            </w:pPr>
          </w:p>
        </w:tc>
        <w:tc>
          <w:tcPr>
            <w:tcW w:w="1020" w:type="dxa"/>
            <w:vAlign w:val="bottom"/>
            <w:shd w:val="clear" w:color="auto" w:fill="DBDBDB"/>
          </w:tcPr>
          <w:p>
            <w:pPr>
              <w:jc w:val="right"/>
              <w:ind w:right="9"/>
              <w:spacing w:after="0"/>
              <w:rPr>
                <w:sz w:val="20"/>
                <w:szCs w:val="20"/>
                <w:color w:val="auto"/>
              </w:rPr>
            </w:pPr>
            <w:r>
              <w:rPr>
                <w:rFonts w:ascii="Arial" w:cs="Arial" w:eastAsia="Arial" w:hAnsi="Arial"/>
                <w:sz w:val="14"/>
                <w:szCs w:val="14"/>
                <w:b w:val="1"/>
                <w:bCs w:val="1"/>
                <w:color w:val="auto"/>
              </w:rPr>
              <w:t>0.60</w:t>
            </w:r>
          </w:p>
        </w:tc>
        <w:tc>
          <w:tcPr>
            <w:tcW w:w="100" w:type="dxa"/>
            <w:vAlign w:val="bottom"/>
            <w:tcBorders>
              <w:right w:val="single" w:sz="8" w:color="auto"/>
            </w:tcBorders>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4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0.</w:t>
            </w:r>
          </w:p>
        </w:tc>
      </w:tr>
      <w:tr>
        <w:trPr>
          <w:trHeight w:val="185"/>
        </w:trPr>
        <w:tc>
          <w:tcPr>
            <w:tcW w:w="4580" w:type="dxa"/>
            <w:vAlign w:val="bottom"/>
            <w:tcBorders>
              <w:bottom w:val="single" w:sz="8" w:color="DBDBDB"/>
            </w:tcBorders>
          </w:tcPr>
          <w:p>
            <w:pPr>
              <w:ind w:left="340"/>
              <w:spacing w:after="0" w:line="186" w:lineRule="exact"/>
              <w:rPr>
                <w:sz w:val="20"/>
                <w:szCs w:val="20"/>
                <w:color w:val="auto"/>
              </w:rPr>
            </w:pPr>
            <w:r>
              <w:rPr>
                <w:rFonts w:ascii="Arial" w:cs="Arial" w:eastAsia="Arial" w:hAnsi="Arial"/>
                <w:sz w:val="14"/>
                <w:szCs w:val="14"/>
                <w:color w:val="auto"/>
              </w:rPr>
              <w:t xml:space="preserve">Non-energy operating costs </w:t>
            </w:r>
            <w:r>
              <w:rPr>
                <w:rFonts w:ascii="Arial" w:cs="Arial" w:eastAsia="Arial" w:hAnsi="Arial"/>
                <w:sz w:val="18"/>
                <w:szCs w:val="18"/>
                <w:color w:val="auto"/>
                <w:vertAlign w:val="superscript"/>
              </w:rPr>
              <w:t>(b)</w:t>
            </w:r>
          </w:p>
        </w:tc>
        <w:tc>
          <w:tcPr>
            <w:tcW w:w="120" w:type="dxa"/>
            <w:vAlign w:val="bottom"/>
            <w:tcBorders>
              <w:bottom w:val="single" w:sz="8" w:color="DBDBDB"/>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13.12</w:t>
            </w:r>
          </w:p>
        </w:tc>
        <w:tc>
          <w:tcPr>
            <w:tcW w:w="120" w:type="dxa"/>
            <w:vAlign w:val="bottom"/>
            <w:tcBorders>
              <w:bottom w:val="single" w:sz="8" w:color="DBDBDB"/>
              <w:right w:val="single" w:sz="8" w:color="auto"/>
            </w:tcBorders>
          </w:tcPr>
          <w:p>
            <w:pPr>
              <w:spacing w:after="0"/>
              <w:rPr>
                <w:sz w:val="16"/>
                <w:szCs w:val="16"/>
                <w:color w:val="auto"/>
              </w:rPr>
            </w:pPr>
          </w:p>
        </w:tc>
        <w:tc>
          <w:tcPr>
            <w:tcW w:w="60" w:type="dxa"/>
            <w:vAlign w:val="bottom"/>
            <w:tcBorders>
              <w:bottom w:val="single" w:sz="8" w:color="DBDBDB"/>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8.45</w:t>
            </w:r>
          </w:p>
        </w:tc>
        <w:tc>
          <w:tcPr>
            <w:tcW w:w="240" w:type="dxa"/>
            <w:vAlign w:val="bottom"/>
            <w:tcBorders>
              <w:bottom w:val="single" w:sz="8" w:color="DBDBDB"/>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13.10</w:t>
            </w:r>
          </w:p>
        </w:tc>
        <w:tc>
          <w:tcPr>
            <w:tcW w:w="100" w:type="dxa"/>
            <w:vAlign w:val="bottom"/>
            <w:tcBorders>
              <w:bottom w:val="single" w:sz="8" w:color="DBDBDB"/>
              <w:right w:val="single" w:sz="8" w:color="auto"/>
            </w:tcBorders>
          </w:tcPr>
          <w:p>
            <w:pPr>
              <w:spacing w:after="0"/>
              <w:rPr>
                <w:sz w:val="16"/>
                <w:szCs w:val="16"/>
                <w:color w:val="auto"/>
              </w:rPr>
            </w:pPr>
          </w:p>
        </w:tc>
        <w:tc>
          <w:tcPr>
            <w:tcW w:w="80" w:type="dxa"/>
            <w:vAlign w:val="bottom"/>
            <w:tcBorders>
              <w:bottom w:val="single" w:sz="8" w:color="DBDBDB"/>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r>
      <w:tr>
        <w:trPr>
          <w:trHeight w:val="179"/>
        </w:trPr>
        <w:tc>
          <w:tcPr>
            <w:tcW w:w="4580" w:type="dxa"/>
            <w:vAlign w:val="bottom"/>
            <w:shd w:val="clear" w:color="auto" w:fill="DBDBDB"/>
          </w:tcPr>
          <w:p>
            <w:pPr>
              <w:ind w:left="340"/>
              <w:spacing w:after="0"/>
              <w:rPr>
                <w:sz w:val="20"/>
                <w:szCs w:val="20"/>
                <w:color w:val="auto"/>
              </w:rPr>
            </w:pPr>
            <w:r>
              <w:rPr>
                <w:rFonts w:ascii="Arial" w:cs="Arial" w:eastAsia="Arial" w:hAnsi="Arial"/>
                <w:sz w:val="14"/>
                <w:szCs w:val="14"/>
                <w:color w:val="auto"/>
              </w:rPr>
              <w:t>Operating costs</w:t>
            </w:r>
          </w:p>
        </w:tc>
        <w:tc>
          <w:tcPr>
            <w:tcW w:w="120" w:type="dxa"/>
            <w:vAlign w:val="bottom"/>
            <w:shd w:val="clear" w:color="auto" w:fill="DBDBDB"/>
          </w:tcPr>
          <w:p>
            <w:pPr>
              <w:spacing w:after="0"/>
              <w:rPr>
                <w:sz w:val="15"/>
                <w:szCs w:val="15"/>
                <w:color w:val="auto"/>
              </w:rPr>
            </w:pPr>
          </w:p>
        </w:tc>
        <w:tc>
          <w:tcPr>
            <w:tcW w:w="46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18.48</w:t>
            </w:r>
          </w:p>
        </w:tc>
        <w:tc>
          <w:tcPr>
            <w:tcW w:w="120" w:type="dxa"/>
            <w:vAlign w:val="bottom"/>
            <w:tcBorders>
              <w:right w:val="single" w:sz="8" w:color="auto"/>
            </w:tcBorders>
            <w:shd w:val="clear" w:color="auto" w:fill="DBDBDB"/>
          </w:tcPr>
          <w:p>
            <w:pPr>
              <w:spacing w:after="0"/>
              <w:rPr>
                <w:sz w:val="15"/>
                <w:szCs w:val="15"/>
                <w:color w:val="auto"/>
              </w:rPr>
            </w:pPr>
          </w:p>
        </w:tc>
        <w:tc>
          <w:tcPr>
            <w:tcW w:w="60" w:type="dxa"/>
            <w:vAlign w:val="bottom"/>
            <w:shd w:val="clear" w:color="auto" w:fill="DBDBDB"/>
          </w:tcPr>
          <w:p>
            <w:pPr>
              <w:spacing w:after="0"/>
              <w:rPr>
                <w:sz w:val="15"/>
                <w:szCs w:val="15"/>
                <w:color w:val="auto"/>
              </w:rPr>
            </w:pPr>
          </w:p>
        </w:tc>
        <w:tc>
          <w:tcPr>
            <w:tcW w:w="4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12.42</w:t>
            </w:r>
          </w:p>
        </w:tc>
        <w:tc>
          <w:tcPr>
            <w:tcW w:w="240" w:type="dxa"/>
            <w:vAlign w:val="bottom"/>
            <w:shd w:val="clear" w:color="auto" w:fill="DBDBDB"/>
          </w:tcPr>
          <w:p>
            <w:pPr>
              <w:spacing w:after="0"/>
              <w:rPr>
                <w:sz w:val="15"/>
                <w:szCs w:val="15"/>
                <w:color w:val="auto"/>
              </w:rPr>
            </w:pPr>
          </w:p>
        </w:tc>
        <w:tc>
          <w:tcPr>
            <w:tcW w:w="48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shd w:val="clear" w:color="auto" w:fill="DBDBDB"/>
          </w:tcPr>
          <w:p>
            <w:pPr>
              <w:jc w:val="right"/>
              <w:ind w:right="9"/>
              <w:spacing w:after="0"/>
              <w:rPr>
                <w:sz w:val="20"/>
                <w:szCs w:val="20"/>
                <w:color w:val="auto"/>
              </w:rPr>
            </w:pPr>
            <w:r>
              <w:rPr>
                <w:rFonts w:ascii="Arial" w:cs="Arial" w:eastAsia="Arial" w:hAnsi="Arial"/>
                <w:sz w:val="14"/>
                <w:szCs w:val="14"/>
                <w:b w:val="1"/>
                <w:bCs w:val="1"/>
                <w:color w:val="auto"/>
              </w:rPr>
              <w:t>18.40</w:t>
            </w:r>
          </w:p>
        </w:tc>
        <w:tc>
          <w:tcPr>
            <w:tcW w:w="100" w:type="dxa"/>
            <w:vAlign w:val="bottom"/>
            <w:tcBorders>
              <w:right w:val="single" w:sz="8" w:color="auto"/>
            </w:tcBorders>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4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14.</w:t>
            </w:r>
          </w:p>
        </w:tc>
      </w:tr>
      <w:tr>
        <w:trPr>
          <w:trHeight w:val="185"/>
        </w:trPr>
        <w:tc>
          <w:tcPr>
            <w:tcW w:w="4580" w:type="dxa"/>
            <w:vAlign w:val="bottom"/>
            <w:tcBorders>
              <w:bottom w:val="single" w:sz="8" w:color="DBDBDB"/>
            </w:tcBorders>
          </w:tcPr>
          <w:p>
            <w:pPr>
              <w:ind w:left="460"/>
              <w:spacing w:after="0"/>
              <w:rPr>
                <w:sz w:val="20"/>
                <w:szCs w:val="20"/>
                <w:color w:val="auto"/>
              </w:rPr>
            </w:pPr>
            <w:r>
              <w:rPr>
                <w:rFonts w:ascii="Arial" w:cs="Arial" w:eastAsia="Arial" w:hAnsi="Arial"/>
                <w:sz w:val="14"/>
                <w:szCs w:val="14"/>
                <w:color w:val="auto"/>
              </w:rPr>
              <w:t>Excess costs attributable to PSC-type contracts</w:t>
            </w:r>
          </w:p>
        </w:tc>
        <w:tc>
          <w:tcPr>
            <w:tcW w:w="120" w:type="dxa"/>
            <w:vAlign w:val="bottom"/>
            <w:tcBorders>
              <w:bottom w:val="single" w:sz="8" w:color="DBDBDB"/>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(1.73)</w:t>
            </w:r>
          </w:p>
        </w:tc>
        <w:tc>
          <w:tcPr>
            <w:tcW w:w="120" w:type="dxa"/>
            <w:vAlign w:val="bottom"/>
            <w:tcBorders>
              <w:bottom w:val="single" w:sz="8" w:color="DBDBDB"/>
              <w:right w:val="single" w:sz="8" w:color="auto"/>
            </w:tcBorders>
          </w:tcPr>
          <w:p>
            <w:pPr>
              <w:spacing w:after="0"/>
              <w:rPr>
                <w:sz w:val="16"/>
                <w:szCs w:val="16"/>
                <w:color w:val="auto"/>
              </w:rPr>
            </w:pPr>
          </w:p>
        </w:tc>
        <w:tc>
          <w:tcPr>
            <w:tcW w:w="60" w:type="dxa"/>
            <w:vAlign w:val="bottom"/>
            <w:tcBorders>
              <w:bottom w:val="single" w:sz="8" w:color="DBDBDB"/>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(0.42)</w:t>
            </w:r>
          </w:p>
        </w:tc>
        <w:tc>
          <w:tcPr>
            <w:tcW w:w="240" w:type="dxa"/>
            <w:vAlign w:val="bottom"/>
            <w:tcBorders>
              <w:bottom w:val="single" w:sz="8" w:color="DBDBDB"/>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(1.66)</w:t>
            </w:r>
          </w:p>
        </w:tc>
        <w:tc>
          <w:tcPr>
            <w:tcW w:w="100" w:type="dxa"/>
            <w:vAlign w:val="bottom"/>
            <w:tcBorders>
              <w:bottom w:val="single" w:sz="8" w:color="DBDBDB"/>
              <w:right w:val="single" w:sz="8" w:color="auto"/>
            </w:tcBorders>
          </w:tcPr>
          <w:p>
            <w:pPr>
              <w:spacing w:after="0"/>
              <w:rPr>
                <w:sz w:val="16"/>
                <w:szCs w:val="16"/>
                <w:color w:val="auto"/>
              </w:rPr>
            </w:pPr>
          </w:p>
        </w:tc>
        <w:tc>
          <w:tcPr>
            <w:tcW w:w="80" w:type="dxa"/>
            <w:vAlign w:val="bottom"/>
            <w:tcBorders>
              <w:bottom w:val="single" w:sz="8" w:color="DBDBDB"/>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w:t>
            </w:r>
          </w:p>
        </w:tc>
      </w:tr>
      <w:tr>
        <w:trPr>
          <w:trHeight w:val="204"/>
        </w:trPr>
        <w:tc>
          <w:tcPr>
            <w:tcW w:w="4580" w:type="dxa"/>
            <w:vAlign w:val="bottom"/>
            <w:tcBorders>
              <w:bottom w:val="single" w:sz="8" w:color="DBDBDB"/>
            </w:tcBorders>
            <w:shd w:val="clear" w:color="auto" w:fill="DBDBDB"/>
          </w:tcPr>
          <w:p>
            <w:pPr>
              <w:ind w:left="340"/>
              <w:spacing w:after="0"/>
              <w:rPr>
                <w:sz w:val="20"/>
                <w:szCs w:val="20"/>
                <w:color w:val="auto"/>
              </w:rPr>
            </w:pPr>
            <w:r>
              <w:rPr>
                <w:rFonts w:ascii="Arial" w:cs="Arial" w:eastAsia="Arial" w:hAnsi="Arial"/>
                <w:sz w:val="14"/>
                <w:szCs w:val="14"/>
                <w:color w:val="auto"/>
              </w:rPr>
              <w:t>Operating costs, excluding effects of PSC-type contracts</w:t>
            </w:r>
          </w:p>
        </w:tc>
        <w:tc>
          <w:tcPr>
            <w:tcW w:w="120" w:type="dxa"/>
            <w:vAlign w:val="bottom"/>
            <w:tcBorders>
              <w:bottom w:val="single" w:sz="8" w:color="DBDBDB"/>
            </w:tcBorders>
            <w:shd w:val="clear" w:color="auto" w:fill="DBDBDB"/>
          </w:tcPr>
          <w:p>
            <w:pPr>
              <w:spacing w:after="0"/>
              <w:rPr>
                <w:sz w:val="17"/>
                <w:szCs w:val="17"/>
                <w:color w:val="auto"/>
              </w:rPr>
            </w:pPr>
          </w:p>
        </w:tc>
        <w:tc>
          <w:tcPr>
            <w:tcW w:w="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b w:val="1"/>
                <w:bCs w:val="1"/>
                <w:color w:val="auto"/>
              </w:rPr>
              <w:t>16.75</w:t>
            </w:r>
          </w:p>
        </w:tc>
        <w:tc>
          <w:tcPr>
            <w:tcW w:w="120" w:type="dxa"/>
            <w:vAlign w:val="bottom"/>
            <w:tcBorders>
              <w:bottom w:val="single" w:sz="8" w:color="DBDBDB"/>
              <w:right w:val="single" w:sz="8" w:color="auto"/>
            </w:tcBorders>
            <w:shd w:val="clear" w:color="auto" w:fill="DBDBDB"/>
          </w:tcPr>
          <w:p>
            <w:pPr>
              <w:spacing w:after="0"/>
              <w:rPr>
                <w:sz w:val="17"/>
                <w:szCs w:val="17"/>
                <w:color w:val="auto"/>
              </w:rPr>
            </w:pPr>
          </w:p>
        </w:tc>
        <w:tc>
          <w:tcPr>
            <w:tcW w:w="60" w:type="dxa"/>
            <w:vAlign w:val="bottom"/>
            <w:tcBorders>
              <w:bottom w:val="single" w:sz="8" w:color="DBDBDB"/>
            </w:tcBorders>
            <w:shd w:val="clear" w:color="auto" w:fill="DBDBDB"/>
          </w:tcPr>
          <w:p>
            <w:pPr>
              <w:spacing w:after="0"/>
              <w:rPr>
                <w:sz w:val="17"/>
                <w:szCs w:val="17"/>
                <w:color w:val="auto"/>
              </w:rPr>
            </w:pPr>
          </w:p>
        </w:tc>
        <w:tc>
          <w:tcPr>
            <w:tcW w:w="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12.00</w:t>
            </w:r>
          </w:p>
        </w:tc>
        <w:tc>
          <w:tcPr>
            <w:tcW w:w="240" w:type="dxa"/>
            <w:vAlign w:val="bottom"/>
            <w:tcBorders>
              <w:bottom w:val="single" w:sz="8" w:color="DBDBDB"/>
            </w:tcBorders>
            <w:shd w:val="clear" w:color="auto" w:fill="DBDBDB"/>
          </w:tcPr>
          <w:p>
            <w:pPr>
              <w:spacing w:after="0"/>
              <w:rPr>
                <w:sz w:val="17"/>
                <w:szCs w:val="17"/>
                <w:color w:val="auto"/>
              </w:rPr>
            </w:pPr>
          </w:p>
        </w:tc>
        <w:tc>
          <w:tcPr>
            <w:tcW w:w="4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shd w:val="clear" w:color="auto" w:fill="DBDBDB"/>
          </w:tcPr>
          <w:p>
            <w:pPr>
              <w:jc w:val="right"/>
              <w:ind w:right="9"/>
              <w:spacing w:after="0"/>
              <w:rPr>
                <w:sz w:val="20"/>
                <w:szCs w:val="20"/>
                <w:color w:val="auto"/>
              </w:rPr>
            </w:pPr>
            <w:r>
              <w:rPr>
                <w:rFonts w:ascii="Arial" w:cs="Arial" w:eastAsia="Arial" w:hAnsi="Arial"/>
                <w:sz w:val="14"/>
                <w:szCs w:val="14"/>
                <w:b w:val="1"/>
                <w:bCs w:val="1"/>
                <w:color w:val="auto"/>
              </w:rPr>
              <w:t>16.74</w:t>
            </w:r>
          </w:p>
        </w:tc>
        <w:tc>
          <w:tcPr>
            <w:tcW w:w="100" w:type="dxa"/>
            <w:vAlign w:val="bottom"/>
            <w:tcBorders>
              <w:bottom w:val="single" w:sz="8" w:color="DBDBDB"/>
              <w:right w:val="single" w:sz="8" w:color="auto"/>
            </w:tcBorders>
            <w:shd w:val="clear" w:color="auto" w:fill="DBDBDB"/>
          </w:tcPr>
          <w:p>
            <w:pPr>
              <w:spacing w:after="0"/>
              <w:rPr>
                <w:sz w:val="17"/>
                <w:szCs w:val="17"/>
                <w:color w:val="auto"/>
              </w:rPr>
            </w:pPr>
          </w:p>
        </w:tc>
        <w:tc>
          <w:tcPr>
            <w:tcW w:w="80" w:type="dxa"/>
            <w:vAlign w:val="bottom"/>
            <w:tcBorders>
              <w:bottom w:val="single" w:sz="8" w:color="DBDBDB"/>
            </w:tcBorders>
            <w:shd w:val="clear" w:color="auto" w:fill="DBDBDB"/>
          </w:tcPr>
          <w:p>
            <w:pPr>
              <w:spacing w:after="0"/>
              <w:rPr>
                <w:sz w:val="17"/>
                <w:szCs w:val="17"/>
                <w:color w:val="auto"/>
              </w:rPr>
            </w:pPr>
          </w:p>
        </w:tc>
        <w:tc>
          <w:tcPr>
            <w:tcW w:w="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14.</w:t>
            </w:r>
          </w:p>
        </w:tc>
      </w:tr>
      <w:tr>
        <w:trPr>
          <w:trHeight w:val="20"/>
        </w:trPr>
        <w:tc>
          <w:tcPr>
            <w:tcW w:w="458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460" w:type="dxa"/>
            <w:vAlign w:val="bottom"/>
            <w:tcBorders>
              <w:top w:val="single" w:sz="8" w:color="DBDBDB"/>
              <w:bottom w:val="single" w:sz="8" w:color="auto"/>
            </w:tcBorders>
          </w:tcPr>
          <w:p>
            <w:pPr>
              <w:spacing w:after="0" w:line="20" w:lineRule="exact"/>
              <w:rPr>
                <w:sz w:val="1"/>
                <w:szCs w:val="1"/>
                <w:color w:val="auto"/>
              </w:rPr>
            </w:pPr>
          </w:p>
        </w:tc>
        <w:tc>
          <w:tcPr>
            <w:tcW w:w="10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60" w:type="dxa"/>
            <w:vAlign w:val="bottom"/>
            <w:tcBorders>
              <w:top w:val="single" w:sz="8" w:color="DBDBDB"/>
            </w:tcBorders>
          </w:tcPr>
          <w:p>
            <w:pPr>
              <w:spacing w:after="0" w:line="20" w:lineRule="exact"/>
              <w:rPr>
                <w:sz w:val="1"/>
                <w:szCs w:val="1"/>
                <w:color w:val="auto"/>
              </w:rPr>
            </w:pPr>
          </w:p>
        </w:tc>
        <w:tc>
          <w:tcPr>
            <w:tcW w:w="460" w:type="dxa"/>
            <w:vAlign w:val="bottom"/>
            <w:tcBorders>
              <w:top w:val="single" w:sz="8" w:color="DBDBDB"/>
              <w:bottom w:val="single" w:sz="8" w:color="auto"/>
            </w:tcBorders>
          </w:tcPr>
          <w:p>
            <w:pPr>
              <w:spacing w:after="0" w:line="20" w:lineRule="exact"/>
              <w:rPr>
                <w:sz w:val="1"/>
                <w:szCs w:val="1"/>
                <w:color w:val="auto"/>
              </w:rPr>
            </w:pPr>
          </w:p>
        </w:tc>
        <w:tc>
          <w:tcPr>
            <w:tcW w:w="1020" w:type="dxa"/>
            <w:vAlign w:val="bottom"/>
            <w:tcBorders>
              <w:top w:val="single" w:sz="8" w:color="DBDBDB"/>
              <w:bottom w:val="single" w:sz="8" w:color="auto"/>
            </w:tcBorders>
          </w:tcPr>
          <w:p>
            <w:pPr>
              <w:spacing w:after="0" w:line="20" w:lineRule="exact"/>
              <w:rPr>
                <w:sz w:val="1"/>
                <w:szCs w:val="1"/>
                <w:color w:val="auto"/>
              </w:rPr>
            </w:pPr>
          </w:p>
        </w:tc>
        <w:tc>
          <w:tcPr>
            <w:tcW w:w="240" w:type="dxa"/>
            <w:vAlign w:val="bottom"/>
            <w:tcBorders>
              <w:top w:val="single" w:sz="8" w:color="DBDBDB"/>
            </w:tcBorders>
          </w:tcPr>
          <w:p>
            <w:pPr>
              <w:spacing w:after="0" w:line="20" w:lineRule="exact"/>
              <w:rPr>
                <w:sz w:val="1"/>
                <w:szCs w:val="1"/>
                <w:color w:val="auto"/>
              </w:rPr>
            </w:pPr>
          </w:p>
        </w:tc>
        <w:tc>
          <w:tcPr>
            <w:tcW w:w="480" w:type="dxa"/>
            <w:vAlign w:val="bottom"/>
            <w:tcBorders>
              <w:top w:val="single" w:sz="8" w:color="DBDBDB"/>
              <w:bottom w:val="single" w:sz="8" w:color="auto"/>
            </w:tcBorders>
          </w:tcPr>
          <w:p>
            <w:pPr>
              <w:spacing w:after="0" w:line="20" w:lineRule="exact"/>
              <w:rPr>
                <w:sz w:val="1"/>
                <w:szCs w:val="1"/>
                <w:color w:val="auto"/>
              </w:rPr>
            </w:pPr>
          </w:p>
        </w:tc>
        <w:tc>
          <w:tcPr>
            <w:tcW w:w="10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460" w:type="dxa"/>
            <w:vAlign w:val="bottom"/>
            <w:tcBorders>
              <w:top w:val="single" w:sz="8" w:color="DBDBDB"/>
              <w:bottom w:val="single" w:sz="8" w:color="auto"/>
            </w:tcBorders>
          </w:tcPr>
          <w:p>
            <w:pPr>
              <w:spacing w:after="0" w:line="20" w:lineRule="exact"/>
              <w:rPr>
                <w:sz w:val="1"/>
                <w:szCs w:val="1"/>
                <w:color w:val="auto"/>
              </w:rPr>
            </w:pPr>
          </w:p>
        </w:tc>
        <w:tc>
          <w:tcPr>
            <w:tcW w:w="800" w:type="dxa"/>
            <w:vAlign w:val="bottom"/>
            <w:tcBorders>
              <w:top w:val="single" w:sz="8" w:color="DBDBDB"/>
              <w:bottom w:val="single" w:sz="8" w:color="auto"/>
            </w:tcBorders>
          </w:tcPr>
          <w:p>
            <w:pPr>
              <w:spacing w:after="0" w:line="20" w:lineRule="exact"/>
              <w:rPr>
                <w:sz w:val="1"/>
                <w:szCs w:val="1"/>
                <w:color w:val="auto"/>
              </w:rPr>
            </w:pPr>
          </w:p>
        </w:tc>
      </w:tr>
    </w:tbl>
    <w:p>
      <w:pPr>
        <w:spacing w:after="0" w:line="203" w:lineRule="exact"/>
        <w:rPr>
          <w:sz w:val="20"/>
          <w:szCs w:val="20"/>
          <w:color w:val="auto"/>
        </w:rPr>
      </w:pPr>
    </w:p>
    <w:p>
      <w:pPr>
        <w:ind w:left="880" w:hanging="220"/>
        <w:spacing w:after="0"/>
        <w:tabs>
          <w:tab w:leader="none" w:pos="880" w:val="left"/>
        </w:tabs>
        <w:numPr>
          <w:ilvl w:val="0"/>
          <w:numId w:val="7"/>
        </w:numPr>
        <w:rPr>
          <w:rFonts w:ascii="Arial" w:cs="Arial" w:eastAsia="Arial" w:hAnsi="Arial"/>
          <w:sz w:val="14"/>
          <w:szCs w:val="14"/>
          <w:color w:val="auto"/>
        </w:rPr>
      </w:pPr>
      <w:r>
        <w:rPr>
          <w:rFonts w:ascii="Arial" w:cs="Arial" w:eastAsia="Arial" w:hAnsi="Arial"/>
          <w:sz w:val="14"/>
          <w:szCs w:val="14"/>
          <w:color w:val="auto"/>
        </w:rPr>
        <w:t>Energy operating costs include purchases of fuel gas used to generate electricity, purchased electricity and internal costs to produce electricity used in our operations.</w:t>
      </w:r>
    </w:p>
    <w:p>
      <w:pPr>
        <w:spacing w:after="0" w:line="24" w:lineRule="exact"/>
        <w:rPr>
          <w:rFonts w:ascii="Arial" w:cs="Arial" w:eastAsia="Arial" w:hAnsi="Arial"/>
          <w:sz w:val="14"/>
          <w:szCs w:val="14"/>
          <w:color w:val="auto"/>
        </w:rPr>
      </w:pPr>
    </w:p>
    <w:p>
      <w:pPr>
        <w:ind w:left="340" w:firstLine="320"/>
        <w:spacing w:after="0" w:line="225" w:lineRule="auto"/>
        <w:tabs>
          <w:tab w:leader="none" w:pos="870" w:val="left"/>
        </w:tabs>
        <w:numPr>
          <w:ilvl w:val="0"/>
          <w:numId w:val="7"/>
        </w:numPr>
        <w:rPr>
          <w:rFonts w:ascii="Arial" w:cs="Arial" w:eastAsia="Arial" w:hAnsi="Arial"/>
          <w:sz w:val="14"/>
          <w:szCs w:val="14"/>
          <w:color w:val="auto"/>
        </w:rPr>
      </w:pPr>
      <w:r>
        <w:rPr>
          <w:rFonts w:ascii="Arial" w:cs="Arial" w:eastAsia="Arial" w:hAnsi="Arial"/>
          <w:sz w:val="14"/>
          <w:szCs w:val="14"/>
          <w:color w:val="auto"/>
        </w:rPr>
        <w:t>Non-energy operating costs equal total operating costs less energy operating costs and gas processing costs. Purchases of fuel gas to generate steam which is then us in our steamfloods is included in non-energy operating costs.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Page 7</w:t>
      </w:r>
    </w:p>
    <w:p>
      <w:pPr>
        <w:sectPr>
          <w:pgSz w:w="11900" w:h="16838" w:orient="portrait"/>
          <w:cols w:equalWidth="0" w:num="1">
            <w:col w:w="11340"/>
          </w:cols>
          <w:pgMar w:left="320" w:top="889" w:right="239" w:bottom="1440" w:gutter="0" w:footer="0" w:header="0"/>
        </w:sectPr>
      </w:pPr>
    </w:p>
    <w:bookmarkStart w:id="11" w:name="page12"/>
    <w:bookmarkEnd w:id="11"/>
    <w:p>
      <w:pPr>
        <w:jc w:val="both"/>
        <w:ind w:firstLine="318"/>
        <w:spacing w:after="0" w:line="238" w:lineRule="auto"/>
        <w:rPr>
          <w:sz w:val="20"/>
          <w:szCs w:val="20"/>
          <w:color w:val="auto"/>
        </w:rPr>
      </w:pPr>
      <w:r>
        <w:rPr>
          <w:rFonts w:ascii="Arial" w:cs="Arial" w:eastAsia="Arial" w:hAnsi="Arial"/>
          <w:sz w:val="21"/>
          <w:szCs w:val="21"/>
          <w:color w:val="auto"/>
        </w:rPr>
        <w:t>G&amp;A expenses were $48 million for the second quarter of 2021, compared to $69 million in the same prior-year period. For the six months ended June 30, 2021, G&amp;A expenses were $96 million compared to $129 million in the same prior-year period. The decrease in G&amp;A expenses reflects lower compensation-related costs primarily due to workforce reductions that occurred in the second half of 2020 and the first quarter of 2021 as well as benefit reductions in the second quarter of 2021. CRC's second quarter 2020 results include savings from reduced work hours and reduced management salaries in response to the industry downturn and the COVID-19 pandemic. The remaining decrease between comparative periods was primarily due to cost saving efforts which resulted in lower spend across a number of cost categories. The decrease was partially offset by stock-based compensation expense related to awards granted to executives and directors in 2021.</w:t>
      </w:r>
    </w:p>
    <w:p>
      <w:pPr>
        <w:spacing w:after="0" w:line="217"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Balance Sheet and Liquidity Update</w:t>
      </w:r>
    </w:p>
    <w:p>
      <w:pPr>
        <w:spacing w:after="0" w:line="262" w:lineRule="exact"/>
        <w:rPr>
          <w:sz w:val="20"/>
          <w:szCs w:val="20"/>
          <w:color w:val="auto"/>
        </w:rPr>
      </w:pPr>
    </w:p>
    <w:p>
      <w:pPr>
        <w:jc w:val="both"/>
        <w:ind w:firstLine="318"/>
        <w:spacing w:after="0" w:line="241" w:lineRule="auto"/>
        <w:rPr>
          <w:sz w:val="20"/>
          <w:szCs w:val="20"/>
          <w:color w:val="auto"/>
        </w:rPr>
      </w:pPr>
      <w:r>
        <w:rPr>
          <w:rFonts w:ascii="Arial" w:cs="Arial" w:eastAsia="Arial" w:hAnsi="Arial"/>
          <w:sz w:val="21"/>
          <w:szCs w:val="21"/>
          <w:color w:val="auto"/>
        </w:rPr>
        <w:t>CRC's aggregate commitment under the Revolving Credit Facility was $492 million as of June 30, 2021. The borrowing base for the Revolving Credit Facility is redetermined around April and October of each year and was most recently set at $1.2 billion in May 2021. The amount CRC is able to borrow under the Revolving Credit Facility is limited to the amount of the commitment described above.</w:t>
      </w:r>
    </w:p>
    <w:p>
      <w:pPr>
        <w:spacing w:after="0" w:line="236" w:lineRule="exact"/>
        <w:rPr>
          <w:sz w:val="20"/>
          <w:szCs w:val="20"/>
          <w:color w:val="auto"/>
        </w:rPr>
      </w:pPr>
    </w:p>
    <w:p>
      <w:pPr>
        <w:jc w:val="both"/>
        <w:ind w:firstLine="318"/>
        <w:spacing w:after="0" w:line="257" w:lineRule="auto"/>
        <w:rPr>
          <w:sz w:val="20"/>
          <w:szCs w:val="20"/>
          <w:color w:val="auto"/>
        </w:rPr>
      </w:pPr>
      <w:r>
        <w:rPr>
          <w:rFonts w:ascii="Arial" w:cs="Arial" w:eastAsia="Arial" w:hAnsi="Arial"/>
          <w:sz w:val="21"/>
          <w:szCs w:val="21"/>
          <w:color w:val="auto"/>
        </w:rPr>
        <w:t>In May 2021, CRC amended its Revolving Credit Facility to provide further strategic flexibility with respect to CRC's minimum and maximum hedging restrictions and to increase CRC's capacity to make certain restricted payments, including paying dividends on its common stock and repurchasing its common stock.</w:t>
      </w:r>
    </w:p>
    <w:p>
      <w:pPr>
        <w:spacing w:after="0" w:line="218" w:lineRule="exact"/>
        <w:rPr>
          <w:sz w:val="20"/>
          <w:szCs w:val="20"/>
          <w:color w:val="auto"/>
        </w:rPr>
      </w:pPr>
    </w:p>
    <w:p>
      <w:pPr>
        <w:jc w:val="both"/>
        <w:ind w:firstLine="318"/>
        <w:spacing w:after="0" w:line="257" w:lineRule="auto"/>
        <w:rPr>
          <w:sz w:val="20"/>
          <w:szCs w:val="20"/>
          <w:color w:val="auto"/>
        </w:rPr>
      </w:pPr>
      <w:r>
        <w:rPr>
          <w:rFonts w:ascii="Arial" w:cs="Arial" w:eastAsia="Arial" w:hAnsi="Arial"/>
          <w:sz w:val="21"/>
          <w:szCs w:val="21"/>
          <w:color w:val="auto"/>
        </w:rPr>
        <w:t>As of June 30, 2021, CRC had liquidity of $518 million, which consisted of $151 million in unrestricted cash and $367 million of available borrowing capacity under its Revolving Credit Facility after accounting for $125 million in outstanding letters of credit.</w:t>
      </w:r>
    </w:p>
    <w:p>
      <w:pPr>
        <w:spacing w:after="0" w:line="218" w:lineRule="exact"/>
        <w:rPr>
          <w:sz w:val="20"/>
          <w:szCs w:val="20"/>
          <w:color w:val="auto"/>
        </w:rPr>
      </w:pPr>
    </w:p>
    <w:p>
      <w:pPr>
        <w:jc w:val="both"/>
        <w:ind w:firstLine="318"/>
        <w:spacing w:after="0" w:line="257" w:lineRule="auto"/>
        <w:rPr>
          <w:sz w:val="20"/>
          <w:szCs w:val="20"/>
          <w:color w:val="auto"/>
        </w:rPr>
      </w:pPr>
      <w:r>
        <w:rPr>
          <w:rFonts w:ascii="Arial" w:cs="Arial" w:eastAsia="Arial" w:hAnsi="Arial"/>
          <w:sz w:val="21"/>
          <w:szCs w:val="21"/>
          <w:color w:val="auto"/>
        </w:rPr>
        <w:t>CRC anticipates the preferred interest in a development joint venture held by Benefit Street Partners ("BSP") could be automatically redeemed in the second half of 2021. We anticipate the remaining distributions to BSP will approximate $20 million.</w:t>
      </w:r>
    </w:p>
    <w:p>
      <w:pPr>
        <w:spacing w:after="0" w:line="218" w:lineRule="exact"/>
        <w:rPr>
          <w:sz w:val="20"/>
          <w:szCs w:val="20"/>
          <w:color w:val="auto"/>
        </w:rPr>
      </w:pPr>
    </w:p>
    <w:p>
      <w:pPr>
        <w:jc w:val="both"/>
        <w:ind w:firstLine="318"/>
        <w:spacing w:after="0" w:line="257" w:lineRule="auto"/>
        <w:rPr>
          <w:sz w:val="20"/>
          <w:szCs w:val="20"/>
          <w:color w:val="auto"/>
        </w:rPr>
      </w:pPr>
      <w:r>
        <w:rPr>
          <w:rFonts w:ascii="Arial" w:cs="Arial" w:eastAsia="Arial" w:hAnsi="Arial"/>
          <w:sz w:val="21"/>
          <w:szCs w:val="21"/>
          <w:color w:val="auto"/>
        </w:rPr>
        <w:t>CRC may begin paying income taxes in early 2022 if Brent prices remain at current levels for a sustained period. CRC's tax paying status depends on a number of factors, including but not limited to, the amount and type of CRC's capital spend, cost structure and activity levels. Potential legislation could also limit tax incentives for fossil fuels.</w:t>
      </w:r>
    </w:p>
    <w:p>
      <w:pPr>
        <w:spacing w:after="0" w:line="192"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Operational Update</w:t>
      </w:r>
    </w:p>
    <w:p>
      <w:pPr>
        <w:spacing w:after="0" w:line="275" w:lineRule="exact"/>
        <w:rPr>
          <w:sz w:val="20"/>
          <w:szCs w:val="20"/>
          <w:color w:val="auto"/>
        </w:rPr>
      </w:pPr>
    </w:p>
    <w:p>
      <w:pPr>
        <w:jc w:val="both"/>
        <w:ind w:firstLine="318"/>
        <w:spacing w:after="0" w:line="253" w:lineRule="auto"/>
        <w:rPr>
          <w:sz w:val="20"/>
          <w:szCs w:val="20"/>
          <w:color w:val="auto"/>
        </w:rPr>
      </w:pPr>
      <w:r>
        <w:rPr>
          <w:rFonts w:ascii="Arial" w:cs="Arial" w:eastAsia="Arial" w:hAnsi="Arial"/>
          <w:sz w:val="21"/>
          <w:szCs w:val="21"/>
          <w:color w:val="auto"/>
        </w:rPr>
        <w:t>During the second quarter of 2021, CRC operated an average of two drilling rigs in the San Joaquin Basin, drilled 21 net wells, 19 of which were brought online in addition to the two that were brought online from the first quarter totaling 21 online wells. The San Joaquin basin produced 74,500 net BOE per day. The Los Angeles basin produced 19,200 net BOE per day, the Ventura basin produced 3,600 net BOE per day and the Sacramento basin produced 3,300 net BOE per day.</w:t>
      </w:r>
    </w:p>
    <w:p>
      <w:pPr>
        <w:spacing w:after="0" w:line="198"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September 2021 Investor Conferences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8</w:t>
      </w:r>
    </w:p>
    <w:p>
      <w:pPr>
        <w:sectPr>
          <w:pgSz w:w="11900" w:h="16838" w:orient="portrait"/>
          <w:cols w:equalWidth="0" w:num="1">
            <w:col w:w="11240"/>
          </w:cols>
          <w:pgMar w:left="320" w:top="1127" w:right="339" w:bottom="1440" w:gutter="0" w:footer="0" w:header="0"/>
        </w:sectPr>
      </w:pPr>
    </w:p>
    <w:bookmarkStart w:id="12" w:name="page13"/>
    <w:bookmarkEnd w:id="12"/>
    <w:p>
      <w:pPr>
        <w:jc w:val="both"/>
        <w:ind w:firstLine="318"/>
        <w:spacing w:after="0" w:line="229" w:lineRule="auto"/>
        <w:rPr>
          <w:sz w:val="20"/>
          <w:szCs w:val="20"/>
          <w:color w:val="auto"/>
        </w:rPr>
      </w:pPr>
      <w:r>
        <w:rPr>
          <w:rFonts w:ascii="Arial" w:cs="Arial" w:eastAsia="Arial" w:hAnsi="Arial"/>
          <w:sz w:val="21"/>
          <w:szCs w:val="21"/>
          <w:color w:val="auto"/>
        </w:rPr>
        <w:t>CRC's executives will be participating in the Barclays CEO Energy-Power Conference on September 8-10. Mac McFarland, President and CEO, and Francisco Leon, EVP and CFO, will also be presenting on September 10</w:t>
      </w:r>
      <w:r>
        <w:rPr>
          <w:rFonts w:ascii="Arial" w:cs="Arial" w:eastAsia="Arial" w:hAnsi="Arial"/>
          <w:sz w:val="27"/>
          <w:szCs w:val="27"/>
          <w:color w:val="auto"/>
          <w:vertAlign w:val="superscript"/>
        </w:rPr>
        <w:t>th</w:t>
      </w:r>
      <w:r>
        <w:rPr>
          <w:rFonts w:ascii="Arial" w:cs="Arial" w:eastAsia="Arial" w:hAnsi="Arial"/>
          <w:sz w:val="21"/>
          <w:szCs w:val="21"/>
          <w:color w:val="auto"/>
        </w:rPr>
        <w:t xml:space="preserve"> at 10:55 a.m. ET.</w:t>
      </w:r>
    </w:p>
    <w:p>
      <w:pPr>
        <w:spacing w:after="0" w:line="23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21"/>
          <w:szCs w:val="21"/>
          <w:color w:val="auto"/>
        </w:rPr>
        <w:t>CRC’s presentation materials will be available the day of the event on the Earnings and Presentations page in the Investor Relations section on www.crc.com</w:t>
      </w:r>
      <w:r>
        <w:rPr>
          <w:rFonts w:ascii="Arial" w:cs="Arial" w:eastAsia="Arial" w:hAnsi="Arial"/>
          <w:sz w:val="19"/>
          <w:szCs w:val="19"/>
          <w:color w:val="auto"/>
        </w:rPr>
        <w:t>.</w:t>
      </w:r>
    </w:p>
    <w:p>
      <w:pPr>
        <w:spacing w:after="0" w:line="185"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Conference Call Details</w:t>
      </w:r>
    </w:p>
    <w:p>
      <w:pPr>
        <w:spacing w:after="0" w:line="262" w:lineRule="exact"/>
        <w:rPr>
          <w:sz w:val="20"/>
          <w:szCs w:val="20"/>
          <w:color w:val="auto"/>
        </w:rPr>
      </w:pPr>
    </w:p>
    <w:p>
      <w:pPr>
        <w:jc w:val="both"/>
        <w:ind w:firstLine="318"/>
        <w:spacing w:after="0" w:line="228" w:lineRule="auto"/>
        <w:rPr>
          <w:sz w:val="20"/>
          <w:szCs w:val="20"/>
          <w:color w:val="auto"/>
        </w:rPr>
      </w:pPr>
      <w:r>
        <w:rPr>
          <w:rFonts w:ascii="Arial" w:cs="Arial" w:eastAsia="Arial" w:hAnsi="Arial"/>
          <w:sz w:val="21"/>
          <w:szCs w:val="21"/>
          <w:color w:val="auto"/>
        </w:rPr>
        <w:t>To participate in the conference call scheduled for later today at 5:00 p.m. Eastern Time, please dial (877) 328-5505 (International calls please dial +1 (412) 317-5421) or access via webcast at www.crc.com 15 minutes prior to the scheduled start time to register. Participants may also pre-register for the conference call at https://dpregister.com/sreg/10157220/e9185e9690. A digital replay of the conference call will be archived for approximately 90 days and supplemental slides for the conference call will be available online in the Investor Relations section of www.crc.com.</w:t>
      </w:r>
    </w:p>
    <w:p>
      <w:pPr>
        <w:spacing w:after="0" w:line="209" w:lineRule="exact"/>
        <w:rPr>
          <w:sz w:val="20"/>
          <w:szCs w:val="20"/>
          <w:color w:val="auto"/>
        </w:rPr>
      </w:pPr>
    </w:p>
    <w:p>
      <w:pPr>
        <w:ind w:right="40" w:firstLine="6"/>
        <w:spacing w:after="0" w:line="212" w:lineRule="auto"/>
        <w:tabs>
          <w:tab w:leader="none" w:pos="62" w:val="left"/>
        </w:tabs>
        <w:numPr>
          <w:ilvl w:val="0"/>
          <w:numId w:val="8"/>
        </w:numPr>
        <w:rPr>
          <w:rFonts w:ascii="Arial" w:cs="Arial" w:eastAsia="Arial" w:hAnsi="Arial"/>
          <w:sz w:val="15"/>
          <w:szCs w:val="15"/>
          <w:color w:val="auto"/>
          <w:vertAlign w:val="superscript"/>
        </w:rPr>
      </w:pPr>
      <w:r>
        <w:rPr>
          <w:rFonts w:ascii="Arial" w:cs="Arial" w:eastAsia="Arial" w:hAnsi="Arial"/>
          <w:sz w:val="11"/>
          <w:szCs w:val="11"/>
          <w:color w:val="auto"/>
        </w:rPr>
        <w:t>See Attachment 2 for the non-GAAP financial measures of adjusted EBITDAX, operating costs per BOE (excluding effects of PSC-type contracts), adjusted net income (loss) and free cash flow, including reconciliations to their most directly comparable GAAP measure, where applicable. For the full year 2021 estimates of the non-GAAP measures of adjusted EBITDAX and free cash flow, including reconciliations to their most directly comparable GAAP measure, see Attachment 7.</w:t>
      </w:r>
    </w:p>
    <w:p>
      <w:pPr>
        <w:spacing w:after="0" w:line="5" w:lineRule="exact"/>
        <w:rPr>
          <w:rFonts w:ascii="Arial" w:cs="Arial" w:eastAsia="Arial" w:hAnsi="Arial"/>
          <w:sz w:val="15"/>
          <w:szCs w:val="15"/>
          <w:color w:val="auto"/>
          <w:vertAlign w:val="superscript"/>
        </w:rPr>
      </w:pPr>
    </w:p>
    <w:p>
      <w:pPr>
        <w:spacing w:after="0"/>
        <w:rPr>
          <w:rFonts w:ascii="Arial" w:cs="Arial" w:eastAsia="Arial" w:hAnsi="Arial"/>
          <w:sz w:val="15"/>
          <w:szCs w:val="15"/>
          <w:color w:val="auto"/>
          <w:vertAlign w:val="superscript"/>
        </w:rPr>
      </w:pPr>
      <w:r>
        <w:rPr>
          <w:rFonts w:ascii="Arial" w:cs="Arial" w:eastAsia="Arial" w:hAnsi="Arial"/>
          <w:sz w:val="14"/>
          <w:szCs w:val="14"/>
          <w:color w:val="auto"/>
          <w:vertAlign w:val="superscript"/>
        </w:rPr>
        <w:t>2</w:t>
      </w:r>
      <w:r>
        <w:rPr>
          <w:rFonts w:ascii="Arial" w:cs="Arial" w:eastAsia="Arial" w:hAnsi="Arial"/>
          <w:sz w:val="11"/>
          <w:szCs w:val="11"/>
          <w:color w:val="auto"/>
        </w:rPr>
        <w:t xml:space="preserve"> Calculated as $151 million of cash plus $492 million of capacity on CRC's Revolving Credit Facility less $125 million in outstanding letters of credit</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About California Resources Corporation</w:t>
      </w:r>
    </w:p>
    <w:p>
      <w:pPr>
        <w:spacing w:after="0" w:line="262" w:lineRule="exact"/>
        <w:rPr>
          <w:sz w:val="20"/>
          <w:szCs w:val="20"/>
          <w:color w:val="auto"/>
        </w:rPr>
      </w:pPr>
    </w:p>
    <w:p>
      <w:pPr>
        <w:jc w:val="both"/>
        <w:ind w:firstLine="318"/>
        <w:spacing w:after="0" w:line="229" w:lineRule="auto"/>
        <w:rPr>
          <w:sz w:val="20"/>
          <w:szCs w:val="20"/>
          <w:color w:val="auto"/>
        </w:rPr>
      </w:pPr>
      <w:r>
        <w:rPr>
          <w:rFonts w:ascii="Arial" w:cs="Arial" w:eastAsia="Arial" w:hAnsi="Arial"/>
          <w:sz w:val="21"/>
          <w:szCs w:val="21"/>
          <w:color w:val="auto"/>
        </w:rPr>
        <w:t>California Resources Corporation (CRC) is an independent oil and natural gas company committed to energy transition in the sector. CRC has some of the lowest carbon intensity production in the US and we are focused on maximizing the value of our land, mineral and technical resources for decarbonization by developing Carbon Capture and Sequestration (CCS) and other emissions reducing projects. For more information about CRC, please visit www.crc.com.</w:t>
      </w:r>
    </w:p>
    <w:p>
      <w:pPr>
        <w:spacing w:after="0" w:line="200"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Forward-Looking Statements</w:t>
      </w:r>
    </w:p>
    <w:p>
      <w:pPr>
        <w:spacing w:after="0" w:line="275" w:lineRule="exact"/>
        <w:rPr>
          <w:sz w:val="20"/>
          <w:szCs w:val="20"/>
          <w:color w:val="auto"/>
        </w:rPr>
      </w:pPr>
    </w:p>
    <w:p>
      <w:pPr>
        <w:jc w:val="both"/>
        <w:ind w:firstLine="318"/>
        <w:spacing w:after="0" w:line="257" w:lineRule="auto"/>
        <w:rPr>
          <w:sz w:val="20"/>
          <w:szCs w:val="20"/>
          <w:color w:val="auto"/>
        </w:rPr>
      </w:pPr>
      <w:r>
        <w:rPr>
          <w:rFonts w:ascii="Arial" w:cs="Arial" w:eastAsia="Arial" w:hAnsi="Arial"/>
          <w:sz w:val="21"/>
          <w:szCs w:val="21"/>
          <w:color w:val="auto"/>
        </w:rPr>
        <w:t>The information included herein contains forward-looking statements that involve risks and uncertainties that could materially affect CRC's expected results of operations, liquidity, cash flows and business prospects. Such statements include those regarding CRC's expectations as to its future:</w:t>
      </w:r>
    </w:p>
    <w:p>
      <w:pPr>
        <w:spacing w:after="0" w:line="218" w:lineRule="exact"/>
        <w:rPr>
          <w:sz w:val="20"/>
          <w:szCs w:val="20"/>
          <w:color w:val="auto"/>
        </w:rPr>
      </w:pPr>
    </w:p>
    <w:p>
      <w:pPr>
        <w:ind w:left="580" w:hanging="256"/>
        <w:spacing w:after="0"/>
        <w:tabs>
          <w:tab w:leader="none" w:pos="580" w:val="left"/>
        </w:tabs>
        <w:numPr>
          <w:ilvl w:val="0"/>
          <w:numId w:val="9"/>
        </w:numPr>
        <w:rPr>
          <w:rFonts w:ascii="Arial" w:cs="Arial" w:eastAsia="Arial" w:hAnsi="Arial"/>
          <w:sz w:val="21"/>
          <w:szCs w:val="21"/>
          <w:color w:val="auto"/>
        </w:rPr>
      </w:pPr>
      <w:r>
        <w:rPr>
          <w:rFonts w:ascii="Arial" w:cs="Arial" w:eastAsia="Arial" w:hAnsi="Arial"/>
          <w:sz w:val="21"/>
          <w:szCs w:val="21"/>
          <w:color w:val="auto"/>
        </w:rPr>
        <w:t>financial position, liquidity, cash flows and results of operations</w:t>
      </w:r>
    </w:p>
    <w:p>
      <w:pPr>
        <w:spacing w:after="0" w:line="10" w:lineRule="exact"/>
        <w:rPr>
          <w:rFonts w:ascii="Arial" w:cs="Arial" w:eastAsia="Arial" w:hAnsi="Arial"/>
          <w:sz w:val="21"/>
          <w:szCs w:val="21"/>
          <w:color w:val="auto"/>
        </w:rPr>
      </w:pPr>
    </w:p>
    <w:p>
      <w:pPr>
        <w:ind w:left="580" w:hanging="256"/>
        <w:spacing w:after="0"/>
        <w:tabs>
          <w:tab w:leader="none" w:pos="580" w:val="left"/>
        </w:tabs>
        <w:numPr>
          <w:ilvl w:val="0"/>
          <w:numId w:val="9"/>
        </w:numPr>
        <w:rPr>
          <w:rFonts w:ascii="Arial" w:cs="Arial" w:eastAsia="Arial" w:hAnsi="Arial"/>
          <w:sz w:val="21"/>
          <w:szCs w:val="21"/>
          <w:color w:val="auto"/>
        </w:rPr>
      </w:pPr>
      <w:r>
        <w:rPr>
          <w:rFonts w:ascii="Arial" w:cs="Arial" w:eastAsia="Arial" w:hAnsi="Arial"/>
          <w:sz w:val="21"/>
          <w:szCs w:val="21"/>
          <w:color w:val="auto"/>
        </w:rPr>
        <w:t>business prospects</w:t>
      </w:r>
    </w:p>
    <w:p>
      <w:pPr>
        <w:spacing w:after="0" w:line="10" w:lineRule="exact"/>
        <w:rPr>
          <w:rFonts w:ascii="Arial" w:cs="Arial" w:eastAsia="Arial" w:hAnsi="Arial"/>
          <w:sz w:val="21"/>
          <w:szCs w:val="21"/>
          <w:color w:val="auto"/>
        </w:rPr>
      </w:pPr>
    </w:p>
    <w:p>
      <w:pPr>
        <w:ind w:left="580" w:hanging="256"/>
        <w:spacing w:after="0"/>
        <w:tabs>
          <w:tab w:leader="none" w:pos="580" w:val="left"/>
        </w:tabs>
        <w:numPr>
          <w:ilvl w:val="0"/>
          <w:numId w:val="9"/>
        </w:numPr>
        <w:rPr>
          <w:rFonts w:ascii="Arial" w:cs="Arial" w:eastAsia="Arial" w:hAnsi="Arial"/>
          <w:sz w:val="21"/>
          <w:szCs w:val="21"/>
          <w:color w:val="auto"/>
        </w:rPr>
      </w:pPr>
      <w:r>
        <w:rPr>
          <w:rFonts w:ascii="Arial" w:cs="Arial" w:eastAsia="Arial" w:hAnsi="Arial"/>
          <w:sz w:val="21"/>
          <w:szCs w:val="21"/>
          <w:color w:val="auto"/>
        </w:rPr>
        <w:t>transactions and projects</w:t>
      </w:r>
    </w:p>
    <w:p>
      <w:pPr>
        <w:spacing w:after="0" w:line="10" w:lineRule="exact"/>
        <w:rPr>
          <w:rFonts w:ascii="Arial" w:cs="Arial" w:eastAsia="Arial" w:hAnsi="Arial"/>
          <w:sz w:val="21"/>
          <w:szCs w:val="21"/>
          <w:color w:val="auto"/>
        </w:rPr>
      </w:pPr>
    </w:p>
    <w:p>
      <w:pPr>
        <w:ind w:left="580" w:hanging="256"/>
        <w:spacing w:after="0"/>
        <w:tabs>
          <w:tab w:leader="none" w:pos="580" w:val="left"/>
        </w:tabs>
        <w:numPr>
          <w:ilvl w:val="0"/>
          <w:numId w:val="9"/>
        </w:numPr>
        <w:rPr>
          <w:rFonts w:ascii="Arial" w:cs="Arial" w:eastAsia="Arial" w:hAnsi="Arial"/>
          <w:sz w:val="21"/>
          <w:szCs w:val="21"/>
          <w:color w:val="auto"/>
        </w:rPr>
      </w:pPr>
      <w:r>
        <w:rPr>
          <w:rFonts w:ascii="Arial" w:cs="Arial" w:eastAsia="Arial" w:hAnsi="Arial"/>
          <w:sz w:val="21"/>
          <w:szCs w:val="21"/>
          <w:color w:val="auto"/>
        </w:rPr>
        <w:t>operating costs and general and administrative expenses</w:t>
      </w:r>
    </w:p>
    <w:p>
      <w:pPr>
        <w:spacing w:after="0" w:line="10" w:lineRule="exact"/>
        <w:rPr>
          <w:rFonts w:ascii="Arial" w:cs="Arial" w:eastAsia="Arial" w:hAnsi="Arial"/>
          <w:sz w:val="21"/>
          <w:szCs w:val="21"/>
          <w:color w:val="auto"/>
        </w:rPr>
      </w:pPr>
    </w:p>
    <w:p>
      <w:pPr>
        <w:ind w:left="580" w:hanging="256"/>
        <w:spacing w:after="0"/>
        <w:tabs>
          <w:tab w:leader="none" w:pos="580" w:val="left"/>
        </w:tabs>
        <w:numPr>
          <w:ilvl w:val="0"/>
          <w:numId w:val="9"/>
        </w:numPr>
        <w:rPr>
          <w:rFonts w:ascii="Arial" w:cs="Arial" w:eastAsia="Arial" w:hAnsi="Arial"/>
          <w:sz w:val="21"/>
          <w:szCs w:val="21"/>
          <w:color w:val="auto"/>
        </w:rPr>
      </w:pPr>
      <w:r>
        <w:rPr>
          <w:rFonts w:ascii="Arial" w:cs="Arial" w:eastAsia="Arial" w:hAnsi="Arial"/>
          <w:sz w:val="21"/>
          <w:szCs w:val="21"/>
          <w:color w:val="auto"/>
        </w:rPr>
        <w:t>operations and operational results including production, hedging and capital investment</w:t>
      </w:r>
    </w:p>
    <w:p>
      <w:pPr>
        <w:spacing w:after="0" w:line="10" w:lineRule="exact"/>
        <w:rPr>
          <w:rFonts w:ascii="Arial" w:cs="Arial" w:eastAsia="Arial" w:hAnsi="Arial"/>
          <w:sz w:val="21"/>
          <w:szCs w:val="21"/>
          <w:color w:val="auto"/>
        </w:rPr>
      </w:pPr>
    </w:p>
    <w:p>
      <w:pPr>
        <w:ind w:left="580" w:hanging="256"/>
        <w:spacing w:after="0"/>
        <w:tabs>
          <w:tab w:leader="none" w:pos="580" w:val="left"/>
        </w:tabs>
        <w:numPr>
          <w:ilvl w:val="0"/>
          <w:numId w:val="9"/>
        </w:numPr>
        <w:rPr>
          <w:rFonts w:ascii="Arial" w:cs="Arial" w:eastAsia="Arial" w:hAnsi="Arial"/>
          <w:sz w:val="21"/>
          <w:szCs w:val="21"/>
          <w:color w:val="auto"/>
        </w:rPr>
      </w:pPr>
      <w:r>
        <w:rPr>
          <w:rFonts w:ascii="Arial" w:cs="Arial" w:eastAsia="Arial" w:hAnsi="Arial"/>
          <w:sz w:val="21"/>
          <w:szCs w:val="21"/>
          <w:color w:val="auto"/>
        </w:rPr>
        <w:t>budgets and maintenance capital requirements</w:t>
      </w:r>
    </w:p>
    <w:p>
      <w:pPr>
        <w:spacing w:after="0" w:line="10" w:lineRule="exact"/>
        <w:rPr>
          <w:rFonts w:ascii="Arial" w:cs="Arial" w:eastAsia="Arial" w:hAnsi="Arial"/>
          <w:sz w:val="21"/>
          <w:szCs w:val="21"/>
          <w:color w:val="auto"/>
        </w:rPr>
      </w:pPr>
    </w:p>
    <w:p>
      <w:pPr>
        <w:ind w:left="580" w:hanging="256"/>
        <w:spacing w:after="0"/>
        <w:tabs>
          <w:tab w:leader="none" w:pos="580" w:val="left"/>
        </w:tabs>
        <w:numPr>
          <w:ilvl w:val="0"/>
          <w:numId w:val="9"/>
        </w:numPr>
        <w:rPr>
          <w:rFonts w:ascii="Arial" w:cs="Arial" w:eastAsia="Arial" w:hAnsi="Arial"/>
          <w:sz w:val="21"/>
          <w:szCs w:val="21"/>
          <w:color w:val="auto"/>
        </w:rPr>
      </w:pPr>
      <w:r>
        <w:rPr>
          <w:rFonts w:ascii="Arial" w:cs="Arial" w:eastAsia="Arial" w:hAnsi="Arial"/>
          <w:sz w:val="21"/>
          <w:szCs w:val="21"/>
          <w:color w:val="auto"/>
        </w:rPr>
        <w:t>reserves and reservoir characteristics</w:t>
      </w:r>
    </w:p>
    <w:p>
      <w:pPr>
        <w:spacing w:after="0" w:line="10" w:lineRule="exact"/>
        <w:rPr>
          <w:rFonts w:ascii="Arial" w:cs="Arial" w:eastAsia="Arial" w:hAnsi="Arial"/>
          <w:sz w:val="21"/>
          <w:szCs w:val="21"/>
          <w:color w:val="auto"/>
        </w:rPr>
      </w:pPr>
    </w:p>
    <w:p>
      <w:pPr>
        <w:ind w:left="580" w:hanging="256"/>
        <w:spacing w:after="0"/>
        <w:tabs>
          <w:tab w:leader="none" w:pos="580" w:val="left"/>
        </w:tabs>
        <w:numPr>
          <w:ilvl w:val="0"/>
          <w:numId w:val="9"/>
        </w:numPr>
        <w:rPr>
          <w:rFonts w:ascii="Arial" w:cs="Arial" w:eastAsia="Arial" w:hAnsi="Arial"/>
          <w:sz w:val="21"/>
          <w:szCs w:val="21"/>
          <w:color w:val="auto"/>
        </w:rPr>
      </w:pPr>
      <w:r>
        <w:rPr>
          <w:rFonts w:ascii="Arial" w:cs="Arial" w:eastAsia="Arial" w:hAnsi="Arial"/>
          <w:sz w:val="21"/>
          <w:szCs w:val="21"/>
          <w:color w:val="auto"/>
        </w:rPr>
        <w:t>type curves</w:t>
      </w:r>
    </w:p>
    <w:p>
      <w:pPr>
        <w:spacing w:after="0" w:line="10" w:lineRule="exact"/>
        <w:rPr>
          <w:rFonts w:ascii="Arial" w:cs="Arial" w:eastAsia="Arial" w:hAnsi="Arial"/>
          <w:sz w:val="21"/>
          <w:szCs w:val="21"/>
          <w:color w:val="auto"/>
        </w:rPr>
      </w:pPr>
    </w:p>
    <w:p>
      <w:pPr>
        <w:ind w:left="580" w:hanging="256"/>
        <w:spacing w:after="0"/>
        <w:tabs>
          <w:tab w:leader="none" w:pos="580" w:val="left"/>
        </w:tabs>
        <w:numPr>
          <w:ilvl w:val="0"/>
          <w:numId w:val="9"/>
        </w:numPr>
        <w:rPr>
          <w:rFonts w:ascii="Arial" w:cs="Arial" w:eastAsia="Arial" w:hAnsi="Arial"/>
          <w:sz w:val="21"/>
          <w:szCs w:val="21"/>
          <w:color w:val="auto"/>
        </w:rPr>
      </w:pPr>
      <w:r>
        <w:rPr>
          <w:rFonts w:ascii="Arial" w:cs="Arial" w:eastAsia="Arial" w:hAnsi="Arial"/>
          <w:sz w:val="21"/>
          <w:szCs w:val="21"/>
          <w:color w:val="auto"/>
        </w:rPr>
        <w:t>expected synergies from acquisitions and joint ventures</w:t>
      </w:r>
    </w:p>
    <w:p>
      <w:pPr>
        <w:spacing w:after="0" w:line="10" w:lineRule="exact"/>
        <w:rPr>
          <w:rFonts w:ascii="Arial" w:cs="Arial" w:eastAsia="Arial" w:hAnsi="Arial"/>
          <w:sz w:val="21"/>
          <w:szCs w:val="21"/>
          <w:color w:val="auto"/>
        </w:rPr>
      </w:pPr>
    </w:p>
    <w:p>
      <w:pPr>
        <w:ind w:left="580" w:hanging="256"/>
        <w:spacing w:after="0"/>
        <w:tabs>
          <w:tab w:leader="none" w:pos="580" w:val="left"/>
        </w:tabs>
        <w:numPr>
          <w:ilvl w:val="0"/>
          <w:numId w:val="9"/>
        </w:numPr>
        <w:rPr>
          <w:rFonts w:ascii="Arial" w:cs="Arial" w:eastAsia="Arial" w:hAnsi="Arial"/>
          <w:sz w:val="21"/>
          <w:szCs w:val="21"/>
          <w:color w:val="auto"/>
        </w:rPr>
      </w:pPr>
      <w:r>
        <w:rPr>
          <w:rFonts w:ascii="Arial" w:cs="Arial" w:eastAsia="Arial" w:hAnsi="Arial"/>
          <w:sz w:val="21"/>
          <w:szCs w:val="21"/>
          <w:color w:val="auto"/>
        </w:rPr>
        <w:t>energy transition initiatives</w:t>
      </w:r>
    </w:p>
    <w:p>
      <w:pPr>
        <w:spacing w:after="0" w:line="249" w:lineRule="exact"/>
        <w:rPr>
          <w:sz w:val="20"/>
          <w:szCs w:val="20"/>
          <w:color w:val="auto"/>
        </w:rPr>
      </w:pPr>
    </w:p>
    <w:p>
      <w:pPr>
        <w:ind w:firstLine="318"/>
        <w:spacing w:after="0" w:line="264" w:lineRule="auto"/>
        <w:rPr>
          <w:sz w:val="20"/>
          <w:szCs w:val="20"/>
          <w:color w:val="auto"/>
        </w:rPr>
      </w:pPr>
      <w:r>
        <w:rPr>
          <w:rFonts w:ascii="Arial" w:cs="Arial" w:eastAsia="Arial" w:hAnsi="Arial"/>
          <w:sz w:val="21"/>
          <w:szCs w:val="21"/>
          <w:color w:val="auto"/>
        </w:rPr>
        <w:t>Actual results may differ from anticipated results, sometimes materially, and reported results should not be considered an indication of future performance. While CRC believes assumptions or</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9</w:t>
      </w:r>
    </w:p>
    <w:p>
      <w:pPr>
        <w:sectPr>
          <w:pgSz w:w="11900" w:h="16838" w:orient="portrait"/>
          <w:cols w:equalWidth="0" w:num="1">
            <w:col w:w="11240"/>
          </w:cols>
          <w:pgMar w:left="320" w:top="902" w:right="339" w:bottom="1440" w:gutter="0" w:footer="0" w:header="0"/>
        </w:sectPr>
      </w:pPr>
    </w:p>
    <w:bookmarkStart w:id="13" w:name="page14"/>
    <w:bookmarkEnd w:id="13"/>
    <w:p>
      <w:pPr>
        <w:jc w:val="both"/>
        <w:spacing w:after="0" w:line="254" w:lineRule="auto"/>
        <w:rPr>
          <w:sz w:val="20"/>
          <w:szCs w:val="20"/>
          <w:color w:val="auto"/>
        </w:rPr>
      </w:pPr>
      <w:r>
        <w:rPr>
          <w:rFonts w:ascii="Arial" w:cs="Arial" w:eastAsia="Arial" w:hAnsi="Arial"/>
          <w:sz w:val="21"/>
          <w:szCs w:val="21"/>
          <w:color w:val="auto"/>
        </w:rPr>
        <w:t>bases underlying its expectations are reasonable and make them in good faith, they almost always vary from actual results, sometimes materially. CRC also believes third-party statements it cites are accurate but have not independently verified them and do not warrant their accuracy or completeness. Factors (but not necessarily all the factors) that could cause results to differ include:</w:t>
      </w:r>
    </w:p>
    <w:p>
      <w:pPr>
        <w:spacing w:after="0" w:line="223" w:lineRule="exact"/>
        <w:rPr>
          <w:sz w:val="20"/>
          <w:szCs w:val="20"/>
          <w:color w:val="auto"/>
        </w:rPr>
      </w:pPr>
    </w:p>
    <w:p>
      <w:pPr>
        <w:ind w:left="580" w:hanging="256"/>
        <w:spacing w:after="0"/>
        <w:tabs>
          <w:tab w:leader="none" w:pos="580" w:val="left"/>
        </w:tabs>
        <w:numPr>
          <w:ilvl w:val="0"/>
          <w:numId w:val="10"/>
        </w:numPr>
        <w:rPr>
          <w:rFonts w:ascii="Arial" w:cs="Arial" w:eastAsia="Arial" w:hAnsi="Arial"/>
          <w:sz w:val="21"/>
          <w:szCs w:val="21"/>
          <w:color w:val="auto"/>
        </w:rPr>
      </w:pPr>
      <w:r>
        <w:rPr>
          <w:rFonts w:ascii="Arial" w:cs="Arial" w:eastAsia="Arial" w:hAnsi="Arial"/>
          <w:sz w:val="21"/>
          <w:szCs w:val="21"/>
          <w:color w:val="auto"/>
        </w:rPr>
        <w:t>CRC's ability to execute its business plan post-emergence</w:t>
      </w:r>
    </w:p>
    <w:p>
      <w:pPr>
        <w:spacing w:after="0" w:line="10" w:lineRule="exact"/>
        <w:rPr>
          <w:rFonts w:ascii="Arial" w:cs="Arial" w:eastAsia="Arial" w:hAnsi="Arial"/>
          <w:sz w:val="21"/>
          <w:szCs w:val="21"/>
          <w:color w:val="auto"/>
        </w:rPr>
      </w:pPr>
    </w:p>
    <w:p>
      <w:pPr>
        <w:ind w:left="580" w:hanging="256"/>
        <w:spacing w:after="0"/>
        <w:tabs>
          <w:tab w:leader="none" w:pos="580" w:val="left"/>
        </w:tabs>
        <w:numPr>
          <w:ilvl w:val="0"/>
          <w:numId w:val="10"/>
        </w:numPr>
        <w:rPr>
          <w:rFonts w:ascii="Arial" w:cs="Arial" w:eastAsia="Arial" w:hAnsi="Arial"/>
          <w:sz w:val="21"/>
          <w:szCs w:val="21"/>
          <w:color w:val="auto"/>
        </w:rPr>
      </w:pPr>
      <w:r>
        <w:rPr>
          <w:rFonts w:ascii="Arial" w:cs="Arial" w:eastAsia="Arial" w:hAnsi="Arial"/>
          <w:sz w:val="21"/>
          <w:szCs w:val="21"/>
          <w:color w:val="auto"/>
        </w:rPr>
        <w:t>the volatility of commodity prices and the potential for sustained low oil, natural gas and natural gas liquids prices</w:t>
      </w:r>
    </w:p>
    <w:p>
      <w:pPr>
        <w:spacing w:after="0" w:line="10" w:lineRule="exact"/>
        <w:rPr>
          <w:rFonts w:ascii="Arial" w:cs="Arial" w:eastAsia="Arial" w:hAnsi="Arial"/>
          <w:sz w:val="21"/>
          <w:szCs w:val="21"/>
          <w:color w:val="auto"/>
        </w:rPr>
      </w:pPr>
    </w:p>
    <w:p>
      <w:pPr>
        <w:ind w:left="580" w:hanging="256"/>
        <w:spacing w:after="0"/>
        <w:tabs>
          <w:tab w:leader="none" w:pos="580" w:val="left"/>
        </w:tabs>
        <w:numPr>
          <w:ilvl w:val="0"/>
          <w:numId w:val="10"/>
        </w:numPr>
        <w:rPr>
          <w:rFonts w:ascii="Arial" w:cs="Arial" w:eastAsia="Arial" w:hAnsi="Arial"/>
          <w:sz w:val="21"/>
          <w:szCs w:val="21"/>
          <w:color w:val="auto"/>
        </w:rPr>
      </w:pPr>
      <w:r>
        <w:rPr>
          <w:rFonts w:ascii="Arial" w:cs="Arial" w:eastAsia="Arial" w:hAnsi="Arial"/>
          <w:sz w:val="21"/>
          <w:szCs w:val="21"/>
          <w:color w:val="auto"/>
        </w:rPr>
        <w:t>impact of CRC's recent emergence from bankruptcy on its business and relationships</w:t>
      </w:r>
    </w:p>
    <w:p>
      <w:pPr>
        <w:spacing w:after="0" w:line="10" w:lineRule="exact"/>
        <w:rPr>
          <w:rFonts w:ascii="Arial" w:cs="Arial" w:eastAsia="Arial" w:hAnsi="Arial"/>
          <w:sz w:val="21"/>
          <w:szCs w:val="21"/>
          <w:color w:val="auto"/>
        </w:rPr>
      </w:pPr>
    </w:p>
    <w:p>
      <w:pPr>
        <w:ind w:left="580" w:hanging="256"/>
        <w:spacing w:after="0"/>
        <w:tabs>
          <w:tab w:leader="none" w:pos="580" w:val="left"/>
        </w:tabs>
        <w:numPr>
          <w:ilvl w:val="0"/>
          <w:numId w:val="10"/>
        </w:numPr>
        <w:rPr>
          <w:rFonts w:ascii="Arial" w:cs="Arial" w:eastAsia="Arial" w:hAnsi="Arial"/>
          <w:sz w:val="21"/>
          <w:szCs w:val="21"/>
          <w:color w:val="auto"/>
        </w:rPr>
      </w:pPr>
      <w:r>
        <w:rPr>
          <w:rFonts w:ascii="Arial" w:cs="Arial" w:eastAsia="Arial" w:hAnsi="Arial"/>
          <w:sz w:val="21"/>
          <w:szCs w:val="21"/>
          <w:color w:val="auto"/>
        </w:rPr>
        <w:t>debt limitations on CRC's financial flexibility</w:t>
      </w:r>
    </w:p>
    <w:p>
      <w:pPr>
        <w:spacing w:after="0" w:line="10" w:lineRule="exact"/>
        <w:rPr>
          <w:rFonts w:ascii="Arial" w:cs="Arial" w:eastAsia="Arial" w:hAnsi="Arial"/>
          <w:sz w:val="21"/>
          <w:szCs w:val="21"/>
          <w:color w:val="auto"/>
        </w:rPr>
      </w:pPr>
    </w:p>
    <w:p>
      <w:pPr>
        <w:ind w:left="640" w:hanging="316"/>
        <w:spacing w:after="0" w:line="250" w:lineRule="auto"/>
        <w:tabs>
          <w:tab w:leader="none" w:pos="582" w:val="left"/>
        </w:tabs>
        <w:numPr>
          <w:ilvl w:val="0"/>
          <w:numId w:val="10"/>
        </w:numPr>
        <w:rPr>
          <w:rFonts w:ascii="Arial" w:cs="Arial" w:eastAsia="Arial" w:hAnsi="Arial"/>
          <w:sz w:val="21"/>
          <w:szCs w:val="21"/>
          <w:color w:val="auto"/>
        </w:rPr>
      </w:pPr>
      <w:r>
        <w:rPr>
          <w:rFonts w:ascii="Arial" w:cs="Arial" w:eastAsia="Arial" w:hAnsi="Arial"/>
          <w:sz w:val="21"/>
          <w:szCs w:val="21"/>
          <w:color w:val="auto"/>
        </w:rPr>
        <w:t>insufficient cash flow to fund planned investments, interest payments on CRC's debt, debt repurchases or changes to CRC's capital plan</w:t>
      </w:r>
    </w:p>
    <w:p>
      <w:pPr>
        <w:ind w:left="640" w:hanging="316"/>
        <w:spacing w:after="0" w:line="250" w:lineRule="auto"/>
        <w:tabs>
          <w:tab w:leader="none" w:pos="582" w:val="left"/>
        </w:tabs>
        <w:numPr>
          <w:ilvl w:val="0"/>
          <w:numId w:val="10"/>
        </w:numPr>
        <w:rPr>
          <w:rFonts w:ascii="Arial" w:cs="Arial" w:eastAsia="Arial" w:hAnsi="Arial"/>
          <w:sz w:val="21"/>
          <w:szCs w:val="21"/>
          <w:color w:val="auto"/>
        </w:rPr>
      </w:pPr>
      <w:r>
        <w:rPr>
          <w:rFonts w:ascii="Arial" w:cs="Arial" w:eastAsia="Arial" w:hAnsi="Arial"/>
          <w:sz w:val="21"/>
          <w:szCs w:val="21"/>
          <w:color w:val="auto"/>
        </w:rPr>
        <w:t>insufficient capital or liquidity, including as a result of lender restrictions, unavailability of capital markets or inability to attract potential investors</w:t>
      </w:r>
    </w:p>
    <w:p>
      <w:pPr>
        <w:ind w:left="580" w:hanging="256"/>
        <w:spacing w:after="0"/>
        <w:tabs>
          <w:tab w:leader="none" w:pos="580" w:val="left"/>
        </w:tabs>
        <w:numPr>
          <w:ilvl w:val="0"/>
          <w:numId w:val="10"/>
        </w:numPr>
        <w:rPr>
          <w:rFonts w:ascii="Arial" w:cs="Arial" w:eastAsia="Arial" w:hAnsi="Arial"/>
          <w:sz w:val="21"/>
          <w:szCs w:val="21"/>
          <w:color w:val="auto"/>
        </w:rPr>
      </w:pPr>
      <w:r>
        <w:rPr>
          <w:rFonts w:ascii="Arial" w:cs="Arial" w:eastAsia="Arial" w:hAnsi="Arial"/>
          <w:sz w:val="21"/>
          <w:szCs w:val="21"/>
          <w:color w:val="auto"/>
        </w:rPr>
        <w:t>limitations on transportation or storage capacity and the need to shut-in wells</w:t>
      </w:r>
    </w:p>
    <w:p>
      <w:pPr>
        <w:spacing w:after="0" w:line="10" w:lineRule="exact"/>
        <w:rPr>
          <w:rFonts w:ascii="Arial" w:cs="Arial" w:eastAsia="Arial" w:hAnsi="Arial"/>
          <w:sz w:val="21"/>
          <w:szCs w:val="21"/>
          <w:color w:val="auto"/>
        </w:rPr>
      </w:pPr>
    </w:p>
    <w:p>
      <w:pPr>
        <w:ind w:left="580" w:hanging="256"/>
        <w:spacing w:after="0"/>
        <w:tabs>
          <w:tab w:leader="none" w:pos="580" w:val="left"/>
        </w:tabs>
        <w:numPr>
          <w:ilvl w:val="0"/>
          <w:numId w:val="10"/>
        </w:numPr>
        <w:rPr>
          <w:rFonts w:ascii="Arial" w:cs="Arial" w:eastAsia="Arial" w:hAnsi="Arial"/>
          <w:sz w:val="21"/>
          <w:szCs w:val="21"/>
          <w:color w:val="auto"/>
        </w:rPr>
      </w:pPr>
      <w:r>
        <w:rPr>
          <w:rFonts w:ascii="Arial" w:cs="Arial" w:eastAsia="Arial" w:hAnsi="Arial"/>
          <w:sz w:val="21"/>
          <w:szCs w:val="21"/>
          <w:color w:val="auto"/>
        </w:rPr>
        <w:t>inability to enter into desirable transactions including acquisitions, asset sales and joint ventures</w:t>
      </w:r>
    </w:p>
    <w:p>
      <w:pPr>
        <w:spacing w:after="0" w:line="10" w:lineRule="exact"/>
        <w:rPr>
          <w:rFonts w:ascii="Arial" w:cs="Arial" w:eastAsia="Arial" w:hAnsi="Arial"/>
          <w:sz w:val="21"/>
          <w:szCs w:val="21"/>
          <w:color w:val="auto"/>
        </w:rPr>
      </w:pPr>
    </w:p>
    <w:p>
      <w:pPr>
        <w:ind w:left="580" w:hanging="256"/>
        <w:spacing w:after="0"/>
        <w:tabs>
          <w:tab w:leader="none" w:pos="580" w:val="left"/>
        </w:tabs>
        <w:numPr>
          <w:ilvl w:val="0"/>
          <w:numId w:val="10"/>
        </w:numPr>
        <w:rPr>
          <w:rFonts w:ascii="Arial" w:cs="Arial" w:eastAsia="Arial" w:hAnsi="Arial"/>
          <w:sz w:val="21"/>
          <w:szCs w:val="21"/>
          <w:color w:val="auto"/>
        </w:rPr>
      </w:pPr>
      <w:r>
        <w:rPr>
          <w:rFonts w:ascii="Arial" w:cs="Arial" w:eastAsia="Arial" w:hAnsi="Arial"/>
          <w:sz w:val="21"/>
          <w:szCs w:val="21"/>
          <w:color w:val="auto"/>
        </w:rPr>
        <w:t>CRC's ability to utilize its net operating loss carryforwards to reduce its income tax obligations</w:t>
      </w:r>
    </w:p>
    <w:p>
      <w:pPr>
        <w:spacing w:after="0" w:line="10" w:lineRule="exact"/>
        <w:rPr>
          <w:rFonts w:ascii="Arial" w:cs="Arial" w:eastAsia="Arial" w:hAnsi="Arial"/>
          <w:sz w:val="21"/>
          <w:szCs w:val="21"/>
          <w:color w:val="auto"/>
        </w:rPr>
      </w:pPr>
    </w:p>
    <w:p>
      <w:pPr>
        <w:jc w:val="both"/>
        <w:ind w:left="640" w:hanging="316"/>
        <w:spacing w:after="0" w:line="250" w:lineRule="auto"/>
        <w:tabs>
          <w:tab w:leader="none" w:pos="582" w:val="left"/>
        </w:tabs>
        <w:numPr>
          <w:ilvl w:val="0"/>
          <w:numId w:val="10"/>
        </w:numPr>
        <w:rPr>
          <w:rFonts w:ascii="Arial" w:cs="Arial" w:eastAsia="Arial" w:hAnsi="Arial"/>
          <w:sz w:val="21"/>
          <w:szCs w:val="21"/>
          <w:color w:val="auto"/>
        </w:rPr>
      </w:pPr>
      <w:r>
        <w:rPr>
          <w:rFonts w:ascii="Arial" w:cs="Arial" w:eastAsia="Arial" w:hAnsi="Arial"/>
          <w:sz w:val="21"/>
          <w:szCs w:val="21"/>
          <w:color w:val="auto"/>
        </w:rPr>
        <w:t>legislative or regulatory changes, including those related to (i) drilling, completion, well stimulation, operation, maintenance or abandonment of wells or facilities, (ii) managing energy, water, land, greenhouse gases (GHGs) or other emissions, (iii) protection of health, safety and the environment, (iv) tax credits or other incentives, or (v) transportation, marketing and sale of CRC products</w:t>
      </w:r>
    </w:p>
    <w:p>
      <w:pPr>
        <w:ind w:left="580" w:hanging="256"/>
        <w:spacing w:after="0"/>
        <w:tabs>
          <w:tab w:leader="none" w:pos="580" w:val="left"/>
        </w:tabs>
        <w:numPr>
          <w:ilvl w:val="0"/>
          <w:numId w:val="10"/>
        </w:numPr>
        <w:rPr>
          <w:rFonts w:ascii="Arial" w:cs="Arial" w:eastAsia="Arial" w:hAnsi="Arial"/>
          <w:sz w:val="21"/>
          <w:szCs w:val="21"/>
          <w:color w:val="auto"/>
        </w:rPr>
      </w:pPr>
      <w:r>
        <w:rPr>
          <w:rFonts w:ascii="Arial" w:cs="Arial" w:eastAsia="Arial" w:hAnsi="Arial"/>
          <w:sz w:val="21"/>
          <w:szCs w:val="21"/>
          <w:color w:val="auto"/>
        </w:rPr>
        <w:t>joint ventures and acquisitions and CRC's ability to achieve expected synergies</w:t>
      </w:r>
    </w:p>
    <w:p>
      <w:pPr>
        <w:spacing w:after="0" w:line="10" w:lineRule="exact"/>
        <w:rPr>
          <w:rFonts w:ascii="Arial" w:cs="Arial" w:eastAsia="Arial" w:hAnsi="Arial"/>
          <w:sz w:val="21"/>
          <w:szCs w:val="21"/>
          <w:color w:val="auto"/>
        </w:rPr>
      </w:pPr>
    </w:p>
    <w:p>
      <w:pPr>
        <w:ind w:left="580" w:hanging="256"/>
        <w:spacing w:after="0"/>
        <w:tabs>
          <w:tab w:leader="none" w:pos="580" w:val="left"/>
        </w:tabs>
        <w:numPr>
          <w:ilvl w:val="0"/>
          <w:numId w:val="10"/>
        </w:numPr>
        <w:rPr>
          <w:rFonts w:ascii="Arial" w:cs="Arial" w:eastAsia="Arial" w:hAnsi="Arial"/>
          <w:sz w:val="21"/>
          <w:szCs w:val="21"/>
          <w:color w:val="auto"/>
        </w:rPr>
      </w:pPr>
      <w:r>
        <w:rPr>
          <w:rFonts w:ascii="Arial" w:cs="Arial" w:eastAsia="Arial" w:hAnsi="Arial"/>
          <w:sz w:val="21"/>
          <w:szCs w:val="21"/>
          <w:color w:val="auto"/>
        </w:rPr>
        <w:t>the recoverability of resources and unexpected geologic conditions</w:t>
      </w:r>
    </w:p>
    <w:p>
      <w:pPr>
        <w:spacing w:after="0" w:line="10" w:lineRule="exact"/>
        <w:rPr>
          <w:rFonts w:ascii="Arial" w:cs="Arial" w:eastAsia="Arial" w:hAnsi="Arial"/>
          <w:sz w:val="21"/>
          <w:szCs w:val="21"/>
          <w:color w:val="auto"/>
        </w:rPr>
      </w:pPr>
    </w:p>
    <w:p>
      <w:pPr>
        <w:ind w:left="580" w:hanging="256"/>
        <w:spacing w:after="0"/>
        <w:tabs>
          <w:tab w:leader="none" w:pos="580" w:val="left"/>
        </w:tabs>
        <w:numPr>
          <w:ilvl w:val="0"/>
          <w:numId w:val="10"/>
        </w:numPr>
        <w:rPr>
          <w:rFonts w:ascii="Arial" w:cs="Arial" w:eastAsia="Arial" w:hAnsi="Arial"/>
          <w:sz w:val="21"/>
          <w:szCs w:val="21"/>
          <w:color w:val="auto"/>
        </w:rPr>
      </w:pPr>
      <w:r>
        <w:rPr>
          <w:rFonts w:ascii="Arial" w:cs="Arial" w:eastAsia="Arial" w:hAnsi="Arial"/>
          <w:sz w:val="21"/>
          <w:szCs w:val="21"/>
          <w:color w:val="auto"/>
        </w:rPr>
        <w:t>incorrect estimates of reserves and related future cash flows and the inability to replace reserves</w:t>
      </w:r>
    </w:p>
    <w:p>
      <w:pPr>
        <w:spacing w:after="0" w:line="10" w:lineRule="exact"/>
        <w:rPr>
          <w:rFonts w:ascii="Arial" w:cs="Arial" w:eastAsia="Arial" w:hAnsi="Arial"/>
          <w:sz w:val="21"/>
          <w:szCs w:val="21"/>
          <w:color w:val="auto"/>
        </w:rPr>
      </w:pPr>
    </w:p>
    <w:p>
      <w:pPr>
        <w:ind w:left="580" w:hanging="256"/>
        <w:spacing w:after="0"/>
        <w:tabs>
          <w:tab w:leader="none" w:pos="580" w:val="left"/>
        </w:tabs>
        <w:numPr>
          <w:ilvl w:val="0"/>
          <w:numId w:val="10"/>
        </w:numPr>
        <w:rPr>
          <w:rFonts w:ascii="Arial" w:cs="Arial" w:eastAsia="Arial" w:hAnsi="Arial"/>
          <w:sz w:val="21"/>
          <w:szCs w:val="21"/>
          <w:color w:val="auto"/>
        </w:rPr>
      </w:pPr>
      <w:r>
        <w:rPr>
          <w:rFonts w:ascii="Arial" w:cs="Arial" w:eastAsia="Arial" w:hAnsi="Arial"/>
          <w:sz w:val="21"/>
          <w:szCs w:val="21"/>
          <w:color w:val="auto"/>
        </w:rPr>
        <w:t>changes in business strategy</w:t>
      </w:r>
    </w:p>
    <w:p>
      <w:pPr>
        <w:spacing w:after="0" w:line="10" w:lineRule="exact"/>
        <w:rPr>
          <w:rFonts w:ascii="Arial" w:cs="Arial" w:eastAsia="Arial" w:hAnsi="Arial"/>
          <w:sz w:val="21"/>
          <w:szCs w:val="21"/>
          <w:color w:val="auto"/>
        </w:rPr>
      </w:pPr>
    </w:p>
    <w:p>
      <w:pPr>
        <w:ind w:left="580" w:hanging="256"/>
        <w:spacing w:after="0"/>
        <w:tabs>
          <w:tab w:leader="none" w:pos="580" w:val="left"/>
        </w:tabs>
        <w:numPr>
          <w:ilvl w:val="0"/>
          <w:numId w:val="10"/>
        </w:numPr>
        <w:rPr>
          <w:rFonts w:ascii="Arial" w:cs="Arial" w:eastAsia="Arial" w:hAnsi="Arial"/>
          <w:sz w:val="21"/>
          <w:szCs w:val="21"/>
          <w:color w:val="auto"/>
        </w:rPr>
      </w:pPr>
      <w:r>
        <w:rPr>
          <w:rFonts w:ascii="Arial" w:cs="Arial" w:eastAsia="Arial" w:hAnsi="Arial"/>
          <w:sz w:val="21"/>
          <w:szCs w:val="21"/>
          <w:color w:val="auto"/>
        </w:rPr>
        <w:t>production-sharing contracts' effects on production and unit operating costs</w:t>
      </w:r>
    </w:p>
    <w:p>
      <w:pPr>
        <w:spacing w:after="0" w:line="10" w:lineRule="exact"/>
        <w:rPr>
          <w:rFonts w:ascii="Arial" w:cs="Arial" w:eastAsia="Arial" w:hAnsi="Arial"/>
          <w:sz w:val="21"/>
          <w:szCs w:val="21"/>
          <w:color w:val="auto"/>
        </w:rPr>
      </w:pPr>
    </w:p>
    <w:p>
      <w:pPr>
        <w:ind w:left="580" w:hanging="256"/>
        <w:spacing w:after="0"/>
        <w:tabs>
          <w:tab w:leader="none" w:pos="580" w:val="left"/>
        </w:tabs>
        <w:numPr>
          <w:ilvl w:val="0"/>
          <w:numId w:val="10"/>
        </w:numPr>
        <w:rPr>
          <w:rFonts w:ascii="Arial" w:cs="Arial" w:eastAsia="Arial" w:hAnsi="Arial"/>
          <w:sz w:val="21"/>
          <w:szCs w:val="21"/>
          <w:color w:val="auto"/>
        </w:rPr>
      </w:pPr>
      <w:r>
        <w:rPr>
          <w:rFonts w:ascii="Arial" w:cs="Arial" w:eastAsia="Arial" w:hAnsi="Arial"/>
          <w:sz w:val="21"/>
          <w:szCs w:val="21"/>
          <w:color w:val="auto"/>
        </w:rPr>
        <w:t>the effect of CRC's stock price on costs associated with incentive compensation</w:t>
      </w:r>
    </w:p>
    <w:p>
      <w:pPr>
        <w:spacing w:after="0" w:line="10" w:lineRule="exact"/>
        <w:rPr>
          <w:rFonts w:ascii="Arial" w:cs="Arial" w:eastAsia="Arial" w:hAnsi="Arial"/>
          <w:sz w:val="21"/>
          <w:szCs w:val="21"/>
          <w:color w:val="auto"/>
        </w:rPr>
      </w:pPr>
    </w:p>
    <w:p>
      <w:pPr>
        <w:ind w:left="580" w:hanging="256"/>
        <w:spacing w:after="0"/>
        <w:tabs>
          <w:tab w:leader="none" w:pos="580" w:val="left"/>
        </w:tabs>
        <w:numPr>
          <w:ilvl w:val="0"/>
          <w:numId w:val="10"/>
        </w:numPr>
        <w:rPr>
          <w:rFonts w:ascii="Arial" w:cs="Arial" w:eastAsia="Arial" w:hAnsi="Arial"/>
          <w:sz w:val="21"/>
          <w:szCs w:val="21"/>
          <w:color w:val="auto"/>
        </w:rPr>
      </w:pPr>
      <w:r>
        <w:rPr>
          <w:rFonts w:ascii="Arial" w:cs="Arial" w:eastAsia="Arial" w:hAnsi="Arial"/>
          <w:sz w:val="21"/>
          <w:szCs w:val="21"/>
          <w:color w:val="auto"/>
        </w:rPr>
        <w:t>effects of hedging transactions</w:t>
      </w:r>
    </w:p>
    <w:p>
      <w:pPr>
        <w:spacing w:after="0" w:line="10" w:lineRule="exact"/>
        <w:rPr>
          <w:rFonts w:ascii="Arial" w:cs="Arial" w:eastAsia="Arial" w:hAnsi="Arial"/>
          <w:sz w:val="21"/>
          <w:szCs w:val="21"/>
          <w:color w:val="auto"/>
        </w:rPr>
      </w:pPr>
    </w:p>
    <w:p>
      <w:pPr>
        <w:ind w:left="580" w:hanging="256"/>
        <w:spacing w:after="0"/>
        <w:tabs>
          <w:tab w:leader="none" w:pos="580" w:val="left"/>
        </w:tabs>
        <w:numPr>
          <w:ilvl w:val="0"/>
          <w:numId w:val="10"/>
        </w:numPr>
        <w:rPr>
          <w:rFonts w:ascii="Arial" w:cs="Arial" w:eastAsia="Arial" w:hAnsi="Arial"/>
          <w:sz w:val="21"/>
          <w:szCs w:val="21"/>
          <w:color w:val="auto"/>
        </w:rPr>
      </w:pPr>
      <w:r>
        <w:rPr>
          <w:rFonts w:ascii="Arial" w:cs="Arial" w:eastAsia="Arial" w:hAnsi="Arial"/>
          <w:sz w:val="21"/>
          <w:szCs w:val="21"/>
          <w:color w:val="auto"/>
        </w:rPr>
        <w:t>equipment, service or labor price inflation or unavailability</w:t>
      </w:r>
    </w:p>
    <w:p>
      <w:pPr>
        <w:spacing w:after="0" w:line="10" w:lineRule="exact"/>
        <w:rPr>
          <w:rFonts w:ascii="Arial" w:cs="Arial" w:eastAsia="Arial" w:hAnsi="Arial"/>
          <w:sz w:val="21"/>
          <w:szCs w:val="21"/>
          <w:color w:val="auto"/>
        </w:rPr>
      </w:pPr>
    </w:p>
    <w:p>
      <w:pPr>
        <w:ind w:left="580" w:hanging="256"/>
        <w:spacing w:after="0"/>
        <w:tabs>
          <w:tab w:leader="none" w:pos="580" w:val="left"/>
        </w:tabs>
        <w:numPr>
          <w:ilvl w:val="0"/>
          <w:numId w:val="10"/>
        </w:numPr>
        <w:rPr>
          <w:rFonts w:ascii="Arial" w:cs="Arial" w:eastAsia="Arial" w:hAnsi="Arial"/>
          <w:sz w:val="21"/>
          <w:szCs w:val="21"/>
          <w:color w:val="auto"/>
        </w:rPr>
      </w:pPr>
      <w:r>
        <w:rPr>
          <w:rFonts w:ascii="Arial" w:cs="Arial" w:eastAsia="Arial" w:hAnsi="Arial"/>
          <w:sz w:val="21"/>
          <w:szCs w:val="21"/>
          <w:color w:val="auto"/>
        </w:rPr>
        <w:t>availability or timing of, or conditions imposed on, permits and approvals</w:t>
      </w:r>
    </w:p>
    <w:p>
      <w:pPr>
        <w:spacing w:after="0" w:line="10" w:lineRule="exact"/>
        <w:rPr>
          <w:rFonts w:ascii="Arial" w:cs="Arial" w:eastAsia="Arial" w:hAnsi="Arial"/>
          <w:sz w:val="21"/>
          <w:szCs w:val="21"/>
          <w:color w:val="auto"/>
        </w:rPr>
      </w:pPr>
    </w:p>
    <w:p>
      <w:pPr>
        <w:ind w:left="640" w:hanging="316"/>
        <w:spacing w:after="0" w:line="250" w:lineRule="auto"/>
        <w:tabs>
          <w:tab w:leader="none" w:pos="582" w:val="left"/>
        </w:tabs>
        <w:numPr>
          <w:ilvl w:val="0"/>
          <w:numId w:val="10"/>
        </w:numPr>
        <w:rPr>
          <w:rFonts w:ascii="Arial" w:cs="Arial" w:eastAsia="Arial" w:hAnsi="Arial"/>
          <w:sz w:val="21"/>
          <w:szCs w:val="21"/>
          <w:color w:val="auto"/>
        </w:rPr>
      </w:pPr>
      <w:r>
        <w:rPr>
          <w:rFonts w:ascii="Arial" w:cs="Arial" w:eastAsia="Arial" w:hAnsi="Arial"/>
          <w:sz w:val="21"/>
          <w:szCs w:val="21"/>
          <w:color w:val="auto"/>
        </w:rPr>
        <w:t>lower-than-expected production, reserves or resources from development projects, joint ventures or acquisitions, or higher-than-expected decline rates</w:t>
      </w:r>
    </w:p>
    <w:p>
      <w:pPr>
        <w:ind w:left="640" w:hanging="316"/>
        <w:spacing w:after="0" w:line="250" w:lineRule="auto"/>
        <w:tabs>
          <w:tab w:leader="none" w:pos="582" w:val="left"/>
        </w:tabs>
        <w:numPr>
          <w:ilvl w:val="0"/>
          <w:numId w:val="10"/>
        </w:numPr>
        <w:rPr>
          <w:rFonts w:ascii="Arial" w:cs="Arial" w:eastAsia="Arial" w:hAnsi="Arial"/>
          <w:sz w:val="21"/>
          <w:szCs w:val="21"/>
          <w:color w:val="auto"/>
        </w:rPr>
      </w:pPr>
      <w:r>
        <w:rPr>
          <w:rFonts w:ascii="Arial" w:cs="Arial" w:eastAsia="Arial" w:hAnsi="Arial"/>
          <w:sz w:val="21"/>
          <w:szCs w:val="21"/>
          <w:color w:val="auto"/>
        </w:rPr>
        <w:t>disruptions due to accidents, mechanical failures, power outages, transportation or storage constraints, natural disasters, labor difficulties, cyber attacks or other catastrophic events</w:t>
      </w:r>
    </w:p>
    <w:p>
      <w:pPr>
        <w:ind w:left="580" w:hanging="256"/>
        <w:spacing w:after="0"/>
        <w:tabs>
          <w:tab w:leader="none" w:pos="580" w:val="left"/>
        </w:tabs>
        <w:numPr>
          <w:ilvl w:val="0"/>
          <w:numId w:val="10"/>
        </w:numPr>
        <w:rPr>
          <w:rFonts w:ascii="Arial" w:cs="Arial" w:eastAsia="Arial" w:hAnsi="Arial"/>
          <w:sz w:val="21"/>
          <w:szCs w:val="21"/>
          <w:color w:val="auto"/>
        </w:rPr>
      </w:pPr>
      <w:r>
        <w:rPr>
          <w:rFonts w:ascii="Arial" w:cs="Arial" w:eastAsia="Arial" w:hAnsi="Arial"/>
          <w:sz w:val="21"/>
          <w:szCs w:val="21"/>
          <w:color w:val="auto"/>
        </w:rPr>
        <w:t>pandemics, epidemics, outbreaks, or other public health events, such as the COVID-19</w:t>
      </w:r>
    </w:p>
    <w:p>
      <w:pPr>
        <w:spacing w:after="0" w:line="10" w:lineRule="exact"/>
        <w:rPr>
          <w:rFonts w:ascii="Arial" w:cs="Arial" w:eastAsia="Arial" w:hAnsi="Arial"/>
          <w:sz w:val="21"/>
          <w:szCs w:val="21"/>
          <w:color w:val="auto"/>
        </w:rPr>
      </w:pPr>
    </w:p>
    <w:p>
      <w:pPr>
        <w:ind w:left="640" w:hanging="316"/>
        <w:spacing w:after="0" w:line="250" w:lineRule="auto"/>
        <w:tabs>
          <w:tab w:leader="none" w:pos="582" w:val="left"/>
        </w:tabs>
        <w:numPr>
          <w:ilvl w:val="0"/>
          <w:numId w:val="10"/>
        </w:numPr>
        <w:rPr>
          <w:rFonts w:ascii="Arial" w:cs="Arial" w:eastAsia="Arial" w:hAnsi="Arial"/>
          <w:sz w:val="21"/>
          <w:szCs w:val="21"/>
          <w:color w:val="auto"/>
        </w:rPr>
      </w:pPr>
      <w:r>
        <w:rPr>
          <w:rFonts w:ascii="Arial" w:cs="Arial" w:eastAsia="Arial" w:hAnsi="Arial"/>
          <w:sz w:val="21"/>
          <w:szCs w:val="21"/>
          <w:color w:val="auto"/>
        </w:rPr>
        <w:t>CRC's ability to recognize the benefits of business strategies and initiatives related to energy transition, including carbon capture and sequestration projects and other renewable energy efforts</w:t>
      </w:r>
    </w:p>
    <w:p>
      <w:pPr>
        <w:ind w:left="580" w:hanging="256"/>
        <w:spacing w:after="0"/>
        <w:tabs>
          <w:tab w:leader="none" w:pos="580" w:val="left"/>
        </w:tabs>
        <w:numPr>
          <w:ilvl w:val="0"/>
          <w:numId w:val="10"/>
        </w:numPr>
        <w:rPr>
          <w:rFonts w:ascii="Arial" w:cs="Arial" w:eastAsia="Arial" w:hAnsi="Arial"/>
          <w:sz w:val="21"/>
          <w:szCs w:val="21"/>
          <w:color w:val="auto"/>
        </w:rPr>
      </w:pPr>
      <w:r>
        <w:rPr>
          <w:rFonts w:ascii="Arial" w:cs="Arial" w:eastAsia="Arial" w:hAnsi="Arial"/>
          <w:sz w:val="21"/>
          <w:szCs w:val="21"/>
          <w:color w:val="auto"/>
        </w:rPr>
        <w:t>factors discussed in Item 1A, Risk Factors in CRC's Annual Report on Form 10-K available at www.crc.com.</w:t>
      </w:r>
    </w:p>
    <w:p>
      <w:pPr>
        <w:spacing w:after="0" w:line="249" w:lineRule="exact"/>
        <w:rPr>
          <w:sz w:val="20"/>
          <w:szCs w:val="20"/>
          <w:color w:val="auto"/>
        </w:rPr>
      </w:pPr>
    </w:p>
    <w:p>
      <w:pPr>
        <w:jc w:val="both"/>
        <w:ind w:firstLine="318"/>
        <w:spacing w:after="0" w:line="257" w:lineRule="auto"/>
        <w:rPr>
          <w:sz w:val="20"/>
          <w:szCs w:val="20"/>
          <w:color w:val="auto"/>
        </w:rPr>
      </w:pPr>
      <w:r>
        <w:rPr>
          <w:rFonts w:ascii="Arial" w:cs="Arial" w:eastAsia="Arial" w:hAnsi="Arial"/>
          <w:sz w:val="21"/>
          <w:szCs w:val="21"/>
          <w:color w:val="auto"/>
        </w:rPr>
        <w:t>Words such as "anticipate," "believe," "continue," "could," "estimate," "expect," "goal," "intend," "likely," "may," "might," "plan," "potential," "project," "seek," "should," "target, "will" or "would" and similar words that reflect the prospective nature of events or outcomes typically</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10</w:t>
      </w:r>
    </w:p>
    <w:p>
      <w:pPr>
        <w:sectPr>
          <w:pgSz w:w="11900" w:h="16838" w:orient="portrait"/>
          <w:cols w:equalWidth="0" w:num="1">
            <w:col w:w="11240"/>
          </w:cols>
          <w:pgMar w:left="320" w:top="902" w:right="339" w:bottom="1440" w:gutter="0" w:footer="0" w:header="0"/>
        </w:sectPr>
      </w:pPr>
    </w:p>
    <w:bookmarkStart w:id="14" w:name="page15"/>
    <w:bookmarkEnd w:id="14"/>
    <w:p>
      <w:pPr>
        <w:jc w:val="both"/>
        <w:spacing w:after="0" w:line="257" w:lineRule="auto"/>
        <w:rPr>
          <w:sz w:val="20"/>
          <w:szCs w:val="20"/>
          <w:color w:val="auto"/>
        </w:rPr>
      </w:pPr>
      <w:r>
        <w:rPr>
          <w:rFonts w:ascii="Arial" w:cs="Arial" w:eastAsia="Arial" w:hAnsi="Arial"/>
          <w:sz w:val="21"/>
          <w:szCs w:val="21"/>
          <w:color w:val="auto"/>
        </w:rPr>
        <w:t>identify forward-looking statements. Any forward-looking statement speaks only as of the date on which such statement is made, and we undertake no obligation to correct or update any forward-looking statement, whether as a result of new information, future events or otherwise, except as required by applicable law.</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580" w:type="dxa"/>
            <w:vAlign w:val="bottom"/>
            <w:gridSpan w:val="2"/>
          </w:tcPr>
          <w:p>
            <w:pPr>
              <w:spacing w:after="0"/>
              <w:rPr>
                <w:sz w:val="20"/>
                <w:szCs w:val="20"/>
                <w:color w:val="auto"/>
              </w:rPr>
            </w:pPr>
            <w:r>
              <w:rPr>
                <w:rFonts w:ascii="Arial" w:cs="Arial" w:eastAsia="Arial" w:hAnsi="Arial"/>
                <w:sz w:val="21"/>
                <w:szCs w:val="21"/>
                <w:b w:val="1"/>
                <w:bCs w:val="1"/>
                <w:color w:val="auto"/>
              </w:rPr>
              <w:t>Contacts:</w:t>
            </w:r>
          </w:p>
        </w:tc>
        <w:tc>
          <w:tcPr>
            <w:tcW w:w="2220" w:type="dxa"/>
            <w:vAlign w:val="bottom"/>
          </w:tcPr>
          <w:p>
            <w:pPr>
              <w:spacing w:after="0"/>
              <w:rPr>
                <w:sz w:val="21"/>
                <w:szCs w:val="21"/>
                <w:color w:val="auto"/>
              </w:rPr>
            </w:pPr>
          </w:p>
        </w:tc>
      </w:tr>
      <w:tr>
        <w:trPr>
          <w:trHeight w:val="20"/>
        </w:trPr>
        <w:tc>
          <w:tcPr>
            <w:tcW w:w="980" w:type="dxa"/>
            <w:vAlign w:val="bottom"/>
            <w:shd w:val="clear" w:color="auto" w:fill="000000"/>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265"/>
        </w:trPr>
        <w:tc>
          <w:tcPr>
            <w:tcW w:w="5580" w:type="dxa"/>
            <w:vAlign w:val="bottom"/>
            <w:gridSpan w:val="2"/>
          </w:tcPr>
          <w:p>
            <w:pPr>
              <w:ind w:left="20"/>
              <w:spacing w:after="0"/>
              <w:rPr>
                <w:sz w:val="20"/>
                <w:szCs w:val="20"/>
                <w:color w:val="auto"/>
              </w:rPr>
            </w:pPr>
            <w:r>
              <w:rPr>
                <w:rFonts w:ascii="Arial" w:cs="Arial" w:eastAsia="Arial" w:hAnsi="Arial"/>
                <w:sz w:val="21"/>
                <w:szCs w:val="21"/>
                <w:color w:val="auto"/>
              </w:rPr>
              <w:t>Joanna Park (Investor Relations) 818-661-3731</w:t>
            </w:r>
          </w:p>
        </w:tc>
        <w:tc>
          <w:tcPr>
            <w:tcW w:w="2220" w:type="dxa"/>
            <w:vAlign w:val="bottom"/>
          </w:tcPr>
          <w:p>
            <w:pPr>
              <w:spacing w:after="0"/>
              <w:rPr>
                <w:sz w:val="20"/>
                <w:szCs w:val="20"/>
                <w:color w:val="auto"/>
              </w:rPr>
            </w:pPr>
            <w:r>
              <w:rPr>
                <w:rFonts w:ascii="Arial" w:cs="Arial" w:eastAsia="Arial" w:hAnsi="Arial"/>
                <w:sz w:val="21"/>
                <w:szCs w:val="21"/>
                <w:color w:val="auto"/>
              </w:rPr>
              <w:t>Richard Venn (Media)</w:t>
            </w:r>
          </w:p>
        </w:tc>
      </w:tr>
      <w:tr>
        <w:trPr>
          <w:trHeight w:val="212"/>
        </w:trPr>
        <w:tc>
          <w:tcPr>
            <w:tcW w:w="5580" w:type="dxa"/>
            <w:vAlign w:val="bottom"/>
            <w:gridSpan w:val="2"/>
          </w:tcPr>
          <w:p>
            <w:pPr>
              <w:ind w:left="20"/>
              <w:spacing w:after="0" w:line="212" w:lineRule="exact"/>
              <w:rPr>
                <w:sz w:val="20"/>
                <w:szCs w:val="20"/>
                <w:color w:val="auto"/>
              </w:rPr>
            </w:pPr>
            <w:r>
              <w:rPr>
                <w:rFonts w:ascii="Arial" w:cs="Arial" w:eastAsia="Arial" w:hAnsi="Arial"/>
                <w:sz w:val="21"/>
                <w:szCs w:val="21"/>
                <w:color w:val="auto"/>
              </w:rPr>
              <w:t>Joanna.Park@crc.com</w:t>
            </w:r>
          </w:p>
        </w:tc>
        <w:tc>
          <w:tcPr>
            <w:tcW w:w="2220" w:type="dxa"/>
            <w:vAlign w:val="bottom"/>
          </w:tcPr>
          <w:p>
            <w:pPr>
              <w:spacing w:after="0" w:line="212" w:lineRule="exact"/>
              <w:rPr>
                <w:sz w:val="20"/>
                <w:szCs w:val="20"/>
                <w:color w:val="auto"/>
              </w:rPr>
            </w:pPr>
            <w:r>
              <w:rPr>
                <w:rFonts w:ascii="Arial" w:cs="Arial" w:eastAsia="Arial" w:hAnsi="Arial"/>
                <w:sz w:val="21"/>
                <w:szCs w:val="21"/>
                <w:color w:val="auto"/>
              </w:rPr>
              <w:t>818-661-6014</w:t>
            </w:r>
          </w:p>
        </w:tc>
      </w:tr>
      <w:tr>
        <w:trPr>
          <w:trHeight w:val="205"/>
        </w:trPr>
        <w:tc>
          <w:tcPr>
            <w:tcW w:w="980" w:type="dxa"/>
            <w:vAlign w:val="bottom"/>
          </w:tcPr>
          <w:p>
            <w:pPr>
              <w:spacing w:after="0"/>
              <w:rPr>
                <w:sz w:val="17"/>
                <w:szCs w:val="17"/>
                <w:color w:val="auto"/>
              </w:rPr>
            </w:pPr>
          </w:p>
        </w:tc>
        <w:tc>
          <w:tcPr>
            <w:tcW w:w="4600" w:type="dxa"/>
            <w:vAlign w:val="bottom"/>
          </w:tcPr>
          <w:p>
            <w:pPr>
              <w:spacing w:after="0"/>
              <w:rPr>
                <w:sz w:val="17"/>
                <w:szCs w:val="17"/>
                <w:color w:val="auto"/>
              </w:rPr>
            </w:pPr>
          </w:p>
        </w:tc>
        <w:tc>
          <w:tcPr>
            <w:tcW w:w="2220" w:type="dxa"/>
            <w:vAlign w:val="bottom"/>
            <w:tcBorders>
              <w:bottom w:val="single" w:sz="8" w:color="421BFF"/>
            </w:tcBorders>
          </w:tcPr>
          <w:p>
            <w:pPr>
              <w:spacing w:after="0" w:line="205" w:lineRule="exact"/>
              <w:rPr>
                <w:sz w:val="20"/>
                <w:szCs w:val="20"/>
                <w:color w:val="auto"/>
              </w:rPr>
            </w:pPr>
            <w:r>
              <w:rPr>
                <w:rFonts w:ascii="Arial" w:cs="Arial" w:eastAsia="Arial" w:hAnsi="Arial"/>
                <w:sz w:val="21"/>
                <w:szCs w:val="21"/>
                <w:color w:val="421BFF"/>
                <w:w w:val="99"/>
              </w:rPr>
              <w:t>Richard.Venn@crc.com</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11</w:t>
      </w:r>
    </w:p>
    <w:p>
      <w:pPr>
        <w:sectPr>
          <w:pgSz w:w="11900" w:h="16838" w:orient="portrait"/>
          <w:cols w:equalWidth="0" w:num="1">
            <w:col w:w="11240"/>
          </w:cols>
          <w:pgMar w:left="320" w:top="902"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86"/>
        </w:trPr>
        <w:tc>
          <w:tcPr>
            <w:tcW w:w="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spacing w:after="0"/>
              <w:rPr>
                <w:sz w:val="16"/>
                <w:szCs w:val="16"/>
                <w:color w:val="auto"/>
              </w:rPr>
            </w:pPr>
          </w:p>
        </w:tc>
        <w:tc>
          <w:tcPr>
            <w:tcW w:w="3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Attachment 1</w:t>
            </w:r>
          </w:p>
        </w:tc>
        <w:tc>
          <w:tcPr>
            <w:tcW w:w="0" w:type="dxa"/>
            <w:vAlign w:val="bottom"/>
          </w:tcPr>
          <w:p>
            <w:pPr>
              <w:spacing w:after="0"/>
              <w:rPr>
                <w:sz w:val="1"/>
                <w:szCs w:val="1"/>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3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5580" w:type="dxa"/>
            <w:vAlign w:val="bottom"/>
            <w:gridSpan w:val="2"/>
          </w:tcPr>
          <w:p>
            <w:pPr>
              <w:spacing w:after="0"/>
              <w:rPr>
                <w:sz w:val="20"/>
                <w:szCs w:val="20"/>
                <w:color w:val="auto"/>
              </w:rPr>
            </w:pPr>
            <w:r>
              <w:rPr>
                <w:rFonts w:ascii="Arial" w:cs="Arial" w:eastAsia="Arial" w:hAnsi="Arial"/>
                <w:sz w:val="14"/>
                <w:szCs w:val="14"/>
                <w:b w:val="1"/>
                <w:bCs w:val="1"/>
                <w:color w:val="auto"/>
              </w:rPr>
              <w:t>SUMMARY OF RESULTS</w:t>
            </w: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760" w:type="dxa"/>
            <w:vAlign w:val="bottom"/>
          </w:tcPr>
          <w:p>
            <w:pPr>
              <w:spacing w:after="0"/>
              <w:rPr>
                <w:sz w:val="9"/>
                <w:szCs w:val="9"/>
                <w:color w:val="auto"/>
              </w:rPr>
            </w:pPr>
          </w:p>
        </w:tc>
        <w:tc>
          <w:tcPr>
            <w:tcW w:w="3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gridSpan w:val="2"/>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80" w:type="dxa"/>
            <w:vAlign w:val="bottom"/>
            <w:gridSpan w:val="2"/>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80" w:type="dxa"/>
            <w:vAlign w:val="bottom"/>
            <w:gridSpan w:val="3"/>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center"/>
              <w:ind w:right="49"/>
              <w:spacing w:after="0"/>
              <w:rPr>
                <w:sz w:val="20"/>
                <w:szCs w:val="20"/>
                <w:color w:val="auto"/>
              </w:rPr>
            </w:pPr>
            <w:r>
              <w:rPr>
                <w:rFonts w:ascii="Arial" w:cs="Arial" w:eastAsia="Arial" w:hAnsi="Arial"/>
                <w:sz w:val="14"/>
                <w:szCs w:val="14"/>
                <w:b w:val="1"/>
                <w:bCs w:val="1"/>
                <w:color w:val="auto"/>
                <w:w w:val="98"/>
              </w:rPr>
              <w:t>Successor</w:t>
            </w:r>
          </w:p>
        </w:tc>
        <w:tc>
          <w:tcPr>
            <w:tcW w:w="2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center"/>
              <w:ind w:right="49"/>
              <w:spacing w:after="0"/>
              <w:rPr>
                <w:sz w:val="20"/>
                <w:szCs w:val="20"/>
                <w:color w:val="auto"/>
              </w:rPr>
            </w:pPr>
            <w:r>
              <w:rPr>
                <w:rFonts w:ascii="Arial" w:cs="Arial" w:eastAsia="Arial" w:hAnsi="Arial"/>
                <w:sz w:val="14"/>
                <w:szCs w:val="14"/>
                <w:b w:val="1"/>
                <w:bCs w:val="1"/>
                <w:color w:val="auto"/>
              </w:rPr>
              <w:t>Predecessor</w:t>
            </w:r>
          </w:p>
        </w:tc>
        <w:tc>
          <w:tcPr>
            <w:tcW w:w="220" w:type="dxa"/>
            <w:vAlign w:val="bottom"/>
            <w:tcBorders>
              <w:right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center"/>
              <w:ind w:right="69"/>
              <w:spacing w:after="0"/>
              <w:rPr>
                <w:sz w:val="20"/>
                <w:szCs w:val="20"/>
                <w:color w:val="auto"/>
              </w:rPr>
            </w:pPr>
            <w:r>
              <w:rPr>
                <w:rFonts w:ascii="Arial" w:cs="Arial" w:eastAsia="Arial" w:hAnsi="Arial"/>
                <w:sz w:val="14"/>
                <w:szCs w:val="14"/>
                <w:b w:val="1"/>
                <w:bCs w:val="1"/>
                <w:color w:val="auto"/>
                <w:w w:val="98"/>
              </w:rPr>
              <w:t>Successor</w:t>
            </w:r>
          </w:p>
        </w:tc>
        <w:tc>
          <w:tcPr>
            <w:tcW w:w="2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center"/>
              <w:ind w:right="49"/>
              <w:spacing w:after="0"/>
              <w:rPr>
                <w:sz w:val="20"/>
                <w:szCs w:val="20"/>
                <w:color w:val="auto"/>
              </w:rPr>
            </w:pPr>
            <w:r>
              <w:rPr>
                <w:rFonts w:ascii="Arial" w:cs="Arial" w:eastAsia="Arial" w:hAnsi="Arial"/>
                <w:sz w:val="14"/>
                <w:szCs w:val="14"/>
                <w:b w:val="1"/>
                <w:bCs w:val="1"/>
                <w:color w:val="auto"/>
                <w:w w:val="99"/>
              </w:rPr>
              <w:t>Predecessor</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center"/>
              <w:ind w:right="69"/>
              <w:spacing w:after="0"/>
              <w:rPr>
                <w:sz w:val="20"/>
                <w:szCs w:val="20"/>
                <w:color w:val="auto"/>
              </w:rPr>
            </w:pPr>
            <w:r>
              <w:rPr>
                <w:rFonts w:ascii="Arial" w:cs="Arial" w:eastAsia="Arial" w:hAnsi="Arial"/>
                <w:sz w:val="14"/>
                <w:szCs w:val="14"/>
                <w:b w:val="1"/>
                <w:bCs w:val="1"/>
                <w:color w:val="auto"/>
              </w:rPr>
              <w:t>2nd Quarter</w:t>
            </w:r>
          </w:p>
        </w:tc>
        <w:tc>
          <w:tcPr>
            <w:tcW w:w="2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center"/>
              <w:ind w:right="29"/>
              <w:spacing w:after="0"/>
              <w:rPr>
                <w:sz w:val="20"/>
                <w:szCs w:val="20"/>
                <w:color w:val="auto"/>
              </w:rPr>
            </w:pPr>
            <w:r>
              <w:rPr>
                <w:rFonts w:ascii="Arial" w:cs="Arial" w:eastAsia="Arial" w:hAnsi="Arial"/>
                <w:sz w:val="14"/>
                <w:szCs w:val="14"/>
                <w:b w:val="1"/>
                <w:bCs w:val="1"/>
                <w:color w:val="auto"/>
              </w:rPr>
              <w:t>2nd Quarter</w:t>
            </w:r>
          </w:p>
        </w:tc>
        <w:tc>
          <w:tcPr>
            <w:tcW w:w="220" w:type="dxa"/>
            <w:vAlign w:val="bottom"/>
            <w:tcBorders>
              <w:right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center"/>
              <w:ind w:right="69"/>
              <w:spacing w:after="0"/>
              <w:rPr>
                <w:sz w:val="20"/>
                <w:szCs w:val="20"/>
                <w:color w:val="auto"/>
              </w:rPr>
            </w:pPr>
            <w:r>
              <w:rPr>
                <w:rFonts w:ascii="Arial" w:cs="Arial" w:eastAsia="Arial" w:hAnsi="Arial"/>
                <w:sz w:val="14"/>
                <w:szCs w:val="14"/>
                <w:b w:val="1"/>
                <w:bCs w:val="1"/>
                <w:color w:val="auto"/>
                <w:w w:val="99"/>
              </w:rPr>
              <w:t>Six Months</w:t>
            </w:r>
          </w:p>
        </w:tc>
        <w:tc>
          <w:tcPr>
            <w:tcW w:w="2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center"/>
              <w:ind w:right="49"/>
              <w:spacing w:after="0"/>
              <w:rPr>
                <w:sz w:val="20"/>
                <w:szCs w:val="20"/>
                <w:color w:val="auto"/>
              </w:rPr>
            </w:pPr>
            <w:r>
              <w:rPr>
                <w:rFonts w:ascii="Arial" w:cs="Arial" w:eastAsia="Arial" w:hAnsi="Arial"/>
                <w:sz w:val="14"/>
                <w:szCs w:val="14"/>
                <w:b w:val="1"/>
                <w:bCs w:val="1"/>
                <w:color w:val="auto"/>
              </w:rPr>
              <w:t>Six Months</w:t>
            </w:r>
          </w:p>
        </w:tc>
        <w:tc>
          <w:tcPr>
            <w:tcW w:w="0" w:type="dxa"/>
            <w:vAlign w:val="bottom"/>
          </w:tcPr>
          <w:p>
            <w:pPr>
              <w:spacing w:after="0"/>
              <w:rPr>
                <w:sz w:val="1"/>
                <w:szCs w:val="1"/>
                <w:color w:val="auto"/>
              </w:rPr>
            </w:pPr>
          </w:p>
        </w:tc>
      </w:tr>
      <w:tr>
        <w:trPr>
          <w:trHeight w:val="186"/>
        </w:trPr>
        <w:tc>
          <w:tcPr>
            <w:tcW w:w="20" w:type="dxa"/>
            <w:vAlign w:val="bottom"/>
            <w:tcBorders>
              <w:bottom w:val="single" w:sz="8" w:color="auto"/>
            </w:tcBorders>
          </w:tcPr>
          <w:p>
            <w:pPr>
              <w:spacing w:after="0"/>
              <w:rPr>
                <w:sz w:val="16"/>
                <w:szCs w:val="16"/>
                <w:color w:val="auto"/>
              </w:rPr>
            </w:pPr>
          </w:p>
        </w:tc>
        <w:tc>
          <w:tcPr>
            <w:tcW w:w="55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 and shares in millions, except per share amounts)</w:t>
            </w: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49"/>
              <w:spacing w:after="0"/>
              <w:rPr>
                <w:sz w:val="20"/>
                <w:szCs w:val="20"/>
                <w:color w:val="auto"/>
              </w:rPr>
            </w:pPr>
            <w:r>
              <w:rPr>
                <w:rFonts w:ascii="Arial" w:cs="Arial" w:eastAsia="Arial" w:hAnsi="Arial"/>
                <w:sz w:val="14"/>
                <w:szCs w:val="14"/>
                <w:b w:val="1"/>
                <w:bCs w:val="1"/>
                <w:color w:val="auto"/>
                <w:w w:val="96"/>
              </w:rPr>
              <w:t>2021</w:t>
            </w:r>
          </w:p>
        </w:tc>
        <w:tc>
          <w:tcPr>
            <w:tcW w:w="2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49"/>
              <w:spacing w:after="0"/>
              <w:rPr>
                <w:sz w:val="20"/>
                <w:szCs w:val="20"/>
                <w:color w:val="auto"/>
              </w:rPr>
            </w:pPr>
            <w:r>
              <w:rPr>
                <w:rFonts w:ascii="Arial" w:cs="Arial" w:eastAsia="Arial" w:hAnsi="Arial"/>
                <w:sz w:val="14"/>
                <w:szCs w:val="14"/>
                <w:b w:val="1"/>
                <w:bCs w:val="1"/>
                <w:color w:val="auto"/>
                <w:w w:val="96"/>
              </w:rPr>
              <w:t>2020</w:t>
            </w:r>
          </w:p>
        </w:tc>
        <w:tc>
          <w:tcPr>
            <w:tcW w:w="22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69"/>
              <w:spacing w:after="0"/>
              <w:rPr>
                <w:sz w:val="20"/>
                <w:szCs w:val="20"/>
                <w:color w:val="auto"/>
              </w:rPr>
            </w:pPr>
            <w:r>
              <w:rPr>
                <w:rFonts w:ascii="Arial" w:cs="Arial" w:eastAsia="Arial" w:hAnsi="Arial"/>
                <w:sz w:val="14"/>
                <w:szCs w:val="14"/>
                <w:b w:val="1"/>
                <w:bCs w:val="1"/>
                <w:color w:val="auto"/>
                <w:w w:val="96"/>
              </w:rPr>
              <w:t>2021</w:t>
            </w:r>
          </w:p>
        </w:tc>
        <w:tc>
          <w:tcPr>
            <w:tcW w:w="2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49"/>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5580" w:type="dxa"/>
            <w:vAlign w:val="bottom"/>
            <w:gridSpan w:val="2"/>
          </w:tcPr>
          <w:p>
            <w:pPr>
              <w:spacing w:after="0"/>
              <w:rPr>
                <w:sz w:val="20"/>
                <w:szCs w:val="20"/>
                <w:color w:val="auto"/>
              </w:rPr>
            </w:pPr>
            <w:r>
              <w:rPr>
                <w:rFonts w:ascii="Arial" w:cs="Arial" w:eastAsia="Arial" w:hAnsi="Arial"/>
                <w:sz w:val="14"/>
                <w:szCs w:val="14"/>
                <w:b w:val="1"/>
                <w:bCs w:val="1"/>
                <w:color w:val="auto"/>
              </w:rPr>
              <w:t>Statements of Operations:</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76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Revenues</w:t>
            </w:r>
          </w:p>
        </w:tc>
        <w:tc>
          <w:tcPr>
            <w:tcW w:w="3820" w:type="dxa"/>
            <w:vAlign w:val="bottom"/>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478</w:t>
            </w:r>
          </w:p>
        </w:tc>
        <w:tc>
          <w:tcPr>
            <w:tcW w:w="2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245</w:t>
            </w:r>
          </w:p>
        </w:tc>
        <w:tc>
          <w:tcPr>
            <w:tcW w:w="220" w:type="dxa"/>
            <w:vAlign w:val="bottom"/>
            <w:tcBorders>
              <w:right w:val="single" w:sz="8" w:color="auto"/>
            </w:tcBorders>
          </w:tcPr>
          <w:p>
            <w:pPr>
              <w:spacing w:after="0"/>
              <w:rPr>
                <w:sz w:val="16"/>
                <w:szCs w:val="16"/>
                <w:color w:val="auto"/>
              </w:rPr>
            </w:pPr>
          </w:p>
        </w:tc>
        <w:tc>
          <w:tcPr>
            <w:tcW w:w="4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910</w:t>
            </w:r>
          </w:p>
        </w:tc>
        <w:tc>
          <w:tcPr>
            <w:tcW w:w="2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675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580" w:type="dxa"/>
            <w:vAlign w:val="bottom"/>
            <w:gridSpan w:val="2"/>
          </w:tcPr>
          <w:p>
            <w:pPr>
              <w:spacing w:after="0"/>
              <w:rPr>
                <w:sz w:val="20"/>
                <w:szCs w:val="20"/>
                <w:color w:val="auto"/>
              </w:rPr>
            </w:pPr>
            <w:r>
              <w:rPr>
                <w:rFonts w:ascii="Arial" w:cs="Arial" w:eastAsia="Arial" w:hAnsi="Arial"/>
                <w:sz w:val="14"/>
                <w:szCs w:val="14"/>
                <w:color w:val="auto"/>
              </w:rPr>
              <w:t>Oil, natural gas and NGL sales</w:t>
            </w:r>
          </w:p>
        </w:tc>
        <w:tc>
          <w:tcPr>
            <w:tcW w:w="12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420" w:type="dxa"/>
            <w:vAlign w:val="bottom"/>
            <w:gridSpan w:val="2"/>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580" w:type="dxa"/>
            <w:vAlign w:val="bottom"/>
            <w:gridSpan w:val="2"/>
          </w:tcPr>
          <w:p>
            <w:pPr>
              <w:spacing w:after="0"/>
              <w:rPr>
                <w:sz w:val="20"/>
                <w:szCs w:val="20"/>
                <w:color w:val="auto"/>
              </w:rPr>
            </w:pPr>
            <w:r>
              <w:rPr>
                <w:rFonts w:ascii="Arial" w:cs="Arial" w:eastAsia="Arial" w:hAnsi="Arial"/>
                <w:sz w:val="14"/>
                <w:szCs w:val="14"/>
                <w:color w:val="auto"/>
              </w:rPr>
              <w:t>Net derivative (loss) gain from commodity contracts</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(265)</w:t>
            </w:r>
          </w:p>
        </w:tc>
        <w:tc>
          <w:tcPr>
            <w:tcW w:w="2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(4)</w:t>
            </w:r>
          </w:p>
        </w:tc>
        <w:tc>
          <w:tcPr>
            <w:tcW w:w="22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(478)</w:t>
            </w:r>
          </w:p>
        </w:tc>
        <w:tc>
          <w:tcPr>
            <w:tcW w:w="2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75</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580" w:type="dxa"/>
            <w:vAlign w:val="bottom"/>
            <w:gridSpan w:val="2"/>
          </w:tcPr>
          <w:p>
            <w:pPr>
              <w:spacing w:after="0"/>
              <w:rPr>
                <w:sz w:val="20"/>
                <w:szCs w:val="20"/>
                <w:color w:val="auto"/>
              </w:rPr>
            </w:pPr>
            <w:r>
              <w:rPr>
                <w:rFonts w:ascii="Arial" w:cs="Arial" w:eastAsia="Arial" w:hAnsi="Arial"/>
                <w:sz w:val="14"/>
                <w:szCs w:val="14"/>
                <w:color w:val="auto"/>
              </w:rPr>
              <w:t>Other revenue</w:t>
            </w:r>
          </w:p>
        </w:tc>
        <w:tc>
          <w:tcPr>
            <w:tcW w:w="12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48</w:t>
            </w:r>
          </w:p>
        </w:tc>
        <w:tc>
          <w:tcPr>
            <w:tcW w:w="2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14</w:t>
            </w:r>
          </w:p>
        </w:tc>
        <w:tc>
          <w:tcPr>
            <w:tcW w:w="22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146</w:t>
            </w:r>
          </w:p>
        </w:tc>
        <w:tc>
          <w:tcPr>
            <w:tcW w:w="2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59</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580" w:type="dxa"/>
            <w:vAlign w:val="bottom"/>
            <w:gridSpan w:val="2"/>
          </w:tcPr>
          <w:p>
            <w:pPr>
              <w:ind w:left="120"/>
              <w:spacing w:after="0"/>
              <w:rPr>
                <w:sz w:val="20"/>
                <w:szCs w:val="20"/>
                <w:color w:val="auto"/>
              </w:rPr>
            </w:pPr>
            <w:r>
              <w:rPr>
                <w:rFonts w:ascii="Arial" w:cs="Arial" w:eastAsia="Arial" w:hAnsi="Arial"/>
                <w:sz w:val="14"/>
                <w:szCs w:val="14"/>
                <w:color w:val="auto"/>
              </w:rPr>
              <w:t>Trading revenue</w:t>
            </w:r>
          </w:p>
        </w:tc>
        <w:tc>
          <w:tcPr>
            <w:tcW w:w="12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580" w:type="dxa"/>
            <w:vAlign w:val="bottom"/>
            <w:gridSpan w:val="2"/>
          </w:tcPr>
          <w:p>
            <w:pPr>
              <w:ind w:left="120"/>
              <w:spacing w:after="0"/>
              <w:rPr>
                <w:sz w:val="20"/>
                <w:szCs w:val="20"/>
                <w:color w:val="auto"/>
              </w:rPr>
            </w:pPr>
            <w:r>
              <w:rPr>
                <w:rFonts w:ascii="Arial" w:cs="Arial" w:eastAsia="Arial" w:hAnsi="Arial"/>
                <w:sz w:val="14"/>
                <w:szCs w:val="14"/>
                <w:color w:val="auto"/>
              </w:rPr>
              <w:t>Electricity sales</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33</w:t>
            </w:r>
          </w:p>
        </w:tc>
        <w:tc>
          <w:tcPr>
            <w:tcW w:w="2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19</w:t>
            </w:r>
          </w:p>
        </w:tc>
        <w:tc>
          <w:tcPr>
            <w:tcW w:w="22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66</w:t>
            </w:r>
          </w:p>
        </w:tc>
        <w:tc>
          <w:tcPr>
            <w:tcW w:w="2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32</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580" w:type="dxa"/>
            <w:vAlign w:val="bottom"/>
            <w:gridSpan w:val="2"/>
          </w:tcPr>
          <w:p>
            <w:pPr>
              <w:ind w:left="120"/>
              <w:spacing w:after="0"/>
              <w:rPr>
                <w:sz w:val="20"/>
                <w:szCs w:val="20"/>
                <w:color w:val="auto"/>
              </w:rPr>
            </w:pPr>
            <w:r>
              <w:rPr>
                <w:rFonts w:ascii="Arial" w:cs="Arial" w:eastAsia="Arial" w:hAnsi="Arial"/>
                <w:sz w:val="14"/>
                <w:szCs w:val="14"/>
                <w:color w:val="auto"/>
              </w:rPr>
              <w:t>Other</w:t>
            </w: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w:t>
            </w:r>
          </w:p>
        </w:tc>
        <w:tc>
          <w:tcPr>
            <w:tcW w:w="2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w:t>
            </w:r>
          </w:p>
        </w:tc>
        <w:tc>
          <w:tcPr>
            <w:tcW w:w="22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23</w:t>
            </w:r>
          </w:p>
        </w:tc>
        <w:tc>
          <w:tcPr>
            <w:tcW w:w="2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5580" w:type="dxa"/>
            <w:vAlign w:val="bottom"/>
            <w:gridSpan w:val="2"/>
          </w:tcPr>
          <w:p>
            <w:pPr>
              <w:ind w:left="200"/>
              <w:spacing w:after="0"/>
              <w:rPr>
                <w:sz w:val="20"/>
                <w:szCs w:val="20"/>
                <w:color w:val="auto"/>
              </w:rPr>
            </w:pPr>
            <w:r>
              <w:rPr>
                <w:rFonts w:ascii="Arial" w:cs="Arial" w:eastAsia="Arial" w:hAnsi="Arial"/>
                <w:sz w:val="14"/>
                <w:szCs w:val="14"/>
                <w:color w:val="auto"/>
              </w:rPr>
              <w:t>Total revenues</w:t>
            </w: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304</w:t>
            </w:r>
          </w:p>
        </w:tc>
        <w:tc>
          <w:tcPr>
            <w:tcW w:w="2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276</w:t>
            </w:r>
          </w:p>
        </w:tc>
        <w:tc>
          <w:tcPr>
            <w:tcW w:w="220" w:type="dxa"/>
            <w:vAlign w:val="bottom"/>
            <w:tcBorders>
              <w:right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667</w:t>
            </w:r>
          </w:p>
        </w:tc>
        <w:tc>
          <w:tcPr>
            <w:tcW w:w="2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849</w:t>
            </w: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5580" w:type="dxa"/>
            <w:vAlign w:val="bottom"/>
            <w:gridSpan w:val="2"/>
          </w:tcPr>
          <w:p>
            <w:pPr>
              <w:spacing w:after="0"/>
              <w:rPr>
                <w:sz w:val="20"/>
                <w:szCs w:val="20"/>
                <w:color w:val="auto"/>
              </w:rPr>
            </w:pPr>
            <w:r>
              <w:rPr>
                <w:rFonts w:ascii="Arial" w:cs="Arial" w:eastAsia="Arial" w:hAnsi="Arial"/>
                <w:sz w:val="14"/>
                <w:szCs w:val="14"/>
                <w:b w:val="1"/>
                <w:bCs w:val="1"/>
                <w:color w:val="auto"/>
              </w:rPr>
              <w:t>Costs</w:t>
            </w:r>
          </w:p>
        </w:tc>
        <w:tc>
          <w:tcPr>
            <w:tcW w:w="120" w:type="dxa"/>
            <w:vAlign w:val="bottom"/>
          </w:tcPr>
          <w:p>
            <w:pPr>
              <w:spacing w:after="0"/>
              <w:rPr>
                <w:sz w:val="23"/>
                <w:szCs w:val="23"/>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169</w:t>
            </w:r>
          </w:p>
        </w:tc>
        <w:tc>
          <w:tcPr>
            <w:tcW w:w="20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127</w:t>
            </w:r>
          </w:p>
        </w:tc>
        <w:tc>
          <w:tcPr>
            <w:tcW w:w="220" w:type="dxa"/>
            <w:vAlign w:val="bottom"/>
            <w:tcBorders>
              <w:right w:val="single" w:sz="8" w:color="auto"/>
            </w:tcBorders>
          </w:tcPr>
          <w:p>
            <w:pPr>
              <w:spacing w:after="0"/>
              <w:rPr>
                <w:sz w:val="23"/>
                <w:szCs w:val="23"/>
                <w:color w:val="auto"/>
              </w:rPr>
            </w:pPr>
          </w:p>
        </w:tc>
        <w:tc>
          <w:tcPr>
            <w:tcW w:w="2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333</w:t>
            </w:r>
          </w:p>
        </w:tc>
        <w:tc>
          <w:tcPr>
            <w:tcW w:w="20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319</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580" w:type="dxa"/>
            <w:vAlign w:val="bottom"/>
            <w:gridSpan w:val="2"/>
          </w:tcPr>
          <w:p>
            <w:pPr>
              <w:spacing w:after="0"/>
              <w:rPr>
                <w:sz w:val="20"/>
                <w:szCs w:val="20"/>
                <w:color w:val="auto"/>
              </w:rPr>
            </w:pPr>
            <w:r>
              <w:rPr>
                <w:rFonts w:ascii="Arial" w:cs="Arial" w:eastAsia="Arial" w:hAnsi="Arial"/>
                <w:sz w:val="14"/>
                <w:szCs w:val="14"/>
                <w:color w:val="auto"/>
              </w:rPr>
              <w:t>Operating costs</w:t>
            </w:r>
          </w:p>
        </w:tc>
        <w:tc>
          <w:tcPr>
            <w:tcW w:w="12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580" w:type="dxa"/>
            <w:vAlign w:val="bottom"/>
            <w:gridSpan w:val="2"/>
          </w:tcPr>
          <w:p>
            <w:pPr>
              <w:spacing w:after="0"/>
              <w:rPr>
                <w:sz w:val="20"/>
                <w:szCs w:val="20"/>
                <w:color w:val="auto"/>
              </w:rPr>
            </w:pPr>
            <w:r>
              <w:rPr>
                <w:rFonts w:ascii="Arial" w:cs="Arial" w:eastAsia="Arial" w:hAnsi="Arial"/>
                <w:sz w:val="14"/>
                <w:szCs w:val="14"/>
                <w:color w:val="auto"/>
              </w:rPr>
              <w:t>General and administrative expenses</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48</w:t>
            </w:r>
          </w:p>
        </w:tc>
        <w:tc>
          <w:tcPr>
            <w:tcW w:w="2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69</w:t>
            </w:r>
          </w:p>
        </w:tc>
        <w:tc>
          <w:tcPr>
            <w:tcW w:w="22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96</w:t>
            </w:r>
          </w:p>
        </w:tc>
        <w:tc>
          <w:tcPr>
            <w:tcW w:w="2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129</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580" w:type="dxa"/>
            <w:vAlign w:val="bottom"/>
            <w:gridSpan w:val="2"/>
          </w:tcPr>
          <w:p>
            <w:pPr>
              <w:spacing w:after="0"/>
              <w:rPr>
                <w:sz w:val="20"/>
                <w:szCs w:val="20"/>
                <w:color w:val="auto"/>
              </w:rPr>
            </w:pPr>
            <w:r>
              <w:rPr>
                <w:rFonts w:ascii="Arial" w:cs="Arial" w:eastAsia="Arial" w:hAnsi="Arial"/>
                <w:sz w:val="14"/>
                <w:szCs w:val="14"/>
                <w:color w:val="auto"/>
              </w:rPr>
              <w:t>Depreciation, depletion and amortization</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54</w:t>
            </w:r>
          </w:p>
        </w:tc>
        <w:tc>
          <w:tcPr>
            <w:tcW w:w="2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88</w:t>
            </w:r>
          </w:p>
        </w:tc>
        <w:tc>
          <w:tcPr>
            <w:tcW w:w="22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106</w:t>
            </w:r>
          </w:p>
        </w:tc>
        <w:tc>
          <w:tcPr>
            <w:tcW w:w="2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207</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580" w:type="dxa"/>
            <w:vAlign w:val="bottom"/>
            <w:gridSpan w:val="2"/>
          </w:tcPr>
          <w:p>
            <w:pPr>
              <w:spacing w:after="0"/>
              <w:rPr>
                <w:sz w:val="20"/>
                <w:szCs w:val="20"/>
                <w:color w:val="auto"/>
              </w:rPr>
            </w:pPr>
            <w:r>
              <w:rPr>
                <w:rFonts w:ascii="Arial" w:cs="Arial" w:eastAsia="Arial" w:hAnsi="Arial"/>
                <w:sz w:val="14"/>
                <w:szCs w:val="14"/>
                <w:color w:val="auto"/>
              </w:rPr>
              <w:t>Asset impairments</w:t>
            </w:r>
          </w:p>
        </w:tc>
        <w:tc>
          <w:tcPr>
            <w:tcW w:w="120" w:type="dxa"/>
            <w:vAlign w:val="bottom"/>
          </w:tcPr>
          <w:p>
            <w:pPr>
              <w:spacing w:after="0"/>
              <w:rPr>
                <w:sz w:val="16"/>
                <w:szCs w:val="16"/>
                <w:color w:val="auto"/>
              </w:rPr>
            </w:pPr>
          </w:p>
        </w:tc>
        <w:tc>
          <w:tcPr>
            <w:tcW w:w="118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3</w:t>
            </w:r>
          </w:p>
        </w:tc>
        <w:tc>
          <w:tcPr>
            <w:tcW w:w="2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1,736</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580" w:type="dxa"/>
            <w:vAlign w:val="bottom"/>
            <w:gridSpan w:val="2"/>
          </w:tcPr>
          <w:p>
            <w:pPr>
              <w:spacing w:after="0"/>
              <w:rPr>
                <w:sz w:val="20"/>
                <w:szCs w:val="20"/>
                <w:color w:val="auto"/>
              </w:rPr>
            </w:pPr>
            <w:r>
              <w:rPr>
                <w:rFonts w:ascii="Arial" w:cs="Arial" w:eastAsia="Arial" w:hAnsi="Arial"/>
                <w:sz w:val="14"/>
                <w:szCs w:val="14"/>
                <w:color w:val="auto"/>
              </w:rPr>
              <w:t>Taxes other than on income</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37</w:t>
            </w:r>
          </w:p>
        </w:tc>
        <w:tc>
          <w:tcPr>
            <w:tcW w:w="2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38</w:t>
            </w:r>
          </w:p>
        </w:tc>
        <w:tc>
          <w:tcPr>
            <w:tcW w:w="22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77</w:t>
            </w:r>
          </w:p>
        </w:tc>
        <w:tc>
          <w:tcPr>
            <w:tcW w:w="2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79</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580" w:type="dxa"/>
            <w:vAlign w:val="bottom"/>
            <w:gridSpan w:val="2"/>
          </w:tcPr>
          <w:p>
            <w:pPr>
              <w:spacing w:after="0"/>
              <w:rPr>
                <w:sz w:val="20"/>
                <w:szCs w:val="20"/>
                <w:color w:val="auto"/>
              </w:rPr>
            </w:pPr>
            <w:r>
              <w:rPr>
                <w:rFonts w:ascii="Arial" w:cs="Arial" w:eastAsia="Arial" w:hAnsi="Arial"/>
                <w:sz w:val="14"/>
                <w:szCs w:val="14"/>
                <w:color w:val="auto"/>
              </w:rPr>
              <w:t>Exploration expense</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2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22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4</w:t>
            </w:r>
          </w:p>
        </w:tc>
        <w:tc>
          <w:tcPr>
            <w:tcW w:w="2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7</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580" w:type="dxa"/>
            <w:vAlign w:val="bottom"/>
            <w:gridSpan w:val="2"/>
          </w:tcPr>
          <w:p>
            <w:pPr>
              <w:spacing w:after="0"/>
              <w:rPr>
                <w:sz w:val="20"/>
                <w:szCs w:val="20"/>
                <w:color w:val="auto"/>
              </w:rPr>
            </w:pPr>
            <w:r>
              <w:rPr>
                <w:rFonts w:ascii="Arial" w:cs="Arial" w:eastAsia="Arial" w:hAnsi="Arial"/>
                <w:sz w:val="14"/>
                <w:szCs w:val="14"/>
                <w:color w:val="auto"/>
              </w:rPr>
              <w:t>Other expenses, net</w:t>
            </w:r>
          </w:p>
        </w:tc>
        <w:tc>
          <w:tcPr>
            <w:tcW w:w="12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30</w:t>
            </w:r>
          </w:p>
        </w:tc>
        <w:tc>
          <w:tcPr>
            <w:tcW w:w="2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8</w:t>
            </w:r>
          </w:p>
        </w:tc>
        <w:tc>
          <w:tcPr>
            <w:tcW w:w="22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91</w:t>
            </w:r>
          </w:p>
        </w:tc>
        <w:tc>
          <w:tcPr>
            <w:tcW w:w="2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580" w:type="dxa"/>
            <w:vAlign w:val="bottom"/>
            <w:gridSpan w:val="2"/>
          </w:tcPr>
          <w:p>
            <w:pPr>
              <w:ind w:left="120"/>
              <w:spacing w:after="0"/>
              <w:rPr>
                <w:sz w:val="20"/>
                <w:szCs w:val="20"/>
                <w:color w:val="auto"/>
              </w:rPr>
            </w:pPr>
            <w:r>
              <w:rPr>
                <w:rFonts w:ascii="Arial" w:cs="Arial" w:eastAsia="Arial" w:hAnsi="Arial"/>
                <w:sz w:val="14"/>
                <w:szCs w:val="14"/>
                <w:color w:val="auto"/>
              </w:rPr>
              <w:t>Trading costs</w:t>
            </w:r>
          </w:p>
        </w:tc>
        <w:tc>
          <w:tcPr>
            <w:tcW w:w="12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580" w:type="dxa"/>
            <w:vAlign w:val="bottom"/>
            <w:gridSpan w:val="2"/>
          </w:tcPr>
          <w:p>
            <w:pPr>
              <w:ind w:left="120"/>
              <w:spacing w:after="0"/>
              <w:rPr>
                <w:sz w:val="20"/>
                <w:szCs w:val="20"/>
                <w:color w:val="auto"/>
              </w:rPr>
            </w:pPr>
            <w:r>
              <w:rPr>
                <w:rFonts w:ascii="Arial" w:cs="Arial" w:eastAsia="Arial" w:hAnsi="Arial"/>
                <w:sz w:val="14"/>
                <w:szCs w:val="14"/>
                <w:color w:val="auto"/>
              </w:rPr>
              <w:t>Electricity cost of sales</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17</w:t>
            </w:r>
          </w:p>
        </w:tc>
        <w:tc>
          <w:tcPr>
            <w:tcW w:w="2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14</w:t>
            </w:r>
          </w:p>
        </w:tc>
        <w:tc>
          <w:tcPr>
            <w:tcW w:w="22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41</w:t>
            </w:r>
          </w:p>
        </w:tc>
        <w:tc>
          <w:tcPr>
            <w:tcW w:w="2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30</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580" w:type="dxa"/>
            <w:vAlign w:val="bottom"/>
            <w:gridSpan w:val="2"/>
          </w:tcPr>
          <w:p>
            <w:pPr>
              <w:ind w:left="120"/>
              <w:spacing w:after="0"/>
              <w:rPr>
                <w:sz w:val="20"/>
                <w:szCs w:val="20"/>
                <w:color w:val="auto"/>
              </w:rPr>
            </w:pPr>
            <w:r>
              <w:rPr>
                <w:rFonts w:ascii="Arial" w:cs="Arial" w:eastAsia="Arial" w:hAnsi="Arial"/>
                <w:sz w:val="14"/>
                <w:szCs w:val="14"/>
                <w:color w:val="auto"/>
              </w:rPr>
              <w:t>Transportation costs</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14</w:t>
            </w:r>
          </w:p>
        </w:tc>
        <w:tc>
          <w:tcPr>
            <w:tcW w:w="2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8</w:t>
            </w:r>
          </w:p>
        </w:tc>
        <w:tc>
          <w:tcPr>
            <w:tcW w:w="22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26</w:t>
            </w:r>
          </w:p>
        </w:tc>
        <w:tc>
          <w:tcPr>
            <w:tcW w:w="2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21</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580" w:type="dxa"/>
            <w:vAlign w:val="bottom"/>
            <w:gridSpan w:val="2"/>
          </w:tcPr>
          <w:p>
            <w:pPr>
              <w:ind w:left="120"/>
              <w:spacing w:after="0"/>
              <w:rPr>
                <w:sz w:val="20"/>
                <w:szCs w:val="20"/>
                <w:color w:val="auto"/>
              </w:rPr>
            </w:pPr>
            <w:r>
              <w:rPr>
                <w:rFonts w:ascii="Arial" w:cs="Arial" w:eastAsia="Arial" w:hAnsi="Arial"/>
                <w:sz w:val="14"/>
                <w:szCs w:val="14"/>
                <w:color w:val="auto"/>
              </w:rPr>
              <w:t>Other</w:t>
            </w: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23</w:t>
            </w:r>
          </w:p>
        </w:tc>
        <w:tc>
          <w:tcPr>
            <w:tcW w:w="2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37</w:t>
            </w:r>
          </w:p>
        </w:tc>
        <w:tc>
          <w:tcPr>
            <w:tcW w:w="22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53</w:t>
            </w:r>
          </w:p>
        </w:tc>
        <w:tc>
          <w:tcPr>
            <w:tcW w:w="2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53</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5580" w:type="dxa"/>
            <w:vAlign w:val="bottom"/>
            <w:gridSpan w:val="2"/>
          </w:tcPr>
          <w:p>
            <w:pPr>
              <w:ind w:left="200"/>
              <w:spacing w:after="0"/>
              <w:rPr>
                <w:sz w:val="20"/>
                <w:szCs w:val="20"/>
                <w:color w:val="auto"/>
              </w:rPr>
            </w:pPr>
            <w:r>
              <w:rPr>
                <w:rFonts w:ascii="Arial" w:cs="Arial" w:eastAsia="Arial" w:hAnsi="Arial"/>
                <w:sz w:val="14"/>
                <w:szCs w:val="14"/>
                <w:color w:val="auto"/>
              </w:rPr>
              <w:t>Total costs</w:t>
            </w: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394</w:t>
            </w:r>
          </w:p>
        </w:tc>
        <w:tc>
          <w:tcPr>
            <w:tcW w:w="2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391</w:t>
            </w:r>
          </w:p>
        </w:tc>
        <w:tc>
          <w:tcPr>
            <w:tcW w:w="220" w:type="dxa"/>
            <w:vAlign w:val="bottom"/>
            <w:tcBorders>
              <w:right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830</w:t>
            </w:r>
          </w:p>
        </w:tc>
        <w:tc>
          <w:tcPr>
            <w:tcW w:w="2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2,613</w:t>
            </w: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5580" w:type="dxa"/>
            <w:vAlign w:val="bottom"/>
            <w:gridSpan w:val="2"/>
          </w:tcPr>
          <w:p>
            <w:pPr>
              <w:spacing w:after="0"/>
              <w:rPr>
                <w:sz w:val="20"/>
                <w:szCs w:val="20"/>
                <w:color w:val="auto"/>
              </w:rPr>
            </w:pPr>
            <w:r>
              <w:rPr>
                <w:rFonts w:ascii="Arial" w:cs="Arial" w:eastAsia="Arial" w:hAnsi="Arial"/>
                <w:sz w:val="14"/>
                <w:szCs w:val="14"/>
                <w:b w:val="1"/>
                <w:bCs w:val="1"/>
                <w:color w:val="auto"/>
              </w:rPr>
              <w:t>Operating Loss</w:t>
            </w:r>
          </w:p>
        </w:tc>
        <w:tc>
          <w:tcPr>
            <w:tcW w:w="1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(90)</w:t>
            </w:r>
          </w:p>
        </w:tc>
        <w:tc>
          <w:tcPr>
            <w:tcW w:w="20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(115)</w:t>
            </w:r>
          </w:p>
        </w:tc>
        <w:tc>
          <w:tcPr>
            <w:tcW w:w="220" w:type="dxa"/>
            <w:vAlign w:val="bottom"/>
            <w:tcBorders>
              <w:righ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(163)</w:t>
            </w:r>
          </w:p>
        </w:tc>
        <w:tc>
          <w:tcPr>
            <w:tcW w:w="20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(1,764)</w:t>
            </w:r>
          </w:p>
        </w:tc>
        <w:tc>
          <w:tcPr>
            <w:tcW w:w="0" w:type="dxa"/>
            <w:vAlign w:val="bottom"/>
          </w:tcPr>
          <w:p>
            <w:pPr>
              <w:spacing w:after="0"/>
              <w:rPr>
                <w:sz w:val="1"/>
                <w:szCs w:val="1"/>
                <w:color w:val="auto"/>
              </w:rPr>
            </w:pPr>
          </w:p>
        </w:tc>
      </w:tr>
      <w:tr>
        <w:trPr>
          <w:trHeight w:val="397"/>
        </w:trPr>
        <w:tc>
          <w:tcPr>
            <w:tcW w:w="20" w:type="dxa"/>
            <w:vAlign w:val="bottom"/>
          </w:tcPr>
          <w:p>
            <w:pPr>
              <w:spacing w:after="0"/>
              <w:rPr>
                <w:sz w:val="24"/>
                <w:szCs w:val="24"/>
                <w:color w:val="auto"/>
              </w:rPr>
            </w:pPr>
          </w:p>
        </w:tc>
        <w:tc>
          <w:tcPr>
            <w:tcW w:w="5580" w:type="dxa"/>
            <w:vAlign w:val="bottom"/>
            <w:gridSpan w:val="2"/>
          </w:tcPr>
          <w:p>
            <w:pPr>
              <w:spacing w:after="0"/>
              <w:rPr>
                <w:sz w:val="20"/>
                <w:szCs w:val="20"/>
                <w:color w:val="auto"/>
              </w:rPr>
            </w:pPr>
            <w:r>
              <w:rPr>
                <w:rFonts w:ascii="Arial" w:cs="Arial" w:eastAsia="Arial" w:hAnsi="Arial"/>
                <w:sz w:val="14"/>
                <w:szCs w:val="14"/>
                <w:b w:val="1"/>
                <w:bCs w:val="1"/>
                <w:color w:val="auto"/>
              </w:rPr>
              <w:t>Non-Operating (Loss) Income</w:t>
            </w:r>
          </w:p>
        </w:tc>
        <w:tc>
          <w:tcPr>
            <w:tcW w:w="120" w:type="dxa"/>
            <w:vAlign w:val="bottom"/>
          </w:tcPr>
          <w:p>
            <w:pPr>
              <w:spacing w:after="0"/>
              <w:rPr>
                <w:sz w:val="24"/>
                <w:szCs w:val="24"/>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w:t>
            </w:r>
          </w:p>
        </w:tc>
        <w:tc>
          <w:tcPr>
            <w:tcW w:w="20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Borders>
              <w:right w:val="single" w:sz="8" w:color="auto"/>
            </w:tcBorders>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(4)</w:t>
            </w:r>
          </w:p>
        </w:tc>
        <w:tc>
          <w:tcPr>
            <w:tcW w:w="20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580" w:type="dxa"/>
            <w:vAlign w:val="bottom"/>
            <w:gridSpan w:val="2"/>
          </w:tcPr>
          <w:p>
            <w:pPr>
              <w:spacing w:after="0"/>
              <w:rPr>
                <w:sz w:val="20"/>
                <w:szCs w:val="20"/>
                <w:color w:val="auto"/>
              </w:rPr>
            </w:pPr>
            <w:r>
              <w:rPr>
                <w:rFonts w:ascii="Arial" w:cs="Arial" w:eastAsia="Arial" w:hAnsi="Arial"/>
                <w:sz w:val="14"/>
                <w:szCs w:val="14"/>
                <w:color w:val="auto"/>
              </w:rPr>
              <w:t>Reorganization items, net</w:t>
            </w:r>
          </w:p>
        </w:tc>
        <w:tc>
          <w:tcPr>
            <w:tcW w:w="12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Borders>
              <w:right w:val="single" w:sz="8" w:color="auto"/>
            </w:tcBorders>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580" w:type="dxa"/>
            <w:vAlign w:val="bottom"/>
            <w:gridSpan w:val="2"/>
          </w:tcPr>
          <w:p>
            <w:pPr>
              <w:spacing w:after="0"/>
              <w:rPr>
                <w:sz w:val="20"/>
                <w:szCs w:val="20"/>
                <w:color w:val="auto"/>
              </w:rPr>
            </w:pPr>
            <w:r>
              <w:rPr>
                <w:rFonts w:ascii="Arial" w:cs="Arial" w:eastAsia="Arial" w:hAnsi="Arial"/>
                <w:sz w:val="14"/>
                <w:szCs w:val="14"/>
                <w:color w:val="auto"/>
              </w:rPr>
              <w:t>Interest and debt expense, net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(13)</w:t>
            </w:r>
          </w:p>
        </w:tc>
        <w:tc>
          <w:tcPr>
            <w:tcW w:w="2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(85)</w:t>
            </w:r>
          </w:p>
        </w:tc>
        <w:tc>
          <w:tcPr>
            <w:tcW w:w="22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(26)</w:t>
            </w:r>
          </w:p>
        </w:tc>
        <w:tc>
          <w:tcPr>
            <w:tcW w:w="2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(172)</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580" w:type="dxa"/>
            <w:vAlign w:val="bottom"/>
            <w:gridSpan w:val="2"/>
          </w:tcPr>
          <w:p>
            <w:pPr>
              <w:spacing w:after="0"/>
              <w:rPr>
                <w:sz w:val="20"/>
                <w:szCs w:val="20"/>
                <w:color w:val="auto"/>
              </w:rPr>
            </w:pPr>
            <w:r>
              <w:rPr>
                <w:rFonts w:ascii="Arial" w:cs="Arial" w:eastAsia="Arial" w:hAnsi="Arial"/>
                <w:sz w:val="14"/>
                <w:szCs w:val="14"/>
                <w:color w:val="auto"/>
              </w:rPr>
              <w:t>Net (loss) gain on extinguishment of debt</w:t>
            </w:r>
          </w:p>
        </w:tc>
        <w:tc>
          <w:tcPr>
            <w:tcW w:w="120" w:type="dxa"/>
            <w:vAlign w:val="bottom"/>
          </w:tcPr>
          <w:p>
            <w:pPr>
              <w:spacing w:after="0"/>
              <w:rPr>
                <w:sz w:val="16"/>
                <w:szCs w:val="16"/>
                <w:color w:val="auto"/>
              </w:rPr>
            </w:pPr>
          </w:p>
        </w:tc>
        <w:tc>
          <w:tcPr>
            <w:tcW w:w="118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2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5</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580" w:type="dxa"/>
            <w:vAlign w:val="bottom"/>
            <w:gridSpan w:val="2"/>
          </w:tcPr>
          <w:p>
            <w:pPr>
              <w:spacing w:after="0"/>
              <w:rPr>
                <w:sz w:val="20"/>
                <w:szCs w:val="20"/>
                <w:color w:val="auto"/>
              </w:rPr>
            </w:pPr>
            <w:r>
              <w:rPr>
                <w:rFonts w:ascii="Arial" w:cs="Arial" w:eastAsia="Arial" w:hAnsi="Arial"/>
                <w:sz w:val="14"/>
                <w:szCs w:val="14"/>
                <w:color w:val="auto"/>
              </w:rPr>
              <w:t>Other non-operating expenses</w:t>
            </w: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w:t>
            </w:r>
          </w:p>
        </w:tc>
        <w:tc>
          <w:tcPr>
            <w:tcW w:w="2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(47)</w:t>
            </w:r>
          </w:p>
        </w:tc>
        <w:tc>
          <w:tcPr>
            <w:tcW w:w="22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w:t>
            </w:r>
          </w:p>
        </w:tc>
        <w:tc>
          <w:tcPr>
            <w:tcW w:w="2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(61)</w:t>
            </w:r>
          </w:p>
        </w:tc>
        <w:tc>
          <w:tcPr>
            <w:tcW w:w="0" w:type="dxa"/>
            <w:vAlign w:val="bottom"/>
          </w:tcPr>
          <w:p>
            <w:pPr>
              <w:spacing w:after="0"/>
              <w:rPr>
                <w:sz w:val="1"/>
                <w:szCs w:val="1"/>
                <w:color w:val="auto"/>
              </w:rPr>
            </w:pPr>
          </w:p>
        </w:tc>
      </w:tr>
      <w:tr>
        <w:trPr>
          <w:trHeight w:val="377"/>
        </w:trPr>
        <w:tc>
          <w:tcPr>
            <w:tcW w:w="20" w:type="dxa"/>
            <w:vAlign w:val="bottom"/>
          </w:tcPr>
          <w:p>
            <w:pPr>
              <w:spacing w:after="0"/>
              <w:rPr>
                <w:sz w:val="24"/>
                <w:szCs w:val="24"/>
                <w:color w:val="auto"/>
              </w:rPr>
            </w:pPr>
          </w:p>
        </w:tc>
        <w:tc>
          <w:tcPr>
            <w:tcW w:w="5580" w:type="dxa"/>
            <w:vAlign w:val="bottom"/>
            <w:gridSpan w:val="2"/>
          </w:tcPr>
          <w:p>
            <w:pPr>
              <w:spacing w:after="0"/>
              <w:rPr>
                <w:sz w:val="20"/>
                <w:szCs w:val="20"/>
                <w:color w:val="auto"/>
              </w:rPr>
            </w:pPr>
            <w:r>
              <w:rPr>
                <w:rFonts w:ascii="Arial" w:cs="Arial" w:eastAsia="Arial" w:hAnsi="Arial"/>
                <w:sz w:val="14"/>
                <w:szCs w:val="14"/>
                <w:b w:val="1"/>
                <w:bCs w:val="1"/>
                <w:color w:val="auto"/>
              </w:rPr>
              <w:t>Loss Before Income Taxes</w:t>
            </w:r>
          </w:p>
        </w:tc>
        <w:tc>
          <w:tcPr>
            <w:tcW w:w="1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(107)</w:t>
            </w:r>
          </w:p>
        </w:tc>
        <w:tc>
          <w:tcPr>
            <w:tcW w:w="20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(247)</w:t>
            </w:r>
          </w:p>
        </w:tc>
        <w:tc>
          <w:tcPr>
            <w:tcW w:w="220" w:type="dxa"/>
            <w:vAlign w:val="bottom"/>
            <w:tcBorders>
              <w:righ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(196)</w:t>
            </w:r>
          </w:p>
        </w:tc>
        <w:tc>
          <w:tcPr>
            <w:tcW w:w="20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(1,992)</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580" w:type="dxa"/>
            <w:vAlign w:val="bottom"/>
            <w:gridSpan w:val="2"/>
          </w:tcPr>
          <w:p>
            <w:pPr>
              <w:spacing w:after="0"/>
              <w:rPr>
                <w:sz w:val="20"/>
                <w:szCs w:val="20"/>
                <w:color w:val="auto"/>
              </w:rPr>
            </w:pPr>
            <w:r>
              <w:rPr>
                <w:rFonts w:ascii="Arial" w:cs="Arial" w:eastAsia="Arial" w:hAnsi="Arial"/>
                <w:sz w:val="14"/>
                <w:szCs w:val="14"/>
                <w:color w:val="auto"/>
              </w:rPr>
              <w:t>Income tax provision</w:t>
            </w:r>
          </w:p>
        </w:tc>
        <w:tc>
          <w:tcPr>
            <w:tcW w:w="120" w:type="dxa"/>
            <w:vAlign w:val="bottom"/>
          </w:tcPr>
          <w:p>
            <w:pPr>
              <w:spacing w:after="0"/>
              <w:rPr>
                <w:sz w:val="16"/>
                <w:szCs w:val="16"/>
                <w:color w:val="auto"/>
              </w:rPr>
            </w:pPr>
          </w:p>
        </w:tc>
        <w:tc>
          <w:tcPr>
            <w:tcW w:w="118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5580" w:type="dxa"/>
            <w:vAlign w:val="bottom"/>
            <w:gridSpan w:val="2"/>
          </w:tcPr>
          <w:p>
            <w:pPr>
              <w:spacing w:after="0"/>
              <w:rPr>
                <w:sz w:val="20"/>
                <w:szCs w:val="20"/>
                <w:color w:val="auto"/>
              </w:rPr>
            </w:pPr>
            <w:r>
              <w:rPr>
                <w:rFonts w:ascii="Arial" w:cs="Arial" w:eastAsia="Arial" w:hAnsi="Arial"/>
                <w:sz w:val="14"/>
                <w:szCs w:val="14"/>
                <w:b w:val="1"/>
                <w:bCs w:val="1"/>
                <w:color w:val="auto"/>
              </w:rPr>
              <w:t>Net Loss</w:t>
            </w: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(107)</w:t>
            </w:r>
          </w:p>
        </w:tc>
        <w:tc>
          <w:tcPr>
            <w:tcW w:w="2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(247)</w:t>
            </w:r>
          </w:p>
        </w:tc>
        <w:tc>
          <w:tcPr>
            <w:tcW w:w="220" w:type="dxa"/>
            <w:vAlign w:val="bottom"/>
            <w:tcBorders>
              <w:right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(196)</w:t>
            </w:r>
          </w:p>
        </w:tc>
        <w:tc>
          <w:tcPr>
            <w:tcW w:w="2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(1,992)</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580" w:type="dxa"/>
            <w:vAlign w:val="bottom"/>
            <w:gridSpan w:val="2"/>
          </w:tcPr>
          <w:p>
            <w:pPr>
              <w:spacing w:after="0"/>
              <w:rPr>
                <w:sz w:val="20"/>
                <w:szCs w:val="20"/>
                <w:color w:val="auto"/>
              </w:rPr>
            </w:pPr>
            <w:r>
              <w:rPr>
                <w:rFonts w:ascii="Arial" w:cs="Arial" w:eastAsia="Arial" w:hAnsi="Arial"/>
                <w:sz w:val="14"/>
                <w:szCs w:val="14"/>
                <w:color w:val="auto"/>
              </w:rPr>
              <w:t>Net income attributable to noncontrolling interests</w:t>
            </w: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w:t>
            </w:r>
          </w:p>
        </w:tc>
        <w:tc>
          <w:tcPr>
            <w:tcW w:w="2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(24)</w:t>
            </w:r>
          </w:p>
        </w:tc>
        <w:tc>
          <w:tcPr>
            <w:tcW w:w="22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w:t>
            </w:r>
          </w:p>
        </w:tc>
        <w:tc>
          <w:tcPr>
            <w:tcW w:w="2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(75)</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5580" w:type="dxa"/>
            <w:vAlign w:val="bottom"/>
            <w:gridSpan w:val="2"/>
          </w:tcPr>
          <w:p>
            <w:pPr>
              <w:spacing w:after="0"/>
              <w:rPr>
                <w:sz w:val="20"/>
                <w:szCs w:val="20"/>
                <w:color w:val="auto"/>
              </w:rPr>
            </w:pPr>
            <w:r>
              <w:rPr>
                <w:rFonts w:ascii="Arial" w:cs="Arial" w:eastAsia="Arial" w:hAnsi="Arial"/>
                <w:sz w:val="14"/>
                <w:szCs w:val="14"/>
                <w:b w:val="1"/>
                <w:bCs w:val="1"/>
                <w:color w:val="auto"/>
              </w:rPr>
              <w:t>Net Loss Attributable to Common Stock</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(111)</w:t>
            </w:r>
          </w:p>
        </w:tc>
        <w:tc>
          <w:tcPr>
            <w:tcW w:w="2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(271)</w:t>
            </w:r>
          </w:p>
        </w:tc>
        <w:tc>
          <w:tcPr>
            <w:tcW w:w="220" w:type="dxa"/>
            <w:vAlign w:val="bottom"/>
            <w:tcBorders>
              <w:right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(205)</w:t>
            </w:r>
          </w:p>
        </w:tc>
        <w:tc>
          <w:tcPr>
            <w:tcW w:w="2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20" w:type="dxa"/>
            <w:vAlign w:val="bottom"/>
          </w:tcPr>
          <w:p>
            <w:pPr>
              <w:spacing w:after="0"/>
              <w:rPr>
                <w:sz w:val="22"/>
                <w:szCs w:val="22"/>
                <w:color w:val="auto"/>
              </w:rPr>
            </w:pPr>
          </w:p>
        </w:tc>
        <w:tc>
          <w:tcPr>
            <w:tcW w:w="5580" w:type="dxa"/>
            <w:vAlign w:val="bottom"/>
            <w:gridSpan w:val="2"/>
          </w:tcPr>
          <w:p>
            <w:pPr>
              <w:spacing w:after="0"/>
              <w:rPr>
                <w:sz w:val="20"/>
                <w:szCs w:val="20"/>
                <w:color w:val="auto"/>
              </w:rPr>
            </w:pPr>
            <w:r>
              <w:rPr>
                <w:rFonts w:ascii="Arial" w:cs="Arial" w:eastAsia="Arial" w:hAnsi="Arial"/>
                <w:sz w:val="14"/>
                <w:szCs w:val="14"/>
                <w:color w:val="auto"/>
              </w:rPr>
              <w:t>Net loss attributable to common stock per share - basic and diluted</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(1.34)</w:t>
            </w:r>
          </w:p>
        </w:tc>
        <w:tc>
          <w:tcPr>
            <w:tcW w:w="20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(5.47)</w:t>
            </w:r>
          </w:p>
        </w:tc>
        <w:tc>
          <w:tcPr>
            <w:tcW w:w="220" w:type="dxa"/>
            <w:vAlign w:val="bottom"/>
            <w:tcBorders>
              <w:right w:val="single" w:sz="8" w:color="auto"/>
            </w:tcBorders>
          </w:tcPr>
          <w:p>
            <w:pPr>
              <w:spacing w:after="0"/>
              <w:rPr>
                <w:sz w:val="22"/>
                <w:szCs w:val="22"/>
                <w:color w:val="auto"/>
              </w:rPr>
            </w:pPr>
          </w:p>
        </w:tc>
        <w:tc>
          <w:tcPr>
            <w:tcW w:w="4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(2.46)</w:t>
            </w:r>
          </w:p>
        </w:tc>
        <w:tc>
          <w:tcPr>
            <w:tcW w:w="20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(41.84)</w:t>
            </w: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5580" w:type="dxa"/>
            <w:vAlign w:val="bottom"/>
            <w:gridSpan w:val="2"/>
          </w:tcPr>
          <w:p>
            <w:pPr>
              <w:spacing w:after="0"/>
              <w:rPr>
                <w:sz w:val="20"/>
                <w:szCs w:val="20"/>
                <w:color w:val="auto"/>
              </w:rPr>
            </w:pPr>
            <w:r>
              <w:rPr>
                <w:rFonts w:ascii="Arial" w:cs="Arial" w:eastAsia="Arial" w:hAnsi="Arial"/>
                <w:sz w:val="14"/>
                <w:szCs w:val="14"/>
                <w:color w:val="auto"/>
              </w:rPr>
              <w:t>Adjusted net income (loss)</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78</w:t>
            </w:r>
          </w:p>
        </w:tc>
        <w:tc>
          <w:tcPr>
            <w:tcW w:w="20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(202)</w:t>
            </w:r>
          </w:p>
        </w:tc>
        <w:tc>
          <w:tcPr>
            <w:tcW w:w="220" w:type="dxa"/>
            <w:vAlign w:val="bottom"/>
            <w:tcBorders>
              <w:right w:val="single" w:sz="8" w:color="auto"/>
            </w:tcBorders>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180</w:t>
            </w:r>
          </w:p>
        </w:tc>
        <w:tc>
          <w:tcPr>
            <w:tcW w:w="20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(210)</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580" w:type="dxa"/>
            <w:vAlign w:val="bottom"/>
            <w:gridSpan w:val="2"/>
          </w:tcPr>
          <w:p>
            <w:pPr>
              <w:spacing w:after="0"/>
              <w:rPr>
                <w:sz w:val="20"/>
                <w:szCs w:val="20"/>
                <w:color w:val="auto"/>
              </w:rPr>
            </w:pPr>
            <w:r>
              <w:rPr>
                <w:rFonts w:ascii="Arial" w:cs="Arial" w:eastAsia="Arial" w:hAnsi="Arial"/>
                <w:sz w:val="14"/>
                <w:szCs w:val="14"/>
                <w:color w:val="auto"/>
              </w:rPr>
              <w:t>Adjusted net income (loss) per share - basic</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0.94</w:t>
            </w:r>
          </w:p>
        </w:tc>
        <w:tc>
          <w:tcPr>
            <w:tcW w:w="2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(4.08)</w:t>
            </w:r>
          </w:p>
        </w:tc>
        <w:tc>
          <w:tcPr>
            <w:tcW w:w="220" w:type="dxa"/>
            <w:vAlign w:val="bottom"/>
            <w:tcBorders>
              <w:right w:val="single" w:sz="8" w:color="auto"/>
            </w:tcBorders>
          </w:tcPr>
          <w:p>
            <w:pPr>
              <w:spacing w:after="0"/>
              <w:rPr>
                <w:sz w:val="16"/>
                <w:szCs w:val="16"/>
                <w:color w:val="auto"/>
              </w:rPr>
            </w:pPr>
          </w:p>
        </w:tc>
        <w:tc>
          <w:tcPr>
            <w:tcW w:w="4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2.16</w:t>
            </w:r>
          </w:p>
        </w:tc>
        <w:tc>
          <w:tcPr>
            <w:tcW w:w="2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(4.25)</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580" w:type="dxa"/>
            <w:vAlign w:val="bottom"/>
            <w:gridSpan w:val="2"/>
          </w:tcPr>
          <w:p>
            <w:pPr>
              <w:spacing w:after="0"/>
              <w:rPr>
                <w:sz w:val="20"/>
                <w:szCs w:val="20"/>
                <w:color w:val="auto"/>
              </w:rPr>
            </w:pPr>
            <w:r>
              <w:rPr>
                <w:rFonts w:ascii="Arial" w:cs="Arial" w:eastAsia="Arial" w:hAnsi="Arial"/>
                <w:sz w:val="14"/>
                <w:szCs w:val="14"/>
                <w:color w:val="auto"/>
              </w:rPr>
              <w:t>Adjusted net income (loss) per share - diluted</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0.94</w:t>
            </w:r>
          </w:p>
        </w:tc>
        <w:tc>
          <w:tcPr>
            <w:tcW w:w="2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(4.08)</w:t>
            </w:r>
          </w:p>
        </w:tc>
        <w:tc>
          <w:tcPr>
            <w:tcW w:w="220" w:type="dxa"/>
            <w:vAlign w:val="bottom"/>
          </w:tcPr>
          <w:p>
            <w:pPr>
              <w:spacing w:after="0"/>
              <w:rPr>
                <w:sz w:val="16"/>
                <w:szCs w:val="16"/>
                <w:color w:val="auto"/>
              </w:rPr>
            </w:pPr>
          </w:p>
        </w:tc>
        <w:tc>
          <w:tcPr>
            <w:tcW w:w="4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2.15</w:t>
            </w:r>
          </w:p>
        </w:tc>
        <w:tc>
          <w:tcPr>
            <w:tcW w:w="2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(4.25)</w:t>
            </w: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5580" w:type="dxa"/>
            <w:vAlign w:val="bottom"/>
            <w:gridSpan w:val="2"/>
          </w:tcPr>
          <w:p>
            <w:pPr>
              <w:spacing w:after="0"/>
              <w:rPr>
                <w:sz w:val="20"/>
                <w:szCs w:val="20"/>
                <w:color w:val="auto"/>
              </w:rPr>
            </w:pPr>
            <w:r>
              <w:rPr>
                <w:rFonts w:ascii="Arial" w:cs="Arial" w:eastAsia="Arial" w:hAnsi="Arial"/>
                <w:sz w:val="14"/>
                <w:szCs w:val="14"/>
                <w:color w:val="auto"/>
              </w:rPr>
              <w:t>Weighted-average common shares outstanding - basic</w:t>
            </w:r>
          </w:p>
        </w:tc>
        <w:tc>
          <w:tcPr>
            <w:tcW w:w="1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83.1</w:t>
            </w:r>
          </w:p>
        </w:tc>
        <w:tc>
          <w:tcPr>
            <w:tcW w:w="20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49.5</w:t>
            </w:r>
          </w:p>
        </w:tc>
        <w:tc>
          <w:tcPr>
            <w:tcW w:w="220" w:type="dxa"/>
            <w:vAlign w:val="bottom"/>
            <w:tcBorders>
              <w:righ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83.2</w:t>
            </w:r>
          </w:p>
        </w:tc>
        <w:tc>
          <w:tcPr>
            <w:tcW w:w="20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49.4</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580" w:type="dxa"/>
            <w:vAlign w:val="bottom"/>
            <w:gridSpan w:val="2"/>
          </w:tcPr>
          <w:p>
            <w:pPr>
              <w:spacing w:after="0"/>
              <w:rPr>
                <w:sz w:val="20"/>
                <w:szCs w:val="20"/>
                <w:color w:val="auto"/>
              </w:rPr>
            </w:pPr>
            <w:r>
              <w:rPr>
                <w:rFonts w:ascii="Arial" w:cs="Arial" w:eastAsia="Arial" w:hAnsi="Arial"/>
                <w:sz w:val="14"/>
                <w:szCs w:val="14"/>
                <w:color w:val="auto"/>
              </w:rPr>
              <w:t>Weighted-average common shares outstanding - diluted</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83.4</w:t>
            </w:r>
          </w:p>
        </w:tc>
        <w:tc>
          <w:tcPr>
            <w:tcW w:w="2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49.5</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83.7</w:t>
            </w:r>
          </w:p>
        </w:tc>
        <w:tc>
          <w:tcPr>
            <w:tcW w:w="2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49.4</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580" w:type="dxa"/>
            <w:vAlign w:val="bottom"/>
            <w:gridSpan w:val="2"/>
          </w:tcPr>
          <w:p>
            <w:pPr>
              <w:spacing w:after="0"/>
              <w:rPr>
                <w:sz w:val="20"/>
                <w:szCs w:val="20"/>
                <w:color w:val="auto"/>
              </w:rPr>
            </w:pPr>
            <w:r>
              <w:rPr>
                <w:rFonts w:ascii="Arial" w:cs="Arial" w:eastAsia="Arial" w:hAnsi="Arial"/>
                <w:sz w:val="14"/>
                <w:szCs w:val="14"/>
                <w:color w:val="auto"/>
              </w:rPr>
              <w:t>Adjusted EBITDAX</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169</w:t>
            </w:r>
          </w:p>
        </w:tc>
        <w:tc>
          <w:tcPr>
            <w:tcW w:w="20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19</w:t>
            </w:r>
          </w:p>
        </w:tc>
        <w:tc>
          <w:tcPr>
            <w:tcW w:w="220" w:type="dxa"/>
            <w:vAlign w:val="bottom"/>
            <w:tcBorders>
              <w:right w:val="single" w:sz="8" w:color="auto"/>
            </w:tcBorders>
          </w:tcPr>
          <w:p>
            <w:pPr>
              <w:spacing w:after="0"/>
              <w:rPr>
                <w:sz w:val="20"/>
                <w:szCs w:val="20"/>
                <w:color w:val="auto"/>
              </w:rPr>
            </w:pPr>
          </w:p>
        </w:tc>
        <w:tc>
          <w:tcPr>
            <w:tcW w:w="4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358</w:t>
            </w:r>
          </w:p>
        </w:tc>
        <w:tc>
          <w:tcPr>
            <w:tcW w:w="20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270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580" w:type="dxa"/>
            <w:vAlign w:val="bottom"/>
            <w:gridSpan w:val="2"/>
          </w:tcPr>
          <w:p>
            <w:pPr>
              <w:spacing w:after="0"/>
              <w:rPr>
                <w:sz w:val="20"/>
                <w:szCs w:val="20"/>
                <w:color w:val="auto"/>
              </w:rPr>
            </w:pPr>
            <w:r>
              <w:rPr>
                <w:rFonts w:ascii="Arial" w:cs="Arial" w:eastAsia="Arial" w:hAnsi="Arial"/>
                <w:sz w:val="14"/>
                <w:szCs w:val="14"/>
                <w:color w:val="auto"/>
              </w:rPr>
              <w:t>Effective tax rate</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0%</w:t>
            </w:r>
          </w:p>
        </w:tc>
        <w:tc>
          <w:tcPr>
            <w:tcW w:w="2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0%</w:t>
            </w:r>
          </w:p>
        </w:tc>
        <w:tc>
          <w:tcPr>
            <w:tcW w:w="220" w:type="dxa"/>
            <w:vAlign w:val="bottom"/>
            <w:tcBorders>
              <w:right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0%</w:t>
            </w:r>
          </w:p>
        </w:tc>
        <w:tc>
          <w:tcPr>
            <w:tcW w:w="2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12</w:t>
      </w:r>
    </w:p>
    <w:p>
      <w:pPr>
        <w:sectPr>
          <w:pgSz w:w="11900" w:h="16838" w:orient="portrait"/>
          <w:cols w:equalWidth="0" w:num="1">
            <w:col w:w="11240"/>
          </w:cols>
          <w:pgMar w:left="320" w:top="921"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99"/>
        </w:trPr>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center"/>
              <w:ind w:right="89"/>
              <w:spacing w:after="0"/>
              <w:rPr>
                <w:sz w:val="20"/>
                <w:szCs w:val="20"/>
                <w:color w:val="auto"/>
              </w:rPr>
            </w:pPr>
            <w:r>
              <w:rPr>
                <w:rFonts w:ascii="Arial" w:cs="Arial" w:eastAsia="Arial" w:hAnsi="Arial"/>
                <w:sz w:val="14"/>
                <w:szCs w:val="14"/>
                <w:b w:val="1"/>
                <w:bCs w:val="1"/>
                <w:color w:val="auto"/>
              </w:rPr>
              <w:t>Successor</w:t>
            </w:r>
          </w:p>
        </w:tc>
        <w:tc>
          <w:tcPr>
            <w:tcW w:w="26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center"/>
              <w:ind w:right="49"/>
              <w:spacing w:after="0"/>
              <w:rPr>
                <w:sz w:val="20"/>
                <w:szCs w:val="20"/>
                <w:color w:val="auto"/>
              </w:rPr>
            </w:pPr>
            <w:r>
              <w:rPr>
                <w:rFonts w:ascii="Arial" w:cs="Arial" w:eastAsia="Arial" w:hAnsi="Arial"/>
                <w:sz w:val="14"/>
                <w:szCs w:val="14"/>
                <w:b w:val="1"/>
                <w:bCs w:val="1"/>
                <w:color w:val="auto"/>
              </w:rPr>
              <w:t>Predecessor</w:t>
            </w:r>
          </w:p>
        </w:tc>
        <w:tc>
          <w:tcPr>
            <w:tcW w:w="28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center"/>
              <w:ind w:right="69"/>
              <w:spacing w:after="0"/>
              <w:rPr>
                <w:sz w:val="20"/>
                <w:szCs w:val="20"/>
                <w:color w:val="auto"/>
              </w:rPr>
            </w:pPr>
            <w:r>
              <w:rPr>
                <w:rFonts w:ascii="Arial" w:cs="Arial" w:eastAsia="Arial" w:hAnsi="Arial"/>
                <w:sz w:val="14"/>
                <w:szCs w:val="14"/>
                <w:b w:val="1"/>
                <w:bCs w:val="1"/>
                <w:color w:val="auto"/>
                <w:w w:val="98"/>
              </w:rPr>
              <w:t>Successor</w:t>
            </w:r>
          </w:p>
        </w:tc>
        <w:tc>
          <w:tcPr>
            <w:tcW w:w="2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center"/>
              <w:ind w:right="69"/>
              <w:spacing w:after="0"/>
              <w:rPr>
                <w:sz w:val="20"/>
                <w:szCs w:val="20"/>
                <w:color w:val="auto"/>
              </w:rPr>
            </w:pPr>
            <w:r>
              <w:rPr>
                <w:rFonts w:ascii="Arial" w:cs="Arial" w:eastAsia="Arial" w:hAnsi="Arial"/>
                <w:sz w:val="14"/>
                <w:szCs w:val="14"/>
                <w:b w:val="1"/>
                <w:bCs w:val="1"/>
                <w:color w:val="auto"/>
              </w:rPr>
              <w:t>Predecessor</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center"/>
              <w:ind w:right="89"/>
              <w:spacing w:after="0"/>
              <w:rPr>
                <w:sz w:val="20"/>
                <w:szCs w:val="20"/>
                <w:color w:val="auto"/>
              </w:rPr>
            </w:pPr>
            <w:r>
              <w:rPr>
                <w:rFonts w:ascii="Arial" w:cs="Arial" w:eastAsia="Arial" w:hAnsi="Arial"/>
                <w:sz w:val="14"/>
                <w:szCs w:val="14"/>
                <w:b w:val="1"/>
                <w:bCs w:val="1"/>
                <w:color w:val="auto"/>
                <w:w w:val="96"/>
              </w:rPr>
              <w:t>2nd Qtr.</w:t>
            </w:r>
          </w:p>
        </w:tc>
        <w:tc>
          <w:tcPr>
            <w:tcW w:w="26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center"/>
              <w:ind w:right="49"/>
              <w:spacing w:after="0"/>
              <w:rPr>
                <w:sz w:val="20"/>
                <w:szCs w:val="20"/>
                <w:color w:val="auto"/>
              </w:rPr>
            </w:pPr>
            <w:r>
              <w:rPr>
                <w:rFonts w:ascii="Arial" w:cs="Arial" w:eastAsia="Arial" w:hAnsi="Arial"/>
                <w:sz w:val="14"/>
                <w:szCs w:val="14"/>
                <w:b w:val="1"/>
                <w:bCs w:val="1"/>
                <w:color w:val="auto"/>
              </w:rPr>
              <w:t>2nd Qtr.</w:t>
            </w:r>
          </w:p>
        </w:tc>
        <w:tc>
          <w:tcPr>
            <w:tcW w:w="280" w:type="dxa"/>
            <w:vAlign w:val="bottom"/>
            <w:tcBorders>
              <w:right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center"/>
              <w:ind w:right="69"/>
              <w:spacing w:after="0"/>
              <w:rPr>
                <w:sz w:val="20"/>
                <w:szCs w:val="20"/>
                <w:color w:val="auto"/>
              </w:rPr>
            </w:pPr>
            <w:r>
              <w:rPr>
                <w:rFonts w:ascii="Arial" w:cs="Arial" w:eastAsia="Arial" w:hAnsi="Arial"/>
                <w:sz w:val="14"/>
                <w:szCs w:val="14"/>
                <w:b w:val="1"/>
                <w:bCs w:val="1"/>
                <w:color w:val="auto"/>
                <w:w w:val="99"/>
              </w:rPr>
              <w:t>Six Months</w:t>
            </w:r>
          </w:p>
        </w:tc>
        <w:tc>
          <w:tcPr>
            <w:tcW w:w="2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center"/>
              <w:ind w:right="69"/>
              <w:spacing w:after="0"/>
              <w:rPr>
                <w:sz w:val="20"/>
                <w:szCs w:val="20"/>
                <w:color w:val="auto"/>
              </w:rPr>
            </w:pPr>
            <w:r>
              <w:rPr>
                <w:rFonts w:ascii="Arial" w:cs="Arial" w:eastAsia="Arial" w:hAnsi="Arial"/>
                <w:sz w:val="14"/>
                <w:szCs w:val="14"/>
                <w:b w:val="1"/>
                <w:bCs w:val="1"/>
                <w:color w:val="auto"/>
                <w:w w:val="99"/>
              </w:rPr>
              <w:t>Six Months</w:t>
            </w:r>
          </w:p>
        </w:tc>
        <w:tc>
          <w:tcPr>
            <w:tcW w:w="0" w:type="dxa"/>
            <w:vAlign w:val="bottom"/>
          </w:tcPr>
          <w:p>
            <w:pPr>
              <w:spacing w:after="0"/>
              <w:rPr>
                <w:sz w:val="1"/>
                <w:szCs w:val="1"/>
                <w:color w:val="auto"/>
              </w:rPr>
            </w:pPr>
          </w:p>
        </w:tc>
      </w:tr>
      <w:tr>
        <w:trPr>
          <w:trHeight w:val="186"/>
        </w:trPr>
        <w:tc>
          <w:tcPr>
            <w:tcW w:w="20" w:type="dxa"/>
            <w:vAlign w:val="bottom"/>
            <w:tcBorders>
              <w:bottom w:val="single" w:sz="8" w:color="auto"/>
            </w:tcBorders>
          </w:tcPr>
          <w:p>
            <w:pPr>
              <w:spacing w:after="0"/>
              <w:rPr>
                <w:sz w:val="16"/>
                <w:szCs w:val="16"/>
                <w:color w:val="auto"/>
              </w:rPr>
            </w:pPr>
          </w:p>
        </w:tc>
        <w:tc>
          <w:tcPr>
            <w:tcW w:w="522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 in millions)</w:t>
            </w: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89"/>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69"/>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69"/>
              <w:spacing w:after="0"/>
              <w:rPr>
                <w:sz w:val="20"/>
                <w:szCs w:val="20"/>
                <w:color w:val="auto"/>
              </w:rPr>
            </w:pPr>
            <w:r>
              <w:rPr>
                <w:rFonts w:ascii="Arial" w:cs="Arial" w:eastAsia="Arial" w:hAnsi="Arial"/>
                <w:sz w:val="14"/>
                <w:szCs w:val="14"/>
                <w:b w:val="1"/>
                <w:bCs w:val="1"/>
                <w:color w:val="auto"/>
                <w:w w:val="96"/>
              </w:rPr>
              <w:t>2021</w:t>
            </w:r>
          </w:p>
        </w:tc>
        <w:tc>
          <w:tcPr>
            <w:tcW w:w="2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49"/>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220" w:type="dxa"/>
            <w:vAlign w:val="bottom"/>
            <w:gridSpan w:val="2"/>
          </w:tcPr>
          <w:p>
            <w:pPr>
              <w:spacing w:after="0" w:line="152" w:lineRule="exact"/>
              <w:rPr>
                <w:sz w:val="20"/>
                <w:szCs w:val="20"/>
                <w:color w:val="auto"/>
              </w:rPr>
            </w:pPr>
            <w:r>
              <w:rPr>
                <w:rFonts w:ascii="Arial" w:cs="Arial" w:eastAsia="Arial" w:hAnsi="Arial"/>
                <w:sz w:val="14"/>
                <w:szCs w:val="14"/>
                <w:b w:val="1"/>
                <w:bCs w:val="1"/>
                <w:color w:val="auto"/>
              </w:rPr>
              <w:t>Cash Flow Data:</w:t>
            </w:r>
          </w:p>
        </w:tc>
        <w:tc>
          <w:tcPr>
            <w:tcW w:w="1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127</w:t>
            </w:r>
          </w:p>
        </w:tc>
        <w:tc>
          <w:tcPr>
            <w:tcW w:w="26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(135)</w:t>
            </w:r>
          </w:p>
        </w:tc>
        <w:tc>
          <w:tcPr>
            <w:tcW w:w="280" w:type="dxa"/>
            <w:vAlign w:val="bottom"/>
            <w:tcBorders>
              <w:righ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274</w:t>
            </w:r>
          </w:p>
        </w:tc>
        <w:tc>
          <w:tcPr>
            <w:tcW w:w="20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vMerge w:val="restart"/>
          </w:tcPr>
          <w:p>
            <w:pPr>
              <w:jc w:val="center"/>
              <w:ind w:left="689"/>
              <w:spacing w:after="0"/>
              <w:rPr>
                <w:sz w:val="20"/>
                <w:szCs w:val="20"/>
                <w:color w:val="auto"/>
              </w:rPr>
            </w:pPr>
            <w:r>
              <w:rPr>
                <w:rFonts w:ascii="Arial" w:cs="Arial" w:eastAsia="Arial" w:hAnsi="Arial"/>
                <w:sz w:val="14"/>
                <w:szCs w:val="14"/>
                <w:b w:val="1"/>
                <w:bCs w:val="1"/>
                <w:color w:val="auto"/>
              </w:rPr>
              <w:t>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1000" w:type="dxa"/>
            <w:vAlign w:val="bottom"/>
            <w:vMerge w:val="continue"/>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1020" w:type="dxa"/>
            <w:vAlign w:val="bottom"/>
            <w:vMerge w:val="continue"/>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1000" w:type="dxa"/>
            <w:vAlign w:val="bottom"/>
            <w:vMerge w:val="continue"/>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10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5220" w:type="dxa"/>
            <w:vAlign w:val="bottom"/>
            <w:gridSpan w:val="2"/>
          </w:tcPr>
          <w:p>
            <w:pPr>
              <w:spacing w:after="0"/>
              <w:rPr>
                <w:sz w:val="20"/>
                <w:szCs w:val="20"/>
                <w:color w:val="auto"/>
              </w:rPr>
            </w:pPr>
            <w:r>
              <w:rPr>
                <w:rFonts w:ascii="Arial" w:cs="Arial" w:eastAsia="Arial" w:hAnsi="Arial"/>
                <w:sz w:val="14"/>
                <w:szCs w:val="14"/>
                <w:color w:val="auto"/>
              </w:rPr>
              <w:t>Net cash provided (used) by operating activities</w:t>
            </w:r>
          </w:p>
        </w:tc>
        <w:tc>
          <w:tcPr>
            <w:tcW w:w="16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26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28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220" w:type="dxa"/>
            <w:vAlign w:val="bottom"/>
            <w:gridSpan w:val="2"/>
          </w:tcPr>
          <w:p>
            <w:pPr>
              <w:spacing w:after="0"/>
              <w:rPr>
                <w:sz w:val="20"/>
                <w:szCs w:val="20"/>
                <w:color w:val="auto"/>
              </w:rPr>
            </w:pPr>
            <w:r>
              <w:rPr>
                <w:rFonts w:ascii="Arial" w:cs="Arial" w:eastAsia="Arial" w:hAnsi="Arial"/>
                <w:sz w:val="14"/>
                <w:szCs w:val="14"/>
                <w:color w:val="auto"/>
              </w:rPr>
              <w:t>Net cash used by investing activities</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(43)</w:t>
            </w:r>
          </w:p>
        </w:tc>
        <w:tc>
          <w:tcPr>
            <w:tcW w:w="26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(15)</w:t>
            </w:r>
          </w:p>
        </w:tc>
        <w:tc>
          <w:tcPr>
            <w:tcW w:w="28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(63)</w:t>
            </w:r>
          </w:p>
        </w:tc>
        <w:tc>
          <w:tcPr>
            <w:tcW w:w="2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center"/>
              <w:ind w:left="689"/>
              <w:spacing w:after="0"/>
              <w:rPr>
                <w:sz w:val="20"/>
                <w:szCs w:val="20"/>
                <w:color w:val="auto"/>
              </w:rPr>
            </w:pPr>
            <w:r>
              <w:rPr>
                <w:rFonts w:ascii="Arial" w:cs="Arial" w:eastAsia="Arial" w:hAnsi="Arial"/>
                <w:sz w:val="14"/>
                <w:szCs w:val="14"/>
                <w:b w:val="1"/>
                <w:bCs w:val="1"/>
                <w:color w:val="auto"/>
                <w:w w:val="96"/>
              </w:rPr>
              <w:t>(27)</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220" w:type="dxa"/>
            <w:vAlign w:val="bottom"/>
            <w:gridSpan w:val="2"/>
          </w:tcPr>
          <w:p>
            <w:pPr>
              <w:spacing w:after="0"/>
              <w:rPr>
                <w:sz w:val="20"/>
                <w:szCs w:val="20"/>
                <w:color w:val="auto"/>
              </w:rPr>
            </w:pPr>
            <w:r>
              <w:rPr>
                <w:rFonts w:ascii="Arial" w:cs="Arial" w:eastAsia="Arial" w:hAnsi="Arial"/>
                <w:sz w:val="14"/>
                <w:szCs w:val="14"/>
                <w:color w:val="auto"/>
              </w:rPr>
              <w:t>Net cash (used) provided by financing activities</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(63)</w:t>
            </w:r>
          </w:p>
        </w:tc>
        <w:tc>
          <w:tcPr>
            <w:tcW w:w="26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199</w:t>
            </w:r>
          </w:p>
        </w:tc>
        <w:tc>
          <w:tcPr>
            <w:tcW w:w="28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(88)</w:t>
            </w:r>
          </w:p>
        </w:tc>
        <w:tc>
          <w:tcPr>
            <w:tcW w:w="2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center"/>
              <w:ind w:left="689"/>
              <w:spacing w:after="0"/>
              <w:rPr>
                <w:sz w:val="20"/>
                <w:szCs w:val="20"/>
                <w:color w:val="auto"/>
              </w:rPr>
            </w:pPr>
            <w:r>
              <w:rPr>
                <w:rFonts w:ascii="Arial" w:cs="Arial" w:eastAsia="Arial" w:hAnsi="Arial"/>
                <w:sz w:val="14"/>
                <w:szCs w:val="14"/>
                <w:b w:val="1"/>
                <w:bCs w:val="1"/>
                <w:color w:val="auto"/>
              </w:rPr>
              <w:t>43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6"/>
                <w:szCs w:val="16"/>
                <w:color w:val="auto"/>
              </w:rPr>
            </w:pPr>
          </w:p>
        </w:tc>
        <w:tc>
          <w:tcPr>
            <w:tcW w:w="1100" w:type="dxa"/>
            <w:vAlign w:val="bottom"/>
          </w:tcPr>
          <w:p>
            <w:pPr>
              <w:jc w:val="right"/>
              <w:ind w:right="109"/>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86"/>
        </w:trPr>
        <w:tc>
          <w:tcPr>
            <w:tcW w:w="20" w:type="dxa"/>
            <w:vAlign w:val="bottom"/>
            <w:tcBorders>
              <w:bottom w:val="single" w:sz="8" w:color="auto"/>
            </w:tcBorders>
          </w:tcPr>
          <w:p>
            <w:pPr>
              <w:spacing w:after="0"/>
              <w:rPr>
                <w:sz w:val="16"/>
                <w:szCs w:val="16"/>
                <w:color w:val="auto"/>
              </w:rPr>
            </w:pPr>
          </w:p>
        </w:tc>
        <w:tc>
          <w:tcPr>
            <w:tcW w:w="54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 and shares in millions)</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49"/>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5560" w:type="dxa"/>
            <w:vAlign w:val="bottom"/>
            <w:gridSpan w:val="3"/>
          </w:tcPr>
          <w:p>
            <w:pPr>
              <w:spacing w:after="0"/>
              <w:rPr>
                <w:sz w:val="20"/>
                <w:szCs w:val="20"/>
                <w:color w:val="auto"/>
              </w:rPr>
            </w:pPr>
            <w:r>
              <w:rPr>
                <w:rFonts w:ascii="Arial" w:cs="Arial" w:eastAsia="Arial" w:hAnsi="Arial"/>
                <w:sz w:val="14"/>
                <w:szCs w:val="14"/>
                <w:b w:val="1"/>
                <w:bCs w:val="1"/>
                <w:color w:val="auto"/>
              </w:rPr>
              <w:t>Selected Balance Sheet Data:</w:t>
            </w:r>
          </w:p>
        </w:tc>
        <w:tc>
          <w:tcPr>
            <w:tcW w:w="240" w:type="dxa"/>
            <w:vAlign w:val="bottom"/>
            <w:vMerge w:val="restart"/>
          </w:tcPr>
          <w:p>
            <w:pPr>
              <w:jc w:val="right"/>
              <w:ind w:right="89"/>
              <w:spacing w:after="0"/>
              <w:rPr>
                <w:sz w:val="20"/>
                <w:szCs w:val="20"/>
                <w:color w:val="auto"/>
              </w:rPr>
            </w:pPr>
            <w:r>
              <w:rPr>
                <w:rFonts w:ascii="Arial" w:cs="Arial" w:eastAsia="Arial" w:hAnsi="Arial"/>
                <w:sz w:val="14"/>
                <w:szCs w:val="14"/>
                <w:b w:val="1"/>
                <w:bCs w:val="1"/>
                <w:color w:val="auto"/>
                <w:w w:val="76"/>
              </w:rPr>
              <w:t>$</w:t>
            </w:r>
          </w:p>
        </w:tc>
        <w:tc>
          <w:tcPr>
            <w:tcW w:w="1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577</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98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Total current assets</w:t>
            </w:r>
          </w:p>
        </w:tc>
        <w:tc>
          <w:tcPr>
            <w:tcW w:w="3580" w:type="dxa"/>
            <w:vAlign w:val="bottom"/>
            <w:gridSpan w:val="2"/>
          </w:tcPr>
          <w:p>
            <w:pPr>
              <w:spacing w:after="0"/>
              <w:rPr>
                <w:sz w:val="16"/>
                <w:szCs w:val="16"/>
                <w:color w:val="auto"/>
              </w:rPr>
            </w:pPr>
          </w:p>
        </w:tc>
        <w:tc>
          <w:tcPr>
            <w:tcW w:w="240" w:type="dxa"/>
            <w:vAlign w:val="bottom"/>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329</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560" w:type="dxa"/>
            <w:vAlign w:val="bottom"/>
            <w:gridSpan w:val="3"/>
          </w:tcPr>
          <w:p>
            <w:pPr>
              <w:spacing w:after="0"/>
              <w:rPr>
                <w:sz w:val="20"/>
                <w:szCs w:val="20"/>
                <w:color w:val="auto"/>
              </w:rPr>
            </w:pPr>
            <w:r>
              <w:rPr>
                <w:rFonts w:ascii="Arial" w:cs="Arial" w:eastAsia="Arial" w:hAnsi="Arial"/>
                <w:sz w:val="14"/>
                <w:szCs w:val="14"/>
                <w:color w:val="auto"/>
              </w:rPr>
              <w:t>Property, plant and equipment, net</w:t>
            </w:r>
          </w:p>
        </w:tc>
        <w:tc>
          <w:tcPr>
            <w:tcW w:w="240" w:type="dxa"/>
            <w:vAlign w:val="bottom"/>
          </w:tcPr>
          <w:p>
            <w:pPr>
              <w:jc w:val="right"/>
              <w:ind w:right="89"/>
              <w:spacing w:after="0"/>
              <w:rPr>
                <w:sz w:val="20"/>
                <w:szCs w:val="20"/>
                <w:color w:val="auto"/>
              </w:rPr>
            </w:pPr>
            <w:r>
              <w:rPr>
                <w:rFonts w:ascii="Arial" w:cs="Arial" w:eastAsia="Arial" w:hAnsi="Arial"/>
                <w:sz w:val="14"/>
                <w:szCs w:val="14"/>
                <w:b w:val="1"/>
                <w:bCs w:val="1"/>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2,573</w:t>
            </w:r>
          </w:p>
        </w:tc>
        <w:tc>
          <w:tcPr>
            <w:tcW w:w="2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2,655</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560" w:type="dxa"/>
            <w:vAlign w:val="bottom"/>
            <w:gridSpan w:val="3"/>
          </w:tcPr>
          <w:p>
            <w:pPr>
              <w:spacing w:after="0"/>
              <w:rPr>
                <w:sz w:val="20"/>
                <w:szCs w:val="20"/>
                <w:color w:val="auto"/>
              </w:rPr>
            </w:pPr>
            <w:r>
              <w:rPr>
                <w:rFonts w:ascii="Arial" w:cs="Arial" w:eastAsia="Arial" w:hAnsi="Arial"/>
                <w:sz w:val="14"/>
                <w:szCs w:val="14"/>
                <w:color w:val="auto"/>
              </w:rPr>
              <w:t>Total current liabilities</w:t>
            </w:r>
          </w:p>
        </w:tc>
        <w:tc>
          <w:tcPr>
            <w:tcW w:w="240" w:type="dxa"/>
            <w:vAlign w:val="bottom"/>
          </w:tcPr>
          <w:p>
            <w:pPr>
              <w:jc w:val="right"/>
              <w:ind w:right="89"/>
              <w:spacing w:after="0"/>
              <w:rPr>
                <w:sz w:val="20"/>
                <w:szCs w:val="20"/>
                <w:color w:val="auto"/>
              </w:rPr>
            </w:pPr>
            <w:r>
              <w:rPr>
                <w:rFonts w:ascii="Arial" w:cs="Arial" w:eastAsia="Arial" w:hAnsi="Arial"/>
                <w:sz w:val="14"/>
                <w:szCs w:val="14"/>
                <w:b w:val="1"/>
                <w:bCs w:val="1"/>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886</w:t>
            </w:r>
          </w:p>
        </w:tc>
        <w:tc>
          <w:tcPr>
            <w:tcW w:w="2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473</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560" w:type="dxa"/>
            <w:vAlign w:val="bottom"/>
            <w:gridSpan w:val="3"/>
          </w:tcPr>
          <w:p>
            <w:pPr>
              <w:spacing w:after="0"/>
              <w:rPr>
                <w:sz w:val="20"/>
                <w:szCs w:val="20"/>
                <w:color w:val="auto"/>
              </w:rPr>
            </w:pPr>
            <w:r>
              <w:rPr>
                <w:rFonts w:ascii="Arial" w:cs="Arial" w:eastAsia="Arial" w:hAnsi="Arial"/>
                <w:sz w:val="14"/>
                <w:szCs w:val="14"/>
                <w:color w:val="auto"/>
              </w:rPr>
              <w:t>Long-term debt, net</w:t>
            </w:r>
          </w:p>
        </w:tc>
        <w:tc>
          <w:tcPr>
            <w:tcW w:w="240" w:type="dxa"/>
            <w:vAlign w:val="bottom"/>
          </w:tcPr>
          <w:p>
            <w:pPr>
              <w:jc w:val="right"/>
              <w:ind w:right="89"/>
              <w:spacing w:after="0"/>
              <w:rPr>
                <w:sz w:val="20"/>
                <w:szCs w:val="20"/>
                <w:color w:val="auto"/>
              </w:rPr>
            </w:pPr>
            <w:r>
              <w:rPr>
                <w:rFonts w:ascii="Arial" w:cs="Arial" w:eastAsia="Arial" w:hAnsi="Arial"/>
                <w:sz w:val="14"/>
                <w:szCs w:val="14"/>
                <w:b w:val="1"/>
                <w:bCs w:val="1"/>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589</w:t>
            </w:r>
          </w:p>
        </w:tc>
        <w:tc>
          <w:tcPr>
            <w:tcW w:w="2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597</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560" w:type="dxa"/>
            <w:vAlign w:val="bottom"/>
            <w:gridSpan w:val="3"/>
          </w:tcPr>
          <w:p>
            <w:pPr>
              <w:spacing w:after="0"/>
              <w:rPr>
                <w:sz w:val="20"/>
                <w:szCs w:val="20"/>
                <w:color w:val="auto"/>
              </w:rPr>
            </w:pPr>
            <w:r>
              <w:rPr>
                <w:rFonts w:ascii="Arial" w:cs="Arial" w:eastAsia="Arial" w:hAnsi="Arial"/>
                <w:sz w:val="14"/>
                <w:szCs w:val="14"/>
                <w:color w:val="auto"/>
              </w:rPr>
              <w:t>Other long-term liabilities</w:t>
            </w:r>
          </w:p>
        </w:tc>
        <w:tc>
          <w:tcPr>
            <w:tcW w:w="240" w:type="dxa"/>
            <w:vAlign w:val="bottom"/>
          </w:tcPr>
          <w:p>
            <w:pPr>
              <w:jc w:val="right"/>
              <w:ind w:right="89"/>
              <w:spacing w:after="0"/>
              <w:rPr>
                <w:sz w:val="20"/>
                <w:szCs w:val="20"/>
                <w:color w:val="auto"/>
              </w:rPr>
            </w:pPr>
            <w:r>
              <w:rPr>
                <w:rFonts w:ascii="Arial" w:cs="Arial" w:eastAsia="Arial" w:hAnsi="Arial"/>
                <w:sz w:val="14"/>
                <w:szCs w:val="14"/>
                <w:b w:val="1"/>
                <w:bCs w:val="1"/>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850</w:t>
            </w:r>
          </w:p>
        </w:tc>
        <w:tc>
          <w:tcPr>
            <w:tcW w:w="2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822</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560" w:type="dxa"/>
            <w:vAlign w:val="bottom"/>
            <w:gridSpan w:val="3"/>
          </w:tcPr>
          <w:p>
            <w:pPr>
              <w:spacing w:after="0"/>
              <w:rPr>
                <w:sz w:val="20"/>
                <w:szCs w:val="20"/>
                <w:color w:val="auto"/>
              </w:rPr>
            </w:pPr>
            <w:r>
              <w:rPr>
                <w:rFonts w:ascii="Arial" w:cs="Arial" w:eastAsia="Arial" w:hAnsi="Arial"/>
                <w:sz w:val="14"/>
                <w:szCs w:val="14"/>
                <w:color w:val="auto"/>
              </w:rPr>
              <w:t>Stockholder's Equity</w:t>
            </w:r>
          </w:p>
        </w:tc>
        <w:tc>
          <w:tcPr>
            <w:tcW w:w="240" w:type="dxa"/>
            <w:vAlign w:val="bottom"/>
          </w:tcPr>
          <w:p>
            <w:pPr>
              <w:jc w:val="right"/>
              <w:ind w:right="89"/>
              <w:spacing w:after="0"/>
              <w:rPr>
                <w:sz w:val="20"/>
                <w:szCs w:val="20"/>
                <w:color w:val="auto"/>
              </w:rPr>
            </w:pPr>
            <w:r>
              <w:rPr>
                <w:rFonts w:ascii="Arial" w:cs="Arial" w:eastAsia="Arial" w:hAnsi="Arial"/>
                <w:sz w:val="14"/>
                <w:szCs w:val="14"/>
                <w:b w:val="1"/>
                <w:bCs w:val="1"/>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915</w:t>
            </w:r>
          </w:p>
        </w:tc>
        <w:tc>
          <w:tcPr>
            <w:tcW w:w="2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1,182</w:t>
            </w: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5560" w:type="dxa"/>
            <w:vAlign w:val="bottom"/>
            <w:gridSpan w:val="3"/>
          </w:tcPr>
          <w:p>
            <w:pPr>
              <w:spacing w:after="0"/>
              <w:rPr>
                <w:sz w:val="20"/>
                <w:szCs w:val="20"/>
                <w:color w:val="auto"/>
              </w:rPr>
            </w:pPr>
            <w:r>
              <w:rPr>
                <w:rFonts w:ascii="Arial" w:cs="Arial" w:eastAsia="Arial" w:hAnsi="Arial"/>
                <w:sz w:val="14"/>
                <w:szCs w:val="14"/>
                <w:color w:val="auto"/>
              </w:rPr>
              <w:t>Outstanding shares</w:t>
            </w:r>
          </w:p>
        </w:tc>
        <w:tc>
          <w:tcPr>
            <w:tcW w:w="240" w:type="dxa"/>
            <w:vAlign w:val="bottom"/>
          </w:tcPr>
          <w:p>
            <w:pPr>
              <w:spacing w:after="0"/>
              <w:rPr>
                <w:sz w:val="24"/>
                <w:szCs w:val="24"/>
                <w:color w:val="auto"/>
              </w:rPr>
            </w:pPr>
          </w:p>
        </w:tc>
        <w:tc>
          <w:tcPr>
            <w:tcW w:w="1120" w:type="dxa"/>
            <w:vAlign w:val="bottom"/>
          </w:tcPr>
          <w:p>
            <w:pPr>
              <w:jc w:val="right"/>
              <w:ind w:right="469"/>
              <w:spacing w:after="0"/>
              <w:rPr>
                <w:sz w:val="20"/>
                <w:szCs w:val="20"/>
                <w:color w:val="auto"/>
              </w:rPr>
            </w:pPr>
            <w:r>
              <w:rPr>
                <w:rFonts w:ascii="Arial" w:cs="Arial" w:eastAsia="Arial" w:hAnsi="Arial"/>
                <w:sz w:val="14"/>
                <w:szCs w:val="14"/>
                <w:b w:val="1"/>
                <w:bCs w:val="1"/>
                <w:color w:val="auto"/>
              </w:rPr>
              <w:t>81.9</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83.3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Page 13</w:t>
      </w:r>
    </w:p>
    <w:p>
      <w:pPr>
        <w:sectPr>
          <w:pgSz w:w="11900" w:h="16838" w:orient="portrait"/>
          <w:cols w:equalWidth="0" w:num="1">
            <w:col w:w="11100"/>
          </w:cols>
          <w:pgMar w:left="320" w:top="1431" w:right="47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01"/>
        </w:trPr>
        <w:tc>
          <w:tcPr>
            <w:tcW w:w="510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DERIVATIVE GAINS AND LOSSES ON COMMODITY CONTRACTS</w:t>
            </w:r>
          </w:p>
        </w:tc>
        <w:tc>
          <w:tcPr>
            <w:tcW w:w="7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04"/>
        </w:trPr>
        <w:tc>
          <w:tcPr>
            <w:tcW w:w="5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120" w:type="dxa"/>
            <w:vAlign w:val="bottom"/>
            <w:gridSpan w:val="2"/>
          </w:tcPr>
          <w:p>
            <w:pPr>
              <w:spacing w:after="0"/>
              <w:rPr>
                <w:sz w:val="9"/>
                <w:szCs w:val="9"/>
                <w:color w:val="auto"/>
              </w:rPr>
            </w:pPr>
          </w:p>
        </w:tc>
        <w:tc>
          <w:tcPr>
            <w:tcW w:w="160" w:type="dxa"/>
            <w:vAlign w:val="bottom"/>
            <w:gridSpan w:val="2"/>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9"/>
        </w:trPr>
        <w:tc>
          <w:tcPr>
            <w:tcW w:w="5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rPr>
              <w:t>Successor</w:t>
            </w:r>
          </w:p>
        </w:tc>
        <w:tc>
          <w:tcPr>
            <w:tcW w:w="2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20" w:type="dxa"/>
            <w:vAlign w:val="bottom"/>
            <w:tcBorders>
              <w:top w:val="single" w:sz="8" w:color="auto"/>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9"/>
              </w:rPr>
              <w:t>Predecessor</w:t>
            </w:r>
          </w:p>
        </w:tc>
        <w:tc>
          <w:tcPr>
            <w:tcW w:w="60" w:type="dxa"/>
            <w:vAlign w:val="bottom"/>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Successor</w:t>
            </w:r>
          </w:p>
        </w:tc>
        <w:tc>
          <w:tcPr>
            <w:tcW w:w="2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center"/>
              <w:ind w:right="49"/>
              <w:spacing w:after="0"/>
              <w:rPr>
                <w:sz w:val="20"/>
                <w:szCs w:val="20"/>
                <w:color w:val="auto"/>
              </w:rPr>
            </w:pPr>
            <w:r>
              <w:rPr>
                <w:rFonts w:ascii="Arial" w:cs="Arial" w:eastAsia="Arial" w:hAnsi="Arial"/>
                <w:sz w:val="14"/>
                <w:szCs w:val="14"/>
                <w:b w:val="1"/>
                <w:bCs w:val="1"/>
                <w:color w:val="auto"/>
                <w:w w:val="99"/>
              </w:rPr>
              <w:t>Predecessor</w:t>
            </w:r>
          </w:p>
        </w:tc>
        <w:tc>
          <w:tcPr>
            <w:tcW w:w="0" w:type="dxa"/>
            <w:vAlign w:val="bottom"/>
          </w:tcPr>
          <w:p>
            <w:pPr>
              <w:spacing w:after="0"/>
              <w:rPr>
                <w:sz w:val="1"/>
                <w:szCs w:val="1"/>
                <w:color w:val="auto"/>
              </w:rPr>
            </w:pPr>
          </w:p>
        </w:tc>
      </w:tr>
      <w:tr>
        <w:trPr>
          <w:trHeight w:val="179"/>
        </w:trPr>
        <w:tc>
          <w:tcPr>
            <w:tcW w:w="5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6"/>
              </w:rPr>
              <w:t>2nd Qtr.</w:t>
            </w:r>
          </w:p>
        </w:tc>
        <w:tc>
          <w:tcPr>
            <w:tcW w:w="2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Pr>
          <w:p>
            <w:pPr>
              <w:jc w:val="center"/>
              <w:ind w:left="149"/>
              <w:spacing w:after="0"/>
              <w:rPr>
                <w:sz w:val="20"/>
                <w:szCs w:val="20"/>
                <w:color w:val="auto"/>
              </w:rPr>
            </w:pPr>
            <w:r>
              <w:rPr>
                <w:rFonts w:ascii="Arial" w:cs="Arial" w:eastAsia="Arial" w:hAnsi="Arial"/>
                <w:sz w:val="14"/>
                <w:szCs w:val="14"/>
                <w:b w:val="1"/>
                <w:bCs w:val="1"/>
                <w:color w:val="auto"/>
              </w:rPr>
              <w:t>2nd Qtr.</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3"/>
          </w:tcPr>
          <w:p>
            <w:pPr>
              <w:ind w:left="40"/>
              <w:spacing w:after="0"/>
              <w:rPr>
                <w:sz w:val="20"/>
                <w:szCs w:val="20"/>
                <w:color w:val="auto"/>
              </w:rPr>
            </w:pPr>
            <w:r>
              <w:rPr>
                <w:rFonts w:ascii="Arial" w:cs="Arial" w:eastAsia="Arial" w:hAnsi="Arial"/>
                <w:sz w:val="14"/>
                <w:szCs w:val="14"/>
                <w:b w:val="1"/>
                <w:bCs w:val="1"/>
                <w:color w:val="auto"/>
              </w:rPr>
              <w:t>Six Months</w:t>
            </w:r>
          </w:p>
        </w:tc>
        <w:tc>
          <w:tcPr>
            <w:tcW w:w="2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center"/>
              <w:ind w:right="49"/>
              <w:spacing w:after="0"/>
              <w:rPr>
                <w:sz w:val="20"/>
                <w:szCs w:val="20"/>
                <w:color w:val="auto"/>
              </w:rPr>
            </w:pPr>
            <w:r>
              <w:rPr>
                <w:rFonts w:ascii="Arial" w:cs="Arial" w:eastAsia="Arial" w:hAnsi="Arial"/>
                <w:sz w:val="14"/>
                <w:szCs w:val="14"/>
                <w:b w:val="1"/>
                <w:bCs w:val="1"/>
                <w:color w:val="auto"/>
              </w:rPr>
              <w:t>Six Months</w:t>
            </w:r>
          </w:p>
        </w:tc>
        <w:tc>
          <w:tcPr>
            <w:tcW w:w="0" w:type="dxa"/>
            <w:vAlign w:val="bottom"/>
          </w:tcPr>
          <w:p>
            <w:pPr>
              <w:spacing w:after="0"/>
              <w:rPr>
                <w:sz w:val="1"/>
                <w:szCs w:val="1"/>
                <w:color w:val="auto"/>
              </w:rPr>
            </w:pPr>
          </w:p>
        </w:tc>
      </w:tr>
      <w:tr>
        <w:trPr>
          <w:trHeight w:val="186"/>
        </w:trPr>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millions)</w:t>
            </w:r>
          </w:p>
        </w:tc>
        <w:tc>
          <w:tcPr>
            <w:tcW w:w="7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Borders>
              <w:bottom w:val="single" w:sz="8" w:color="auto"/>
            </w:tcBorders>
          </w:tcPr>
          <w:p>
            <w:pPr>
              <w:jc w:val="center"/>
              <w:ind w:left="169"/>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49"/>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58"/>
        </w:trPr>
        <w:tc>
          <w:tcPr>
            <w:tcW w:w="5100" w:type="dxa"/>
            <w:vAlign w:val="bottom"/>
          </w:tcPr>
          <w:p>
            <w:pPr>
              <w:ind w:left="140"/>
              <w:spacing w:after="0"/>
              <w:rPr>
                <w:sz w:val="20"/>
                <w:szCs w:val="20"/>
                <w:color w:val="auto"/>
              </w:rPr>
            </w:pPr>
            <w:r>
              <w:rPr>
                <w:rFonts w:ascii="Arial" w:cs="Arial" w:eastAsia="Arial" w:hAnsi="Arial"/>
                <w:sz w:val="14"/>
                <w:szCs w:val="14"/>
                <w:color w:val="auto"/>
              </w:rPr>
              <w:t>Non-cash derivative loss - excluding noncontrolling interest</w:t>
            </w:r>
          </w:p>
        </w:tc>
        <w:tc>
          <w:tcPr>
            <w:tcW w:w="920" w:type="dxa"/>
            <w:vAlign w:val="bottom"/>
            <w:gridSpan w:val="3"/>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(183)</w:t>
            </w:r>
          </w:p>
        </w:tc>
        <w:tc>
          <w:tcPr>
            <w:tcW w:w="20" w:type="dxa"/>
            <w:vAlign w:val="bottom"/>
          </w:tcPr>
          <w:p>
            <w:pPr>
              <w:spacing w:after="0"/>
              <w:rPr>
                <w:sz w:val="22"/>
                <w:szCs w:val="22"/>
                <w:color w:val="auto"/>
              </w:rPr>
            </w:pPr>
          </w:p>
        </w:tc>
        <w:tc>
          <w:tcPr>
            <w:tcW w:w="100" w:type="dxa"/>
            <w:vAlign w:val="bottom"/>
            <w:tcBorders>
              <w:right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1020" w:type="dxa"/>
            <w:vAlign w:val="bottom"/>
            <w:gridSpan w:val="2"/>
          </w:tcPr>
          <w:p>
            <w:pPr>
              <w:jc w:val="right"/>
              <w:ind w:right="829"/>
              <w:spacing w:after="0"/>
              <w:rPr>
                <w:sz w:val="20"/>
                <w:szCs w:val="20"/>
                <w:color w:val="auto"/>
              </w:rPr>
            </w:pPr>
            <w:r>
              <w:rPr>
                <w:rFonts w:ascii="Arial" w:cs="Arial" w:eastAsia="Arial" w:hAnsi="Arial"/>
                <w:sz w:val="14"/>
                <w:szCs w:val="14"/>
                <w:b w:val="1"/>
                <w:bCs w:val="1"/>
                <w:color w:val="auto"/>
              </w:rPr>
              <w:t>$</w:t>
            </w:r>
          </w:p>
        </w:tc>
        <w:tc>
          <w:tcPr>
            <w:tcW w:w="340" w:type="dxa"/>
            <w:vAlign w:val="bottom"/>
            <w:tcBorders>
              <w:right w:val="single" w:sz="8" w:color="auto"/>
            </w:tcBorders>
            <w:gridSpan w:val="4"/>
          </w:tcPr>
          <w:p>
            <w:pPr>
              <w:jc w:val="right"/>
              <w:ind w:right="109"/>
              <w:spacing w:after="0"/>
              <w:rPr>
                <w:sz w:val="20"/>
                <w:szCs w:val="20"/>
                <w:color w:val="auto"/>
              </w:rPr>
            </w:pPr>
            <w:r>
              <w:rPr>
                <w:rFonts w:ascii="Arial" w:cs="Arial" w:eastAsia="Arial" w:hAnsi="Arial"/>
                <w:sz w:val="14"/>
                <w:szCs w:val="14"/>
                <w:b w:val="1"/>
                <w:bCs w:val="1"/>
                <w:color w:val="auto"/>
                <w:w w:val="99"/>
              </w:rPr>
              <w:t>—</w:t>
            </w:r>
          </w:p>
        </w:tc>
        <w:tc>
          <w:tcPr>
            <w:tcW w:w="80" w:type="dxa"/>
            <w:vAlign w:val="bottom"/>
          </w:tcPr>
          <w:p>
            <w:pPr>
              <w:spacing w:after="0"/>
              <w:rPr>
                <w:sz w:val="22"/>
                <w:szCs w:val="22"/>
                <w:color w:val="auto"/>
              </w:rPr>
            </w:pPr>
          </w:p>
        </w:tc>
        <w:tc>
          <w:tcPr>
            <w:tcW w:w="2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(357)</w:t>
            </w:r>
          </w:p>
        </w:tc>
        <w:tc>
          <w:tcPr>
            <w:tcW w:w="20" w:type="dxa"/>
            <w:vAlign w:val="bottom"/>
          </w:tcPr>
          <w:p>
            <w:pPr>
              <w:spacing w:after="0"/>
              <w:rPr>
                <w:sz w:val="22"/>
                <w:szCs w:val="22"/>
                <w:color w:val="auto"/>
              </w:rPr>
            </w:pPr>
          </w:p>
        </w:tc>
        <w:tc>
          <w:tcPr>
            <w:tcW w:w="10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(35)</w:t>
            </w:r>
          </w:p>
        </w:tc>
        <w:tc>
          <w:tcPr>
            <w:tcW w:w="0" w:type="dxa"/>
            <w:vAlign w:val="bottom"/>
          </w:tcPr>
          <w:p>
            <w:pPr>
              <w:spacing w:after="0"/>
              <w:rPr>
                <w:sz w:val="1"/>
                <w:szCs w:val="1"/>
                <w:color w:val="auto"/>
              </w:rPr>
            </w:pPr>
          </w:p>
        </w:tc>
      </w:tr>
      <w:tr>
        <w:trPr>
          <w:trHeight w:val="186"/>
        </w:trPr>
        <w:tc>
          <w:tcPr>
            <w:tcW w:w="5100" w:type="dxa"/>
            <w:vAlign w:val="bottom"/>
          </w:tcPr>
          <w:p>
            <w:pPr>
              <w:ind w:left="140"/>
              <w:spacing w:after="0"/>
              <w:rPr>
                <w:sz w:val="20"/>
                <w:szCs w:val="20"/>
                <w:color w:val="auto"/>
              </w:rPr>
            </w:pPr>
            <w:r>
              <w:rPr>
                <w:rFonts w:ascii="Arial" w:cs="Arial" w:eastAsia="Arial" w:hAnsi="Arial"/>
                <w:sz w:val="14"/>
                <w:szCs w:val="14"/>
                <w:color w:val="auto"/>
              </w:rPr>
              <w:t>Non-cash derivative (loss) gain - noncontrolling interest</w:t>
            </w: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(9)</w:t>
            </w:r>
          </w:p>
        </w:tc>
        <w:tc>
          <w:tcPr>
            <w:tcW w:w="60" w:type="dxa"/>
            <w:vAlign w:val="bottom"/>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79"/>
        </w:trPr>
        <w:tc>
          <w:tcPr>
            <w:tcW w:w="5100" w:type="dxa"/>
            <w:vAlign w:val="bottom"/>
          </w:tcPr>
          <w:p>
            <w:pPr>
              <w:ind w:left="300"/>
              <w:spacing w:after="0"/>
              <w:rPr>
                <w:sz w:val="20"/>
                <w:szCs w:val="20"/>
                <w:color w:val="auto"/>
              </w:rPr>
            </w:pPr>
            <w:r>
              <w:rPr>
                <w:rFonts w:ascii="Arial" w:cs="Arial" w:eastAsia="Arial" w:hAnsi="Arial"/>
                <w:sz w:val="14"/>
                <w:szCs w:val="14"/>
                <w:color w:val="auto"/>
              </w:rPr>
              <w:t>Total non-cash changes</w:t>
            </w: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(183)</w:t>
            </w:r>
          </w:p>
        </w:tc>
        <w:tc>
          <w:tcPr>
            <w:tcW w:w="2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gridSpan w:val="2"/>
          </w:tcPr>
          <w:p>
            <w:pPr>
              <w:jc w:val="right"/>
              <w:spacing w:after="0"/>
              <w:rPr>
                <w:sz w:val="20"/>
                <w:szCs w:val="20"/>
                <w:color w:val="auto"/>
              </w:rPr>
            </w:pPr>
            <w:r>
              <w:rPr>
                <w:rFonts w:ascii="Arial" w:cs="Arial" w:eastAsia="Arial" w:hAnsi="Arial"/>
                <w:sz w:val="14"/>
                <w:szCs w:val="14"/>
                <w:b w:val="1"/>
                <w:bCs w:val="1"/>
                <w:color w:val="auto"/>
              </w:rPr>
              <w:t>(9)</w:t>
            </w:r>
          </w:p>
        </w:tc>
        <w:tc>
          <w:tcPr>
            <w:tcW w:w="60" w:type="dxa"/>
            <w:vAlign w:val="bottom"/>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3"/>
          </w:tcPr>
          <w:p>
            <w:pPr>
              <w:jc w:val="right"/>
              <w:ind w:right="20"/>
              <w:spacing w:after="0"/>
              <w:rPr>
                <w:sz w:val="20"/>
                <w:szCs w:val="20"/>
                <w:color w:val="auto"/>
              </w:rPr>
            </w:pPr>
            <w:r>
              <w:rPr>
                <w:rFonts w:ascii="Arial" w:cs="Arial" w:eastAsia="Arial" w:hAnsi="Arial"/>
                <w:sz w:val="14"/>
                <w:szCs w:val="14"/>
                <w:color w:val="auto"/>
              </w:rPr>
              <w:t>(357)</w:t>
            </w:r>
          </w:p>
        </w:tc>
        <w:tc>
          <w:tcPr>
            <w:tcW w:w="2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(28)</w:t>
            </w:r>
          </w:p>
        </w:tc>
        <w:tc>
          <w:tcPr>
            <w:tcW w:w="0" w:type="dxa"/>
            <w:vAlign w:val="bottom"/>
          </w:tcPr>
          <w:p>
            <w:pPr>
              <w:spacing w:after="0"/>
              <w:rPr>
                <w:sz w:val="1"/>
                <w:szCs w:val="1"/>
                <w:color w:val="auto"/>
              </w:rPr>
            </w:pPr>
          </w:p>
        </w:tc>
      </w:tr>
      <w:tr>
        <w:trPr>
          <w:trHeight w:val="185"/>
        </w:trPr>
        <w:tc>
          <w:tcPr>
            <w:tcW w:w="5100" w:type="dxa"/>
            <w:vAlign w:val="bottom"/>
          </w:tcPr>
          <w:p>
            <w:pPr>
              <w:ind w:left="20"/>
              <w:spacing w:after="0"/>
              <w:rPr>
                <w:sz w:val="20"/>
                <w:szCs w:val="20"/>
                <w:color w:val="auto"/>
              </w:rPr>
            </w:pPr>
            <w:r>
              <w:rPr>
                <w:rFonts w:ascii="Arial" w:cs="Arial" w:eastAsia="Arial" w:hAnsi="Arial"/>
                <w:sz w:val="14"/>
                <w:szCs w:val="14"/>
                <w:color w:val="auto"/>
              </w:rPr>
              <w:t>Net (payments) proceeds on settled commodity derivatives</w:t>
            </w: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(82)</w:t>
            </w:r>
          </w:p>
        </w:tc>
        <w:tc>
          <w:tcPr>
            <w:tcW w:w="2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gridSpan w:val="2"/>
          </w:tcPr>
          <w:p>
            <w:pPr>
              <w:jc w:val="right"/>
              <w:spacing w:after="0"/>
              <w:rPr>
                <w:sz w:val="20"/>
                <w:szCs w:val="20"/>
                <w:color w:val="auto"/>
              </w:rPr>
            </w:pPr>
            <w:r>
              <w:rPr>
                <w:rFonts w:ascii="Arial" w:cs="Arial" w:eastAsia="Arial" w:hAnsi="Arial"/>
                <w:sz w:val="14"/>
                <w:szCs w:val="14"/>
                <w:b w:val="1"/>
                <w:bCs w:val="1"/>
                <w:color w:val="auto"/>
              </w:rPr>
              <w:t>5</w:t>
            </w:r>
          </w:p>
        </w:tc>
        <w:tc>
          <w:tcPr>
            <w:tcW w:w="60" w:type="dxa"/>
            <w:vAlign w:val="bottom"/>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3"/>
          </w:tcPr>
          <w:p>
            <w:pPr>
              <w:jc w:val="right"/>
              <w:ind w:right="20"/>
              <w:spacing w:after="0"/>
              <w:rPr>
                <w:sz w:val="20"/>
                <w:szCs w:val="20"/>
                <w:color w:val="auto"/>
              </w:rPr>
            </w:pPr>
            <w:r>
              <w:rPr>
                <w:rFonts w:ascii="Arial" w:cs="Arial" w:eastAsia="Arial" w:hAnsi="Arial"/>
                <w:sz w:val="14"/>
                <w:szCs w:val="14"/>
                <w:color w:val="auto"/>
              </w:rPr>
              <w:t>(121)</w:t>
            </w:r>
          </w:p>
        </w:tc>
        <w:tc>
          <w:tcPr>
            <w:tcW w:w="2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40</w:t>
            </w:r>
          </w:p>
        </w:tc>
        <w:tc>
          <w:tcPr>
            <w:tcW w:w="0" w:type="dxa"/>
            <w:vAlign w:val="bottom"/>
          </w:tcPr>
          <w:p>
            <w:pPr>
              <w:spacing w:after="0"/>
              <w:rPr>
                <w:sz w:val="1"/>
                <w:szCs w:val="1"/>
                <w:color w:val="auto"/>
              </w:rPr>
            </w:pPr>
          </w:p>
        </w:tc>
      </w:tr>
      <w:tr>
        <w:trPr>
          <w:trHeight w:val="186"/>
        </w:trPr>
        <w:tc>
          <w:tcPr>
            <w:tcW w:w="5100" w:type="dxa"/>
            <w:vAlign w:val="bottom"/>
          </w:tcPr>
          <w:p>
            <w:pPr>
              <w:ind w:left="20"/>
              <w:spacing w:after="0"/>
              <w:rPr>
                <w:sz w:val="20"/>
                <w:szCs w:val="20"/>
                <w:color w:val="auto"/>
              </w:rPr>
            </w:pPr>
            <w:r>
              <w:rPr>
                <w:rFonts w:ascii="Arial" w:cs="Arial" w:eastAsia="Arial" w:hAnsi="Arial"/>
                <w:sz w:val="14"/>
                <w:szCs w:val="14"/>
                <w:color w:val="auto"/>
              </w:rPr>
              <w:t>Net proceeds on sale of commodity derivatives</w:t>
            </w: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40" w:type="dxa"/>
            <w:vAlign w:val="bottom"/>
            <w:tcBorders>
              <w:right w:val="single" w:sz="8" w:color="auto"/>
            </w:tcBorders>
            <w:gridSpan w:val="4"/>
          </w:tcPr>
          <w:p>
            <w:pPr>
              <w:jc w:val="right"/>
              <w:ind w:right="109"/>
              <w:spacing w:after="0"/>
              <w:rPr>
                <w:sz w:val="20"/>
                <w:szCs w:val="20"/>
                <w:color w:val="auto"/>
              </w:rPr>
            </w:pPr>
            <w:r>
              <w:rPr>
                <w:rFonts w:ascii="Arial" w:cs="Arial" w:eastAsia="Arial" w:hAnsi="Arial"/>
                <w:sz w:val="14"/>
                <w:szCs w:val="14"/>
                <w:b w:val="1"/>
                <w:bCs w:val="1"/>
                <w:color w:val="auto"/>
                <w:w w:val="99"/>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63</w:t>
            </w:r>
          </w:p>
        </w:tc>
        <w:tc>
          <w:tcPr>
            <w:tcW w:w="0" w:type="dxa"/>
            <w:vAlign w:val="bottom"/>
          </w:tcPr>
          <w:p>
            <w:pPr>
              <w:spacing w:after="0"/>
              <w:rPr>
                <w:sz w:val="1"/>
                <w:szCs w:val="1"/>
                <w:color w:val="auto"/>
              </w:rPr>
            </w:pPr>
          </w:p>
        </w:tc>
      </w:tr>
      <w:tr>
        <w:trPr>
          <w:trHeight w:val="219"/>
        </w:trPr>
        <w:tc>
          <w:tcPr>
            <w:tcW w:w="5100" w:type="dxa"/>
            <w:vAlign w:val="bottom"/>
          </w:tcPr>
          <w:p>
            <w:pPr>
              <w:ind w:left="140"/>
              <w:spacing w:after="0"/>
              <w:rPr>
                <w:sz w:val="20"/>
                <w:szCs w:val="20"/>
                <w:color w:val="auto"/>
              </w:rPr>
            </w:pPr>
            <w:r>
              <w:rPr>
                <w:rFonts w:ascii="Arial" w:cs="Arial" w:eastAsia="Arial" w:hAnsi="Arial"/>
                <w:sz w:val="14"/>
                <w:szCs w:val="14"/>
                <w:color w:val="auto"/>
              </w:rPr>
              <w:t>Net derivative (loss) gain from commodity contracts</w:t>
            </w: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(265)</w:t>
            </w:r>
          </w:p>
        </w:tc>
        <w:tc>
          <w:tcPr>
            <w:tcW w:w="2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ind w:right="829"/>
              <w:spacing w:after="0"/>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(4)</w:t>
            </w:r>
          </w:p>
        </w:tc>
        <w:tc>
          <w:tcPr>
            <w:tcW w:w="60" w:type="dxa"/>
            <w:vAlign w:val="bottom"/>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(478)</w:t>
            </w:r>
          </w:p>
        </w:tc>
        <w:tc>
          <w:tcPr>
            <w:tcW w:w="2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75</w:t>
            </w:r>
          </w:p>
        </w:tc>
        <w:tc>
          <w:tcPr>
            <w:tcW w:w="0" w:type="dxa"/>
            <w:vAlign w:val="bottom"/>
          </w:tcPr>
          <w:p>
            <w:pPr>
              <w:spacing w:after="0"/>
              <w:rPr>
                <w:sz w:val="1"/>
                <w:szCs w:val="1"/>
                <w:color w:val="auto"/>
              </w:rPr>
            </w:pPr>
          </w:p>
        </w:tc>
      </w:tr>
      <w:tr>
        <w:trPr>
          <w:trHeight w:val="616"/>
        </w:trPr>
        <w:tc>
          <w:tcPr>
            <w:tcW w:w="5100" w:type="dxa"/>
            <w:vAlign w:val="bottom"/>
            <w:vMerge w:val="restart"/>
          </w:tcPr>
          <w:p>
            <w:pPr>
              <w:ind w:left="4180"/>
              <w:spacing w:after="0"/>
              <w:rPr>
                <w:sz w:val="20"/>
                <w:szCs w:val="20"/>
                <w:color w:val="auto"/>
              </w:rPr>
            </w:pPr>
            <w:r>
              <w:rPr>
                <w:rFonts w:ascii="Arial" w:cs="Arial" w:eastAsia="Arial" w:hAnsi="Arial"/>
                <w:sz w:val="14"/>
                <w:szCs w:val="14"/>
                <w:b w:val="1"/>
                <w:bCs w:val="1"/>
                <w:color w:val="auto"/>
              </w:rPr>
              <w:t>1st Quarter</w:t>
            </w:r>
          </w:p>
        </w:tc>
        <w:tc>
          <w:tcPr>
            <w:tcW w:w="920" w:type="dxa"/>
            <w:vAlign w:val="bottom"/>
            <w:gridSpan w:val="3"/>
            <w:vMerge w:val="restart"/>
          </w:tcPr>
          <w:p>
            <w:pPr>
              <w:jc w:val="right"/>
              <w:spacing w:after="0"/>
              <w:rPr>
                <w:sz w:val="20"/>
                <w:szCs w:val="20"/>
                <w:color w:val="auto"/>
              </w:rPr>
            </w:pPr>
            <w:r>
              <w:rPr>
                <w:rFonts w:ascii="Arial" w:cs="Arial" w:eastAsia="Arial" w:hAnsi="Arial"/>
                <w:sz w:val="14"/>
                <w:szCs w:val="14"/>
                <w:color w:val="auto"/>
              </w:rPr>
              <w:t>1st Quarter</w:t>
            </w:r>
          </w:p>
        </w:tc>
        <w:tc>
          <w:tcPr>
            <w:tcW w:w="110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rPr>
              <w:t>4th</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jc w:val="right"/>
              <w:ind w:right="329"/>
              <w:spacing w:after="0"/>
              <w:rPr>
                <w:sz w:val="20"/>
                <w:szCs w:val="20"/>
                <w:color w:val="auto"/>
              </w:rPr>
            </w:pPr>
            <w:r>
              <w:rPr>
                <w:rFonts w:ascii="Arial" w:cs="Arial" w:eastAsia="Arial" w:hAnsi="Arial"/>
                <w:sz w:val="14"/>
                <w:szCs w:val="14"/>
                <w:b w:val="1"/>
                <w:bCs w:val="1"/>
                <w:color w:val="auto"/>
              </w:rPr>
              <w:t>4th</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3"/>
            <w:vMerge w:val="restart"/>
          </w:tcPr>
          <w:p>
            <w:pPr>
              <w:jc w:val="right"/>
              <w:ind w:right="20"/>
              <w:spacing w:after="0"/>
              <w:rPr>
                <w:sz w:val="20"/>
                <w:szCs w:val="20"/>
                <w:color w:val="auto"/>
              </w:rPr>
            </w:pPr>
            <w:r>
              <w:rPr>
                <w:rFonts w:ascii="Arial" w:cs="Arial" w:eastAsia="Arial" w:hAnsi="Arial"/>
                <w:sz w:val="14"/>
                <w:szCs w:val="14"/>
                <w:color w:val="auto"/>
              </w:rPr>
              <w:t>4th Quarter</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5100" w:type="dxa"/>
            <w:vAlign w:val="bottom"/>
            <w:vMerge w:val="continue"/>
          </w:tcPr>
          <w:p>
            <w:pPr>
              <w:spacing w:after="0"/>
              <w:rPr>
                <w:sz w:val="16"/>
                <w:szCs w:val="16"/>
                <w:color w:val="auto"/>
              </w:rPr>
            </w:pPr>
          </w:p>
        </w:tc>
        <w:tc>
          <w:tcPr>
            <w:tcW w:w="920" w:type="dxa"/>
            <w:vAlign w:val="bottom"/>
            <w:gridSpan w:val="3"/>
            <w:vMerge w:val="continue"/>
          </w:tcPr>
          <w:p>
            <w:pPr>
              <w:spacing w:after="0"/>
              <w:rPr>
                <w:sz w:val="16"/>
                <w:szCs w:val="16"/>
                <w:color w:val="auto"/>
              </w:rPr>
            </w:pPr>
          </w:p>
        </w:tc>
        <w:tc>
          <w:tcPr>
            <w:tcW w:w="110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Quarter</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Pr>
          <w:p>
            <w:pPr>
              <w:jc w:val="right"/>
              <w:ind w:right="189"/>
              <w:spacing w:after="0"/>
              <w:rPr>
                <w:sz w:val="20"/>
                <w:szCs w:val="20"/>
                <w:color w:val="auto"/>
              </w:rPr>
            </w:pPr>
            <w:r>
              <w:rPr>
                <w:rFonts w:ascii="Arial" w:cs="Arial" w:eastAsia="Arial" w:hAnsi="Arial"/>
                <w:sz w:val="14"/>
                <w:szCs w:val="14"/>
                <w:b w:val="1"/>
                <w:bCs w:val="1"/>
                <w:color w:val="auto"/>
              </w:rPr>
              <w:t>Quarter</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5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5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5100" w:type="dxa"/>
            <w:vAlign w:val="bottom"/>
          </w:tcPr>
          <w:p>
            <w:pPr>
              <w:ind w:left="20"/>
              <w:spacing w:after="0"/>
              <w:rPr>
                <w:sz w:val="20"/>
                <w:szCs w:val="20"/>
                <w:color w:val="auto"/>
              </w:rPr>
            </w:pPr>
            <w:r>
              <w:rPr>
                <w:rFonts w:ascii="Arial" w:cs="Arial" w:eastAsia="Arial" w:hAnsi="Arial"/>
                <w:sz w:val="14"/>
                <w:szCs w:val="14"/>
                <w:b w:val="1"/>
                <w:bCs w:val="1"/>
                <w:color w:val="auto"/>
              </w:rPr>
              <w:t>CAPITAL INVESTMENTS</w:t>
            </w: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4"/>
        </w:trPr>
        <w:tc>
          <w:tcPr>
            <w:tcW w:w="5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gridSpan w:val="2"/>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20" w:type="dxa"/>
            <w:vAlign w:val="bottom"/>
            <w:gridSpan w:val="2"/>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gridSpan w:val="4"/>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16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79"/>
        </w:trPr>
        <w:tc>
          <w:tcPr>
            <w:tcW w:w="5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center"/>
              <w:ind w:right="109"/>
              <w:spacing w:after="0"/>
              <w:rPr>
                <w:sz w:val="20"/>
                <w:szCs w:val="20"/>
                <w:color w:val="auto"/>
              </w:rPr>
            </w:pPr>
            <w:r>
              <w:rPr>
                <w:rFonts w:ascii="Arial" w:cs="Arial" w:eastAsia="Arial" w:hAnsi="Arial"/>
                <w:sz w:val="14"/>
                <w:szCs w:val="14"/>
                <w:b w:val="1"/>
                <w:bCs w:val="1"/>
                <w:color w:val="auto"/>
              </w:rPr>
              <w:t>Successor</w:t>
            </w:r>
          </w:p>
        </w:tc>
        <w:tc>
          <w:tcPr>
            <w:tcW w:w="12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4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gridSpan w:val="2"/>
          </w:tcPr>
          <w:p>
            <w:pPr>
              <w:jc w:val="center"/>
              <w:ind w:right="69"/>
              <w:spacing w:after="0"/>
              <w:rPr>
                <w:sz w:val="20"/>
                <w:szCs w:val="20"/>
                <w:color w:val="auto"/>
              </w:rPr>
            </w:pPr>
            <w:r>
              <w:rPr>
                <w:rFonts w:ascii="Arial" w:cs="Arial" w:eastAsia="Arial" w:hAnsi="Arial"/>
                <w:sz w:val="14"/>
                <w:szCs w:val="14"/>
                <w:b w:val="1"/>
                <w:bCs w:val="1"/>
                <w:color w:val="auto"/>
                <w:w w:val="99"/>
              </w:rPr>
              <w:t>Predecessor</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gridSpan w:val="3"/>
          </w:tcPr>
          <w:p>
            <w:pPr>
              <w:jc w:val="right"/>
              <w:ind w:right="149"/>
              <w:spacing w:after="0"/>
              <w:rPr>
                <w:sz w:val="20"/>
                <w:szCs w:val="20"/>
                <w:color w:val="auto"/>
              </w:rPr>
            </w:pPr>
            <w:r>
              <w:rPr>
                <w:rFonts w:ascii="Arial" w:cs="Arial" w:eastAsia="Arial" w:hAnsi="Arial"/>
                <w:sz w:val="14"/>
                <w:szCs w:val="14"/>
                <w:b w:val="1"/>
                <w:bCs w:val="1"/>
                <w:color w:val="auto"/>
              </w:rPr>
              <w:t>Successor</w:t>
            </w: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6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gridSpan w:val="2"/>
          </w:tcPr>
          <w:p>
            <w:pPr>
              <w:jc w:val="center"/>
              <w:ind w:right="89"/>
              <w:spacing w:after="0"/>
              <w:rPr>
                <w:sz w:val="20"/>
                <w:szCs w:val="20"/>
                <w:color w:val="auto"/>
              </w:rPr>
            </w:pPr>
            <w:r>
              <w:rPr>
                <w:rFonts w:ascii="Arial" w:cs="Arial" w:eastAsia="Arial" w:hAnsi="Arial"/>
                <w:sz w:val="14"/>
                <w:szCs w:val="14"/>
                <w:b w:val="1"/>
                <w:bCs w:val="1"/>
                <w:color w:val="auto"/>
                <w:w w:val="99"/>
              </w:rPr>
              <w:t>Predecessor</w:t>
            </w:r>
          </w:p>
        </w:tc>
        <w:tc>
          <w:tcPr>
            <w:tcW w:w="0" w:type="dxa"/>
            <w:vAlign w:val="bottom"/>
          </w:tcPr>
          <w:p>
            <w:pPr>
              <w:spacing w:after="0"/>
              <w:rPr>
                <w:sz w:val="1"/>
                <w:szCs w:val="1"/>
                <w:color w:val="auto"/>
              </w:rPr>
            </w:pPr>
          </w:p>
        </w:tc>
      </w:tr>
      <w:tr>
        <w:trPr>
          <w:trHeight w:val="179"/>
        </w:trPr>
        <w:tc>
          <w:tcPr>
            <w:tcW w:w="5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center"/>
              <w:ind w:right="109"/>
              <w:spacing w:after="0"/>
              <w:rPr>
                <w:sz w:val="20"/>
                <w:szCs w:val="20"/>
                <w:color w:val="auto"/>
              </w:rPr>
            </w:pPr>
            <w:r>
              <w:rPr>
                <w:rFonts w:ascii="Arial" w:cs="Arial" w:eastAsia="Arial" w:hAnsi="Arial"/>
                <w:sz w:val="14"/>
                <w:szCs w:val="14"/>
                <w:b w:val="1"/>
                <w:bCs w:val="1"/>
                <w:color w:val="auto"/>
                <w:w w:val="96"/>
              </w:rPr>
              <w:t>2nd Qtr.</w:t>
            </w:r>
          </w:p>
        </w:tc>
        <w:tc>
          <w:tcPr>
            <w:tcW w:w="12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Pr>
          <w:p>
            <w:pPr>
              <w:jc w:val="center"/>
              <w:ind w:right="69"/>
              <w:spacing w:after="0"/>
              <w:rPr>
                <w:sz w:val="20"/>
                <w:szCs w:val="20"/>
                <w:color w:val="auto"/>
              </w:rPr>
            </w:pPr>
            <w:r>
              <w:rPr>
                <w:rFonts w:ascii="Arial" w:cs="Arial" w:eastAsia="Arial" w:hAnsi="Arial"/>
                <w:sz w:val="14"/>
                <w:szCs w:val="14"/>
                <w:b w:val="1"/>
                <w:bCs w:val="1"/>
                <w:color w:val="auto"/>
              </w:rPr>
              <w:t>2nd Qtr.</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3"/>
          </w:tcPr>
          <w:p>
            <w:pPr>
              <w:jc w:val="right"/>
              <w:ind w:right="129"/>
              <w:spacing w:after="0"/>
              <w:rPr>
                <w:sz w:val="20"/>
                <w:szCs w:val="20"/>
                <w:color w:val="auto"/>
              </w:rPr>
            </w:pPr>
            <w:r>
              <w:rPr>
                <w:rFonts w:ascii="Arial" w:cs="Arial" w:eastAsia="Arial" w:hAnsi="Arial"/>
                <w:sz w:val="14"/>
                <w:szCs w:val="14"/>
                <w:b w:val="1"/>
                <w:bCs w:val="1"/>
                <w:color w:val="auto"/>
              </w:rPr>
              <w:t>Six Months</w:t>
            </w: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center"/>
              <w:ind w:right="209"/>
              <w:spacing w:after="0"/>
              <w:rPr>
                <w:sz w:val="20"/>
                <w:szCs w:val="20"/>
                <w:color w:val="auto"/>
              </w:rPr>
            </w:pPr>
            <w:r>
              <w:rPr>
                <w:rFonts w:ascii="Arial" w:cs="Arial" w:eastAsia="Arial" w:hAnsi="Arial"/>
                <w:sz w:val="14"/>
                <w:szCs w:val="14"/>
                <w:b w:val="1"/>
                <w:bCs w:val="1"/>
                <w:color w:val="auto"/>
              </w:rPr>
              <w:t>Six Months</w:t>
            </w:r>
          </w:p>
        </w:tc>
        <w:tc>
          <w:tcPr>
            <w:tcW w:w="0" w:type="dxa"/>
            <w:vAlign w:val="bottom"/>
          </w:tcPr>
          <w:p>
            <w:pPr>
              <w:spacing w:after="0"/>
              <w:rPr>
                <w:sz w:val="1"/>
                <w:szCs w:val="1"/>
                <w:color w:val="auto"/>
              </w:rPr>
            </w:pPr>
          </w:p>
        </w:tc>
      </w:tr>
      <w:tr>
        <w:trPr>
          <w:trHeight w:val="186"/>
        </w:trPr>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millions)</w:t>
            </w:r>
          </w:p>
        </w:tc>
        <w:tc>
          <w:tcPr>
            <w:tcW w:w="7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0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69"/>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209"/>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60"/>
        </w:trPr>
        <w:tc>
          <w:tcPr>
            <w:tcW w:w="5100" w:type="dxa"/>
            <w:vAlign w:val="bottom"/>
          </w:tcPr>
          <w:p>
            <w:pPr>
              <w:ind w:left="140"/>
              <w:spacing w:after="0"/>
              <w:rPr>
                <w:sz w:val="20"/>
                <w:szCs w:val="20"/>
                <w:color w:val="auto"/>
              </w:rPr>
            </w:pPr>
            <w:r>
              <w:rPr>
                <w:rFonts w:ascii="Arial" w:cs="Arial" w:eastAsia="Arial" w:hAnsi="Arial"/>
                <w:sz w:val="14"/>
                <w:szCs w:val="14"/>
                <w:color w:val="auto"/>
              </w:rPr>
              <w:t>Internally funded capital</w:t>
            </w:r>
          </w:p>
        </w:tc>
        <w:tc>
          <w:tcPr>
            <w:tcW w:w="920" w:type="dxa"/>
            <w:vAlign w:val="bottom"/>
            <w:gridSpan w:val="3"/>
          </w:tcPr>
          <w:p>
            <w:pPr>
              <w:jc w:val="right"/>
              <w:ind w:right="9"/>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50</w:t>
            </w:r>
          </w:p>
        </w:tc>
        <w:tc>
          <w:tcPr>
            <w:tcW w:w="120" w:type="dxa"/>
            <w:vAlign w:val="bottom"/>
            <w:tcBorders>
              <w:right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3</w:t>
            </w:r>
          </w:p>
        </w:tc>
        <w:tc>
          <w:tcPr>
            <w:tcW w:w="120" w:type="dxa"/>
            <w:vAlign w:val="bottom"/>
            <w:tcBorders>
              <w:right w:val="single" w:sz="8" w:color="auto"/>
            </w:tcBorders>
          </w:tcPr>
          <w:p>
            <w:pPr>
              <w:spacing w:after="0"/>
              <w:rPr>
                <w:sz w:val="22"/>
                <w:szCs w:val="22"/>
                <w:color w:val="auto"/>
              </w:rPr>
            </w:pPr>
          </w:p>
        </w:tc>
        <w:tc>
          <w:tcPr>
            <w:tcW w:w="300" w:type="dxa"/>
            <w:vAlign w:val="bottom"/>
            <w:gridSpan w:val="4"/>
          </w:tcPr>
          <w:p>
            <w:pPr>
              <w:jc w:val="right"/>
              <w:ind w:right="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jc w:val="right"/>
              <w:ind w:right="9"/>
              <w:spacing w:after="0"/>
              <w:rPr>
                <w:sz w:val="20"/>
                <w:szCs w:val="20"/>
                <w:color w:val="auto"/>
              </w:rPr>
            </w:pPr>
            <w:r>
              <w:rPr>
                <w:rFonts w:ascii="Arial" w:cs="Arial" w:eastAsia="Arial" w:hAnsi="Arial"/>
                <w:sz w:val="14"/>
                <w:szCs w:val="14"/>
                <w:color w:val="auto"/>
              </w:rPr>
              <w:t>77</w:t>
            </w:r>
          </w:p>
        </w:tc>
        <w:tc>
          <w:tcPr>
            <w:tcW w:w="10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86"/>
        </w:trPr>
        <w:tc>
          <w:tcPr>
            <w:tcW w:w="5100" w:type="dxa"/>
            <w:vAlign w:val="bottom"/>
          </w:tcPr>
          <w:p>
            <w:pPr>
              <w:ind w:left="140"/>
              <w:spacing w:after="0"/>
              <w:rPr>
                <w:sz w:val="20"/>
                <w:szCs w:val="20"/>
                <w:color w:val="auto"/>
              </w:rPr>
            </w:pPr>
            <w:r>
              <w:rPr>
                <w:rFonts w:ascii="Arial" w:cs="Arial" w:eastAsia="Arial" w:hAnsi="Arial"/>
                <w:sz w:val="14"/>
                <w:szCs w:val="14"/>
                <w:i w:val="1"/>
                <w:iCs w:val="1"/>
                <w:color w:val="auto"/>
              </w:rPr>
              <w:t>Capital investments not included on our financial statements:</w:t>
            </w: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100" w:type="dxa"/>
            <w:vAlign w:val="bottom"/>
          </w:tcPr>
          <w:p>
            <w:pPr>
              <w:ind w:left="300"/>
              <w:spacing w:after="0"/>
              <w:rPr>
                <w:sz w:val="20"/>
                <w:szCs w:val="20"/>
                <w:color w:val="auto"/>
              </w:rPr>
            </w:pPr>
            <w:r>
              <w:rPr>
                <w:rFonts w:ascii="Arial" w:cs="Arial" w:eastAsia="Arial" w:hAnsi="Arial"/>
                <w:sz w:val="14"/>
                <w:szCs w:val="14"/>
                <w:color w:val="auto"/>
              </w:rPr>
              <w:t>MIRA funded capital</w:t>
            </w: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Borders>
              <w:right w:val="single" w:sz="8" w:color="auto"/>
            </w:tcBorders>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6"/>
        </w:trPr>
        <w:tc>
          <w:tcPr>
            <w:tcW w:w="5100" w:type="dxa"/>
            <w:vAlign w:val="bottom"/>
          </w:tcPr>
          <w:p>
            <w:pPr>
              <w:ind w:left="300"/>
              <w:spacing w:after="0"/>
              <w:rPr>
                <w:sz w:val="20"/>
                <w:szCs w:val="20"/>
                <w:color w:val="auto"/>
              </w:rPr>
            </w:pPr>
            <w:r>
              <w:rPr>
                <w:rFonts w:ascii="Arial" w:cs="Arial" w:eastAsia="Arial" w:hAnsi="Arial"/>
                <w:sz w:val="14"/>
                <w:szCs w:val="14"/>
                <w:color w:val="auto"/>
              </w:rPr>
              <w:t>Alpine funded capital</w:t>
            </w: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8</w:t>
            </w: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219"/>
        </w:trPr>
        <w:tc>
          <w:tcPr>
            <w:tcW w:w="5100" w:type="dxa"/>
            <w:vAlign w:val="bottom"/>
          </w:tcPr>
          <w:p>
            <w:pPr>
              <w:ind w:left="20"/>
              <w:spacing w:after="0"/>
              <w:rPr>
                <w:sz w:val="20"/>
                <w:szCs w:val="20"/>
                <w:color w:val="auto"/>
              </w:rPr>
            </w:pPr>
            <w:r>
              <w:rPr>
                <w:rFonts w:ascii="Arial" w:cs="Arial" w:eastAsia="Arial" w:hAnsi="Arial"/>
                <w:sz w:val="14"/>
                <w:szCs w:val="14"/>
                <w:color w:val="auto"/>
              </w:rPr>
              <w:t>Total capital program</w:t>
            </w:r>
          </w:p>
        </w:tc>
        <w:tc>
          <w:tcPr>
            <w:tcW w:w="740" w:type="dxa"/>
            <w:vAlign w:val="bottom"/>
          </w:tcPr>
          <w:p>
            <w:pPr>
              <w:spacing w:after="0"/>
              <w:rPr>
                <w:sz w:val="19"/>
                <w:szCs w:val="19"/>
                <w:color w:val="auto"/>
              </w:rPr>
            </w:pPr>
          </w:p>
        </w:tc>
        <w:tc>
          <w:tcPr>
            <w:tcW w:w="180" w:type="dxa"/>
            <w:vAlign w:val="bottom"/>
            <w:tcBorders>
              <w:top w:val="single" w:sz="8" w:color="auto"/>
              <w:bottom w:val="single" w:sz="8" w:color="auto"/>
            </w:tcBorders>
            <w:gridSpan w:val="2"/>
          </w:tcPr>
          <w:p>
            <w:pPr>
              <w:jc w:val="right"/>
              <w:ind w:right="9"/>
              <w:spacing w:after="0"/>
              <w:rPr>
                <w:sz w:val="20"/>
                <w:szCs w:val="20"/>
                <w:color w:val="auto"/>
              </w:rPr>
            </w:pPr>
            <w:r>
              <w:rPr>
                <w:rFonts w:ascii="Arial" w:cs="Arial" w:eastAsia="Arial" w:hAnsi="Arial"/>
                <w:sz w:val="14"/>
                <w:szCs w:val="14"/>
                <w:b w:val="1"/>
                <w:bCs w:val="1"/>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50</w:t>
            </w:r>
          </w:p>
        </w:tc>
        <w:tc>
          <w:tcPr>
            <w:tcW w:w="12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w:t>
            </w:r>
          </w:p>
        </w:tc>
        <w:tc>
          <w:tcPr>
            <w:tcW w:w="10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10</w:t>
            </w:r>
          </w:p>
        </w:tc>
        <w:tc>
          <w:tcPr>
            <w:tcW w:w="120" w:type="dxa"/>
            <w:vAlign w:val="bottom"/>
            <w:tcBorders>
              <w:right w:val="single" w:sz="8" w:color="auto"/>
            </w:tcBorders>
          </w:tcPr>
          <w:p>
            <w:pPr>
              <w:spacing w:after="0"/>
              <w:rPr>
                <w:sz w:val="19"/>
                <w:szCs w:val="19"/>
                <w:color w:val="auto"/>
              </w:rPr>
            </w:pPr>
          </w:p>
        </w:tc>
        <w:tc>
          <w:tcPr>
            <w:tcW w:w="160" w:type="dxa"/>
            <w:vAlign w:val="bottom"/>
            <w:gridSpan w:val="2"/>
          </w:tcPr>
          <w:p>
            <w:pPr>
              <w:spacing w:after="0"/>
              <w:rPr>
                <w:sz w:val="19"/>
                <w:szCs w:val="19"/>
                <w:color w:val="auto"/>
              </w:rPr>
            </w:pPr>
          </w:p>
        </w:tc>
        <w:tc>
          <w:tcPr>
            <w:tcW w:w="14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77</w:t>
            </w:r>
          </w:p>
        </w:tc>
        <w:tc>
          <w:tcPr>
            <w:tcW w:w="1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131</w:t>
            </w:r>
          </w:p>
        </w:tc>
        <w:tc>
          <w:tcPr>
            <w:tcW w:w="0" w:type="dxa"/>
            <w:vAlign w:val="bottom"/>
          </w:tcPr>
          <w:p>
            <w:pPr>
              <w:spacing w:after="0"/>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829310</wp:posOffset>
            </wp:positionV>
            <wp:extent cx="71348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14</w:t>
      </w:r>
    </w:p>
    <w:p>
      <w:pPr>
        <w:sectPr>
          <w:pgSz w:w="11900" w:h="16838" w:orient="portrait"/>
          <w:cols w:equalWidth="0" w:num="1">
            <w:col w:w="11240"/>
          </w:cols>
          <w:pgMar w:left="320" w:top="1325" w:right="339" w:bottom="1440" w:gutter="0" w:footer="0" w:header="0"/>
        </w:sectPr>
      </w:pPr>
    </w:p>
    <w:bookmarkStart w:id="18" w:name="page19"/>
    <w:bookmarkEnd w:id="18"/>
    <w:p>
      <w:pPr>
        <w:jc w:val="right"/>
        <w:spacing w:after="0"/>
        <w:rPr>
          <w:sz w:val="20"/>
          <w:szCs w:val="20"/>
          <w:color w:val="auto"/>
        </w:rPr>
      </w:pPr>
      <w:r>
        <w:rPr>
          <w:rFonts w:ascii="Arial" w:cs="Arial" w:eastAsia="Arial" w:hAnsi="Arial"/>
          <w:sz w:val="14"/>
          <w:szCs w:val="14"/>
          <w:b w:val="1"/>
          <w:bCs w:val="1"/>
          <w:color w:val="auto"/>
        </w:rPr>
        <w:t>Attachment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15875</wp:posOffset>
            </wp:positionV>
            <wp:extent cx="709295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92950" cy="8255"/>
                    </a:xfrm>
                    <a:prstGeom prst="rect">
                      <a:avLst/>
                    </a:prstGeom>
                    <a:noFill/>
                  </pic:spPr>
                </pic:pic>
              </a:graphicData>
            </a:graphic>
          </wp:anchor>
        </w:drawing>
        <w:drawing>
          <wp:anchor simplePos="0" relativeHeight="251657728" behindDoc="1" locked="0" layoutInCell="0" allowOverlap="1">
            <wp:simplePos x="0" y="0"/>
            <wp:positionH relativeFrom="column">
              <wp:posOffset>29210</wp:posOffset>
            </wp:positionH>
            <wp:positionV relativeFrom="paragraph">
              <wp:posOffset>40640</wp:posOffset>
            </wp:positionV>
            <wp:extent cx="709295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92950" cy="8255"/>
                    </a:xfrm>
                    <a:prstGeom prst="rect">
                      <a:avLst/>
                    </a:prstGeom>
                    <a:noFill/>
                  </pic:spPr>
                </pic:pic>
              </a:graphicData>
            </a:graphic>
          </wp:anchor>
        </w:drawing>
      </w:r>
    </w:p>
    <w:p>
      <w:pPr>
        <w:spacing w:after="0" w:line="58"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NON-GAAP FINANCIAL MEASURES AND RECONCILIATIONS</w:t>
      </w:r>
    </w:p>
    <w:p>
      <w:pPr>
        <w:spacing w:after="0" w:line="96" w:lineRule="exact"/>
        <w:rPr>
          <w:sz w:val="20"/>
          <w:szCs w:val="20"/>
          <w:color w:val="auto"/>
        </w:rPr>
      </w:pPr>
    </w:p>
    <w:p>
      <w:pPr>
        <w:ind w:left="60" w:right="220"/>
        <w:spacing w:after="0" w:line="203" w:lineRule="auto"/>
        <w:rPr>
          <w:sz w:val="20"/>
          <w:szCs w:val="20"/>
          <w:color w:val="auto"/>
        </w:rPr>
      </w:pPr>
      <w:r>
        <w:rPr>
          <w:rFonts w:ascii="Arial" w:cs="Arial" w:eastAsia="Arial" w:hAnsi="Arial"/>
          <w:sz w:val="14"/>
          <w:szCs w:val="14"/>
          <w:color w:val="auto"/>
        </w:rPr>
        <w:t>To supplement the presentation of its financial results prepared in accordance with U.S generally accepted accounting principles (GAAP), management uses certain non-GAAP measures to assess our financial condition, results of operations and cash flows. The non-GAAP measures include adjusted net income (loss), adjusted EBITDAX, adjusted EBITDAX margin, discretionary cash flow. free cash flow and operating costs per BOE, among others. These measures are also widely used by the industry, the investment community and our lenders. Although these are non-GAAP measures, the amounts included in the calculations were computed in accordance with GAAP. Certain items excluded from these non-GAAP measures are significant components in understanding and assessing our financial performance, such as our cost of capital and tax structure, as well as the effect of acquisition and development costs of our assets. Management believes that the non-GAAP measures presented, when viewed in combination with its financial and operating results prepared in accordance with GAAP, provide a more complete understanding of the factors and trends affecting the Company's performance. The non-GAAP measures presented herein may not be comparable to other similarly titled measures of other companies. Below are additional disclosures regarding each of the non-GAAP measures reported in this press release, including reconciliations to their most directly comparable GAAP measure where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379730</wp:posOffset>
            </wp:positionV>
            <wp:extent cx="71348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405130</wp:posOffset>
            </wp:positionV>
            <wp:extent cx="71348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ADJUSTED NET INCOME (LOSS)</w:t>
      </w:r>
    </w:p>
    <w:p>
      <w:pPr>
        <w:spacing w:after="0" w:line="96" w:lineRule="exact"/>
        <w:rPr>
          <w:sz w:val="20"/>
          <w:szCs w:val="20"/>
          <w:color w:val="auto"/>
        </w:rPr>
      </w:pPr>
    </w:p>
    <w:p>
      <w:pPr>
        <w:ind w:left="20" w:right="200"/>
        <w:spacing w:after="0" w:line="206" w:lineRule="auto"/>
        <w:rPr>
          <w:sz w:val="20"/>
          <w:szCs w:val="20"/>
          <w:color w:val="auto"/>
        </w:rPr>
      </w:pPr>
      <w:r>
        <w:rPr>
          <w:rFonts w:ascii="Arial" w:cs="Arial" w:eastAsia="Arial" w:hAnsi="Arial"/>
          <w:sz w:val="14"/>
          <w:szCs w:val="14"/>
          <w:color w:val="auto"/>
        </w:rPr>
        <w:t>Adjusted net income (loss) and adjusted net income (loss) per share are non-GAAP measures. We define adjusted net income as net income excluding the effects of significant transactions and events that affect earnings but vary widely and unpredictably in nature, timing and amount. These events may recur, even across successive reporting periods. Management believes these non-GAAP measures provide useful information to the industry and the investment community interested in comparing our financial performance between periods. Reported earnings are considered representative of management's performance over the long term. Adjusted net income (loss) is not considered to be an alternative to net income (loss) reported in accordance with GAAP. The following table presents a reconciliation of the GAAP financial measure of net income (loss) and net income (loss) attributable to common stock per share to the non-GAAP financial measure of adjusted net income (loss) and adjusted net income (loss) per share.</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5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center"/>
              <w:ind w:right="49"/>
              <w:spacing w:after="0"/>
              <w:rPr>
                <w:sz w:val="20"/>
                <w:szCs w:val="20"/>
                <w:color w:val="auto"/>
              </w:rPr>
            </w:pPr>
            <w:r>
              <w:rPr>
                <w:rFonts w:ascii="Arial" w:cs="Arial" w:eastAsia="Arial" w:hAnsi="Arial"/>
                <w:sz w:val="14"/>
                <w:szCs w:val="14"/>
                <w:b w:val="1"/>
                <w:bCs w:val="1"/>
                <w:color w:val="auto"/>
              </w:rPr>
              <w:t>Successor</w:t>
            </w:r>
          </w:p>
        </w:tc>
        <w:tc>
          <w:tcPr>
            <w:tcW w:w="140" w:type="dxa"/>
            <w:vAlign w:val="bottom"/>
            <w:tcBorders>
              <w:top w:val="single" w:sz="8" w:color="auto"/>
              <w:right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center"/>
              <w:ind w:right="49"/>
              <w:spacing w:after="0"/>
              <w:rPr>
                <w:sz w:val="20"/>
                <w:szCs w:val="20"/>
                <w:color w:val="auto"/>
              </w:rPr>
            </w:pPr>
            <w:r>
              <w:rPr>
                <w:rFonts w:ascii="Arial" w:cs="Arial" w:eastAsia="Arial" w:hAnsi="Arial"/>
                <w:sz w:val="14"/>
                <w:szCs w:val="14"/>
                <w:color w:val="auto"/>
              </w:rPr>
              <w:t>Predecessor</w:t>
            </w:r>
          </w:p>
        </w:tc>
        <w:tc>
          <w:tcPr>
            <w:tcW w:w="16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center"/>
              <w:ind w:right="69"/>
              <w:spacing w:after="0"/>
              <w:rPr>
                <w:sz w:val="20"/>
                <w:szCs w:val="20"/>
                <w:color w:val="auto"/>
              </w:rPr>
            </w:pPr>
            <w:r>
              <w:rPr>
                <w:rFonts w:ascii="Arial" w:cs="Arial" w:eastAsia="Arial" w:hAnsi="Arial"/>
                <w:sz w:val="14"/>
                <w:szCs w:val="14"/>
                <w:b w:val="1"/>
                <w:bCs w:val="1"/>
                <w:color w:val="auto"/>
                <w:w w:val="98"/>
              </w:rPr>
              <w:t>Successor</w:t>
            </w: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center"/>
              <w:ind w:right="49"/>
              <w:spacing w:after="0"/>
              <w:rPr>
                <w:sz w:val="20"/>
                <w:szCs w:val="20"/>
                <w:color w:val="auto"/>
              </w:rPr>
            </w:pPr>
            <w:r>
              <w:rPr>
                <w:rFonts w:ascii="Arial" w:cs="Arial" w:eastAsia="Arial" w:hAnsi="Arial"/>
                <w:sz w:val="14"/>
                <w:szCs w:val="14"/>
                <w:color w:val="auto"/>
                <w:w w:val="99"/>
              </w:rPr>
              <w:t>Predecessor</w:t>
            </w:r>
          </w:p>
        </w:tc>
        <w:tc>
          <w:tcPr>
            <w:tcW w:w="0" w:type="dxa"/>
            <w:vAlign w:val="bottom"/>
          </w:tcPr>
          <w:p>
            <w:pPr>
              <w:spacing w:after="0"/>
              <w:rPr>
                <w:sz w:val="1"/>
                <w:szCs w:val="1"/>
                <w:color w:val="auto"/>
              </w:rPr>
            </w:pPr>
          </w:p>
        </w:tc>
      </w:tr>
      <w:tr>
        <w:trPr>
          <w:trHeight w:val="179"/>
        </w:trPr>
        <w:tc>
          <w:tcPr>
            <w:tcW w:w="5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center"/>
              <w:ind w:right="49"/>
              <w:spacing w:after="0"/>
              <w:rPr>
                <w:sz w:val="20"/>
                <w:szCs w:val="20"/>
                <w:color w:val="auto"/>
              </w:rPr>
            </w:pPr>
            <w:r>
              <w:rPr>
                <w:rFonts w:ascii="Arial" w:cs="Arial" w:eastAsia="Arial" w:hAnsi="Arial"/>
                <w:sz w:val="14"/>
                <w:szCs w:val="14"/>
                <w:b w:val="1"/>
                <w:bCs w:val="1"/>
                <w:color w:val="auto"/>
                <w:w w:val="96"/>
              </w:rPr>
              <w:t>2nd Qtr.</w:t>
            </w:r>
          </w:p>
        </w:tc>
        <w:tc>
          <w:tcPr>
            <w:tcW w:w="14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Borders>
              <w:right w:val="single" w:sz="8" w:color="auto"/>
            </w:tcBorders>
            <w:gridSpan w:val="2"/>
          </w:tcPr>
          <w:p>
            <w:pPr>
              <w:jc w:val="center"/>
              <w:ind w:right="300"/>
              <w:spacing w:after="0"/>
              <w:rPr>
                <w:sz w:val="20"/>
                <w:szCs w:val="20"/>
                <w:color w:val="auto"/>
              </w:rPr>
            </w:pPr>
            <w:r>
              <w:rPr>
                <w:rFonts w:ascii="Arial" w:cs="Arial" w:eastAsia="Arial" w:hAnsi="Arial"/>
                <w:sz w:val="14"/>
                <w:szCs w:val="14"/>
                <w:color w:val="auto"/>
                <w:w w:val="98"/>
              </w:rPr>
              <w:t>2nd Qtr.</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center"/>
              <w:ind w:right="69"/>
              <w:spacing w:after="0"/>
              <w:rPr>
                <w:sz w:val="20"/>
                <w:szCs w:val="20"/>
                <w:color w:val="auto"/>
              </w:rPr>
            </w:pPr>
            <w:r>
              <w:rPr>
                <w:rFonts w:ascii="Arial" w:cs="Arial" w:eastAsia="Arial" w:hAnsi="Arial"/>
                <w:sz w:val="14"/>
                <w:szCs w:val="14"/>
                <w:b w:val="1"/>
                <w:bCs w:val="1"/>
                <w:color w:val="auto"/>
                <w:w w:val="99"/>
              </w:rPr>
              <w:t>Six Months</w:t>
            </w: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center"/>
              <w:ind w:right="49"/>
              <w:spacing w:after="0"/>
              <w:rPr>
                <w:sz w:val="20"/>
                <w:szCs w:val="20"/>
                <w:color w:val="auto"/>
              </w:rPr>
            </w:pPr>
            <w:r>
              <w:rPr>
                <w:rFonts w:ascii="Arial" w:cs="Arial" w:eastAsia="Arial" w:hAnsi="Arial"/>
                <w:sz w:val="14"/>
                <w:szCs w:val="14"/>
                <w:color w:val="auto"/>
              </w:rPr>
              <w:t>Six Months</w:t>
            </w:r>
          </w:p>
        </w:tc>
        <w:tc>
          <w:tcPr>
            <w:tcW w:w="0" w:type="dxa"/>
            <w:vAlign w:val="bottom"/>
          </w:tcPr>
          <w:p>
            <w:pPr>
              <w:spacing w:after="0"/>
              <w:rPr>
                <w:sz w:val="1"/>
                <w:szCs w:val="1"/>
                <w:color w:val="auto"/>
              </w:rPr>
            </w:pPr>
          </w:p>
        </w:tc>
      </w:tr>
      <w:tr>
        <w:trPr>
          <w:trHeight w:val="186"/>
        </w:trPr>
        <w:tc>
          <w:tcPr>
            <w:tcW w:w="59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millions, except per share amounts)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49"/>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49"/>
              <w:spacing w:after="0"/>
              <w:rPr>
                <w:sz w:val="20"/>
                <w:szCs w:val="20"/>
                <w:color w:val="auto"/>
              </w:rPr>
            </w:pPr>
            <w:r>
              <w:rPr>
                <w:rFonts w:ascii="Arial" w:cs="Arial" w:eastAsia="Arial" w:hAnsi="Arial"/>
                <w:sz w:val="14"/>
                <w:szCs w:val="14"/>
                <w:color w:val="auto"/>
              </w:rPr>
              <w:t>2020</w:t>
            </w:r>
          </w:p>
        </w:tc>
        <w:tc>
          <w:tcPr>
            <w:tcW w:w="16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69"/>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69"/>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179"/>
        </w:trPr>
        <w:tc>
          <w:tcPr>
            <w:tcW w:w="6000" w:type="dxa"/>
            <w:vAlign w:val="bottom"/>
            <w:gridSpan w:val="2"/>
          </w:tcPr>
          <w:p>
            <w:pPr>
              <w:ind w:left="20"/>
              <w:spacing w:after="0"/>
              <w:rPr>
                <w:sz w:val="20"/>
                <w:szCs w:val="20"/>
                <w:color w:val="auto"/>
              </w:rPr>
            </w:pPr>
            <w:r>
              <w:rPr>
                <w:rFonts w:ascii="Arial" w:cs="Arial" w:eastAsia="Arial" w:hAnsi="Arial"/>
                <w:sz w:val="14"/>
                <w:szCs w:val="14"/>
                <w:color w:val="auto"/>
              </w:rPr>
              <w:t>Net loss</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(107)</w:t>
            </w:r>
          </w:p>
        </w:tc>
        <w:tc>
          <w:tcPr>
            <w:tcW w:w="14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(247)</w:t>
            </w:r>
          </w:p>
        </w:tc>
        <w:tc>
          <w:tcPr>
            <w:tcW w:w="16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(196)</w:t>
            </w: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(1,992)</w:t>
            </w:r>
          </w:p>
        </w:tc>
        <w:tc>
          <w:tcPr>
            <w:tcW w:w="0" w:type="dxa"/>
            <w:vAlign w:val="bottom"/>
          </w:tcPr>
          <w:p>
            <w:pPr>
              <w:spacing w:after="0"/>
              <w:rPr>
                <w:sz w:val="1"/>
                <w:szCs w:val="1"/>
                <w:color w:val="auto"/>
              </w:rPr>
            </w:pPr>
          </w:p>
        </w:tc>
      </w:tr>
      <w:tr>
        <w:trPr>
          <w:trHeight w:val="186"/>
        </w:trPr>
        <w:tc>
          <w:tcPr>
            <w:tcW w:w="6000" w:type="dxa"/>
            <w:vAlign w:val="bottom"/>
            <w:gridSpan w:val="2"/>
          </w:tcPr>
          <w:p>
            <w:pPr>
              <w:ind w:left="20"/>
              <w:spacing w:after="0"/>
              <w:rPr>
                <w:sz w:val="20"/>
                <w:szCs w:val="20"/>
                <w:color w:val="auto"/>
              </w:rPr>
            </w:pPr>
            <w:r>
              <w:rPr>
                <w:rFonts w:ascii="Arial" w:cs="Arial" w:eastAsia="Arial" w:hAnsi="Arial"/>
                <w:sz w:val="14"/>
                <w:szCs w:val="14"/>
                <w:color w:val="auto"/>
              </w:rPr>
              <w:t>Net income attributable to noncontrolling interests</w:t>
            </w: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w:t>
            </w:r>
          </w:p>
        </w:tc>
        <w:tc>
          <w:tcPr>
            <w:tcW w:w="14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w:t>
            </w:r>
          </w:p>
        </w:tc>
        <w:tc>
          <w:tcPr>
            <w:tcW w:w="16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181"/>
        </w:trPr>
        <w:tc>
          <w:tcPr>
            <w:tcW w:w="6000" w:type="dxa"/>
            <w:vAlign w:val="bottom"/>
            <w:gridSpan w:val="2"/>
          </w:tcPr>
          <w:p>
            <w:pPr>
              <w:ind w:left="20"/>
              <w:spacing w:after="0"/>
              <w:rPr>
                <w:sz w:val="20"/>
                <w:szCs w:val="20"/>
                <w:color w:val="auto"/>
              </w:rPr>
            </w:pPr>
            <w:r>
              <w:rPr>
                <w:rFonts w:ascii="Arial" w:cs="Arial" w:eastAsia="Arial" w:hAnsi="Arial"/>
                <w:sz w:val="14"/>
                <w:szCs w:val="14"/>
                <w:color w:val="auto"/>
              </w:rPr>
              <w:t>Net loss attributable to common stock</w:t>
            </w: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(111)</w:t>
            </w:r>
          </w:p>
        </w:tc>
        <w:tc>
          <w:tcPr>
            <w:tcW w:w="14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(271)</w:t>
            </w:r>
          </w:p>
        </w:tc>
        <w:tc>
          <w:tcPr>
            <w:tcW w:w="16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(205)</w:t>
            </w: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(2,067)</w:t>
            </w:r>
          </w:p>
        </w:tc>
        <w:tc>
          <w:tcPr>
            <w:tcW w:w="0" w:type="dxa"/>
            <w:vAlign w:val="bottom"/>
          </w:tcPr>
          <w:p>
            <w:pPr>
              <w:spacing w:after="0"/>
              <w:rPr>
                <w:sz w:val="1"/>
                <w:szCs w:val="1"/>
                <w:color w:val="auto"/>
              </w:rPr>
            </w:pPr>
          </w:p>
        </w:tc>
      </w:tr>
      <w:tr>
        <w:trPr>
          <w:trHeight w:val="185"/>
        </w:trPr>
        <w:tc>
          <w:tcPr>
            <w:tcW w:w="6000" w:type="dxa"/>
            <w:vAlign w:val="bottom"/>
            <w:gridSpan w:val="2"/>
          </w:tcPr>
          <w:p>
            <w:pPr>
              <w:ind w:left="20"/>
              <w:spacing w:after="0"/>
              <w:rPr>
                <w:sz w:val="20"/>
                <w:szCs w:val="20"/>
                <w:color w:val="auto"/>
              </w:rPr>
            </w:pPr>
            <w:r>
              <w:rPr>
                <w:rFonts w:ascii="Arial" w:cs="Arial" w:eastAsia="Arial" w:hAnsi="Arial"/>
                <w:sz w:val="14"/>
                <w:szCs w:val="14"/>
                <w:color w:val="auto"/>
              </w:rPr>
              <w:t>Unusual, infrequent and other items:</w:t>
            </w:r>
          </w:p>
        </w:tc>
        <w:tc>
          <w:tcPr>
            <w:tcW w:w="14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183</w:t>
            </w:r>
          </w:p>
        </w:tc>
        <w:tc>
          <w:tcPr>
            <w:tcW w:w="14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vMerge w:val="restart"/>
          </w:tcPr>
          <w:p>
            <w:pPr>
              <w:jc w:val="right"/>
              <w:ind w:right="9"/>
              <w:spacing w:after="0"/>
              <w:rPr>
                <w:sz w:val="20"/>
                <w:szCs w:val="20"/>
                <w:color w:val="auto"/>
              </w:rPr>
            </w:pPr>
            <w:r>
              <w:rPr>
                <w:rFonts w:ascii="Arial" w:cs="Arial" w:eastAsia="Arial" w:hAnsi="Arial"/>
                <w:sz w:val="14"/>
                <w:szCs w:val="14"/>
                <w:b w:val="1"/>
                <w:bCs w:val="1"/>
                <w:color w:val="auto"/>
              </w:rPr>
              <w:t>357</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000" w:type="dxa"/>
            <w:vAlign w:val="bottom"/>
            <w:gridSpan w:val="2"/>
          </w:tcPr>
          <w:p>
            <w:pPr>
              <w:ind w:left="140"/>
              <w:spacing w:after="0"/>
              <w:rPr>
                <w:sz w:val="20"/>
                <w:szCs w:val="20"/>
                <w:color w:val="auto"/>
              </w:rPr>
            </w:pPr>
            <w:r>
              <w:rPr>
                <w:rFonts w:ascii="Arial" w:cs="Arial" w:eastAsia="Arial" w:hAnsi="Arial"/>
                <w:sz w:val="14"/>
                <w:szCs w:val="14"/>
                <w:color w:val="auto"/>
              </w:rPr>
              <w:t>Non-cash derivative loss from commodities, excluding noncontrolling interest</w:t>
            </w:r>
          </w:p>
        </w:tc>
        <w:tc>
          <w:tcPr>
            <w:tcW w:w="14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86"/>
        </w:trPr>
        <w:tc>
          <w:tcPr>
            <w:tcW w:w="6000" w:type="dxa"/>
            <w:vAlign w:val="bottom"/>
            <w:gridSpan w:val="2"/>
          </w:tcPr>
          <w:p>
            <w:pPr>
              <w:ind w:left="140"/>
              <w:spacing w:after="0"/>
              <w:rPr>
                <w:sz w:val="20"/>
                <w:szCs w:val="20"/>
                <w:color w:val="auto"/>
              </w:rPr>
            </w:pPr>
            <w:r>
              <w:rPr>
                <w:rFonts w:ascii="Arial" w:cs="Arial" w:eastAsia="Arial" w:hAnsi="Arial"/>
                <w:sz w:val="14"/>
                <w:szCs w:val="14"/>
                <w:color w:val="auto"/>
              </w:rPr>
              <w:t>Asset impairments</w:t>
            </w:r>
          </w:p>
        </w:tc>
        <w:tc>
          <w:tcPr>
            <w:tcW w:w="140" w:type="dxa"/>
            <w:vAlign w:val="bottom"/>
          </w:tcPr>
          <w:p>
            <w:pPr>
              <w:spacing w:after="0"/>
              <w:rPr>
                <w:sz w:val="16"/>
                <w:szCs w:val="16"/>
                <w:color w:val="auto"/>
              </w:rPr>
            </w:pPr>
          </w:p>
        </w:tc>
        <w:tc>
          <w:tcPr>
            <w:tcW w:w="10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ind w:right="9"/>
              <w:spacing w:after="0"/>
              <w:rPr>
                <w:sz w:val="20"/>
                <w:szCs w:val="20"/>
                <w:color w:val="auto"/>
              </w:rPr>
            </w:pPr>
            <w:r>
              <w:rPr>
                <w:rFonts w:ascii="Arial" w:cs="Arial" w:eastAsia="Arial" w:hAnsi="Arial"/>
                <w:sz w:val="14"/>
                <w:szCs w:val="14"/>
                <w:b w:val="1"/>
                <w:bCs w:val="1"/>
                <w:color w:val="auto"/>
              </w:rPr>
              <w:t>3</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1,736</w:t>
            </w:r>
          </w:p>
        </w:tc>
        <w:tc>
          <w:tcPr>
            <w:tcW w:w="0" w:type="dxa"/>
            <w:vAlign w:val="bottom"/>
          </w:tcPr>
          <w:p>
            <w:pPr>
              <w:spacing w:after="0"/>
              <w:rPr>
                <w:sz w:val="1"/>
                <w:szCs w:val="1"/>
                <w:color w:val="auto"/>
              </w:rPr>
            </w:pPr>
          </w:p>
        </w:tc>
      </w:tr>
      <w:tr>
        <w:trPr>
          <w:trHeight w:val="185"/>
        </w:trPr>
        <w:tc>
          <w:tcPr>
            <w:tcW w:w="6000" w:type="dxa"/>
            <w:vAlign w:val="bottom"/>
            <w:gridSpan w:val="2"/>
          </w:tcPr>
          <w:p>
            <w:pPr>
              <w:ind w:left="140"/>
              <w:spacing w:after="0"/>
              <w:rPr>
                <w:sz w:val="20"/>
                <w:szCs w:val="20"/>
                <w:color w:val="auto"/>
              </w:rPr>
            </w:pPr>
            <w:r>
              <w:rPr>
                <w:rFonts w:ascii="Arial" w:cs="Arial" w:eastAsia="Arial" w:hAnsi="Arial"/>
                <w:sz w:val="14"/>
                <w:szCs w:val="14"/>
                <w:color w:val="auto"/>
              </w:rPr>
              <w:t>Reorganization items, net</w:t>
            </w: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14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ind w:right="9"/>
              <w:spacing w:after="0"/>
              <w:rPr>
                <w:sz w:val="20"/>
                <w:szCs w:val="20"/>
                <w:color w:val="auto"/>
              </w:rPr>
            </w:pPr>
            <w:r>
              <w:rPr>
                <w:rFonts w:ascii="Arial" w:cs="Arial" w:eastAsia="Arial" w:hAnsi="Arial"/>
                <w:sz w:val="14"/>
                <w:szCs w:val="14"/>
                <w:b w:val="1"/>
                <w:bCs w:val="1"/>
                <w:color w:val="auto"/>
              </w:rPr>
              <w:t>4</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6000" w:type="dxa"/>
            <w:vAlign w:val="bottom"/>
            <w:gridSpan w:val="2"/>
          </w:tcPr>
          <w:p>
            <w:pPr>
              <w:ind w:left="140"/>
              <w:spacing w:after="0"/>
              <w:rPr>
                <w:sz w:val="20"/>
                <w:szCs w:val="20"/>
                <w:color w:val="auto"/>
              </w:rPr>
            </w:pPr>
            <w:r>
              <w:rPr>
                <w:rFonts w:ascii="Arial" w:cs="Arial" w:eastAsia="Arial" w:hAnsi="Arial"/>
                <w:sz w:val="14"/>
                <w:szCs w:val="14"/>
                <w:color w:val="auto"/>
              </w:rPr>
              <w:t>Chapter 11 transaction costs</w:t>
            </w:r>
          </w:p>
        </w:tc>
        <w:tc>
          <w:tcPr>
            <w:tcW w:w="140" w:type="dxa"/>
            <w:vAlign w:val="bottom"/>
          </w:tcPr>
          <w:p>
            <w:pPr>
              <w:spacing w:after="0"/>
              <w:rPr>
                <w:sz w:val="16"/>
                <w:szCs w:val="16"/>
                <w:color w:val="auto"/>
              </w:rPr>
            </w:pPr>
          </w:p>
        </w:tc>
        <w:tc>
          <w:tcPr>
            <w:tcW w:w="10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49</w:t>
            </w:r>
          </w:p>
        </w:tc>
        <w:tc>
          <w:tcPr>
            <w:tcW w:w="16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185"/>
        </w:trPr>
        <w:tc>
          <w:tcPr>
            <w:tcW w:w="6000" w:type="dxa"/>
            <w:vAlign w:val="bottom"/>
            <w:gridSpan w:val="2"/>
          </w:tcPr>
          <w:p>
            <w:pPr>
              <w:ind w:left="140"/>
              <w:spacing w:after="0"/>
              <w:rPr>
                <w:sz w:val="20"/>
                <w:szCs w:val="20"/>
                <w:color w:val="auto"/>
              </w:rPr>
            </w:pPr>
            <w:r>
              <w:rPr>
                <w:rFonts w:ascii="Arial" w:cs="Arial" w:eastAsia="Arial" w:hAnsi="Arial"/>
                <w:sz w:val="14"/>
                <w:szCs w:val="14"/>
                <w:color w:val="auto"/>
              </w:rPr>
              <w:t>Severance and termination costs</w:t>
            </w: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14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ind w:right="9"/>
              <w:spacing w:after="0"/>
              <w:rPr>
                <w:sz w:val="20"/>
                <w:szCs w:val="20"/>
                <w:color w:val="auto"/>
              </w:rPr>
            </w:pPr>
            <w:r>
              <w:rPr>
                <w:rFonts w:ascii="Arial" w:cs="Arial" w:eastAsia="Arial" w:hAnsi="Arial"/>
                <w:sz w:val="14"/>
                <w:szCs w:val="14"/>
                <w:b w:val="1"/>
                <w:bCs w:val="1"/>
                <w:color w:val="auto"/>
              </w:rPr>
              <w:t>15</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6000" w:type="dxa"/>
            <w:vAlign w:val="bottom"/>
            <w:gridSpan w:val="2"/>
          </w:tcPr>
          <w:p>
            <w:pPr>
              <w:ind w:left="140"/>
              <w:spacing w:after="0"/>
              <w:rPr>
                <w:sz w:val="20"/>
                <w:szCs w:val="20"/>
                <w:color w:val="auto"/>
              </w:rPr>
            </w:pPr>
            <w:r>
              <w:rPr>
                <w:rFonts w:ascii="Arial" w:cs="Arial" w:eastAsia="Arial" w:hAnsi="Arial"/>
                <w:sz w:val="14"/>
                <w:szCs w:val="14"/>
                <w:color w:val="auto"/>
              </w:rPr>
              <w:t>Net loss (gain) on extinguishment of debt</w:t>
            </w:r>
          </w:p>
        </w:tc>
        <w:tc>
          <w:tcPr>
            <w:tcW w:w="140" w:type="dxa"/>
            <w:vAlign w:val="bottom"/>
          </w:tcPr>
          <w:p>
            <w:pPr>
              <w:spacing w:after="0"/>
              <w:rPr>
                <w:sz w:val="16"/>
                <w:szCs w:val="16"/>
                <w:color w:val="auto"/>
              </w:rPr>
            </w:pPr>
          </w:p>
        </w:tc>
        <w:tc>
          <w:tcPr>
            <w:tcW w:w="10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ind w:right="9"/>
              <w:spacing w:after="0"/>
              <w:rPr>
                <w:sz w:val="20"/>
                <w:szCs w:val="20"/>
                <w:color w:val="auto"/>
              </w:rPr>
            </w:pPr>
            <w:r>
              <w:rPr>
                <w:rFonts w:ascii="Arial" w:cs="Arial" w:eastAsia="Arial" w:hAnsi="Arial"/>
                <w:sz w:val="14"/>
                <w:szCs w:val="14"/>
                <w:b w:val="1"/>
                <w:bCs w:val="1"/>
                <w:color w:val="auto"/>
              </w:rPr>
              <w:t>2</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85"/>
        </w:trPr>
        <w:tc>
          <w:tcPr>
            <w:tcW w:w="6000" w:type="dxa"/>
            <w:vAlign w:val="bottom"/>
            <w:gridSpan w:val="2"/>
          </w:tcPr>
          <w:p>
            <w:pPr>
              <w:ind w:left="140"/>
              <w:spacing w:after="0"/>
              <w:rPr>
                <w:sz w:val="20"/>
                <w:szCs w:val="20"/>
                <w:color w:val="auto"/>
              </w:rPr>
            </w:pPr>
            <w:r>
              <w:rPr>
                <w:rFonts w:ascii="Arial" w:cs="Arial" w:eastAsia="Arial" w:hAnsi="Arial"/>
                <w:sz w:val="14"/>
                <w:szCs w:val="14"/>
                <w:color w:val="auto"/>
              </w:rPr>
              <w:t>Deficiency payment on pipeline delivery contract</w:t>
            </w:r>
          </w:p>
        </w:tc>
        <w:tc>
          <w:tcPr>
            <w:tcW w:w="140" w:type="dxa"/>
            <w:vAlign w:val="bottom"/>
          </w:tcPr>
          <w:p>
            <w:pPr>
              <w:spacing w:after="0"/>
              <w:rPr>
                <w:sz w:val="16"/>
                <w:szCs w:val="16"/>
                <w:color w:val="auto"/>
              </w:rPr>
            </w:pPr>
          </w:p>
        </w:tc>
        <w:tc>
          <w:tcPr>
            <w:tcW w:w="10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20</w:t>
            </w:r>
          </w:p>
        </w:tc>
        <w:tc>
          <w:tcPr>
            <w:tcW w:w="16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85"/>
        </w:trPr>
        <w:tc>
          <w:tcPr>
            <w:tcW w:w="6000" w:type="dxa"/>
            <w:vAlign w:val="bottom"/>
            <w:gridSpan w:val="2"/>
          </w:tcPr>
          <w:p>
            <w:pPr>
              <w:ind w:left="140"/>
              <w:spacing w:after="0"/>
              <w:rPr>
                <w:sz w:val="20"/>
                <w:szCs w:val="20"/>
                <w:color w:val="auto"/>
              </w:rPr>
            </w:pPr>
            <w:r>
              <w:rPr>
                <w:rFonts w:ascii="Arial" w:cs="Arial" w:eastAsia="Arial" w:hAnsi="Arial"/>
                <w:sz w:val="14"/>
                <w:szCs w:val="14"/>
                <w:color w:val="auto"/>
              </w:rPr>
              <w:t>Power plant maintenance</w:t>
            </w:r>
          </w:p>
        </w:tc>
        <w:tc>
          <w:tcPr>
            <w:tcW w:w="140" w:type="dxa"/>
            <w:vAlign w:val="bottom"/>
          </w:tcPr>
          <w:p>
            <w:pPr>
              <w:spacing w:after="0"/>
              <w:rPr>
                <w:sz w:val="16"/>
                <w:szCs w:val="16"/>
                <w:color w:val="auto"/>
              </w:rPr>
            </w:pPr>
          </w:p>
        </w:tc>
        <w:tc>
          <w:tcPr>
            <w:tcW w:w="10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86"/>
        </w:trPr>
        <w:tc>
          <w:tcPr>
            <w:tcW w:w="6000" w:type="dxa"/>
            <w:vAlign w:val="bottom"/>
            <w:gridSpan w:val="2"/>
          </w:tcPr>
          <w:p>
            <w:pPr>
              <w:ind w:left="140"/>
              <w:spacing w:after="0"/>
              <w:rPr>
                <w:sz w:val="20"/>
                <w:szCs w:val="20"/>
                <w:color w:val="auto"/>
              </w:rPr>
            </w:pPr>
            <w:r>
              <w:rPr>
                <w:rFonts w:ascii="Arial" w:cs="Arial" w:eastAsia="Arial" w:hAnsi="Arial"/>
                <w:sz w:val="14"/>
                <w:szCs w:val="14"/>
                <w:color w:val="auto"/>
              </w:rPr>
              <w:t>Incentive and retention award modification</w:t>
            </w:r>
          </w:p>
        </w:tc>
        <w:tc>
          <w:tcPr>
            <w:tcW w:w="140" w:type="dxa"/>
            <w:vAlign w:val="bottom"/>
          </w:tcPr>
          <w:p>
            <w:pPr>
              <w:spacing w:after="0"/>
              <w:rPr>
                <w:sz w:val="16"/>
                <w:szCs w:val="16"/>
                <w:color w:val="auto"/>
              </w:rPr>
            </w:pPr>
          </w:p>
        </w:tc>
        <w:tc>
          <w:tcPr>
            <w:tcW w:w="10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w:t>
            </w:r>
          </w:p>
        </w:tc>
        <w:tc>
          <w:tcPr>
            <w:tcW w:w="16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85"/>
        </w:trPr>
        <w:tc>
          <w:tcPr>
            <w:tcW w:w="6000" w:type="dxa"/>
            <w:vAlign w:val="bottom"/>
            <w:gridSpan w:val="2"/>
          </w:tcPr>
          <w:p>
            <w:pPr>
              <w:ind w:left="140"/>
              <w:spacing w:after="0"/>
              <w:rPr>
                <w:sz w:val="20"/>
                <w:szCs w:val="20"/>
                <w:color w:val="auto"/>
              </w:rPr>
            </w:pPr>
            <w:r>
              <w:rPr>
                <w:rFonts w:ascii="Arial" w:cs="Arial" w:eastAsia="Arial" w:hAnsi="Arial"/>
                <w:sz w:val="14"/>
                <w:szCs w:val="14"/>
                <w:color w:val="auto"/>
              </w:rPr>
              <w:t>Gains on asset divestitures</w:t>
            </w:r>
          </w:p>
        </w:tc>
        <w:tc>
          <w:tcPr>
            <w:tcW w:w="140" w:type="dxa"/>
            <w:vAlign w:val="bottom"/>
          </w:tcPr>
          <w:p>
            <w:pPr>
              <w:spacing w:after="0"/>
              <w:rPr>
                <w:sz w:val="16"/>
                <w:szCs w:val="16"/>
                <w:color w:val="auto"/>
              </w:rPr>
            </w:pPr>
          </w:p>
        </w:tc>
        <w:tc>
          <w:tcPr>
            <w:tcW w:w="10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000" w:type="dxa"/>
            <w:vAlign w:val="bottom"/>
            <w:gridSpan w:val="2"/>
          </w:tcPr>
          <w:p>
            <w:pPr>
              <w:ind w:left="140"/>
              <w:spacing w:after="0"/>
              <w:rPr>
                <w:sz w:val="20"/>
                <w:szCs w:val="20"/>
                <w:color w:val="auto"/>
              </w:rPr>
            </w:pPr>
            <w:r>
              <w:rPr>
                <w:rFonts w:ascii="Arial" w:cs="Arial" w:eastAsia="Arial" w:hAnsi="Arial"/>
                <w:sz w:val="14"/>
                <w:szCs w:val="14"/>
                <w:color w:val="auto"/>
              </w:rPr>
              <w:t>Rig termination expenses</w:t>
            </w: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14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w:t>
            </w:r>
          </w:p>
        </w:tc>
        <w:tc>
          <w:tcPr>
            <w:tcW w:w="16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ind w:right="9"/>
              <w:spacing w:after="0"/>
              <w:rPr>
                <w:sz w:val="20"/>
                <w:szCs w:val="20"/>
                <w:color w:val="auto"/>
              </w:rPr>
            </w:pPr>
            <w:r>
              <w:rPr>
                <w:rFonts w:ascii="Arial" w:cs="Arial" w:eastAsia="Arial" w:hAnsi="Arial"/>
                <w:sz w:val="14"/>
                <w:szCs w:val="14"/>
                <w:b w:val="1"/>
                <w:bCs w:val="1"/>
                <w:color w:val="auto"/>
              </w:rPr>
              <w:t>2</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6"/>
        </w:trPr>
        <w:tc>
          <w:tcPr>
            <w:tcW w:w="6000" w:type="dxa"/>
            <w:vAlign w:val="bottom"/>
            <w:gridSpan w:val="2"/>
          </w:tcPr>
          <w:p>
            <w:pPr>
              <w:ind w:left="140"/>
              <w:spacing w:after="0"/>
              <w:rPr>
                <w:sz w:val="20"/>
                <w:szCs w:val="20"/>
                <w:color w:val="auto"/>
              </w:rPr>
            </w:pPr>
            <w:r>
              <w:rPr>
                <w:rFonts w:ascii="Arial" w:cs="Arial" w:eastAsia="Arial" w:hAnsi="Arial"/>
                <w:sz w:val="14"/>
                <w:szCs w:val="14"/>
                <w:color w:val="auto"/>
              </w:rPr>
              <w:t>Other, net</w:t>
            </w: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w:t>
            </w:r>
          </w:p>
        </w:tc>
        <w:tc>
          <w:tcPr>
            <w:tcW w:w="14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16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4</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81"/>
        </w:trPr>
        <w:tc>
          <w:tcPr>
            <w:tcW w:w="6000" w:type="dxa"/>
            <w:vAlign w:val="bottom"/>
            <w:gridSpan w:val="2"/>
          </w:tcPr>
          <w:p>
            <w:pPr>
              <w:ind w:left="220"/>
              <w:spacing w:after="0"/>
              <w:rPr>
                <w:sz w:val="20"/>
                <w:szCs w:val="20"/>
                <w:color w:val="auto"/>
              </w:rPr>
            </w:pPr>
            <w:r>
              <w:rPr>
                <w:rFonts w:ascii="Arial" w:cs="Arial" w:eastAsia="Arial" w:hAnsi="Arial"/>
                <w:sz w:val="14"/>
                <w:szCs w:val="14"/>
                <w:color w:val="auto"/>
              </w:rPr>
              <w:t>Total unusual, infrequent and other items</w:t>
            </w: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189</w:t>
            </w:r>
          </w:p>
        </w:tc>
        <w:tc>
          <w:tcPr>
            <w:tcW w:w="14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69</w:t>
            </w:r>
          </w:p>
        </w:tc>
        <w:tc>
          <w:tcPr>
            <w:tcW w:w="16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ind w:right="9"/>
              <w:spacing w:after="0"/>
              <w:rPr>
                <w:sz w:val="20"/>
                <w:szCs w:val="20"/>
                <w:color w:val="auto"/>
              </w:rPr>
            </w:pPr>
            <w:r>
              <w:rPr>
                <w:rFonts w:ascii="Arial" w:cs="Arial" w:eastAsia="Arial" w:hAnsi="Arial"/>
                <w:sz w:val="14"/>
                <w:szCs w:val="14"/>
                <w:b w:val="1"/>
                <w:bCs w:val="1"/>
                <w:color w:val="auto"/>
              </w:rPr>
              <w:t>385</w:t>
            </w: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1,857</w:t>
            </w:r>
          </w:p>
        </w:tc>
        <w:tc>
          <w:tcPr>
            <w:tcW w:w="0" w:type="dxa"/>
            <w:vAlign w:val="bottom"/>
          </w:tcPr>
          <w:p>
            <w:pPr>
              <w:spacing w:after="0"/>
              <w:rPr>
                <w:sz w:val="1"/>
                <w:szCs w:val="1"/>
                <w:color w:val="auto"/>
              </w:rPr>
            </w:pPr>
          </w:p>
        </w:tc>
      </w:tr>
      <w:tr>
        <w:trPr>
          <w:trHeight w:val="51"/>
        </w:trPr>
        <w:tc>
          <w:tcPr>
            <w:tcW w:w="5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Borders>
              <w:right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60" w:type="dxa"/>
            <w:vAlign w:val="bottom"/>
            <w:tcBorders>
              <w:right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9"/>
        </w:trPr>
        <w:tc>
          <w:tcPr>
            <w:tcW w:w="6000" w:type="dxa"/>
            <w:vAlign w:val="bottom"/>
            <w:gridSpan w:val="2"/>
          </w:tcPr>
          <w:p>
            <w:pPr>
              <w:ind w:left="20"/>
              <w:spacing w:after="0"/>
              <w:rPr>
                <w:sz w:val="20"/>
                <w:szCs w:val="20"/>
                <w:color w:val="auto"/>
              </w:rPr>
            </w:pPr>
            <w:r>
              <w:rPr>
                <w:rFonts w:ascii="Arial" w:cs="Arial" w:eastAsia="Arial" w:hAnsi="Arial"/>
                <w:sz w:val="14"/>
                <w:szCs w:val="14"/>
                <w:color w:val="auto"/>
              </w:rPr>
              <w:t>Adjusted net income (loss) attributable to common stock</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78</w:t>
            </w:r>
          </w:p>
        </w:tc>
        <w:tc>
          <w:tcPr>
            <w:tcW w:w="14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w:t>
            </w:r>
          </w:p>
        </w:tc>
        <w:tc>
          <w:tcPr>
            <w:tcW w:w="16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180</w:t>
            </w: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(210)</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6000" w:type="dxa"/>
            <w:vAlign w:val="bottom"/>
            <w:gridSpan w:val="2"/>
          </w:tcPr>
          <w:p>
            <w:pPr>
              <w:ind w:left="20"/>
              <w:spacing w:after="0"/>
              <w:rPr>
                <w:sz w:val="20"/>
                <w:szCs w:val="20"/>
                <w:color w:val="auto"/>
              </w:rPr>
            </w:pPr>
            <w:r>
              <w:rPr>
                <w:rFonts w:ascii="Arial" w:cs="Arial" w:eastAsia="Arial" w:hAnsi="Arial"/>
                <w:sz w:val="14"/>
                <w:szCs w:val="14"/>
                <w:color w:val="auto"/>
              </w:rPr>
              <w:t>Net loss attributable to common stock per share - diluted</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(1.34)</w:t>
            </w:r>
          </w:p>
        </w:tc>
        <w:tc>
          <w:tcPr>
            <w:tcW w:w="14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(5.47)</w:t>
            </w:r>
          </w:p>
        </w:tc>
        <w:tc>
          <w:tcPr>
            <w:tcW w:w="16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(2.46)</w:t>
            </w:r>
          </w:p>
        </w:tc>
        <w:tc>
          <w:tcPr>
            <w:tcW w:w="10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(41.84)</w:t>
            </w:r>
          </w:p>
        </w:tc>
        <w:tc>
          <w:tcPr>
            <w:tcW w:w="0" w:type="dxa"/>
            <w:vAlign w:val="bottom"/>
          </w:tcPr>
          <w:p>
            <w:pPr>
              <w:spacing w:after="0"/>
              <w:rPr>
                <w:sz w:val="1"/>
                <w:szCs w:val="1"/>
                <w:color w:val="auto"/>
              </w:rPr>
            </w:pPr>
          </w:p>
        </w:tc>
      </w:tr>
      <w:tr>
        <w:trPr>
          <w:trHeight w:val="186"/>
        </w:trPr>
        <w:tc>
          <w:tcPr>
            <w:tcW w:w="6000" w:type="dxa"/>
            <w:vAlign w:val="bottom"/>
            <w:gridSpan w:val="2"/>
          </w:tcPr>
          <w:p>
            <w:pPr>
              <w:ind w:left="20"/>
              <w:spacing w:after="0"/>
              <w:rPr>
                <w:sz w:val="20"/>
                <w:szCs w:val="20"/>
                <w:color w:val="auto"/>
              </w:rPr>
            </w:pPr>
            <w:r>
              <w:rPr>
                <w:rFonts w:ascii="Arial" w:cs="Arial" w:eastAsia="Arial" w:hAnsi="Arial"/>
                <w:sz w:val="14"/>
                <w:szCs w:val="14"/>
                <w:color w:val="auto"/>
              </w:rPr>
              <w:t>Adjusted net income (loss) per share - basic</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0.94</w:t>
            </w:r>
          </w:p>
        </w:tc>
        <w:tc>
          <w:tcPr>
            <w:tcW w:w="14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(4.08)</w:t>
            </w:r>
          </w:p>
        </w:tc>
        <w:tc>
          <w:tcPr>
            <w:tcW w:w="16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9"/>
              <w:spacing w:after="0"/>
              <w:rPr>
                <w:sz w:val="20"/>
                <w:szCs w:val="20"/>
                <w:color w:val="auto"/>
              </w:rPr>
            </w:pPr>
            <w:r>
              <w:rPr>
                <w:rFonts w:ascii="Arial" w:cs="Arial" w:eastAsia="Arial" w:hAnsi="Arial"/>
                <w:sz w:val="14"/>
                <w:szCs w:val="14"/>
                <w:b w:val="1"/>
                <w:bCs w:val="1"/>
                <w:color w:val="auto"/>
              </w:rPr>
              <w:t>2.16</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(4.25)</w:t>
            </w:r>
          </w:p>
        </w:tc>
        <w:tc>
          <w:tcPr>
            <w:tcW w:w="0" w:type="dxa"/>
            <w:vAlign w:val="bottom"/>
          </w:tcPr>
          <w:p>
            <w:pPr>
              <w:spacing w:after="0"/>
              <w:rPr>
                <w:sz w:val="1"/>
                <w:szCs w:val="1"/>
                <w:color w:val="auto"/>
              </w:rPr>
            </w:pPr>
          </w:p>
        </w:tc>
      </w:tr>
      <w:tr>
        <w:trPr>
          <w:trHeight w:val="188"/>
        </w:trPr>
        <w:tc>
          <w:tcPr>
            <w:tcW w:w="6000" w:type="dxa"/>
            <w:vAlign w:val="bottom"/>
            <w:gridSpan w:val="2"/>
          </w:tcPr>
          <w:p>
            <w:pPr>
              <w:ind w:left="20"/>
              <w:spacing w:after="0"/>
              <w:rPr>
                <w:sz w:val="20"/>
                <w:szCs w:val="20"/>
                <w:color w:val="auto"/>
              </w:rPr>
            </w:pPr>
            <w:r>
              <w:rPr>
                <w:rFonts w:ascii="Arial" w:cs="Arial" w:eastAsia="Arial" w:hAnsi="Arial"/>
                <w:sz w:val="14"/>
                <w:szCs w:val="14"/>
                <w:color w:val="auto"/>
              </w:rPr>
              <w:t>Adjusted net income (loss) per share - diluted</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0.94</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(4.08)</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9"/>
              <w:spacing w:after="0"/>
              <w:rPr>
                <w:sz w:val="20"/>
                <w:szCs w:val="20"/>
                <w:color w:val="auto"/>
              </w:rPr>
            </w:pPr>
            <w:r>
              <w:rPr>
                <w:rFonts w:ascii="Arial" w:cs="Arial" w:eastAsia="Arial" w:hAnsi="Arial"/>
                <w:sz w:val="14"/>
                <w:szCs w:val="14"/>
                <w:b w:val="1"/>
                <w:bCs w:val="1"/>
                <w:color w:val="auto"/>
              </w:rPr>
              <w:t>2.15</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(4.25)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15</w:t>
      </w:r>
    </w:p>
    <w:p>
      <w:pPr>
        <w:sectPr>
          <w:pgSz w:w="11900" w:h="16838" w:orient="portrait"/>
          <w:cols w:equalWidth="0" w:num="1">
            <w:col w:w="11200"/>
          </w:cols>
          <w:pgMar w:left="320" w:top="1040" w:right="379" w:bottom="1440" w:gutter="0" w:footer="0" w:header="0"/>
        </w:sectPr>
      </w:pPr>
    </w:p>
    <w:bookmarkStart w:id="19" w:name="page20"/>
    <w:bookmarkEnd w:id="19"/>
    <w:p>
      <w:pPr>
        <w:ind w:left="2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207010</wp:posOffset>
            </wp:positionH>
            <wp:positionV relativeFrom="page">
              <wp:posOffset>661035</wp:posOffset>
            </wp:positionV>
            <wp:extent cx="71348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page">
              <wp:posOffset>207010</wp:posOffset>
            </wp:positionH>
            <wp:positionV relativeFrom="page">
              <wp:posOffset>686435</wp:posOffset>
            </wp:positionV>
            <wp:extent cx="71348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4860" cy="8255"/>
                    </a:xfrm>
                    <a:prstGeom prst="rect">
                      <a:avLst/>
                    </a:prstGeom>
                    <a:noFill/>
                  </pic:spPr>
                </pic:pic>
              </a:graphicData>
            </a:graphic>
          </wp:anchor>
        </w:drawing>
        <w:t>FREE CASH FLOW</w:t>
      </w:r>
    </w:p>
    <w:p>
      <w:pPr>
        <w:spacing w:after="0" w:line="135" w:lineRule="exact"/>
        <w:rPr>
          <w:sz w:val="20"/>
          <w:szCs w:val="20"/>
          <w:color w:val="auto"/>
        </w:rPr>
      </w:pPr>
    </w:p>
    <w:p>
      <w:pPr>
        <w:ind w:left="20"/>
        <w:spacing w:after="0" w:line="216" w:lineRule="auto"/>
        <w:rPr>
          <w:sz w:val="20"/>
          <w:szCs w:val="20"/>
          <w:color w:val="auto"/>
        </w:rPr>
      </w:pPr>
      <w:r>
        <w:rPr>
          <w:rFonts w:ascii="Arial" w:cs="Arial" w:eastAsia="Arial" w:hAnsi="Arial"/>
          <w:sz w:val="14"/>
          <w:szCs w:val="14"/>
          <w:color w:val="auto"/>
        </w:rPr>
        <w:t xml:space="preserve">Management uses free cash flow, which is defined by us as net cash provided by operating activities </w:t>
      </w:r>
      <w:r>
        <w:rPr>
          <w:rFonts w:ascii="Arial" w:cs="Arial" w:eastAsia="Arial" w:hAnsi="Arial"/>
          <w:sz w:val="14"/>
          <w:szCs w:val="14"/>
          <w:u w:val="single" w:color="auto"/>
          <w:color w:val="auto"/>
        </w:rPr>
        <w:t>less</w:t>
      </w:r>
      <w:r>
        <w:rPr>
          <w:rFonts w:ascii="Arial" w:cs="Arial" w:eastAsia="Arial" w:hAnsi="Arial"/>
          <w:sz w:val="14"/>
          <w:szCs w:val="14"/>
          <w:color w:val="auto"/>
        </w:rPr>
        <w:t xml:space="preserve"> capital investments, as a measure of liquidity. The following table presents a reconciliation of our net cash provided by operating activities to free cash flow. We have excluded one-time costs for bankruptcy related fees during 2021 and 2020 as a supplemental measure of our free cash flow.</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5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center"/>
              <w:ind w:right="89"/>
              <w:spacing w:after="0"/>
              <w:rPr>
                <w:sz w:val="20"/>
                <w:szCs w:val="20"/>
                <w:color w:val="auto"/>
              </w:rPr>
            </w:pPr>
            <w:r>
              <w:rPr>
                <w:rFonts w:ascii="Arial" w:cs="Arial" w:eastAsia="Arial" w:hAnsi="Arial"/>
                <w:sz w:val="14"/>
                <w:szCs w:val="14"/>
                <w:b w:val="1"/>
                <w:bCs w:val="1"/>
                <w:color w:val="auto"/>
              </w:rPr>
              <w:t>Successor</w:t>
            </w: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center"/>
              <w:ind w:right="89"/>
              <w:spacing w:after="0"/>
              <w:rPr>
                <w:sz w:val="20"/>
                <w:szCs w:val="20"/>
                <w:color w:val="auto"/>
              </w:rPr>
            </w:pPr>
            <w:r>
              <w:rPr>
                <w:rFonts w:ascii="Arial" w:cs="Arial" w:eastAsia="Arial" w:hAnsi="Arial"/>
                <w:sz w:val="14"/>
                <w:szCs w:val="14"/>
                <w:color w:val="auto"/>
                <w:w w:val="99"/>
              </w:rPr>
              <w:t>Predecessor</w:t>
            </w:r>
          </w:p>
        </w:tc>
        <w:tc>
          <w:tcPr>
            <w:tcW w:w="12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center"/>
              <w:ind w:right="109"/>
              <w:spacing w:after="0"/>
              <w:rPr>
                <w:sz w:val="20"/>
                <w:szCs w:val="20"/>
                <w:color w:val="auto"/>
              </w:rPr>
            </w:pPr>
            <w:r>
              <w:rPr>
                <w:rFonts w:ascii="Arial" w:cs="Arial" w:eastAsia="Arial" w:hAnsi="Arial"/>
                <w:sz w:val="14"/>
                <w:szCs w:val="14"/>
                <w:b w:val="1"/>
                <w:bCs w:val="1"/>
                <w:color w:val="auto"/>
              </w:rPr>
              <w:t>Successor</w:t>
            </w: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center"/>
              <w:ind w:right="89"/>
              <w:spacing w:after="0"/>
              <w:rPr>
                <w:sz w:val="20"/>
                <w:szCs w:val="20"/>
                <w:color w:val="auto"/>
              </w:rPr>
            </w:pPr>
            <w:r>
              <w:rPr>
                <w:rFonts w:ascii="Arial" w:cs="Arial" w:eastAsia="Arial" w:hAnsi="Arial"/>
                <w:sz w:val="14"/>
                <w:szCs w:val="14"/>
                <w:color w:val="auto"/>
              </w:rPr>
              <w:t>Predecessor</w:t>
            </w:r>
          </w:p>
        </w:tc>
      </w:tr>
      <w:tr>
        <w:trPr>
          <w:trHeight w:val="179"/>
        </w:trPr>
        <w:tc>
          <w:tcPr>
            <w:tcW w:w="5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center"/>
              <w:ind w:right="89"/>
              <w:spacing w:after="0"/>
              <w:rPr>
                <w:sz w:val="20"/>
                <w:szCs w:val="20"/>
                <w:color w:val="auto"/>
              </w:rPr>
            </w:pPr>
            <w:r>
              <w:rPr>
                <w:rFonts w:ascii="Arial" w:cs="Arial" w:eastAsia="Arial" w:hAnsi="Arial"/>
                <w:sz w:val="14"/>
                <w:szCs w:val="14"/>
                <w:b w:val="1"/>
                <w:bCs w:val="1"/>
                <w:color w:val="auto"/>
              </w:rPr>
              <w:t>2nd Quarter</w:t>
            </w: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4"/>
                <w:szCs w:val="14"/>
                <w:color w:val="auto"/>
                <w:w w:val="98"/>
              </w:rPr>
              <w:t>2nd Quarter</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center"/>
              <w:ind w:right="109"/>
              <w:spacing w:after="0"/>
              <w:rPr>
                <w:sz w:val="20"/>
                <w:szCs w:val="20"/>
                <w:color w:val="auto"/>
              </w:rPr>
            </w:pPr>
            <w:r>
              <w:rPr>
                <w:rFonts w:ascii="Arial" w:cs="Arial" w:eastAsia="Arial" w:hAnsi="Arial"/>
                <w:sz w:val="14"/>
                <w:szCs w:val="14"/>
                <w:b w:val="1"/>
                <w:bCs w:val="1"/>
                <w:color w:val="auto"/>
              </w:rPr>
              <w:t>Six Months</w:t>
            </w: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center"/>
              <w:ind w:right="89"/>
              <w:spacing w:after="0"/>
              <w:rPr>
                <w:sz w:val="20"/>
                <w:szCs w:val="20"/>
                <w:color w:val="auto"/>
              </w:rPr>
            </w:pPr>
            <w:r>
              <w:rPr>
                <w:rFonts w:ascii="Arial" w:cs="Arial" w:eastAsia="Arial" w:hAnsi="Arial"/>
                <w:sz w:val="14"/>
                <w:szCs w:val="14"/>
                <w:color w:val="auto"/>
                <w:w w:val="98"/>
              </w:rPr>
              <w:t>Six Months</w:t>
            </w:r>
          </w:p>
        </w:tc>
      </w:tr>
      <w:tr>
        <w:trPr>
          <w:trHeight w:val="186"/>
        </w:trPr>
        <w:tc>
          <w:tcPr>
            <w:tcW w:w="54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millions)</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8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89"/>
              <w:spacing w:after="0"/>
              <w:rPr>
                <w:sz w:val="20"/>
                <w:szCs w:val="20"/>
                <w:color w:val="auto"/>
              </w:rPr>
            </w:pPr>
            <w:r>
              <w:rPr>
                <w:rFonts w:ascii="Arial" w:cs="Arial" w:eastAsia="Arial" w:hAnsi="Arial"/>
                <w:sz w:val="14"/>
                <w:szCs w:val="14"/>
                <w:color w:val="auto"/>
                <w:w w:val="96"/>
              </w:rPr>
              <w:t>2020</w:t>
            </w:r>
          </w:p>
        </w:tc>
        <w:tc>
          <w:tcPr>
            <w:tcW w:w="12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0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89"/>
              <w:spacing w:after="0"/>
              <w:rPr>
                <w:sz w:val="20"/>
                <w:szCs w:val="20"/>
                <w:color w:val="auto"/>
              </w:rPr>
            </w:pPr>
            <w:r>
              <w:rPr>
                <w:rFonts w:ascii="Arial" w:cs="Arial" w:eastAsia="Arial" w:hAnsi="Arial"/>
                <w:sz w:val="14"/>
                <w:szCs w:val="14"/>
                <w:color w:val="auto"/>
              </w:rPr>
              <w:t>2020</w:t>
            </w:r>
          </w:p>
        </w:tc>
      </w:tr>
      <w:tr>
        <w:trPr>
          <w:trHeight w:val="377"/>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Net cash provided (used) by operating activities</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9"/>
              <w:spacing w:after="0"/>
              <w:rPr>
                <w:sz w:val="20"/>
                <w:szCs w:val="20"/>
                <w:color w:val="auto"/>
              </w:rPr>
            </w:pPr>
            <w:r>
              <w:rPr>
                <w:rFonts w:ascii="Arial" w:cs="Arial" w:eastAsia="Arial" w:hAnsi="Arial"/>
                <w:sz w:val="14"/>
                <w:szCs w:val="14"/>
                <w:b w:val="1"/>
                <w:bCs w:val="1"/>
                <w:color w:val="auto"/>
              </w:rPr>
              <w:t>127</w:t>
            </w:r>
          </w:p>
        </w:tc>
        <w:tc>
          <w:tcPr>
            <w:tcW w:w="10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(135)</w:t>
            </w:r>
          </w:p>
        </w:tc>
        <w:tc>
          <w:tcPr>
            <w:tcW w:w="12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274</w:t>
            </w:r>
          </w:p>
        </w:tc>
        <w:tc>
          <w:tcPr>
            <w:tcW w:w="12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93</w:t>
            </w:r>
          </w:p>
        </w:tc>
      </w:tr>
      <w:tr>
        <w:trPr>
          <w:trHeight w:val="186"/>
        </w:trPr>
        <w:tc>
          <w:tcPr>
            <w:tcW w:w="5520" w:type="dxa"/>
            <w:vAlign w:val="bottom"/>
            <w:gridSpan w:val="2"/>
          </w:tcPr>
          <w:p>
            <w:pPr>
              <w:ind w:left="100"/>
              <w:spacing w:after="0"/>
              <w:rPr>
                <w:sz w:val="20"/>
                <w:szCs w:val="20"/>
                <w:color w:val="auto"/>
              </w:rPr>
            </w:pPr>
            <w:r>
              <w:rPr>
                <w:rFonts w:ascii="Arial" w:cs="Arial" w:eastAsia="Arial" w:hAnsi="Arial"/>
                <w:sz w:val="14"/>
                <w:szCs w:val="14"/>
                <w:color w:val="auto"/>
              </w:rPr>
              <w:t>Capital investments</w:t>
            </w: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(50)</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2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(77)</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w:t>
            </w:r>
          </w:p>
        </w:tc>
      </w:tr>
      <w:tr>
        <w:trPr>
          <w:trHeight w:val="179"/>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Free cash flow</w:t>
            </w:r>
          </w:p>
        </w:tc>
        <w:tc>
          <w:tcPr>
            <w:tcW w:w="160" w:type="dxa"/>
            <w:vAlign w:val="bottom"/>
          </w:tcPr>
          <w:p>
            <w:pPr>
              <w:spacing w:after="0"/>
              <w:rPr>
                <w:sz w:val="15"/>
                <w:szCs w:val="15"/>
                <w:color w:val="auto"/>
              </w:rPr>
            </w:pPr>
          </w:p>
        </w:tc>
        <w:tc>
          <w:tcPr>
            <w:tcW w:w="1080" w:type="dxa"/>
            <w:vAlign w:val="bottom"/>
          </w:tcPr>
          <w:p>
            <w:pPr>
              <w:jc w:val="right"/>
              <w:ind w:right="9"/>
              <w:spacing w:after="0"/>
              <w:rPr>
                <w:sz w:val="20"/>
                <w:szCs w:val="20"/>
                <w:color w:val="auto"/>
              </w:rPr>
            </w:pPr>
            <w:r>
              <w:rPr>
                <w:rFonts w:ascii="Arial" w:cs="Arial" w:eastAsia="Arial" w:hAnsi="Arial"/>
                <w:sz w:val="14"/>
                <w:szCs w:val="14"/>
                <w:b w:val="1"/>
                <w:bCs w:val="1"/>
                <w:color w:val="auto"/>
              </w:rPr>
              <w:t>77</w:t>
            </w: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(138)</w:t>
            </w:r>
          </w:p>
        </w:tc>
        <w:tc>
          <w:tcPr>
            <w:tcW w:w="12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197</w:t>
            </w: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60</w:t>
            </w:r>
          </w:p>
        </w:tc>
      </w:tr>
      <w:tr>
        <w:trPr>
          <w:trHeight w:val="186"/>
        </w:trPr>
        <w:tc>
          <w:tcPr>
            <w:tcW w:w="5520" w:type="dxa"/>
            <w:vAlign w:val="bottom"/>
            <w:gridSpan w:val="2"/>
          </w:tcPr>
          <w:p>
            <w:pPr>
              <w:ind w:left="140"/>
              <w:spacing w:after="0"/>
              <w:rPr>
                <w:sz w:val="20"/>
                <w:szCs w:val="20"/>
                <w:color w:val="auto"/>
              </w:rPr>
            </w:pPr>
            <w:r>
              <w:rPr>
                <w:rFonts w:ascii="Arial" w:cs="Arial" w:eastAsia="Arial" w:hAnsi="Arial"/>
                <w:sz w:val="14"/>
                <w:szCs w:val="14"/>
                <w:color w:val="auto"/>
              </w:rPr>
              <w:t>One-time bankruptcy related fees</w:t>
            </w: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2</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w:t>
            </w:r>
          </w:p>
        </w:tc>
        <w:tc>
          <w:tcPr>
            <w:tcW w:w="12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w:t>
            </w:r>
          </w:p>
        </w:tc>
      </w:tr>
      <w:tr>
        <w:trPr>
          <w:trHeight w:val="219"/>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Free cash flow, after special items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79</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w:t>
            </w:r>
          </w:p>
        </w:tc>
        <w:tc>
          <w:tcPr>
            <w:tcW w:w="12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193675</wp:posOffset>
            </wp:positionV>
            <wp:extent cx="71348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218440</wp:posOffset>
            </wp:positionV>
            <wp:extent cx="71348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33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ADJUSTED EBITDAX</w:t>
      </w:r>
    </w:p>
    <w:p>
      <w:pPr>
        <w:spacing w:after="0" w:line="135" w:lineRule="exact"/>
        <w:rPr>
          <w:sz w:val="20"/>
          <w:szCs w:val="20"/>
          <w:color w:val="auto"/>
        </w:rPr>
      </w:pPr>
    </w:p>
    <w:p>
      <w:pPr>
        <w:ind w:left="20" w:right="140"/>
        <w:spacing w:after="0" w:line="205" w:lineRule="auto"/>
        <w:rPr>
          <w:sz w:val="20"/>
          <w:szCs w:val="20"/>
          <w:color w:val="auto"/>
        </w:rPr>
      </w:pPr>
      <w:r>
        <w:rPr>
          <w:rFonts w:ascii="Arial" w:cs="Arial" w:eastAsia="Arial" w:hAnsi="Arial"/>
          <w:sz w:val="14"/>
          <w:szCs w:val="14"/>
          <w:color w:val="auto"/>
        </w:rPr>
        <w:t>We define Adjusted EBITDAX as earnings before interest expense; income taxes; depreciation, depletion and amortization; exploration expense; other unusual, infrequent and out-of-period items; and other non-cash items. We believe this measure provides useful information in assessing our financial condition, results of operations and cash flows and is widely used by the industry, the investment community and our lenders. Although this is a non-GAAP measure, the amounts included in the calculation were computed in accordance with GAAP. Certain items excluded from this non-GAAP measure are significant components in understanding and assessing our financial performance, such as our cost of capital and tax structure, as well as depreciation, depletion and amortization of our assets. This measure should be read in conjunction with the information contained in our financial statements prepared in accordance with GAAP. A version of Adjusted EBITDAX is a material component of certain of our financial covenants under our Revolving Credit Facility and is provided in addition to, and not as an alternative for, income and liquidity measures calculated in accordance with GAAP.</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5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center"/>
              <w:ind w:right="69"/>
              <w:spacing w:after="0"/>
              <w:rPr>
                <w:sz w:val="20"/>
                <w:szCs w:val="20"/>
                <w:color w:val="auto"/>
              </w:rPr>
            </w:pPr>
            <w:r>
              <w:rPr>
                <w:rFonts w:ascii="Arial" w:cs="Arial" w:eastAsia="Arial" w:hAnsi="Arial"/>
                <w:sz w:val="14"/>
                <w:szCs w:val="14"/>
                <w:b w:val="1"/>
                <w:bCs w:val="1"/>
                <w:color w:val="auto"/>
                <w:w w:val="98"/>
              </w:rPr>
              <w:t>Successor</w:t>
            </w:r>
          </w:p>
        </w:tc>
        <w:tc>
          <w:tcPr>
            <w:tcW w:w="180" w:type="dxa"/>
            <w:vAlign w:val="bottom"/>
            <w:tcBorders>
              <w:top w:val="single" w:sz="8" w:color="auto"/>
              <w:right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center"/>
              <w:ind w:right="69"/>
              <w:spacing w:after="0"/>
              <w:rPr>
                <w:sz w:val="20"/>
                <w:szCs w:val="20"/>
                <w:color w:val="auto"/>
              </w:rPr>
            </w:pPr>
            <w:r>
              <w:rPr>
                <w:rFonts w:ascii="Arial" w:cs="Arial" w:eastAsia="Arial" w:hAnsi="Arial"/>
                <w:sz w:val="14"/>
                <w:szCs w:val="14"/>
                <w:color w:val="auto"/>
              </w:rPr>
              <w:t>Predecessor</w:t>
            </w:r>
          </w:p>
        </w:tc>
        <w:tc>
          <w:tcPr>
            <w:tcW w:w="12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center"/>
              <w:ind w:right="109"/>
              <w:spacing w:after="0"/>
              <w:rPr>
                <w:sz w:val="20"/>
                <w:szCs w:val="20"/>
                <w:color w:val="auto"/>
              </w:rPr>
            </w:pPr>
            <w:r>
              <w:rPr>
                <w:rFonts w:ascii="Arial" w:cs="Arial" w:eastAsia="Arial" w:hAnsi="Arial"/>
                <w:sz w:val="14"/>
                <w:szCs w:val="14"/>
                <w:b w:val="1"/>
                <w:bCs w:val="1"/>
                <w:color w:val="auto"/>
              </w:rPr>
              <w:t>Successor</w:t>
            </w: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center"/>
              <w:ind w:right="89"/>
              <w:spacing w:after="0"/>
              <w:rPr>
                <w:sz w:val="20"/>
                <w:szCs w:val="20"/>
                <w:color w:val="auto"/>
              </w:rPr>
            </w:pPr>
            <w:r>
              <w:rPr>
                <w:rFonts w:ascii="Arial" w:cs="Arial" w:eastAsia="Arial" w:hAnsi="Arial"/>
                <w:sz w:val="14"/>
                <w:szCs w:val="14"/>
                <w:color w:val="auto"/>
              </w:rPr>
              <w:t>Predecessor</w:t>
            </w:r>
          </w:p>
        </w:tc>
        <w:tc>
          <w:tcPr>
            <w:tcW w:w="0" w:type="dxa"/>
            <w:vAlign w:val="bottom"/>
          </w:tcPr>
          <w:p>
            <w:pPr>
              <w:spacing w:after="0"/>
              <w:rPr>
                <w:sz w:val="1"/>
                <w:szCs w:val="1"/>
                <w:color w:val="auto"/>
              </w:rPr>
            </w:pPr>
          </w:p>
        </w:tc>
      </w:tr>
      <w:tr>
        <w:trPr>
          <w:trHeight w:val="179"/>
        </w:trPr>
        <w:tc>
          <w:tcPr>
            <w:tcW w:w="5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center"/>
              <w:ind w:right="69"/>
              <w:spacing w:after="0"/>
              <w:rPr>
                <w:sz w:val="20"/>
                <w:szCs w:val="20"/>
                <w:color w:val="auto"/>
              </w:rPr>
            </w:pPr>
            <w:r>
              <w:rPr>
                <w:rFonts w:ascii="Arial" w:cs="Arial" w:eastAsia="Arial" w:hAnsi="Arial"/>
                <w:sz w:val="14"/>
                <w:szCs w:val="14"/>
                <w:b w:val="1"/>
                <w:bCs w:val="1"/>
                <w:color w:val="auto"/>
              </w:rPr>
              <w:t>2nd Qtr.</w:t>
            </w:r>
          </w:p>
        </w:tc>
        <w:tc>
          <w:tcPr>
            <w:tcW w:w="18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4"/>
                <w:szCs w:val="14"/>
                <w:color w:val="auto"/>
                <w:w w:val="98"/>
              </w:rPr>
              <w:t>2nd Qtr.</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center"/>
              <w:ind w:right="109"/>
              <w:spacing w:after="0"/>
              <w:rPr>
                <w:sz w:val="20"/>
                <w:szCs w:val="20"/>
                <w:color w:val="auto"/>
              </w:rPr>
            </w:pPr>
            <w:r>
              <w:rPr>
                <w:rFonts w:ascii="Arial" w:cs="Arial" w:eastAsia="Arial" w:hAnsi="Arial"/>
                <w:sz w:val="14"/>
                <w:szCs w:val="14"/>
                <w:b w:val="1"/>
                <w:bCs w:val="1"/>
                <w:color w:val="auto"/>
              </w:rPr>
              <w:t>Six Months</w:t>
            </w: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center"/>
              <w:ind w:right="89"/>
              <w:spacing w:after="0"/>
              <w:rPr>
                <w:sz w:val="20"/>
                <w:szCs w:val="20"/>
                <w:color w:val="auto"/>
              </w:rPr>
            </w:pPr>
            <w:r>
              <w:rPr>
                <w:rFonts w:ascii="Arial" w:cs="Arial" w:eastAsia="Arial" w:hAnsi="Arial"/>
                <w:sz w:val="14"/>
                <w:szCs w:val="14"/>
                <w:color w:val="auto"/>
                <w:w w:val="98"/>
              </w:rPr>
              <w:t>Six Months</w:t>
            </w:r>
          </w:p>
        </w:tc>
        <w:tc>
          <w:tcPr>
            <w:tcW w:w="0" w:type="dxa"/>
            <w:vAlign w:val="bottom"/>
          </w:tcPr>
          <w:p>
            <w:pPr>
              <w:spacing w:after="0"/>
              <w:rPr>
                <w:sz w:val="1"/>
                <w:szCs w:val="1"/>
                <w:color w:val="auto"/>
              </w:rPr>
            </w:pPr>
          </w:p>
        </w:tc>
      </w:tr>
      <w:tr>
        <w:trPr>
          <w:trHeight w:val="186"/>
        </w:trPr>
        <w:tc>
          <w:tcPr>
            <w:tcW w:w="54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millions, except per BOE amounts)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69"/>
              <w:spacing w:after="0"/>
              <w:rPr>
                <w:sz w:val="20"/>
                <w:szCs w:val="20"/>
                <w:color w:val="auto"/>
              </w:rPr>
            </w:pPr>
            <w:r>
              <w:rPr>
                <w:rFonts w:ascii="Arial" w:cs="Arial" w:eastAsia="Arial" w:hAnsi="Arial"/>
                <w:sz w:val="14"/>
                <w:szCs w:val="14"/>
                <w:b w:val="1"/>
                <w:bCs w:val="1"/>
                <w:color w:val="auto"/>
                <w:w w:val="96"/>
              </w:rPr>
              <w:t>2021</w:t>
            </w:r>
          </w:p>
        </w:tc>
        <w:tc>
          <w:tcPr>
            <w:tcW w:w="18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69"/>
              <w:spacing w:after="0"/>
              <w:rPr>
                <w:sz w:val="20"/>
                <w:szCs w:val="20"/>
                <w:color w:val="auto"/>
              </w:rPr>
            </w:pPr>
            <w:r>
              <w:rPr>
                <w:rFonts w:ascii="Arial" w:cs="Arial" w:eastAsia="Arial" w:hAnsi="Arial"/>
                <w:sz w:val="14"/>
                <w:szCs w:val="14"/>
                <w:color w:val="auto"/>
              </w:rPr>
              <w:t>2020</w:t>
            </w:r>
          </w:p>
        </w:tc>
        <w:tc>
          <w:tcPr>
            <w:tcW w:w="12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0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89"/>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179"/>
        </w:trPr>
        <w:tc>
          <w:tcPr>
            <w:tcW w:w="5560" w:type="dxa"/>
            <w:vAlign w:val="bottom"/>
            <w:gridSpan w:val="2"/>
          </w:tcPr>
          <w:p>
            <w:pPr>
              <w:ind w:left="20"/>
              <w:spacing w:after="0"/>
              <w:rPr>
                <w:sz w:val="20"/>
                <w:szCs w:val="20"/>
                <w:color w:val="auto"/>
              </w:rPr>
            </w:pPr>
            <w:r>
              <w:rPr>
                <w:rFonts w:ascii="Arial" w:cs="Arial" w:eastAsia="Arial" w:hAnsi="Arial"/>
                <w:sz w:val="14"/>
                <w:szCs w:val="14"/>
                <w:color w:val="auto"/>
              </w:rPr>
              <w:t>Net loss</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(107)</w:t>
            </w:r>
          </w:p>
        </w:tc>
        <w:tc>
          <w:tcPr>
            <w:tcW w:w="18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(247)</w:t>
            </w:r>
          </w:p>
        </w:tc>
        <w:tc>
          <w:tcPr>
            <w:tcW w:w="120" w:type="dxa"/>
            <w:vAlign w:val="bottom"/>
            <w:tcBorders>
              <w:right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(196)</w:t>
            </w: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(1,992)</w:t>
            </w:r>
          </w:p>
        </w:tc>
        <w:tc>
          <w:tcPr>
            <w:tcW w:w="0" w:type="dxa"/>
            <w:vAlign w:val="bottom"/>
          </w:tcPr>
          <w:p>
            <w:pPr>
              <w:spacing w:after="0"/>
              <w:rPr>
                <w:sz w:val="1"/>
                <w:szCs w:val="1"/>
                <w:color w:val="auto"/>
              </w:rPr>
            </w:pPr>
          </w:p>
        </w:tc>
      </w:tr>
      <w:tr>
        <w:trPr>
          <w:trHeight w:val="186"/>
        </w:trPr>
        <w:tc>
          <w:tcPr>
            <w:tcW w:w="5560" w:type="dxa"/>
            <w:vAlign w:val="bottom"/>
            <w:gridSpan w:val="2"/>
          </w:tcPr>
          <w:p>
            <w:pPr>
              <w:ind w:left="140"/>
              <w:spacing w:after="0"/>
              <w:rPr>
                <w:sz w:val="20"/>
                <w:szCs w:val="20"/>
                <w:color w:val="auto"/>
              </w:rPr>
            </w:pPr>
            <w:r>
              <w:rPr>
                <w:rFonts w:ascii="Arial" w:cs="Arial" w:eastAsia="Arial" w:hAnsi="Arial"/>
                <w:sz w:val="14"/>
                <w:szCs w:val="14"/>
                <w:color w:val="auto"/>
              </w:rPr>
              <w:t>Interest and debt expense, net</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13</w:t>
            </w:r>
          </w:p>
        </w:tc>
        <w:tc>
          <w:tcPr>
            <w:tcW w:w="18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ind w:right="9"/>
              <w:spacing w:after="0"/>
              <w:rPr>
                <w:sz w:val="20"/>
                <w:szCs w:val="20"/>
                <w:color w:val="auto"/>
              </w:rPr>
            </w:pPr>
            <w:r>
              <w:rPr>
                <w:rFonts w:ascii="Arial" w:cs="Arial" w:eastAsia="Arial" w:hAnsi="Arial"/>
                <w:sz w:val="14"/>
                <w:szCs w:val="14"/>
                <w:color w:val="auto"/>
              </w:rPr>
              <w:t>85</w:t>
            </w:r>
          </w:p>
        </w:tc>
        <w:tc>
          <w:tcPr>
            <w:tcW w:w="12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26</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172</w:t>
            </w:r>
          </w:p>
        </w:tc>
        <w:tc>
          <w:tcPr>
            <w:tcW w:w="0" w:type="dxa"/>
            <w:vAlign w:val="bottom"/>
          </w:tcPr>
          <w:p>
            <w:pPr>
              <w:spacing w:after="0"/>
              <w:rPr>
                <w:sz w:val="1"/>
                <w:szCs w:val="1"/>
                <w:color w:val="auto"/>
              </w:rPr>
            </w:pPr>
          </w:p>
        </w:tc>
      </w:tr>
      <w:tr>
        <w:trPr>
          <w:trHeight w:val="185"/>
        </w:trPr>
        <w:tc>
          <w:tcPr>
            <w:tcW w:w="5560" w:type="dxa"/>
            <w:vAlign w:val="bottom"/>
            <w:gridSpan w:val="2"/>
          </w:tcPr>
          <w:p>
            <w:pPr>
              <w:ind w:left="140"/>
              <w:spacing w:after="0"/>
              <w:rPr>
                <w:sz w:val="20"/>
                <w:szCs w:val="20"/>
                <w:color w:val="auto"/>
              </w:rPr>
            </w:pPr>
            <w:r>
              <w:rPr>
                <w:rFonts w:ascii="Arial" w:cs="Arial" w:eastAsia="Arial" w:hAnsi="Arial"/>
                <w:sz w:val="14"/>
                <w:szCs w:val="14"/>
                <w:color w:val="auto"/>
              </w:rPr>
              <w:t>Depreciation, depletion and amortization</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54</w:t>
            </w:r>
          </w:p>
        </w:tc>
        <w:tc>
          <w:tcPr>
            <w:tcW w:w="18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ind w:right="9"/>
              <w:spacing w:after="0"/>
              <w:rPr>
                <w:sz w:val="20"/>
                <w:szCs w:val="20"/>
                <w:color w:val="auto"/>
              </w:rPr>
            </w:pPr>
            <w:r>
              <w:rPr>
                <w:rFonts w:ascii="Arial" w:cs="Arial" w:eastAsia="Arial" w:hAnsi="Arial"/>
                <w:sz w:val="14"/>
                <w:szCs w:val="14"/>
                <w:color w:val="auto"/>
              </w:rPr>
              <w:t>88</w:t>
            </w:r>
          </w:p>
        </w:tc>
        <w:tc>
          <w:tcPr>
            <w:tcW w:w="12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106</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207</w:t>
            </w:r>
          </w:p>
        </w:tc>
        <w:tc>
          <w:tcPr>
            <w:tcW w:w="0" w:type="dxa"/>
            <w:vAlign w:val="bottom"/>
          </w:tcPr>
          <w:p>
            <w:pPr>
              <w:spacing w:after="0"/>
              <w:rPr>
                <w:sz w:val="1"/>
                <w:szCs w:val="1"/>
                <w:color w:val="auto"/>
              </w:rPr>
            </w:pPr>
          </w:p>
        </w:tc>
      </w:tr>
      <w:tr>
        <w:trPr>
          <w:trHeight w:val="161"/>
        </w:trPr>
        <w:tc>
          <w:tcPr>
            <w:tcW w:w="5560" w:type="dxa"/>
            <w:vAlign w:val="bottom"/>
            <w:gridSpan w:val="2"/>
          </w:tcPr>
          <w:p>
            <w:pPr>
              <w:ind w:left="140"/>
              <w:spacing w:after="0"/>
              <w:rPr>
                <w:sz w:val="20"/>
                <w:szCs w:val="20"/>
                <w:color w:val="auto"/>
              </w:rPr>
            </w:pPr>
            <w:r>
              <w:rPr>
                <w:rFonts w:ascii="Arial" w:cs="Arial" w:eastAsia="Arial" w:hAnsi="Arial"/>
                <w:sz w:val="14"/>
                <w:szCs w:val="14"/>
                <w:color w:val="auto"/>
              </w:rPr>
              <w:t>Exploration expense</w:t>
            </w: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18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Borders>
              <w:right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4</w:t>
            </w: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28"/>
        </w:trPr>
        <w:tc>
          <w:tcPr>
            <w:tcW w:w="5560" w:type="dxa"/>
            <w:vAlign w:val="bottom"/>
            <w:gridSpan w:val="2"/>
          </w:tcPr>
          <w:p>
            <w:pPr>
              <w:ind w:left="140"/>
              <w:spacing w:after="0" w:line="228" w:lineRule="exact"/>
              <w:rPr>
                <w:sz w:val="20"/>
                <w:szCs w:val="20"/>
                <w:color w:val="auto"/>
              </w:rPr>
            </w:pPr>
            <w:r>
              <w:rPr>
                <w:rFonts w:ascii="Arial" w:cs="Arial" w:eastAsia="Arial" w:hAnsi="Arial"/>
                <w:sz w:val="14"/>
                <w:szCs w:val="14"/>
                <w:color w:val="auto"/>
              </w:rPr>
              <w:t xml:space="preserve">Unusual, infrequent and other items </w:t>
            </w:r>
            <w:r>
              <w:rPr>
                <w:rFonts w:ascii="Arial" w:cs="Arial" w:eastAsia="Arial" w:hAnsi="Arial"/>
                <w:sz w:val="22"/>
                <w:szCs w:val="22"/>
                <w:color w:val="auto"/>
                <w:vertAlign w:val="superscript"/>
              </w:rPr>
              <w:t>(a)</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189</w:t>
            </w:r>
          </w:p>
        </w:tc>
        <w:tc>
          <w:tcPr>
            <w:tcW w:w="18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ind w:right="9"/>
              <w:spacing w:after="0"/>
              <w:rPr>
                <w:sz w:val="20"/>
                <w:szCs w:val="20"/>
                <w:color w:val="auto"/>
              </w:rPr>
            </w:pPr>
            <w:r>
              <w:rPr>
                <w:rFonts w:ascii="Arial" w:cs="Arial" w:eastAsia="Arial" w:hAnsi="Arial"/>
                <w:sz w:val="14"/>
                <w:szCs w:val="14"/>
                <w:color w:val="auto"/>
              </w:rPr>
              <w:t>69</w:t>
            </w:r>
          </w:p>
        </w:tc>
        <w:tc>
          <w:tcPr>
            <w:tcW w:w="120" w:type="dxa"/>
            <w:vAlign w:val="bottom"/>
            <w:tcBorders>
              <w:righ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385</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1,857</w:t>
            </w:r>
          </w:p>
        </w:tc>
        <w:tc>
          <w:tcPr>
            <w:tcW w:w="0" w:type="dxa"/>
            <w:vAlign w:val="bottom"/>
          </w:tcPr>
          <w:p>
            <w:pPr>
              <w:spacing w:after="0"/>
              <w:rPr>
                <w:sz w:val="1"/>
                <w:szCs w:val="1"/>
                <w:color w:val="auto"/>
              </w:rPr>
            </w:pPr>
          </w:p>
        </w:tc>
      </w:tr>
      <w:tr>
        <w:trPr>
          <w:trHeight w:val="170"/>
        </w:trPr>
        <w:tc>
          <w:tcPr>
            <w:tcW w:w="5560" w:type="dxa"/>
            <w:vAlign w:val="bottom"/>
            <w:gridSpan w:val="2"/>
          </w:tcPr>
          <w:p>
            <w:pPr>
              <w:ind w:left="140"/>
              <w:spacing w:after="0"/>
              <w:rPr>
                <w:sz w:val="20"/>
                <w:szCs w:val="20"/>
                <w:color w:val="auto"/>
              </w:rPr>
            </w:pPr>
            <w:r>
              <w:rPr>
                <w:rFonts w:ascii="Arial" w:cs="Arial" w:eastAsia="Arial" w:hAnsi="Arial"/>
                <w:sz w:val="14"/>
                <w:szCs w:val="14"/>
                <w:color w:val="auto"/>
              </w:rPr>
              <w:t>Non-cash items</w:t>
            </w:r>
          </w:p>
        </w:tc>
        <w:tc>
          <w:tcPr>
            <w:tcW w:w="14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13</w:t>
            </w:r>
          </w:p>
        </w:tc>
        <w:tc>
          <w:tcPr>
            <w:tcW w:w="18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26</w:t>
            </w: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5560" w:type="dxa"/>
            <w:vAlign w:val="bottom"/>
            <w:gridSpan w:val="2"/>
          </w:tcPr>
          <w:p>
            <w:pPr>
              <w:ind w:left="260"/>
              <w:spacing w:after="0"/>
              <w:rPr>
                <w:sz w:val="20"/>
                <w:szCs w:val="20"/>
                <w:color w:val="auto"/>
              </w:rPr>
            </w:pPr>
            <w:r>
              <w:rPr>
                <w:rFonts w:ascii="Arial" w:cs="Arial" w:eastAsia="Arial" w:hAnsi="Arial"/>
                <w:sz w:val="14"/>
                <w:szCs w:val="14"/>
                <w:color w:val="auto"/>
              </w:rPr>
              <w:t>Accretion expense</w:t>
            </w:r>
          </w:p>
        </w:tc>
        <w:tc>
          <w:tcPr>
            <w:tcW w:w="14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ind w:right="9"/>
              <w:spacing w:after="0"/>
              <w:rPr>
                <w:sz w:val="20"/>
                <w:szCs w:val="20"/>
                <w:color w:val="auto"/>
              </w:rPr>
            </w:pPr>
            <w:r>
              <w:rPr>
                <w:rFonts w:ascii="Arial" w:cs="Arial" w:eastAsia="Arial" w:hAnsi="Arial"/>
                <w:sz w:val="14"/>
                <w:szCs w:val="14"/>
                <w:color w:val="auto"/>
              </w:rPr>
              <w:t>10</w:t>
            </w:r>
          </w:p>
        </w:tc>
        <w:tc>
          <w:tcPr>
            <w:tcW w:w="120" w:type="dxa"/>
            <w:vAlign w:val="bottom"/>
            <w:tcBorders>
              <w:right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85"/>
        </w:trPr>
        <w:tc>
          <w:tcPr>
            <w:tcW w:w="5560" w:type="dxa"/>
            <w:vAlign w:val="bottom"/>
            <w:gridSpan w:val="2"/>
          </w:tcPr>
          <w:p>
            <w:pPr>
              <w:ind w:left="260"/>
              <w:spacing w:after="0"/>
              <w:rPr>
                <w:sz w:val="20"/>
                <w:szCs w:val="20"/>
                <w:color w:val="auto"/>
              </w:rPr>
            </w:pPr>
            <w:r>
              <w:rPr>
                <w:rFonts w:ascii="Arial" w:cs="Arial" w:eastAsia="Arial" w:hAnsi="Arial"/>
                <w:sz w:val="14"/>
                <w:szCs w:val="14"/>
                <w:color w:val="auto"/>
              </w:rPr>
              <w:t>Stock-settled compensation</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4</w:t>
            </w:r>
          </w:p>
        </w:tc>
        <w:tc>
          <w:tcPr>
            <w:tcW w:w="18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5</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86"/>
        </w:trPr>
        <w:tc>
          <w:tcPr>
            <w:tcW w:w="5560" w:type="dxa"/>
            <w:vAlign w:val="bottom"/>
            <w:gridSpan w:val="2"/>
          </w:tcPr>
          <w:p>
            <w:pPr>
              <w:ind w:left="260"/>
              <w:spacing w:after="0"/>
              <w:rPr>
                <w:sz w:val="20"/>
                <w:szCs w:val="20"/>
                <w:color w:val="auto"/>
              </w:rPr>
            </w:pPr>
            <w:r>
              <w:rPr>
                <w:rFonts w:ascii="Arial" w:cs="Arial" w:eastAsia="Arial" w:hAnsi="Arial"/>
                <w:sz w:val="14"/>
                <w:szCs w:val="14"/>
                <w:color w:val="auto"/>
              </w:rPr>
              <w:t>Post-retirement medical and pension</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18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6"/>
        </w:trPr>
        <w:tc>
          <w:tcPr>
            <w:tcW w:w="5560" w:type="dxa"/>
            <w:vAlign w:val="bottom"/>
            <w:gridSpan w:val="2"/>
          </w:tcPr>
          <w:p>
            <w:pPr>
              <w:ind w:left="260"/>
              <w:spacing w:after="0"/>
              <w:rPr>
                <w:sz w:val="20"/>
                <w:szCs w:val="20"/>
                <w:color w:val="auto"/>
              </w:rPr>
            </w:pPr>
            <w:r>
              <w:rPr>
                <w:rFonts w:ascii="Arial" w:cs="Arial" w:eastAsia="Arial" w:hAnsi="Arial"/>
                <w:sz w:val="14"/>
                <w:szCs w:val="14"/>
                <w:color w:val="auto"/>
              </w:rPr>
              <w:t>Other non-cash items</w:t>
            </w:r>
          </w:p>
        </w:tc>
        <w:tc>
          <w:tcPr>
            <w:tcW w:w="140" w:type="dxa"/>
            <w:vAlign w:val="bottom"/>
          </w:tcPr>
          <w:p>
            <w:pPr>
              <w:spacing w:after="0"/>
              <w:rPr>
                <w:sz w:val="16"/>
                <w:szCs w:val="16"/>
                <w:color w:val="auto"/>
              </w:rPr>
            </w:pPr>
          </w:p>
        </w:tc>
        <w:tc>
          <w:tcPr>
            <w:tcW w:w="11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w:t>
            </w:r>
          </w:p>
        </w:tc>
        <w:tc>
          <w:tcPr>
            <w:tcW w:w="12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79"/>
        </w:trPr>
        <w:tc>
          <w:tcPr>
            <w:tcW w:w="5560" w:type="dxa"/>
            <w:vAlign w:val="bottom"/>
            <w:gridSpan w:val="2"/>
          </w:tcPr>
          <w:p>
            <w:pPr>
              <w:ind w:left="20"/>
              <w:spacing w:after="0"/>
              <w:rPr>
                <w:sz w:val="20"/>
                <w:szCs w:val="20"/>
                <w:color w:val="auto"/>
              </w:rPr>
            </w:pPr>
            <w:r>
              <w:rPr>
                <w:rFonts w:ascii="Arial" w:cs="Arial" w:eastAsia="Arial" w:hAnsi="Arial"/>
                <w:sz w:val="14"/>
                <w:szCs w:val="14"/>
                <w:b w:val="1"/>
                <w:bCs w:val="1"/>
                <w:color w:val="auto"/>
              </w:rPr>
              <w:t>Adjusted EBITDAX</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169</w:t>
            </w:r>
          </w:p>
        </w:tc>
        <w:tc>
          <w:tcPr>
            <w:tcW w:w="18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19</w:t>
            </w:r>
          </w:p>
        </w:tc>
        <w:tc>
          <w:tcPr>
            <w:tcW w:w="120" w:type="dxa"/>
            <w:vAlign w:val="bottom"/>
            <w:tcBorders>
              <w:right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358</w:t>
            </w: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270</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4"/>
        </w:trPr>
        <w:tc>
          <w:tcPr>
            <w:tcW w:w="5560" w:type="dxa"/>
            <w:vAlign w:val="bottom"/>
            <w:gridSpan w:val="2"/>
          </w:tcPr>
          <w:p>
            <w:pPr>
              <w:ind w:left="20"/>
              <w:spacing w:after="0"/>
              <w:rPr>
                <w:sz w:val="20"/>
                <w:szCs w:val="20"/>
                <w:color w:val="auto"/>
              </w:rPr>
            </w:pPr>
            <w:r>
              <w:rPr>
                <w:rFonts w:ascii="Arial" w:cs="Arial" w:eastAsia="Arial" w:hAnsi="Arial"/>
                <w:sz w:val="14"/>
                <w:szCs w:val="14"/>
                <w:color w:val="auto"/>
              </w:rPr>
              <w:t>Net cash provided (used) by operating activities</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127</w:t>
            </w:r>
          </w:p>
        </w:tc>
        <w:tc>
          <w:tcPr>
            <w:tcW w:w="18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(135)</w:t>
            </w:r>
          </w:p>
        </w:tc>
        <w:tc>
          <w:tcPr>
            <w:tcW w:w="120" w:type="dxa"/>
            <w:vAlign w:val="bottom"/>
            <w:tcBorders>
              <w:righ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274</w:t>
            </w:r>
          </w:p>
        </w:tc>
        <w:tc>
          <w:tcPr>
            <w:tcW w:w="12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185"/>
        </w:trPr>
        <w:tc>
          <w:tcPr>
            <w:tcW w:w="5560" w:type="dxa"/>
            <w:vAlign w:val="bottom"/>
            <w:gridSpan w:val="2"/>
          </w:tcPr>
          <w:p>
            <w:pPr>
              <w:ind w:left="140"/>
              <w:spacing w:after="0"/>
              <w:rPr>
                <w:sz w:val="20"/>
                <w:szCs w:val="20"/>
                <w:color w:val="auto"/>
              </w:rPr>
            </w:pPr>
            <w:r>
              <w:rPr>
                <w:rFonts w:ascii="Arial" w:cs="Arial" w:eastAsia="Arial" w:hAnsi="Arial"/>
                <w:sz w:val="14"/>
                <w:szCs w:val="14"/>
                <w:color w:val="auto"/>
              </w:rPr>
              <w:t>Cash interest</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18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ind w:right="9"/>
              <w:spacing w:after="0"/>
              <w:rPr>
                <w:sz w:val="20"/>
                <w:szCs w:val="20"/>
                <w:color w:val="auto"/>
              </w:rPr>
            </w:pPr>
            <w:r>
              <w:rPr>
                <w:rFonts w:ascii="Arial" w:cs="Arial" w:eastAsia="Arial" w:hAnsi="Arial"/>
                <w:sz w:val="14"/>
                <w:szCs w:val="14"/>
                <w:color w:val="auto"/>
              </w:rPr>
              <w:t>10</w:t>
            </w:r>
          </w:p>
        </w:tc>
        <w:tc>
          <w:tcPr>
            <w:tcW w:w="12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5</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86"/>
        </w:trPr>
        <w:tc>
          <w:tcPr>
            <w:tcW w:w="5560" w:type="dxa"/>
            <w:vAlign w:val="bottom"/>
            <w:gridSpan w:val="2"/>
          </w:tcPr>
          <w:p>
            <w:pPr>
              <w:ind w:left="140"/>
              <w:spacing w:after="0"/>
              <w:rPr>
                <w:sz w:val="20"/>
                <w:szCs w:val="20"/>
                <w:color w:val="auto"/>
              </w:rPr>
            </w:pPr>
            <w:r>
              <w:rPr>
                <w:rFonts w:ascii="Arial" w:cs="Arial" w:eastAsia="Arial" w:hAnsi="Arial"/>
                <w:sz w:val="14"/>
                <w:szCs w:val="14"/>
                <w:color w:val="auto"/>
              </w:rPr>
              <w:t>Exploration expenditures</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18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4</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86"/>
        </w:trPr>
        <w:tc>
          <w:tcPr>
            <w:tcW w:w="5560" w:type="dxa"/>
            <w:vAlign w:val="bottom"/>
            <w:gridSpan w:val="2"/>
          </w:tcPr>
          <w:p>
            <w:pPr>
              <w:ind w:left="140"/>
              <w:spacing w:after="0"/>
              <w:rPr>
                <w:sz w:val="20"/>
                <w:szCs w:val="20"/>
                <w:color w:val="auto"/>
              </w:rPr>
            </w:pPr>
            <w:r>
              <w:rPr>
                <w:rFonts w:ascii="Arial" w:cs="Arial" w:eastAsia="Arial" w:hAnsi="Arial"/>
                <w:sz w:val="14"/>
                <w:szCs w:val="14"/>
                <w:color w:val="auto"/>
              </w:rPr>
              <w:t>Working capital changes</w:t>
            </w: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38</w:t>
            </w:r>
          </w:p>
        </w:tc>
        <w:tc>
          <w:tcPr>
            <w:tcW w:w="18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142</w:t>
            </w:r>
          </w:p>
        </w:tc>
        <w:tc>
          <w:tcPr>
            <w:tcW w:w="12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75</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w:t>
            </w:r>
          </w:p>
        </w:tc>
        <w:tc>
          <w:tcPr>
            <w:tcW w:w="0" w:type="dxa"/>
            <w:vAlign w:val="bottom"/>
          </w:tcPr>
          <w:p>
            <w:pPr>
              <w:spacing w:after="0"/>
              <w:rPr>
                <w:sz w:val="1"/>
                <w:szCs w:val="1"/>
                <w:color w:val="auto"/>
              </w:rPr>
            </w:pPr>
          </w:p>
        </w:tc>
      </w:tr>
      <w:tr>
        <w:trPr>
          <w:trHeight w:val="179"/>
        </w:trPr>
        <w:tc>
          <w:tcPr>
            <w:tcW w:w="5560" w:type="dxa"/>
            <w:vAlign w:val="bottom"/>
            <w:gridSpan w:val="2"/>
          </w:tcPr>
          <w:p>
            <w:pPr>
              <w:ind w:left="20"/>
              <w:spacing w:after="0"/>
              <w:rPr>
                <w:sz w:val="20"/>
                <w:szCs w:val="20"/>
                <w:color w:val="auto"/>
              </w:rPr>
            </w:pPr>
            <w:r>
              <w:rPr>
                <w:rFonts w:ascii="Arial" w:cs="Arial" w:eastAsia="Arial" w:hAnsi="Arial"/>
                <w:sz w:val="14"/>
                <w:szCs w:val="14"/>
                <w:b w:val="1"/>
                <w:bCs w:val="1"/>
                <w:color w:val="auto"/>
              </w:rPr>
              <w:t>Adjusted EBITDAX</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169</w:t>
            </w:r>
          </w:p>
        </w:tc>
        <w:tc>
          <w:tcPr>
            <w:tcW w:w="18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19</w:t>
            </w:r>
          </w:p>
        </w:tc>
        <w:tc>
          <w:tcPr>
            <w:tcW w:w="120" w:type="dxa"/>
            <w:vAlign w:val="bottom"/>
            <w:tcBorders>
              <w:right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358</w:t>
            </w: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270</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5560" w:type="dxa"/>
            <w:vAlign w:val="bottom"/>
            <w:gridSpan w:val="2"/>
          </w:tcPr>
          <w:p>
            <w:pPr>
              <w:ind w:left="20"/>
              <w:spacing w:after="0"/>
              <w:rPr>
                <w:sz w:val="20"/>
                <w:szCs w:val="20"/>
                <w:color w:val="auto"/>
              </w:rPr>
            </w:pPr>
            <w:r>
              <w:rPr>
                <w:rFonts w:ascii="Arial" w:cs="Arial" w:eastAsia="Arial" w:hAnsi="Arial"/>
                <w:sz w:val="14"/>
                <w:szCs w:val="14"/>
                <w:b w:val="1"/>
                <w:bCs w:val="1"/>
                <w:color w:val="auto"/>
              </w:rPr>
              <w:t>Adjusted EBITDAX per Boe</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18.48</w:t>
            </w:r>
          </w:p>
        </w:tc>
        <w:tc>
          <w:tcPr>
            <w:tcW w:w="18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1.86</w:t>
            </w:r>
          </w:p>
        </w:tc>
        <w:tc>
          <w:tcPr>
            <w:tcW w:w="120" w:type="dxa"/>
            <w:vAlign w:val="bottom"/>
            <w:tcBorders>
              <w:right w:val="single" w:sz="8" w:color="auto"/>
            </w:tcBorders>
          </w:tcPr>
          <w:p>
            <w:pPr>
              <w:spacing w:after="0"/>
              <w:rPr>
                <w:sz w:val="22"/>
                <w:szCs w:val="22"/>
                <w:color w:val="auto"/>
              </w:rPr>
            </w:pPr>
          </w:p>
        </w:tc>
        <w:tc>
          <w:tcPr>
            <w:tcW w:w="280" w:type="dxa"/>
            <w:vAlign w:val="bottom"/>
          </w:tcPr>
          <w:p>
            <w:pPr>
              <w:spacing w:after="0"/>
              <w:rPr>
                <w:sz w:val="22"/>
                <w:szCs w:val="22"/>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19.78</w:t>
            </w:r>
          </w:p>
        </w:tc>
        <w:tc>
          <w:tcPr>
            <w:tcW w:w="12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12.69</w:t>
            </w:r>
          </w:p>
        </w:tc>
        <w:tc>
          <w:tcPr>
            <w:tcW w:w="0" w:type="dxa"/>
            <w:vAlign w:val="bottom"/>
          </w:tcPr>
          <w:p>
            <w:pPr>
              <w:spacing w:after="0"/>
              <w:rPr>
                <w:sz w:val="1"/>
                <w:szCs w:val="1"/>
                <w:color w:val="auto"/>
              </w:rPr>
            </w:pPr>
          </w:p>
        </w:tc>
      </w:tr>
      <w:tr>
        <w:trPr>
          <w:trHeight w:val="400"/>
        </w:trPr>
        <w:tc>
          <w:tcPr>
            <w:tcW w:w="5560" w:type="dxa"/>
            <w:vAlign w:val="bottom"/>
            <w:gridSpan w:val="2"/>
          </w:tcPr>
          <w:p>
            <w:pPr>
              <w:ind w:left="20"/>
              <w:spacing w:after="0"/>
              <w:rPr>
                <w:sz w:val="20"/>
                <w:szCs w:val="20"/>
                <w:color w:val="auto"/>
              </w:rPr>
            </w:pPr>
            <w:r>
              <w:rPr>
                <w:rFonts w:ascii="Arial" w:cs="Arial" w:eastAsia="Arial" w:hAnsi="Arial"/>
                <w:sz w:val="14"/>
                <w:szCs w:val="14"/>
                <w:color w:val="auto"/>
              </w:rPr>
              <w:t>(a) See Adjusted Net Income (Loss) reconciliation.</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16</w:t>
      </w:r>
    </w:p>
    <w:p>
      <w:pPr>
        <w:sectPr>
          <w:pgSz w:w="11900" w:h="16838" w:orient="portrait"/>
          <w:cols w:equalWidth="0" w:num="1">
            <w:col w:w="11180"/>
          </w:cols>
          <w:pgMar w:left="320" w:top="1093" w:right="399" w:bottom="1440" w:gutter="0" w:footer="0" w:header="0"/>
        </w:sectPr>
      </w:pPr>
    </w:p>
    <w:bookmarkStart w:id="20" w:name="page21"/>
    <w:bookmarkEnd w:id="20"/>
    <w:p>
      <w:pPr>
        <w:ind w:left="2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207010</wp:posOffset>
            </wp:positionH>
            <wp:positionV relativeFrom="page">
              <wp:posOffset>661035</wp:posOffset>
            </wp:positionV>
            <wp:extent cx="71348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page">
              <wp:posOffset>207010</wp:posOffset>
            </wp:positionH>
            <wp:positionV relativeFrom="page">
              <wp:posOffset>686435</wp:posOffset>
            </wp:positionV>
            <wp:extent cx="713486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4860" cy="8255"/>
                    </a:xfrm>
                    <a:prstGeom prst="rect">
                      <a:avLst/>
                    </a:prstGeom>
                    <a:noFill/>
                  </pic:spPr>
                </pic:pic>
              </a:graphicData>
            </a:graphic>
          </wp:anchor>
        </w:drawing>
        <w:t>DISCRETIONARY CASH FLOW</w:t>
      </w:r>
    </w:p>
    <w:p>
      <w:pPr>
        <w:spacing w:after="0" w:line="135" w:lineRule="exact"/>
        <w:rPr>
          <w:sz w:val="20"/>
          <w:szCs w:val="20"/>
          <w:color w:val="auto"/>
        </w:rPr>
      </w:pPr>
    </w:p>
    <w:p>
      <w:pPr>
        <w:ind w:left="20" w:right="80"/>
        <w:spacing w:after="0" w:line="225" w:lineRule="auto"/>
        <w:rPr>
          <w:sz w:val="20"/>
          <w:szCs w:val="20"/>
          <w:color w:val="auto"/>
        </w:rPr>
      </w:pPr>
      <w:r>
        <w:rPr>
          <w:rFonts w:ascii="Arial" w:cs="Arial" w:eastAsia="Arial" w:hAnsi="Arial"/>
          <w:sz w:val="14"/>
          <w:szCs w:val="14"/>
          <w:color w:val="auto"/>
        </w:rPr>
        <w:t>We define discretionary cash flow as the cash available after distributions to noncontrolling interest holders and cash interest, excluding the effect of working capital changes but before our internal capital investment. Management uses discretionary cash flow as a measure of the availability of cash to reduce debt or fund investments.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5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center"/>
              <w:ind w:right="69"/>
              <w:spacing w:after="0"/>
              <w:rPr>
                <w:sz w:val="20"/>
                <w:szCs w:val="20"/>
                <w:color w:val="auto"/>
              </w:rPr>
            </w:pPr>
            <w:r>
              <w:rPr>
                <w:rFonts w:ascii="Arial" w:cs="Arial" w:eastAsia="Arial" w:hAnsi="Arial"/>
                <w:sz w:val="14"/>
                <w:szCs w:val="14"/>
                <w:b w:val="1"/>
                <w:bCs w:val="1"/>
                <w:color w:val="auto"/>
                <w:w w:val="98"/>
              </w:rPr>
              <w:t>Successor</w:t>
            </w: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center"/>
              <w:ind w:right="89"/>
              <w:spacing w:after="0"/>
              <w:rPr>
                <w:sz w:val="20"/>
                <w:szCs w:val="20"/>
                <w:color w:val="auto"/>
              </w:rPr>
            </w:pPr>
            <w:r>
              <w:rPr>
                <w:rFonts w:ascii="Arial" w:cs="Arial" w:eastAsia="Arial" w:hAnsi="Arial"/>
                <w:sz w:val="14"/>
                <w:szCs w:val="14"/>
                <w:color w:val="auto"/>
                <w:w w:val="99"/>
              </w:rPr>
              <w:t>Predecessor</w:t>
            </w:r>
          </w:p>
        </w:tc>
        <w:tc>
          <w:tcPr>
            <w:tcW w:w="1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center"/>
              <w:ind w:right="109"/>
              <w:spacing w:after="0"/>
              <w:rPr>
                <w:sz w:val="20"/>
                <w:szCs w:val="20"/>
                <w:color w:val="auto"/>
              </w:rPr>
            </w:pPr>
            <w:r>
              <w:rPr>
                <w:rFonts w:ascii="Arial" w:cs="Arial" w:eastAsia="Arial" w:hAnsi="Arial"/>
                <w:sz w:val="14"/>
                <w:szCs w:val="14"/>
                <w:b w:val="1"/>
                <w:bCs w:val="1"/>
                <w:color w:val="auto"/>
              </w:rPr>
              <w:t>Successor</w:t>
            </w: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center"/>
              <w:ind w:right="89"/>
              <w:spacing w:after="0"/>
              <w:rPr>
                <w:sz w:val="20"/>
                <w:szCs w:val="20"/>
                <w:color w:val="auto"/>
              </w:rPr>
            </w:pPr>
            <w:r>
              <w:rPr>
                <w:rFonts w:ascii="Arial" w:cs="Arial" w:eastAsia="Arial" w:hAnsi="Arial"/>
                <w:sz w:val="14"/>
                <w:szCs w:val="14"/>
                <w:color w:val="auto"/>
              </w:rPr>
              <w:t>Predecessor</w:t>
            </w:r>
          </w:p>
        </w:tc>
        <w:tc>
          <w:tcPr>
            <w:tcW w:w="0" w:type="dxa"/>
            <w:vAlign w:val="bottom"/>
          </w:tcPr>
          <w:p>
            <w:pPr>
              <w:spacing w:after="0"/>
              <w:rPr>
                <w:sz w:val="1"/>
                <w:szCs w:val="1"/>
                <w:color w:val="auto"/>
              </w:rPr>
            </w:pPr>
          </w:p>
        </w:tc>
      </w:tr>
      <w:tr>
        <w:trPr>
          <w:trHeight w:val="179"/>
        </w:trPr>
        <w:tc>
          <w:tcPr>
            <w:tcW w:w="5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center"/>
              <w:ind w:right="89"/>
              <w:spacing w:after="0"/>
              <w:rPr>
                <w:sz w:val="20"/>
                <w:szCs w:val="20"/>
                <w:color w:val="auto"/>
              </w:rPr>
            </w:pPr>
            <w:r>
              <w:rPr>
                <w:rFonts w:ascii="Arial" w:cs="Arial" w:eastAsia="Arial" w:hAnsi="Arial"/>
                <w:sz w:val="14"/>
                <w:szCs w:val="14"/>
                <w:b w:val="1"/>
                <w:bCs w:val="1"/>
                <w:color w:val="auto"/>
              </w:rPr>
              <w:t>2nd Quarter</w:t>
            </w: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4"/>
                <w:szCs w:val="14"/>
                <w:color w:val="auto"/>
                <w:w w:val="98"/>
              </w:rPr>
              <w:t>2nd Quarter</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center"/>
              <w:ind w:right="109"/>
              <w:spacing w:after="0"/>
              <w:rPr>
                <w:sz w:val="20"/>
                <w:szCs w:val="20"/>
                <w:color w:val="auto"/>
              </w:rPr>
            </w:pPr>
            <w:r>
              <w:rPr>
                <w:rFonts w:ascii="Arial" w:cs="Arial" w:eastAsia="Arial" w:hAnsi="Arial"/>
                <w:sz w:val="14"/>
                <w:szCs w:val="14"/>
                <w:b w:val="1"/>
                <w:bCs w:val="1"/>
                <w:color w:val="auto"/>
              </w:rPr>
              <w:t>Six Months</w:t>
            </w: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center"/>
              <w:ind w:right="89"/>
              <w:spacing w:after="0"/>
              <w:rPr>
                <w:sz w:val="20"/>
                <w:szCs w:val="20"/>
                <w:color w:val="auto"/>
              </w:rPr>
            </w:pPr>
            <w:r>
              <w:rPr>
                <w:rFonts w:ascii="Arial" w:cs="Arial" w:eastAsia="Arial" w:hAnsi="Arial"/>
                <w:sz w:val="14"/>
                <w:szCs w:val="14"/>
                <w:color w:val="auto"/>
                <w:w w:val="98"/>
              </w:rPr>
              <w:t>Six Months</w:t>
            </w:r>
          </w:p>
        </w:tc>
        <w:tc>
          <w:tcPr>
            <w:tcW w:w="0" w:type="dxa"/>
            <w:vAlign w:val="bottom"/>
          </w:tcPr>
          <w:p>
            <w:pPr>
              <w:spacing w:after="0"/>
              <w:rPr>
                <w:sz w:val="1"/>
                <w:szCs w:val="1"/>
                <w:color w:val="auto"/>
              </w:rPr>
            </w:pPr>
          </w:p>
        </w:tc>
      </w:tr>
      <w:tr>
        <w:trPr>
          <w:trHeight w:val="186"/>
        </w:trPr>
        <w:tc>
          <w:tcPr>
            <w:tcW w:w="54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millions)</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69"/>
              <w:spacing w:after="0"/>
              <w:rPr>
                <w:sz w:val="20"/>
                <w:szCs w:val="20"/>
                <w:color w:val="auto"/>
              </w:rPr>
            </w:pPr>
            <w:r>
              <w:rPr>
                <w:rFonts w:ascii="Arial" w:cs="Arial" w:eastAsia="Arial" w:hAnsi="Arial"/>
                <w:sz w:val="14"/>
                <w:szCs w:val="14"/>
                <w:b w:val="1"/>
                <w:bCs w:val="1"/>
                <w:color w:val="auto"/>
                <w:w w:val="96"/>
              </w:rPr>
              <w:t>2021</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89"/>
              <w:spacing w:after="0"/>
              <w:rPr>
                <w:sz w:val="20"/>
                <w:szCs w:val="20"/>
                <w:color w:val="auto"/>
              </w:rPr>
            </w:pPr>
            <w:r>
              <w:rPr>
                <w:rFonts w:ascii="Arial" w:cs="Arial" w:eastAsia="Arial" w:hAnsi="Arial"/>
                <w:sz w:val="14"/>
                <w:szCs w:val="14"/>
                <w:color w:val="auto"/>
                <w:w w:val="96"/>
              </w:rPr>
              <w:t>2020</w:t>
            </w:r>
          </w:p>
        </w:tc>
        <w:tc>
          <w:tcPr>
            <w:tcW w:w="10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0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89"/>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179"/>
        </w:trPr>
        <w:tc>
          <w:tcPr>
            <w:tcW w:w="5580" w:type="dxa"/>
            <w:vAlign w:val="bottom"/>
            <w:gridSpan w:val="2"/>
          </w:tcPr>
          <w:p>
            <w:pPr>
              <w:ind w:left="20"/>
              <w:spacing w:after="0"/>
              <w:rPr>
                <w:sz w:val="20"/>
                <w:szCs w:val="20"/>
                <w:color w:val="auto"/>
              </w:rPr>
            </w:pPr>
            <w:r>
              <w:rPr>
                <w:rFonts w:ascii="Arial" w:cs="Arial" w:eastAsia="Arial" w:hAnsi="Arial"/>
                <w:sz w:val="14"/>
                <w:szCs w:val="14"/>
                <w:color w:val="auto"/>
              </w:rPr>
              <w:t>Adjusted EBITDAX</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169</w:t>
            </w: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9"/>
              <w:spacing w:after="0"/>
              <w:rPr>
                <w:sz w:val="20"/>
                <w:szCs w:val="20"/>
                <w:color w:val="auto"/>
              </w:rPr>
            </w:pPr>
            <w:r>
              <w:rPr>
                <w:rFonts w:ascii="Arial" w:cs="Arial" w:eastAsia="Arial" w:hAnsi="Arial"/>
                <w:sz w:val="14"/>
                <w:szCs w:val="14"/>
                <w:color w:val="auto"/>
              </w:rPr>
              <w:t>19</w:t>
            </w:r>
          </w:p>
        </w:tc>
        <w:tc>
          <w:tcPr>
            <w:tcW w:w="10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358</w:t>
            </w: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270</w:t>
            </w:r>
          </w:p>
        </w:tc>
        <w:tc>
          <w:tcPr>
            <w:tcW w:w="0" w:type="dxa"/>
            <w:vAlign w:val="bottom"/>
          </w:tcPr>
          <w:p>
            <w:pPr>
              <w:spacing w:after="0"/>
              <w:rPr>
                <w:sz w:val="1"/>
                <w:szCs w:val="1"/>
                <w:color w:val="auto"/>
              </w:rPr>
            </w:pPr>
          </w:p>
        </w:tc>
      </w:tr>
      <w:tr>
        <w:trPr>
          <w:trHeight w:val="188"/>
        </w:trPr>
        <w:tc>
          <w:tcPr>
            <w:tcW w:w="5580" w:type="dxa"/>
            <w:vAlign w:val="bottom"/>
            <w:gridSpan w:val="2"/>
          </w:tcPr>
          <w:p>
            <w:pPr>
              <w:ind w:left="20"/>
              <w:spacing w:after="0"/>
              <w:rPr>
                <w:sz w:val="20"/>
                <w:szCs w:val="20"/>
                <w:color w:val="auto"/>
              </w:rPr>
            </w:pPr>
            <w:r>
              <w:rPr>
                <w:rFonts w:ascii="Arial" w:cs="Arial" w:eastAsia="Arial" w:hAnsi="Arial"/>
                <w:sz w:val="14"/>
                <w:szCs w:val="14"/>
                <w:color w:val="auto"/>
              </w:rPr>
              <w:t>Cash interest</w:t>
            </w: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(5)</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86"/>
        </w:trPr>
        <w:tc>
          <w:tcPr>
            <w:tcW w:w="5580" w:type="dxa"/>
            <w:vAlign w:val="bottom"/>
            <w:gridSpan w:val="2"/>
          </w:tcPr>
          <w:p>
            <w:pPr>
              <w:ind w:left="20"/>
              <w:spacing w:after="0"/>
              <w:rPr>
                <w:sz w:val="20"/>
                <w:szCs w:val="20"/>
                <w:color w:val="auto"/>
              </w:rPr>
            </w:pPr>
            <w:r>
              <w:rPr>
                <w:rFonts w:ascii="Arial" w:cs="Arial" w:eastAsia="Arial" w:hAnsi="Arial"/>
                <w:sz w:val="14"/>
                <w:szCs w:val="14"/>
                <w:color w:val="auto"/>
              </w:rPr>
              <w:t>Distributions paid to noncontrolling interest holders:</w:t>
            </w:r>
          </w:p>
        </w:tc>
        <w:tc>
          <w:tcPr>
            <w:tcW w:w="140" w:type="dxa"/>
            <w:vAlign w:val="bottom"/>
          </w:tcPr>
          <w:p>
            <w:pPr>
              <w:spacing w:after="0"/>
              <w:rPr>
                <w:sz w:val="16"/>
                <w:szCs w:val="16"/>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(17)</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(31)</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580" w:type="dxa"/>
            <w:vAlign w:val="bottom"/>
            <w:gridSpan w:val="2"/>
          </w:tcPr>
          <w:p>
            <w:pPr>
              <w:ind w:left="140"/>
              <w:spacing w:after="0"/>
              <w:rPr>
                <w:sz w:val="20"/>
                <w:szCs w:val="20"/>
                <w:color w:val="auto"/>
              </w:rPr>
            </w:pPr>
            <w:r>
              <w:rPr>
                <w:rFonts w:ascii="Arial" w:cs="Arial" w:eastAsia="Arial" w:hAnsi="Arial"/>
                <w:sz w:val="14"/>
                <w:szCs w:val="14"/>
                <w:color w:val="auto"/>
              </w:rPr>
              <w:t>BSP</w:t>
            </w:r>
          </w:p>
        </w:tc>
        <w:tc>
          <w:tcPr>
            <w:tcW w:w="14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86"/>
        </w:trPr>
        <w:tc>
          <w:tcPr>
            <w:tcW w:w="5580" w:type="dxa"/>
            <w:vAlign w:val="bottom"/>
            <w:gridSpan w:val="2"/>
          </w:tcPr>
          <w:p>
            <w:pPr>
              <w:ind w:left="140"/>
              <w:spacing w:after="0"/>
              <w:rPr>
                <w:sz w:val="20"/>
                <w:szCs w:val="20"/>
                <w:color w:val="auto"/>
              </w:rPr>
            </w:pPr>
            <w:r>
              <w:rPr>
                <w:rFonts w:ascii="Arial" w:cs="Arial" w:eastAsia="Arial" w:hAnsi="Arial"/>
                <w:sz w:val="14"/>
                <w:szCs w:val="14"/>
                <w:color w:val="auto"/>
              </w:rPr>
              <w:t>Ares</w:t>
            </w:r>
          </w:p>
        </w:tc>
        <w:tc>
          <w:tcPr>
            <w:tcW w:w="140" w:type="dxa"/>
            <w:vAlign w:val="bottom"/>
          </w:tcPr>
          <w:p>
            <w:pPr>
              <w:spacing w:after="0"/>
              <w:rPr>
                <w:sz w:val="16"/>
                <w:szCs w:val="16"/>
                <w:color w:val="auto"/>
              </w:rPr>
            </w:pPr>
          </w:p>
        </w:tc>
        <w:tc>
          <w:tcPr>
            <w:tcW w:w="12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(19)</w:t>
            </w:r>
          </w:p>
        </w:tc>
        <w:tc>
          <w:tcPr>
            <w:tcW w:w="10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88"/>
        </w:trPr>
        <w:tc>
          <w:tcPr>
            <w:tcW w:w="5580" w:type="dxa"/>
            <w:vAlign w:val="bottom"/>
            <w:gridSpan w:val="2"/>
          </w:tcPr>
          <w:p>
            <w:pPr>
              <w:ind w:left="20"/>
              <w:spacing w:after="0"/>
              <w:rPr>
                <w:sz w:val="20"/>
                <w:szCs w:val="20"/>
                <w:color w:val="auto"/>
              </w:rPr>
            </w:pPr>
            <w:r>
              <w:rPr>
                <w:rFonts w:ascii="Arial" w:cs="Arial" w:eastAsia="Arial" w:hAnsi="Arial"/>
                <w:sz w:val="14"/>
                <w:szCs w:val="14"/>
                <w:color w:val="auto"/>
              </w:rPr>
              <w:t>Asset retirement obligations and idle well testing</w:t>
            </w: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(12)</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(24)</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51"/>
        </w:trPr>
        <w:tc>
          <w:tcPr>
            <w:tcW w:w="5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9"/>
        </w:trPr>
        <w:tc>
          <w:tcPr>
            <w:tcW w:w="5580" w:type="dxa"/>
            <w:vAlign w:val="bottom"/>
            <w:gridSpan w:val="2"/>
          </w:tcPr>
          <w:p>
            <w:pPr>
              <w:ind w:left="20"/>
              <w:spacing w:after="0"/>
              <w:rPr>
                <w:sz w:val="20"/>
                <w:szCs w:val="20"/>
                <w:color w:val="auto"/>
              </w:rPr>
            </w:pPr>
            <w:r>
              <w:rPr>
                <w:rFonts w:ascii="Arial" w:cs="Arial" w:eastAsia="Arial" w:hAnsi="Arial"/>
                <w:sz w:val="14"/>
                <w:szCs w:val="14"/>
                <w:color w:val="auto"/>
              </w:rPr>
              <w:t>Discretionary cash flow</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138</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w:t>
            </w:r>
          </w:p>
        </w:tc>
        <w:tc>
          <w:tcPr>
            <w:tcW w:w="10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298</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328295</wp:posOffset>
            </wp:positionV>
            <wp:extent cx="71348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353060</wp:posOffset>
            </wp:positionV>
            <wp:extent cx="71348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35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ADJUSTED EBITDAX MARGIN</w:t>
      </w:r>
    </w:p>
    <w:p>
      <w:pPr>
        <w:spacing w:after="0" w:line="135" w:lineRule="exact"/>
        <w:rPr>
          <w:sz w:val="20"/>
          <w:szCs w:val="20"/>
          <w:color w:val="auto"/>
        </w:rPr>
      </w:pPr>
    </w:p>
    <w:p>
      <w:pPr>
        <w:ind w:left="20" w:right="160"/>
        <w:spacing w:after="0" w:line="225" w:lineRule="auto"/>
        <w:rPr>
          <w:sz w:val="20"/>
          <w:szCs w:val="20"/>
          <w:color w:val="auto"/>
        </w:rPr>
      </w:pPr>
      <w:r>
        <w:rPr>
          <w:rFonts w:ascii="Arial" w:cs="Arial" w:eastAsia="Arial" w:hAnsi="Arial"/>
          <w:sz w:val="14"/>
          <w:szCs w:val="14"/>
          <w:color w:val="auto"/>
        </w:rPr>
        <w:t>Management uses adjusted EBITDAX margin as a measure of profitability between periods and this measure is generally used by analysts for comparative purposes within the industry. Adjusted EBITDAX margin is calculated as adjusted EBITDAX divided by Revenues, excluding non-cash derivative gains and losses.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5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center"/>
              <w:ind w:right="89"/>
              <w:spacing w:after="0"/>
              <w:rPr>
                <w:sz w:val="20"/>
                <w:szCs w:val="20"/>
                <w:color w:val="auto"/>
              </w:rPr>
            </w:pPr>
            <w:r>
              <w:rPr>
                <w:rFonts w:ascii="Arial" w:cs="Arial" w:eastAsia="Arial" w:hAnsi="Arial"/>
                <w:sz w:val="14"/>
                <w:szCs w:val="14"/>
                <w:b w:val="1"/>
                <w:bCs w:val="1"/>
                <w:color w:val="auto"/>
              </w:rPr>
              <w:t>Successor</w:t>
            </w:r>
          </w:p>
        </w:tc>
        <w:tc>
          <w:tcPr>
            <w:tcW w:w="100" w:type="dxa"/>
            <w:vAlign w:val="bottom"/>
            <w:tcBorders>
              <w:top w:val="single" w:sz="8" w:color="auto"/>
              <w:right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center"/>
              <w:ind w:right="69"/>
              <w:spacing w:after="0"/>
              <w:rPr>
                <w:sz w:val="20"/>
                <w:szCs w:val="20"/>
                <w:color w:val="auto"/>
              </w:rPr>
            </w:pPr>
            <w:r>
              <w:rPr>
                <w:rFonts w:ascii="Arial" w:cs="Arial" w:eastAsia="Arial" w:hAnsi="Arial"/>
                <w:sz w:val="14"/>
                <w:szCs w:val="14"/>
                <w:color w:val="auto"/>
              </w:rPr>
              <w:t>Predecessor</w:t>
            </w:r>
          </w:p>
        </w:tc>
        <w:tc>
          <w:tcPr>
            <w:tcW w:w="1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center"/>
              <w:ind w:right="69"/>
              <w:spacing w:after="0"/>
              <w:rPr>
                <w:sz w:val="20"/>
                <w:szCs w:val="20"/>
                <w:color w:val="auto"/>
              </w:rPr>
            </w:pPr>
            <w:r>
              <w:rPr>
                <w:rFonts w:ascii="Arial" w:cs="Arial" w:eastAsia="Arial" w:hAnsi="Arial"/>
                <w:sz w:val="14"/>
                <w:szCs w:val="14"/>
                <w:b w:val="1"/>
                <w:bCs w:val="1"/>
                <w:color w:val="auto"/>
              </w:rPr>
              <w:t>Successor</w:t>
            </w: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center"/>
              <w:ind w:right="89"/>
              <w:spacing w:after="0"/>
              <w:rPr>
                <w:sz w:val="20"/>
                <w:szCs w:val="20"/>
                <w:color w:val="auto"/>
              </w:rPr>
            </w:pPr>
            <w:r>
              <w:rPr>
                <w:rFonts w:ascii="Arial" w:cs="Arial" w:eastAsia="Arial" w:hAnsi="Arial"/>
                <w:sz w:val="14"/>
                <w:szCs w:val="14"/>
                <w:color w:val="auto"/>
              </w:rPr>
              <w:t>Predecessor</w:t>
            </w:r>
          </w:p>
        </w:tc>
      </w:tr>
      <w:tr>
        <w:trPr>
          <w:trHeight w:val="179"/>
        </w:trPr>
        <w:tc>
          <w:tcPr>
            <w:tcW w:w="5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center"/>
              <w:ind w:right="89"/>
              <w:spacing w:after="0"/>
              <w:rPr>
                <w:sz w:val="20"/>
                <w:szCs w:val="20"/>
                <w:color w:val="auto"/>
              </w:rPr>
            </w:pPr>
            <w:r>
              <w:rPr>
                <w:rFonts w:ascii="Arial" w:cs="Arial" w:eastAsia="Arial" w:hAnsi="Arial"/>
                <w:sz w:val="14"/>
                <w:szCs w:val="14"/>
                <w:b w:val="1"/>
                <w:bCs w:val="1"/>
                <w:color w:val="auto"/>
              </w:rPr>
              <w:t>2nd Quarter</w:t>
            </w: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4"/>
                <w:szCs w:val="14"/>
                <w:color w:val="auto"/>
              </w:rPr>
              <w:t>2nd Quarter</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center"/>
              <w:ind w:right="69"/>
              <w:spacing w:after="0"/>
              <w:rPr>
                <w:sz w:val="20"/>
                <w:szCs w:val="20"/>
                <w:color w:val="auto"/>
              </w:rPr>
            </w:pPr>
            <w:r>
              <w:rPr>
                <w:rFonts w:ascii="Arial" w:cs="Arial" w:eastAsia="Arial" w:hAnsi="Arial"/>
                <w:sz w:val="14"/>
                <w:szCs w:val="14"/>
                <w:b w:val="1"/>
                <w:bCs w:val="1"/>
                <w:color w:val="auto"/>
              </w:rPr>
              <w:t>Six Months</w:t>
            </w: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center"/>
              <w:ind w:right="89"/>
              <w:spacing w:after="0"/>
              <w:rPr>
                <w:sz w:val="20"/>
                <w:szCs w:val="20"/>
                <w:color w:val="auto"/>
              </w:rPr>
            </w:pPr>
            <w:r>
              <w:rPr>
                <w:rFonts w:ascii="Arial" w:cs="Arial" w:eastAsia="Arial" w:hAnsi="Arial"/>
                <w:sz w:val="14"/>
                <w:szCs w:val="14"/>
                <w:color w:val="auto"/>
              </w:rPr>
              <w:t>4th Quarter</w:t>
            </w:r>
          </w:p>
        </w:tc>
      </w:tr>
      <w:tr>
        <w:trPr>
          <w:trHeight w:val="186"/>
        </w:trPr>
        <w:tc>
          <w:tcPr>
            <w:tcW w:w="55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millions)</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8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69"/>
              <w:spacing w:after="0"/>
              <w:rPr>
                <w:sz w:val="20"/>
                <w:szCs w:val="20"/>
                <w:color w:val="auto"/>
              </w:rPr>
            </w:pPr>
            <w:r>
              <w:rPr>
                <w:rFonts w:ascii="Arial" w:cs="Arial" w:eastAsia="Arial" w:hAnsi="Arial"/>
                <w:sz w:val="14"/>
                <w:szCs w:val="14"/>
                <w:color w:val="auto"/>
              </w:rPr>
              <w:t>2020</w:t>
            </w:r>
          </w:p>
        </w:tc>
        <w:tc>
          <w:tcPr>
            <w:tcW w:w="10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6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89"/>
              <w:spacing w:after="0"/>
              <w:rPr>
                <w:sz w:val="20"/>
                <w:szCs w:val="20"/>
                <w:color w:val="auto"/>
              </w:rPr>
            </w:pPr>
            <w:r>
              <w:rPr>
                <w:rFonts w:ascii="Arial" w:cs="Arial" w:eastAsia="Arial" w:hAnsi="Arial"/>
                <w:sz w:val="14"/>
                <w:szCs w:val="14"/>
                <w:color w:val="auto"/>
              </w:rPr>
              <w:t>2020</w:t>
            </w:r>
          </w:p>
        </w:tc>
      </w:tr>
      <w:tr>
        <w:trPr>
          <w:trHeight w:val="179"/>
        </w:trPr>
        <w:tc>
          <w:tcPr>
            <w:tcW w:w="5620" w:type="dxa"/>
            <w:vAlign w:val="bottom"/>
            <w:gridSpan w:val="2"/>
          </w:tcPr>
          <w:p>
            <w:pPr>
              <w:ind w:left="20"/>
              <w:spacing w:after="0"/>
              <w:rPr>
                <w:sz w:val="20"/>
                <w:szCs w:val="20"/>
                <w:color w:val="auto"/>
              </w:rPr>
            </w:pPr>
            <w:r>
              <w:rPr>
                <w:rFonts w:ascii="Arial" w:cs="Arial" w:eastAsia="Arial" w:hAnsi="Arial"/>
                <w:sz w:val="14"/>
                <w:szCs w:val="14"/>
                <w:color w:val="auto"/>
              </w:rPr>
              <w:t>Total revenues</w:t>
            </w:r>
          </w:p>
        </w:tc>
        <w:tc>
          <w:tcPr>
            <w:tcW w:w="160" w:type="dxa"/>
            <w:vAlign w:val="bottom"/>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1080" w:type="dxa"/>
            <w:vAlign w:val="bottom"/>
          </w:tcPr>
          <w:p>
            <w:pPr>
              <w:jc w:val="right"/>
              <w:ind w:right="109"/>
              <w:spacing w:after="0"/>
              <w:rPr>
                <w:sz w:val="20"/>
                <w:szCs w:val="20"/>
                <w:color w:val="auto"/>
              </w:rPr>
            </w:pPr>
            <w:r>
              <w:rPr>
                <w:rFonts w:ascii="Arial" w:cs="Arial" w:eastAsia="Arial" w:hAnsi="Arial"/>
                <w:sz w:val="14"/>
                <w:szCs w:val="14"/>
                <w:b w:val="1"/>
                <w:bCs w:val="1"/>
                <w:color w:val="auto"/>
              </w:rPr>
              <w:t>304</w:t>
            </w: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29"/>
              <w:spacing w:after="0"/>
              <w:rPr>
                <w:sz w:val="20"/>
                <w:szCs w:val="20"/>
                <w:color w:val="auto"/>
              </w:rPr>
            </w:pPr>
            <w:r>
              <w:rPr>
                <w:rFonts w:ascii="Arial" w:cs="Arial" w:eastAsia="Arial" w:hAnsi="Arial"/>
                <w:sz w:val="14"/>
                <w:szCs w:val="14"/>
                <w:color w:val="auto"/>
              </w:rPr>
              <w:t>276</w:t>
            </w:r>
          </w:p>
        </w:tc>
        <w:tc>
          <w:tcPr>
            <w:tcW w:w="10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020" w:type="dxa"/>
            <w:vAlign w:val="bottom"/>
          </w:tcPr>
          <w:p>
            <w:pPr>
              <w:jc w:val="right"/>
              <w:ind w:right="109"/>
              <w:spacing w:after="0"/>
              <w:rPr>
                <w:sz w:val="20"/>
                <w:szCs w:val="20"/>
                <w:color w:val="auto"/>
              </w:rPr>
            </w:pPr>
            <w:r>
              <w:rPr>
                <w:rFonts w:ascii="Arial" w:cs="Arial" w:eastAsia="Arial" w:hAnsi="Arial"/>
                <w:sz w:val="14"/>
                <w:szCs w:val="14"/>
                <w:b w:val="1"/>
                <w:bCs w:val="1"/>
                <w:color w:val="auto"/>
              </w:rPr>
              <w:t>667</w:t>
            </w: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09"/>
              <w:spacing w:after="0"/>
              <w:rPr>
                <w:sz w:val="20"/>
                <w:szCs w:val="20"/>
                <w:color w:val="auto"/>
              </w:rPr>
            </w:pPr>
            <w:r>
              <w:rPr>
                <w:rFonts w:ascii="Arial" w:cs="Arial" w:eastAsia="Arial" w:hAnsi="Arial"/>
                <w:sz w:val="14"/>
                <w:szCs w:val="14"/>
                <w:color w:val="auto"/>
              </w:rPr>
              <w:t>849</w:t>
            </w:r>
          </w:p>
        </w:tc>
      </w:tr>
      <w:tr>
        <w:trPr>
          <w:trHeight w:val="186"/>
        </w:trPr>
        <w:tc>
          <w:tcPr>
            <w:tcW w:w="5620" w:type="dxa"/>
            <w:vAlign w:val="bottom"/>
            <w:gridSpan w:val="2"/>
          </w:tcPr>
          <w:p>
            <w:pPr>
              <w:ind w:left="140"/>
              <w:spacing w:after="0"/>
              <w:rPr>
                <w:sz w:val="20"/>
                <w:szCs w:val="20"/>
                <w:color w:val="auto"/>
              </w:rPr>
            </w:pPr>
            <w:r>
              <w:rPr>
                <w:rFonts w:ascii="Arial" w:cs="Arial" w:eastAsia="Arial" w:hAnsi="Arial"/>
                <w:sz w:val="14"/>
                <w:szCs w:val="14"/>
                <w:color w:val="auto"/>
              </w:rPr>
              <w:t>Non-cash derivative loss</w:t>
            </w: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183</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9</w:t>
            </w:r>
          </w:p>
        </w:tc>
        <w:tc>
          <w:tcPr>
            <w:tcW w:w="10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357</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28</w:t>
            </w:r>
          </w:p>
        </w:tc>
      </w:tr>
      <w:tr>
        <w:trPr>
          <w:trHeight w:val="179"/>
        </w:trPr>
        <w:tc>
          <w:tcPr>
            <w:tcW w:w="5620" w:type="dxa"/>
            <w:vAlign w:val="bottom"/>
            <w:gridSpan w:val="2"/>
          </w:tcPr>
          <w:p>
            <w:pPr>
              <w:ind w:left="20"/>
              <w:spacing w:after="0"/>
              <w:rPr>
                <w:sz w:val="20"/>
                <w:szCs w:val="20"/>
                <w:color w:val="auto"/>
              </w:rPr>
            </w:pPr>
            <w:r>
              <w:rPr>
                <w:rFonts w:ascii="Arial" w:cs="Arial" w:eastAsia="Arial" w:hAnsi="Arial"/>
                <w:sz w:val="14"/>
                <w:szCs w:val="14"/>
                <w:color w:val="auto"/>
              </w:rPr>
              <w:t>Revenues, excluding non-cash derivative gains and losses</w:t>
            </w:r>
          </w:p>
        </w:tc>
        <w:tc>
          <w:tcPr>
            <w:tcW w:w="1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10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487</w:t>
            </w: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285</w:t>
            </w:r>
          </w:p>
        </w:tc>
        <w:tc>
          <w:tcPr>
            <w:tcW w:w="10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02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1,024</w:t>
            </w: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877</w:t>
            </w:r>
          </w:p>
        </w:tc>
      </w:tr>
      <w:tr>
        <w:trPr>
          <w:trHeight w:val="20"/>
        </w:trPr>
        <w:tc>
          <w:tcPr>
            <w:tcW w:w="5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78"/>
        </w:trPr>
        <w:tc>
          <w:tcPr>
            <w:tcW w:w="5620" w:type="dxa"/>
            <w:vAlign w:val="bottom"/>
            <w:gridSpan w:val="2"/>
          </w:tcPr>
          <w:p>
            <w:pPr>
              <w:ind w:left="20"/>
              <w:spacing w:after="0"/>
              <w:rPr>
                <w:sz w:val="20"/>
                <w:szCs w:val="20"/>
                <w:color w:val="auto"/>
              </w:rPr>
            </w:pPr>
            <w:r>
              <w:rPr>
                <w:rFonts w:ascii="Arial" w:cs="Arial" w:eastAsia="Arial" w:hAnsi="Arial"/>
                <w:sz w:val="14"/>
                <w:szCs w:val="14"/>
                <w:color w:val="auto"/>
              </w:rPr>
              <w:t>Adjusted EBITDAX margin</w:t>
            </w: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35 %</w:t>
            </w: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7 %</w:t>
            </w:r>
          </w:p>
        </w:tc>
        <w:tc>
          <w:tcPr>
            <w:tcW w:w="10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35 %</w:t>
            </w: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471170</wp:posOffset>
            </wp:positionV>
            <wp:extent cx="713486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496570</wp:posOffset>
            </wp:positionV>
            <wp:extent cx="713486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OPERATING COSTS PER BOE</w:t>
      </w:r>
    </w:p>
    <w:p>
      <w:pPr>
        <w:spacing w:after="0" w:line="135" w:lineRule="exact"/>
        <w:rPr>
          <w:sz w:val="20"/>
          <w:szCs w:val="20"/>
          <w:color w:val="auto"/>
        </w:rPr>
      </w:pPr>
    </w:p>
    <w:p>
      <w:pPr>
        <w:ind w:left="20" w:right="200"/>
        <w:spacing w:after="0" w:line="225" w:lineRule="auto"/>
        <w:rPr>
          <w:sz w:val="20"/>
          <w:szCs w:val="20"/>
          <w:color w:val="auto"/>
        </w:rPr>
      </w:pPr>
      <w:r>
        <w:rPr>
          <w:rFonts w:ascii="Arial" w:cs="Arial" w:eastAsia="Arial" w:hAnsi="Arial"/>
          <w:sz w:val="14"/>
          <w:szCs w:val="14"/>
          <w:color w:val="auto"/>
        </w:rPr>
        <w:t>The reporting of our PSC-type contracts creates a difference between reported operating costs, which are for the full field, and reported volumes, which are only our net share, inflating the per barrel operating costs. The following table presents operating costs after adjusting for the excess costs attributable to PSC-type contracts.</w:t>
      </w:r>
    </w:p>
    <w:p>
      <w:pPr>
        <w:spacing w:after="0" w:line="137" w:lineRule="exact"/>
        <w:rPr>
          <w:sz w:val="20"/>
          <w:szCs w:val="20"/>
          <w:color w:val="auto"/>
        </w:rPr>
      </w:pPr>
    </w:p>
    <w:tbl>
      <w:tblPr>
        <w:tblLayout w:type="fixed"/>
        <w:tblInd w:w="20" w:type="dxa"/>
        <w:tblCellMar>
          <w:top w:w="0" w:type="dxa"/>
          <w:left w:w="0" w:type="dxa"/>
          <w:bottom w:w="0" w:type="dxa"/>
          <w:right w:w="0" w:type="dxa"/>
        </w:tblCellMar>
      </w:tblPr>
      <w:tr>
        <w:trPr>
          <w:trHeight w:val="199"/>
        </w:trPr>
        <w:tc>
          <w:tcPr>
            <w:tcW w:w="586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center"/>
              <w:ind w:right="69"/>
              <w:spacing w:after="0"/>
              <w:rPr>
                <w:sz w:val="20"/>
                <w:szCs w:val="20"/>
                <w:color w:val="auto"/>
              </w:rPr>
            </w:pPr>
            <w:r>
              <w:rPr>
                <w:rFonts w:ascii="Arial" w:cs="Arial" w:eastAsia="Arial" w:hAnsi="Arial"/>
                <w:sz w:val="14"/>
                <w:szCs w:val="14"/>
                <w:b w:val="1"/>
                <w:bCs w:val="1"/>
                <w:color w:val="auto"/>
              </w:rPr>
              <w:t>Successor</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center"/>
              <w:ind w:right="49"/>
              <w:spacing w:after="0"/>
              <w:rPr>
                <w:sz w:val="20"/>
                <w:szCs w:val="20"/>
                <w:color w:val="auto"/>
              </w:rPr>
            </w:pPr>
            <w:r>
              <w:rPr>
                <w:rFonts w:ascii="Arial" w:cs="Arial" w:eastAsia="Arial" w:hAnsi="Arial"/>
                <w:sz w:val="14"/>
                <w:szCs w:val="14"/>
                <w:color w:val="auto"/>
                <w:w w:val="99"/>
              </w:rPr>
              <w:t>Predecessor</w:t>
            </w: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center"/>
              <w:ind w:right="49"/>
              <w:spacing w:after="0"/>
              <w:rPr>
                <w:sz w:val="20"/>
                <w:szCs w:val="20"/>
                <w:color w:val="auto"/>
              </w:rPr>
            </w:pPr>
            <w:r>
              <w:rPr>
                <w:rFonts w:ascii="Arial" w:cs="Arial" w:eastAsia="Arial" w:hAnsi="Arial"/>
                <w:sz w:val="14"/>
                <w:szCs w:val="14"/>
                <w:b w:val="1"/>
                <w:bCs w:val="1"/>
                <w:color w:val="auto"/>
              </w:rPr>
              <w:t>Successor</w:t>
            </w:r>
          </w:p>
        </w:tc>
        <w:tc>
          <w:tcPr>
            <w:tcW w:w="12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center"/>
              <w:ind w:right="109"/>
              <w:spacing w:after="0"/>
              <w:rPr>
                <w:sz w:val="20"/>
                <w:szCs w:val="20"/>
                <w:color w:val="auto"/>
              </w:rPr>
            </w:pPr>
            <w:r>
              <w:rPr>
                <w:rFonts w:ascii="Arial" w:cs="Arial" w:eastAsia="Arial" w:hAnsi="Arial"/>
                <w:sz w:val="14"/>
                <w:szCs w:val="14"/>
                <w:color w:val="auto"/>
                <w:w w:val="99"/>
              </w:rPr>
              <w:t>Predecessor</w:t>
            </w:r>
          </w:p>
        </w:tc>
      </w:tr>
      <w:tr>
        <w:trPr>
          <w:trHeight w:val="179"/>
        </w:trPr>
        <w:tc>
          <w:tcPr>
            <w:tcW w:w="5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center"/>
              <w:ind w:right="69"/>
              <w:spacing w:after="0"/>
              <w:rPr>
                <w:sz w:val="20"/>
                <w:szCs w:val="20"/>
                <w:color w:val="auto"/>
              </w:rPr>
            </w:pPr>
            <w:r>
              <w:rPr>
                <w:rFonts w:ascii="Arial" w:cs="Arial" w:eastAsia="Arial" w:hAnsi="Arial"/>
                <w:sz w:val="14"/>
                <w:szCs w:val="14"/>
                <w:b w:val="1"/>
                <w:bCs w:val="1"/>
                <w:color w:val="auto"/>
              </w:rPr>
              <w:t>2nd Quarter</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4"/>
                <w:szCs w:val="14"/>
                <w:color w:val="auto"/>
                <w:w w:val="98"/>
              </w:rPr>
              <w:t>2nd Quarter</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center"/>
              <w:ind w:right="49"/>
              <w:spacing w:after="0"/>
              <w:rPr>
                <w:sz w:val="20"/>
                <w:szCs w:val="20"/>
                <w:color w:val="auto"/>
              </w:rPr>
            </w:pPr>
            <w:r>
              <w:rPr>
                <w:rFonts w:ascii="Arial" w:cs="Arial" w:eastAsia="Arial" w:hAnsi="Arial"/>
                <w:sz w:val="14"/>
                <w:szCs w:val="14"/>
                <w:b w:val="1"/>
                <w:bCs w:val="1"/>
                <w:color w:val="auto"/>
              </w:rPr>
              <w:t>Six Months</w:t>
            </w:r>
          </w:p>
        </w:tc>
        <w:tc>
          <w:tcPr>
            <w:tcW w:w="12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center"/>
              <w:ind w:right="109"/>
              <w:spacing w:after="0"/>
              <w:rPr>
                <w:sz w:val="20"/>
                <w:szCs w:val="20"/>
                <w:color w:val="auto"/>
              </w:rPr>
            </w:pPr>
            <w:r>
              <w:rPr>
                <w:rFonts w:ascii="Arial" w:cs="Arial" w:eastAsia="Arial" w:hAnsi="Arial"/>
                <w:sz w:val="14"/>
                <w:szCs w:val="14"/>
                <w:color w:val="auto"/>
              </w:rPr>
              <w:t>Six Months</w:t>
            </w:r>
          </w:p>
        </w:tc>
      </w:tr>
      <w:tr>
        <w:trPr>
          <w:trHeight w:val="186"/>
        </w:trPr>
        <w:tc>
          <w:tcPr>
            <w:tcW w:w="5860" w:type="dxa"/>
            <w:vAlign w:val="bottom"/>
          </w:tcPr>
          <w:p>
            <w:pPr>
              <w:spacing w:after="0"/>
              <w:rPr>
                <w:sz w:val="20"/>
                <w:szCs w:val="20"/>
                <w:color w:val="auto"/>
              </w:rPr>
            </w:pPr>
            <w:r>
              <w:rPr>
                <w:rFonts w:ascii="Arial" w:cs="Arial" w:eastAsia="Arial" w:hAnsi="Arial"/>
                <w:sz w:val="14"/>
                <w:szCs w:val="14"/>
                <w:color w:val="auto"/>
              </w:rPr>
              <w:t>($ per Boe)</w:t>
            </w: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6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49"/>
              <w:spacing w:after="0"/>
              <w:rPr>
                <w:sz w:val="20"/>
                <w:szCs w:val="20"/>
                <w:color w:val="auto"/>
              </w:rPr>
            </w:pPr>
            <w:r>
              <w:rPr>
                <w:rFonts w:ascii="Arial" w:cs="Arial" w:eastAsia="Arial" w:hAnsi="Arial"/>
                <w:sz w:val="14"/>
                <w:szCs w:val="14"/>
                <w:color w:val="auto"/>
                <w:w w:val="96"/>
              </w:rPr>
              <w:t>2020</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49"/>
              <w:spacing w:after="0"/>
              <w:rPr>
                <w:sz w:val="20"/>
                <w:szCs w:val="20"/>
                <w:color w:val="auto"/>
              </w:rPr>
            </w:pPr>
            <w:r>
              <w:rPr>
                <w:rFonts w:ascii="Arial" w:cs="Arial" w:eastAsia="Arial" w:hAnsi="Arial"/>
                <w:sz w:val="14"/>
                <w:szCs w:val="14"/>
                <w:color w:val="auto"/>
              </w:rPr>
              <w:t>2021</w:t>
            </w:r>
          </w:p>
        </w:tc>
        <w:tc>
          <w:tcPr>
            <w:tcW w:w="12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89"/>
              <w:spacing w:after="0"/>
              <w:rPr>
                <w:sz w:val="20"/>
                <w:szCs w:val="20"/>
                <w:color w:val="auto"/>
              </w:rPr>
            </w:pPr>
            <w:r>
              <w:rPr>
                <w:rFonts w:ascii="Arial" w:cs="Arial" w:eastAsia="Arial" w:hAnsi="Arial"/>
                <w:sz w:val="14"/>
                <w:szCs w:val="14"/>
                <w:color w:val="auto"/>
              </w:rPr>
              <w:t>2020</w:t>
            </w:r>
          </w:p>
        </w:tc>
      </w:tr>
      <w:tr>
        <w:trPr>
          <w:trHeight w:val="179"/>
        </w:trPr>
        <w:tc>
          <w:tcPr>
            <w:tcW w:w="5860" w:type="dxa"/>
            <w:vAlign w:val="bottom"/>
          </w:tcPr>
          <w:p>
            <w:pPr>
              <w:spacing w:after="0" w:line="179" w:lineRule="exact"/>
              <w:rPr>
                <w:sz w:val="20"/>
                <w:szCs w:val="20"/>
                <w:color w:val="auto"/>
              </w:rPr>
            </w:pPr>
            <w:r>
              <w:rPr>
                <w:rFonts w:ascii="Arial" w:cs="Arial" w:eastAsia="Arial" w:hAnsi="Arial"/>
                <w:sz w:val="14"/>
                <w:szCs w:val="14"/>
                <w:color w:val="auto"/>
              </w:rPr>
              <w:t xml:space="preserve">Energy operating costs </w:t>
            </w:r>
            <w:r>
              <w:rPr>
                <w:rFonts w:ascii="Arial" w:cs="Arial" w:eastAsia="Arial" w:hAnsi="Arial"/>
                <w:sz w:val="18"/>
                <w:szCs w:val="18"/>
                <w:color w:val="auto"/>
                <w:vertAlign w:val="superscript"/>
              </w:rPr>
              <w:t>(a)</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4.70</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3.51</w:t>
            </w: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4.70</w:t>
            </w:r>
          </w:p>
        </w:tc>
        <w:tc>
          <w:tcPr>
            <w:tcW w:w="12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3.61</w:t>
            </w:r>
          </w:p>
        </w:tc>
      </w:tr>
      <w:tr>
        <w:trPr>
          <w:trHeight w:val="185"/>
        </w:trPr>
        <w:tc>
          <w:tcPr>
            <w:tcW w:w="5860" w:type="dxa"/>
            <w:vAlign w:val="bottom"/>
          </w:tcPr>
          <w:p>
            <w:pPr>
              <w:spacing w:after="0"/>
              <w:rPr>
                <w:sz w:val="20"/>
                <w:szCs w:val="20"/>
                <w:color w:val="auto"/>
              </w:rPr>
            </w:pPr>
            <w:r>
              <w:rPr>
                <w:rFonts w:ascii="Arial" w:cs="Arial" w:eastAsia="Arial" w:hAnsi="Arial"/>
                <w:sz w:val="14"/>
                <w:szCs w:val="14"/>
                <w:color w:val="auto"/>
              </w:rPr>
              <w:t>Gas processing costs</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0.66</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0.46</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0.60</w:t>
            </w:r>
          </w:p>
        </w:tc>
        <w:tc>
          <w:tcPr>
            <w:tcW w:w="12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0.57</w:t>
            </w:r>
          </w:p>
        </w:tc>
      </w:tr>
      <w:tr>
        <w:trPr>
          <w:trHeight w:val="186"/>
        </w:trPr>
        <w:tc>
          <w:tcPr>
            <w:tcW w:w="5860" w:type="dxa"/>
            <w:vAlign w:val="bottom"/>
          </w:tcPr>
          <w:p>
            <w:pPr>
              <w:spacing w:after="0" w:line="186" w:lineRule="exact"/>
              <w:rPr>
                <w:sz w:val="20"/>
                <w:szCs w:val="20"/>
                <w:color w:val="auto"/>
              </w:rPr>
            </w:pPr>
            <w:r>
              <w:rPr>
                <w:rFonts w:ascii="Arial" w:cs="Arial" w:eastAsia="Arial" w:hAnsi="Arial"/>
                <w:sz w:val="14"/>
                <w:szCs w:val="14"/>
                <w:color w:val="auto"/>
              </w:rPr>
              <w:t xml:space="preserve">Non-energy operating costs </w:t>
            </w:r>
            <w:r>
              <w:rPr>
                <w:rFonts w:ascii="Arial" w:cs="Arial" w:eastAsia="Arial" w:hAnsi="Arial"/>
                <w:sz w:val="18"/>
                <w:szCs w:val="18"/>
                <w:color w:val="auto"/>
                <w:vertAlign w:val="superscript"/>
              </w:rPr>
              <w:t>(b)</w:t>
            </w: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13.12</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8.45</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13.10</w:t>
            </w:r>
          </w:p>
        </w:tc>
        <w:tc>
          <w:tcPr>
            <w:tcW w:w="12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10.81</w:t>
            </w:r>
          </w:p>
        </w:tc>
      </w:tr>
      <w:tr>
        <w:trPr>
          <w:trHeight w:val="179"/>
        </w:trPr>
        <w:tc>
          <w:tcPr>
            <w:tcW w:w="5860" w:type="dxa"/>
            <w:vAlign w:val="bottom"/>
          </w:tcPr>
          <w:p>
            <w:pPr>
              <w:spacing w:after="0"/>
              <w:rPr>
                <w:sz w:val="20"/>
                <w:szCs w:val="20"/>
                <w:color w:val="auto"/>
              </w:rPr>
            </w:pPr>
            <w:r>
              <w:rPr>
                <w:rFonts w:ascii="Arial" w:cs="Arial" w:eastAsia="Arial" w:hAnsi="Arial"/>
                <w:sz w:val="14"/>
                <w:szCs w:val="14"/>
                <w:color w:val="auto"/>
              </w:rPr>
              <w:t>Operating costs</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18.48</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12.42</w:t>
            </w: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18.40</w:t>
            </w:r>
          </w:p>
        </w:tc>
        <w:tc>
          <w:tcPr>
            <w:tcW w:w="12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14.99</w:t>
            </w:r>
          </w:p>
        </w:tc>
      </w:tr>
      <w:tr>
        <w:trPr>
          <w:trHeight w:val="186"/>
        </w:trPr>
        <w:tc>
          <w:tcPr>
            <w:tcW w:w="5860" w:type="dxa"/>
            <w:vAlign w:val="bottom"/>
          </w:tcPr>
          <w:p>
            <w:pPr>
              <w:ind w:left="120"/>
              <w:spacing w:after="0"/>
              <w:rPr>
                <w:sz w:val="20"/>
                <w:szCs w:val="20"/>
                <w:color w:val="auto"/>
              </w:rPr>
            </w:pPr>
            <w:r>
              <w:rPr>
                <w:rFonts w:ascii="Arial" w:cs="Arial" w:eastAsia="Arial" w:hAnsi="Arial"/>
                <w:sz w:val="14"/>
                <w:szCs w:val="14"/>
                <w:color w:val="auto"/>
              </w:rPr>
              <w:t>Excess costs attributable to PSC-type contracts</w:t>
            </w: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(1.73)</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(0.42)</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(1.66)</w:t>
            </w:r>
          </w:p>
        </w:tc>
        <w:tc>
          <w:tcPr>
            <w:tcW w:w="12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(0.66)</w:t>
            </w:r>
          </w:p>
        </w:tc>
      </w:tr>
      <w:tr>
        <w:trPr>
          <w:trHeight w:val="219"/>
        </w:trPr>
        <w:tc>
          <w:tcPr>
            <w:tcW w:w="5860" w:type="dxa"/>
            <w:vAlign w:val="bottom"/>
          </w:tcPr>
          <w:p>
            <w:pPr>
              <w:spacing w:after="0"/>
              <w:rPr>
                <w:sz w:val="20"/>
                <w:szCs w:val="20"/>
                <w:color w:val="auto"/>
              </w:rPr>
            </w:pPr>
            <w:r>
              <w:rPr>
                <w:rFonts w:ascii="Arial" w:cs="Arial" w:eastAsia="Arial" w:hAnsi="Arial"/>
                <w:sz w:val="14"/>
                <w:szCs w:val="14"/>
                <w:color w:val="auto"/>
              </w:rPr>
              <w:t>Operating costs, excluding effects of PSC-type contracts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16.75</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12.00</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16.74</w:t>
            </w:r>
          </w:p>
        </w:tc>
        <w:tc>
          <w:tcPr>
            <w:tcW w:w="12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14.33</w:t>
            </w:r>
          </w:p>
        </w:tc>
      </w:tr>
    </w:tbl>
    <w:p>
      <w:pPr>
        <w:spacing w:after="0" w:line="203" w:lineRule="exact"/>
        <w:rPr>
          <w:sz w:val="20"/>
          <w:szCs w:val="20"/>
          <w:color w:val="auto"/>
        </w:rPr>
      </w:pPr>
    </w:p>
    <w:p>
      <w:pPr>
        <w:ind w:left="240" w:hanging="216"/>
        <w:spacing w:after="0"/>
        <w:tabs>
          <w:tab w:leader="none" w:pos="2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 Energy operating costs include purchases of fuel gas and electricity used in our operations and internal costs to produce electricity used in our fields.</w:t>
      </w:r>
    </w:p>
    <w:p>
      <w:pPr>
        <w:spacing w:after="0" w:line="24" w:lineRule="exact"/>
        <w:rPr>
          <w:rFonts w:ascii="Arial" w:cs="Arial" w:eastAsia="Arial" w:hAnsi="Arial"/>
          <w:sz w:val="14"/>
          <w:szCs w:val="14"/>
          <w:color w:val="auto"/>
        </w:rPr>
      </w:pPr>
    </w:p>
    <w:p>
      <w:pPr>
        <w:ind w:left="240" w:hanging="216"/>
        <w:spacing w:after="0"/>
        <w:tabs>
          <w:tab w:leader="none" w:pos="2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 Non-energy operating costs equal total operating costs less energy operating costs and gas processing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Page 17</w:t>
      </w:r>
    </w:p>
    <w:p>
      <w:pPr>
        <w:sectPr>
          <w:pgSz w:w="11900" w:h="16838" w:orient="portrait"/>
          <w:cols w:equalWidth="0" w:num="1">
            <w:col w:w="11100"/>
          </w:cols>
          <w:pgMar w:left="320" w:top="1093" w:right="479" w:bottom="1440" w:gutter="0" w:footer="0" w:header="0"/>
        </w:sectPr>
      </w:pPr>
    </w:p>
    <w:bookmarkStart w:id="21" w:name="page22"/>
    <w:bookmarkEnd w:id="21"/>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ind w:left="600"/>
              <w:spacing w:after="0"/>
              <w:rPr>
                <w:sz w:val="20"/>
                <w:szCs w:val="20"/>
                <w:color w:val="auto"/>
              </w:rPr>
            </w:pPr>
            <w:r>
              <w:rPr>
                <w:rFonts w:ascii="Arial" w:cs="Arial" w:eastAsia="Arial" w:hAnsi="Arial"/>
                <w:sz w:val="14"/>
                <w:szCs w:val="14"/>
                <w:b w:val="1"/>
                <w:bCs w:val="1"/>
                <w:color w:val="auto"/>
                <w:w w:val="99"/>
              </w:rPr>
              <w:t>Attachment 3</w:t>
            </w:r>
          </w:p>
        </w:tc>
        <w:tc>
          <w:tcPr>
            <w:tcW w:w="0" w:type="dxa"/>
            <w:vAlign w:val="bottom"/>
          </w:tcPr>
          <w:p>
            <w:pPr>
              <w:spacing w:after="0"/>
              <w:rPr>
                <w:sz w:val="1"/>
                <w:szCs w:val="1"/>
                <w:color w:val="auto"/>
              </w:rPr>
            </w:pPr>
          </w:p>
        </w:tc>
      </w:tr>
      <w:tr>
        <w:trPr>
          <w:trHeight w:val="20"/>
        </w:trPr>
        <w:tc>
          <w:tcPr>
            <w:tcW w:w="5100" w:type="dxa"/>
            <w:vAlign w:val="bottom"/>
            <w:tcBorders>
              <w:bottom w:val="single" w:sz="8" w:color="auto"/>
            </w:tcBorders>
            <w:gridSpan w:val="2"/>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100" w:type="dxa"/>
            <w:vAlign w:val="bottom"/>
            <w:gridSpan w:val="2"/>
          </w:tcPr>
          <w:p>
            <w:pPr>
              <w:ind w:left="20"/>
              <w:spacing w:after="0"/>
              <w:rPr>
                <w:sz w:val="20"/>
                <w:szCs w:val="20"/>
                <w:color w:val="auto"/>
              </w:rPr>
            </w:pPr>
            <w:r>
              <w:rPr>
                <w:rFonts w:ascii="Arial" w:cs="Arial" w:eastAsia="Arial" w:hAnsi="Arial"/>
                <w:sz w:val="14"/>
                <w:szCs w:val="14"/>
                <w:b w:val="1"/>
                <w:bCs w:val="1"/>
                <w:color w:val="auto"/>
              </w:rPr>
              <w:t>PRODUCTION STATISTICS</w:t>
            </w:r>
          </w:p>
        </w:tc>
        <w:tc>
          <w:tcPr>
            <w:tcW w:w="14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Successor</w:t>
            </w:r>
          </w:p>
        </w:tc>
        <w:tc>
          <w:tcPr>
            <w:tcW w:w="100" w:type="dxa"/>
            <w:vAlign w:val="bottom"/>
          </w:tcPr>
          <w:p>
            <w:pPr>
              <w:spacing w:after="0"/>
              <w:rPr>
                <w:sz w:val="15"/>
                <w:szCs w:val="15"/>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Predecessor</w:t>
            </w:r>
          </w:p>
        </w:tc>
        <w:tc>
          <w:tcPr>
            <w:tcW w:w="80" w:type="dxa"/>
            <w:vAlign w:val="bottom"/>
          </w:tcPr>
          <w:p>
            <w:pPr>
              <w:spacing w:after="0"/>
              <w:rPr>
                <w:sz w:val="15"/>
                <w:szCs w:val="15"/>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Successor</w:t>
            </w:r>
          </w:p>
        </w:tc>
        <w:tc>
          <w:tcPr>
            <w:tcW w:w="260" w:type="dxa"/>
            <w:vAlign w:val="bottom"/>
          </w:tcPr>
          <w:p>
            <w:pPr>
              <w:spacing w:after="0"/>
              <w:rPr>
                <w:sz w:val="15"/>
                <w:szCs w:val="15"/>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Predecessor</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100" w:type="dxa"/>
            <w:vAlign w:val="bottom"/>
            <w:gridSpan w:val="2"/>
          </w:tcPr>
          <w:p>
            <w:pPr>
              <w:ind w:left="20"/>
              <w:spacing w:after="0"/>
              <w:rPr>
                <w:sz w:val="20"/>
                <w:szCs w:val="20"/>
                <w:color w:val="auto"/>
              </w:rPr>
            </w:pPr>
            <w:r>
              <w:rPr>
                <w:rFonts w:ascii="Arial" w:cs="Arial" w:eastAsia="Arial" w:hAnsi="Arial"/>
                <w:sz w:val="14"/>
                <w:szCs w:val="14"/>
                <w:b w:val="1"/>
                <w:bCs w:val="1"/>
                <w:color w:val="auto"/>
              </w:rPr>
              <w:t>Net</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rPr>
              <w:t>2nd Quarter</w:t>
            </w:r>
          </w:p>
        </w:tc>
        <w:tc>
          <w:tcPr>
            <w:tcW w:w="100" w:type="dxa"/>
            <w:vAlign w:val="bottom"/>
          </w:tcPr>
          <w:p>
            <w:pPr>
              <w:spacing w:after="0"/>
              <w:rPr>
                <w:sz w:val="15"/>
                <w:szCs w:val="15"/>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rPr>
              <w:t>2nd Quarter</w:t>
            </w:r>
          </w:p>
        </w:tc>
        <w:tc>
          <w:tcPr>
            <w:tcW w:w="80" w:type="dxa"/>
            <w:vAlign w:val="bottom"/>
          </w:tcPr>
          <w:p>
            <w:pPr>
              <w:spacing w:after="0"/>
              <w:rPr>
                <w:sz w:val="15"/>
                <w:szCs w:val="15"/>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rPr>
              <w:t>Six Months</w:t>
            </w:r>
          </w:p>
        </w:tc>
        <w:tc>
          <w:tcPr>
            <w:tcW w:w="260" w:type="dxa"/>
            <w:vAlign w:val="bottom"/>
          </w:tcPr>
          <w:p>
            <w:pPr>
              <w:spacing w:after="0"/>
              <w:rPr>
                <w:sz w:val="15"/>
                <w:szCs w:val="15"/>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9"/>
              </w:rPr>
              <w:t>Six Months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5100" w:type="dxa"/>
            <w:vAlign w:val="bottom"/>
            <w:gridSpan w:val="2"/>
          </w:tcPr>
          <w:p>
            <w:pPr>
              <w:ind w:left="20"/>
              <w:spacing w:after="0"/>
              <w:rPr>
                <w:sz w:val="20"/>
                <w:szCs w:val="20"/>
                <w:color w:val="auto"/>
              </w:rPr>
            </w:pPr>
            <w:r>
              <w:rPr>
                <w:rFonts w:ascii="Arial" w:cs="Arial" w:eastAsia="Arial" w:hAnsi="Arial"/>
                <w:sz w:val="14"/>
                <w:szCs w:val="14"/>
                <w:b w:val="1"/>
                <w:bCs w:val="1"/>
                <w:color w:val="auto"/>
              </w:rPr>
              <w:t>Oil, NGLs and Natural Gas Production Per Day</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502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Oil (MBbl/d)</w:t>
            </w:r>
          </w:p>
        </w:tc>
        <w:tc>
          <w:tcPr>
            <w:tcW w:w="80" w:type="dxa"/>
            <w:vAlign w:val="bottom"/>
          </w:tcPr>
          <w:p>
            <w:pPr>
              <w:spacing w:after="0"/>
              <w:rPr>
                <w:sz w:val="15"/>
                <w:szCs w:val="15"/>
                <w:color w:val="auto"/>
              </w:rPr>
            </w:pPr>
          </w:p>
        </w:tc>
        <w:tc>
          <w:tcPr>
            <w:tcW w:w="14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39</w:t>
            </w:r>
          </w:p>
        </w:tc>
        <w:tc>
          <w:tcPr>
            <w:tcW w:w="100" w:type="dxa"/>
            <w:vAlign w:val="bottom"/>
          </w:tcPr>
          <w:p>
            <w:pPr>
              <w:spacing w:after="0"/>
              <w:rPr>
                <w:sz w:val="15"/>
                <w:szCs w:val="15"/>
                <w:color w:val="auto"/>
              </w:rPr>
            </w:pPr>
          </w:p>
        </w:tc>
        <w:tc>
          <w:tcPr>
            <w:tcW w:w="14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41</w:t>
            </w:r>
          </w:p>
        </w:tc>
        <w:tc>
          <w:tcPr>
            <w:tcW w:w="80" w:type="dxa"/>
            <w:vAlign w:val="bottom"/>
          </w:tcPr>
          <w:p>
            <w:pPr>
              <w:spacing w:after="0"/>
              <w:rPr>
                <w:sz w:val="15"/>
                <w:szCs w:val="15"/>
                <w:color w:val="auto"/>
              </w:rPr>
            </w:pPr>
          </w:p>
        </w:tc>
        <w:tc>
          <w:tcPr>
            <w:tcW w:w="14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38</w:t>
            </w:r>
          </w:p>
        </w:tc>
        <w:tc>
          <w:tcPr>
            <w:tcW w:w="260" w:type="dxa"/>
            <w:vAlign w:val="bottom"/>
          </w:tcPr>
          <w:p>
            <w:pPr>
              <w:spacing w:after="0"/>
              <w:rPr>
                <w:sz w:val="15"/>
                <w:szCs w:val="15"/>
                <w:color w:val="auto"/>
              </w:rPr>
            </w:pPr>
          </w:p>
        </w:tc>
        <w:tc>
          <w:tcPr>
            <w:tcW w:w="14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44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100" w:type="dxa"/>
            <w:vAlign w:val="bottom"/>
            <w:gridSpan w:val="2"/>
          </w:tcPr>
          <w:p>
            <w:pPr>
              <w:ind w:left="60"/>
              <w:spacing w:after="0"/>
              <w:rPr>
                <w:sz w:val="20"/>
                <w:szCs w:val="20"/>
                <w:color w:val="auto"/>
              </w:rPr>
            </w:pPr>
            <w:r>
              <w:rPr>
                <w:rFonts w:ascii="Arial" w:cs="Arial" w:eastAsia="Arial" w:hAnsi="Arial"/>
                <w:sz w:val="14"/>
                <w:szCs w:val="14"/>
                <w:color w:val="auto"/>
              </w:rPr>
              <w:t>San Joaquin Basin</w:t>
            </w:r>
          </w:p>
        </w:tc>
        <w:tc>
          <w:tcPr>
            <w:tcW w:w="14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5100" w:type="dxa"/>
            <w:vAlign w:val="bottom"/>
            <w:gridSpan w:val="2"/>
          </w:tcPr>
          <w:p>
            <w:pPr>
              <w:ind w:left="60"/>
              <w:spacing w:after="0"/>
              <w:rPr>
                <w:sz w:val="20"/>
                <w:szCs w:val="20"/>
                <w:color w:val="auto"/>
              </w:rPr>
            </w:pPr>
            <w:r>
              <w:rPr>
                <w:rFonts w:ascii="Arial" w:cs="Arial" w:eastAsia="Arial" w:hAnsi="Arial"/>
                <w:sz w:val="14"/>
                <w:szCs w:val="14"/>
                <w:color w:val="auto"/>
              </w:rPr>
              <w:t>Los Angeles Basin</w:t>
            </w: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19</w:t>
            </w:r>
          </w:p>
        </w:tc>
        <w:tc>
          <w:tcPr>
            <w:tcW w:w="1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27</w:t>
            </w:r>
          </w:p>
        </w:tc>
        <w:tc>
          <w:tcPr>
            <w:tcW w:w="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20</w:t>
            </w:r>
          </w:p>
        </w:tc>
        <w:tc>
          <w:tcPr>
            <w:tcW w:w="2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26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100" w:type="dxa"/>
            <w:vAlign w:val="bottom"/>
            <w:gridSpan w:val="2"/>
          </w:tcPr>
          <w:p>
            <w:pPr>
              <w:ind w:left="60"/>
              <w:spacing w:after="0"/>
              <w:rPr>
                <w:sz w:val="20"/>
                <w:szCs w:val="20"/>
                <w:color w:val="auto"/>
              </w:rPr>
            </w:pPr>
            <w:r>
              <w:rPr>
                <w:rFonts w:ascii="Arial" w:cs="Arial" w:eastAsia="Arial" w:hAnsi="Arial"/>
                <w:sz w:val="14"/>
                <w:szCs w:val="14"/>
                <w:color w:val="auto"/>
              </w:rPr>
              <w:t>Ventura Basin</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w:t>
            </w:r>
          </w:p>
        </w:tc>
        <w:tc>
          <w:tcPr>
            <w:tcW w:w="100" w:type="dxa"/>
            <w:vAlign w:val="bottom"/>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w:t>
            </w:r>
          </w:p>
        </w:tc>
        <w:tc>
          <w:tcPr>
            <w:tcW w:w="80" w:type="dxa"/>
            <w:vAlign w:val="bottom"/>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w:t>
            </w:r>
          </w:p>
        </w:tc>
        <w:tc>
          <w:tcPr>
            <w:tcW w:w="260" w:type="dxa"/>
            <w:vAlign w:val="bottom"/>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5100" w:type="dxa"/>
            <w:vAlign w:val="bottom"/>
            <w:gridSpan w:val="2"/>
          </w:tcPr>
          <w:p>
            <w:pPr>
              <w:ind w:left="60"/>
              <w:spacing w:after="0"/>
              <w:rPr>
                <w:sz w:val="20"/>
                <w:szCs w:val="20"/>
                <w:color w:val="auto"/>
              </w:rPr>
            </w:pPr>
            <w:r>
              <w:rPr>
                <w:rFonts w:ascii="Arial" w:cs="Arial" w:eastAsia="Arial" w:hAnsi="Arial"/>
                <w:sz w:val="14"/>
                <w:szCs w:val="14"/>
                <w:color w:val="auto"/>
              </w:rPr>
              <w:t>Total</w:t>
            </w: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61</w:t>
            </w:r>
          </w:p>
        </w:tc>
        <w:tc>
          <w:tcPr>
            <w:tcW w:w="1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70</w:t>
            </w:r>
          </w:p>
        </w:tc>
        <w:tc>
          <w:tcPr>
            <w:tcW w:w="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60</w:t>
            </w:r>
          </w:p>
        </w:tc>
        <w:tc>
          <w:tcPr>
            <w:tcW w:w="2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73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4"/>
        </w:trPr>
        <w:tc>
          <w:tcPr>
            <w:tcW w:w="5100" w:type="dxa"/>
            <w:vAlign w:val="bottom"/>
            <w:gridSpan w:val="2"/>
          </w:tcPr>
          <w:p>
            <w:pPr>
              <w:ind w:left="20"/>
              <w:spacing w:after="0"/>
              <w:rPr>
                <w:sz w:val="20"/>
                <w:szCs w:val="20"/>
                <w:color w:val="auto"/>
              </w:rPr>
            </w:pPr>
            <w:r>
              <w:rPr>
                <w:rFonts w:ascii="Arial" w:cs="Arial" w:eastAsia="Arial" w:hAnsi="Arial"/>
                <w:sz w:val="14"/>
                <w:szCs w:val="14"/>
                <w:b w:val="1"/>
                <w:bCs w:val="1"/>
                <w:color w:val="auto"/>
              </w:rPr>
              <w:t>NGLs (MBbl/d)</w:t>
            </w:r>
          </w:p>
        </w:tc>
        <w:tc>
          <w:tcPr>
            <w:tcW w:w="14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13</w:t>
            </w:r>
          </w:p>
        </w:tc>
        <w:tc>
          <w:tcPr>
            <w:tcW w:w="100" w:type="dxa"/>
            <w:vAlign w:val="bottom"/>
          </w:tcPr>
          <w:p>
            <w:pPr>
              <w:spacing w:after="0"/>
              <w:rPr>
                <w:sz w:val="24"/>
                <w:szCs w:val="24"/>
                <w:color w:val="auto"/>
              </w:rPr>
            </w:pPr>
          </w:p>
        </w:tc>
        <w:tc>
          <w:tcPr>
            <w:tcW w:w="14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13</w:t>
            </w:r>
          </w:p>
        </w:tc>
        <w:tc>
          <w:tcPr>
            <w:tcW w:w="80" w:type="dxa"/>
            <w:vAlign w:val="bottom"/>
          </w:tcPr>
          <w:p>
            <w:pPr>
              <w:spacing w:after="0"/>
              <w:rPr>
                <w:sz w:val="24"/>
                <w:szCs w:val="24"/>
                <w:color w:val="auto"/>
              </w:rPr>
            </w:pPr>
          </w:p>
        </w:tc>
        <w:tc>
          <w:tcPr>
            <w:tcW w:w="14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12</w:t>
            </w:r>
          </w:p>
        </w:tc>
        <w:tc>
          <w:tcPr>
            <w:tcW w:w="260" w:type="dxa"/>
            <w:vAlign w:val="bottom"/>
          </w:tcPr>
          <w:p>
            <w:pPr>
              <w:spacing w:after="0"/>
              <w:rPr>
                <w:sz w:val="24"/>
                <w:szCs w:val="24"/>
                <w:color w:val="auto"/>
              </w:rPr>
            </w:pPr>
          </w:p>
        </w:tc>
        <w:tc>
          <w:tcPr>
            <w:tcW w:w="14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5100" w:type="dxa"/>
            <w:vAlign w:val="bottom"/>
            <w:gridSpan w:val="2"/>
          </w:tcPr>
          <w:p>
            <w:pPr>
              <w:ind w:left="60"/>
              <w:spacing w:after="0"/>
              <w:rPr>
                <w:sz w:val="20"/>
                <w:szCs w:val="20"/>
                <w:color w:val="auto"/>
              </w:rPr>
            </w:pPr>
            <w:r>
              <w:rPr>
                <w:rFonts w:ascii="Arial" w:cs="Arial" w:eastAsia="Arial" w:hAnsi="Arial"/>
                <w:sz w:val="14"/>
                <w:szCs w:val="14"/>
                <w:color w:val="auto"/>
              </w:rPr>
              <w:t>San Joaquin Basin</w:t>
            </w:r>
          </w:p>
        </w:tc>
        <w:tc>
          <w:tcPr>
            <w:tcW w:w="14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5100" w:type="dxa"/>
            <w:vAlign w:val="bottom"/>
            <w:gridSpan w:val="2"/>
          </w:tcPr>
          <w:p>
            <w:pPr>
              <w:ind w:left="20"/>
              <w:spacing w:after="0"/>
              <w:rPr>
                <w:sz w:val="20"/>
                <w:szCs w:val="20"/>
                <w:color w:val="auto"/>
              </w:rPr>
            </w:pPr>
            <w:r>
              <w:rPr>
                <w:rFonts w:ascii="Arial" w:cs="Arial" w:eastAsia="Arial" w:hAnsi="Arial"/>
                <w:sz w:val="14"/>
                <w:szCs w:val="14"/>
                <w:color w:val="auto"/>
              </w:rPr>
              <w:t>Ventura Basin</w:t>
            </w:r>
          </w:p>
        </w:tc>
        <w:tc>
          <w:tcPr>
            <w:tcW w:w="15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4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260" w:type="dxa"/>
            <w:vAlign w:val="bottom"/>
          </w:tcPr>
          <w:p>
            <w:pPr>
              <w:spacing w:after="0"/>
              <w:rPr>
                <w:sz w:val="16"/>
                <w:szCs w:val="16"/>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1"/>
        </w:trPr>
        <w:tc>
          <w:tcPr>
            <w:tcW w:w="5100" w:type="dxa"/>
            <w:vAlign w:val="bottom"/>
            <w:gridSpan w:val="2"/>
          </w:tcPr>
          <w:p>
            <w:pPr>
              <w:ind w:left="60"/>
              <w:spacing w:after="0"/>
              <w:rPr>
                <w:sz w:val="20"/>
                <w:szCs w:val="20"/>
                <w:color w:val="auto"/>
              </w:rPr>
            </w:pPr>
            <w:r>
              <w:rPr>
                <w:rFonts w:ascii="Arial" w:cs="Arial" w:eastAsia="Arial" w:hAnsi="Arial"/>
                <w:sz w:val="14"/>
                <w:szCs w:val="14"/>
                <w:color w:val="auto"/>
              </w:rPr>
              <w:t>Total</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13</w:t>
            </w:r>
          </w:p>
        </w:tc>
        <w:tc>
          <w:tcPr>
            <w:tcW w:w="100" w:type="dxa"/>
            <w:vAlign w:val="bottom"/>
          </w:tcPr>
          <w:p>
            <w:pPr>
              <w:spacing w:after="0"/>
              <w:rPr>
                <w:sz w:val="15"/>
                <w:szCs w:val="15"/>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13</w:t>
            </w:r>
          </w:p>
        </w:tc>
        <w:tc>
          <w:tcPr>
            <w:tcW w:w="80" w:type="dxa"/>
            <w:vAlign w:val="bottom"/>
          </w:tcPr>
          <w:p>
            <w:pPr>
              <w:spacing w:after="0"/>
              <w:rPr>
                <w:sz w:val="15"/>
                <w:szCs w:val="15"/>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13</w:t>
            </w:r>
          </w:p>
        </w:tc>
        <w:tc>
          <w:tcPr>
            <w:tcW w:w="260" w:type="dxa"/>
            <w:vAlign w:val="bottom"/>
          </w:tcPr>
          <w:p>
            <w:pPr>
              <w:spacing w:after="0"/>
              <w:rPr>
                <w:sz w:val="15"/>
                <w:szCs w:val="15"/>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4"/>
        </w:trPr>
        <w:tc>
          <w:tcPr>
            <w:tcW w:w="5100" w:type="dxa"/>
            <w:vAlign w:val="bottom"/>
            <w:gridSpan w:val="2"/>
          </w:tcPr>
          <w:p>
            <w:pPr>
              <w:ind w:left="20"/>
              <w:spacing w:after="0"/>
              <w:rPr>
                <w:sz w:val="20"/>
                <w:szCs w:val="20"/>
                <w:color w:val="auto"/>
              </w:rPr>
            </w:pPr>
            <w:r>
              <w:rPr>
                <w:rFonts w:ascii="Arial" w:cs="Arial" w:eastAsia="Arial" w:hAnsi="Arial"/>
                <w:sz w:val="14"/>
                <w:szCs w:val="14"/>
                <w:b w:val="1"/>
                <w:bCs w:val="1"/>
                <w:color w:val="auto"/>
              </w:rPr>
              <w:t>Natural Gas (MMcf/d)</w:t>
            </w:r>
          </w:p>
        </w:tc>
        <w:tc>
          <w:tcPr>
            <w:tcW w:w="14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135</w:t>
            </w:r>
          </w:p>
        </w:tc>
        <w:tc>
          <w:tcPr>
            <w:tcW w:w="100" w:type="dxa"/>
            <w:vAlign w:val="bottom"/>
          </w:tcPr>
          <w:p>
            <w:pPr>
              <w:spacing w:after="0"/>
              <w:rPr>
                <w:sz w:val="24"/>
                <w:szCs w:val="24"/>
                <w:color w:val="auto"/>
              </w:rPr>
            </w:pPr>
          </w:p>
        </w:tc>
        <w:tc>
          <w:tcPr>
            <w:tcW w:w="14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148</w:t>
            </w:r>
          </w:p>
        </w:tc>
        <w:tc>
          <w:tcPr>
            <w:tcW w:w="80" w:type="dxa"/>
            <w:vAlign w:val="bottom"/>
          </w:tcPr>
          <w:p>
            <w:pPr>
              <w:spacing w:after="0"/>
              <w:rPr>
                <w:sz w:val="24"/>
                <w:szCs w:val="24"/>
                <w:color w:val="auto"/>
              </w:rPr>
            </w:pPr>
          </w:p>
        </w:tc>
        <w:tc>
          <w:tcPr>
            <w:tcW w:w="14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135</w:t>
            </w:r>
          </w:p>
        </w:tc>
        <w:tc>
          <w:tcPr>
            <w:tcW w:w="260" w:type="dxa"/>
            <w:vAlign w:val="bottom"/>
          </w:tcPr>
          <w:p>
            <w:pPr>
              <w:spacing w:after="0"/>
              <w:rPr>
                <w:sz w:val="24"/>
                <w:szCs w:val="24"/>
                <w:color w:val="auto"/>
              </w:rPr>
            </w:pPr>
          </w:p>
        </w:tc>
        <w:tc>
          <w:tcPr>
            <w:tcW w:w="14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151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5100" w:type="dxa"/>
            <w:vAlign w:val="bottom"/>
            <w:gridSpan w:val="2"/>
          </w:tcPr>
          <w:p>
            <w:pPr>
              <w:ind w:left="60"/>
              <w:spacing w:after="0"/>
              <w:rPr>
                <w:sz w:val="20"/>
                <w:szCs w:val="20"/>
                <w:color w:val="auto"/>
              </w:rPr>
            </w:pPr>
            <w:r>
              <w:rPr>
                <w:rFonts w:ascii="Arial" w:cs="Arial" w:eastAsia="Arial" w:hAnsi="Arial"/>
                <w:sz w:val="14"/>
                <w:szCs w:val="14"/>
                <w:color w:val="auto"/>
              </w:rPr>
              <w:t>San Joaquin Basin</w:t>
            </w:r>
          </w:p>
        </w:tc>
        <w:tc>
          <w:tcPr>
            <w:tcW w:w="14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5100" w:type="dxa"/>
            <w:vAlign w:val="bottom"/>
            <w:gridSpan w:val="2"/>
          </w:tcPr>
          <w:p>
            <w:pPr>
              <w:ind w:left="60"/>
              <w:spacing w:after="0"/>
              <w:rPr>
                <w:sz w:val="20"/>
                <w:szCs w:val="20"/>
                <w:color w:val="auto"/>
              </w:rPr>
            </w:pPr>
            <w:r>
              <w:rPr>
                <w:rFonts w:ascii="Arial" w:cs="Arial" w:eastAsia="Arial" w:hAnsi="Arial"/>
                <w:sz w:val="14"/>
                <w:szCs w:val="14"/>
                <w:color w:val="auto"/>
              </w:rPr>
              <w:t>Los Angeles Basin</w:t>
            </w: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2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100" w:type="dxa"/>
            <w:vAlign w:val="bottom"/>
            <w:gridSpan w:val="2"/>
          </w:tcPr>
          <w:p>
            <w:pPr>
              <w:ind w:left="60"/>
              <w:spacing w:after="0"/>
              <w:rPr>
                <w:sz w:val="20"/>
                <w:szCs w:val="20"/>
                <w:color w:val="auto"/>
              </w:rPr>
            </w:pPr>
            <w:r>
              <w:rPr>
                <w:rFonts w:ascii="Arial" w:cs="Arial" w:eastAsia="Arial" w:hAnsi="Arial"/>
                <w:sz w:val="14"/>
                <w:szCs w:val="14"/>
                <w:color w:val="auto"/>
              </w:rPr>
              <w:t>Ventura Basin</w:t>
            </w: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5</w:t>
            </w:r>
          </w:p>
        </w:tc>
        <w:tc>
          <w:tcPr>
            <w:tcW w:w="1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3</w:t>
            </w:r>
          </w:p>
        </w:tc>
        <w:tc>
          <w:tcPr>
            <w:tcW w:w="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5</w:t>
            </w:r>
          </w:p>
        </w:tc>
        <w:tc>
          <w:tcPr>
            <w:tcW w:w="2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100" w:type="dxa"/>
            <w:vAlign w:val="bottom"/>
            <w:gridSpan w:val="2"/>
          </w:tcPr>
          <w:p>
            <w:pPr>
              <w:ind w:left="60"/>
              <w:spacing w:after="0"/>
              <w:rPr>
                <w:sz w:val="20"/>
                <w:szCs w:val="20"/>
                <w:color w:val="auto"/>
              </w:rPr>
            </w:pPr>
            <w:r>
              <w:rPr>
                <w:rFonts w:ascii="Arial" w:cs="Arial" w:eastAsia="Arial" w:hAnsi="Arial"/>
                <w:sz w:val="14"/>
                <w:szCs w:val="14"/>
                <w:color w:val="auto"/>
              </w:rPr>
              <w:t>Sacramento Basin</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w:t>
            </w:r>
          </w:p>
        </w:tc>
        <w:tc>
          <w:tcPr>
            <w:tcW w:w="100" w:type="dxa"/>
            <w:vAlign w:val="bottom"/>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w:t>
            </w:r>
          </w:p>
        </w:tc>
        <w:tc>
          <w:tcPr>
            <w:tcW w:w="80" w:type="dxa"/>
            <w:vAlign w:val="bottom"/>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w:t>
            </w:r>
          </w:p>
        </w:tc>
        <w:tc>
          <w:tcPr>
            <w:tcW w:w="260" w:type="dxa"/>
            <w:vAlign w:val="bottom"/>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5100" w:type="dxa"/>
            <w:vAlign w:val="bottom"/>
            <w:gridSpan w:val="2"/>
          </w:tcPr>
          <w:p>
            <w:pPr>
              <w:ind w:left="60"/>
              <w:spacing w:after="0"/>
              <w:rPr>
                <w:sz w:val="20"/>
                <w:szCs w:val="20"/>
                <w:color w:val="auto"/>
              </w:rPr>
            </w:pPr>
            <w:r>
              <w:rPr>
                <w:rFonts w:ascii="Arial" w:cs="Arial" w:eastAsia="Arial" w:hAnsi="Arial"/>
                <w:sz w:val="14"/>
                <w:szCs w:val="14"/>
                <w:color w:val="auto"/>
              </w:rPr>
              <w:t>Total</w:t>
            </w: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161</w:t>
            </w:r>
          </w:p>
        </w:tc>
        <w:tc>
          <w:tcPr>
            <w:tcW w:w="1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174</w:t>
            </w:r>
          </w:p>
        </w:tc>
        <w:tc>
          <w:tcPr>
            <w:tcW w:w="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161</w:t>
            </w:r>
          </w:p>
        </w:tc>
        <w:tc>
          <w:tcPr>
            <w:tcW w:w="2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179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5100" w:type="dxa"/>
            <w:vAlign w:val="bottom"/>
            <w:gridSpan w:val="2"/>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510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 Production (MBoe/d)</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101</w:t>
            </w:r>
          </w:p>
        </w:tc>
        <w:tc>
          <w:tcPr>
            <w:tcW w:w="100" w:type="dxa"/>
            <w:vAlign w:val="bottom"/>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112</w:t>
            </w:r>
          </w:p>
        </w:tc>
        <w:tc>
          <w:tcPr>
            <w:tcW w:w="80" w:type="dxa"/>
            <w:vAlign w:val="bottom"/>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100</w:t>
            </w:r>
          </w:p>
        </w:tc>
        <w:tc>
          <w:tcPr>
            <w:tcW w:w="260" w:type="dxa"/>
            <w:vAlign w:val="bottom"/>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Successor</w:t>
            </w:r>
          </w:p>
        </w:tc>
        <w:tc>
          <w:tcPr>
            <w:tcW w:w="100" w:type="dxa"/>
            <w:vAlign w:val="bottom"/>
          </w:tcPr>
          <w:p>
            <w:pPr>
              <w:spacing w:after="0"/>
              <w:rPr>
                <w:sz w:val="15"/>
                <w:szCs w:val="15"/>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Predecessor</w:t>
            </w:r>
          </w:p>
        </w:tc>
        <w:tc>
          <w:tcPr>
            <w:tcW w:w="80" w:type="dxa"/>
            <w:vAlign w:val="bottom"/>
          </w:tcPr>
          <w:p>
            <w:pPr>
              <w:spacing w:after="0"/>
              <w:rPr>
                <w:sz w:val="15"/>
                <w:szCs w:val="15"/>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Successor</w:t>
            </w:r>
          </w:p>
        </w:tc>
        <w:tc>
          <w:tcPr>
            <w:tcW w:w="260" w:type="dxa"/>
            <w:vAlign w:val="bottom"/>
          </w:tcPr>
          <w:p>
            <w:pPr>
              <w:spacing w:after="0"/>
              <w:rPr>
                <w:sz w:val="15"/>
                <w:szCs w:val="15"/>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Predecessor</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100" w:type="dxa"/>
            <w:vAlign w:val="bottom"/>
            <w:gridSpan w:val="2"/>
          </w:tcPr>
          <w:p>
            <w:pPr>
              <w:ind w:left="20"/>
              <w:spacing w:after="0"/>
              <w:rPr>
                <w:sz w:val="20"/>
                <w:szCs w:val="20"/>
                <w:color w:val="auto"/>
              </w:rPr>
            </w:pPr>
            <w:r>
              <w:rPr>
                <w:rFonts w:ascii="Arial" w:cs="Arial" w:eastAsia="Arial" w:hAnsi="Arial"/>
                <w:sz w:val="14"/>
                <w:szCs w:val="14"/>
                <w:b w:val="1"/>
                <w:bCs w:val="1"/>
                <w:color w:val="auto"/>
              </w:rPr>
              <w:t>Gross Operated and Net Non-Operated</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rPr>
              <w:t>2nd Quarter</w:t>
            </w:r>
          </w:p>
        </w:tc>
        <w:tc>
          <w:tcPr>
            <w:tcW w:w="100" w:type="dxa"/>
            <w:vAlign w:val="bottom"/>
          </w:tcPr>
          <w:p>
            <w:pPr>
              <w:spacing w:after="0"/>
              <w:rPr>
                <w:sz w:val="15"/>
                <w:szCs w:val="15"/>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rPr>
              <w:t>2nd Quarter</w:t>
            </w:r>
          </w:p>
        </w:tc>
        <w:tc>
          <w:tcPr>
            <w:tcW w:w="80" w:type="dxa"/>
            <w:vAlign w:val="bottom"/>
          </w:tcPr>
          <w:p>
            <w:pPr>
              <w:spacing w:after="0"/>
              <w:rPr>
                <w:sz w:val="15"/>
                <w:szCs w:val="15"/>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rPr>
              <w:t>Six Months</w:t>
            </w:r>
          </w:p>
        </w:tc>
        <w:tc>
          <w:tcPr>
            <w:tcW w:w="260" w:type="dxa"/>
            <w:vAlign w:val="bottom"/>
          </w:tcPr>
          <w:p>
            <w:pPr>
              <w:spacing w:after="0"/>
              <w:rPr>
                <w:sz w:val="15"/>
                <w:szCs w:val="15"/>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9"/>
              </w:rPr>
              <w:t>Six Months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5100" w:type="dxa"/>
            <w:vAlign w:val="bottom"/>
            <w:gridSpan w:val="2"/>
          </w:tcPr>
          <w:p>
            <w:pPr>
              <w:ind w:left="20"/>
              <w:spacing w:after="0"/>
              <w:rPr>
                <w:sz w:val="20"/>
                <w:szCs w:val="20"/>
                <w:color w:val="auto"/>
              </w:rPr>
            </w:pPr>
            <w:r>
              <w:rPr>
                <w:rFonts w:ascii="Arial" w:cs="Arial" w:eastAsia="Arial" w:hAnsi="Arial"/>
                <w:sz w:val="14"/>
                <w:szCs w:val="14"/>
                <w:b w:val="1"/>
                <w:bCs w:val="1"/>
                <w:color w:val="auto"/>
              </w:rPr>
              <w:t>Oil, NGLs and Natural Gas Production Per Day</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502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Oil (MBbl/d)</w:t>
            </w:r>
          </w:p>
        </w:tc>
        <w:tc>
          <w:tcPr>
            <w:tcW w:w="80" w:type="dxa"/>
            <w:vAlign w:val="bottom"/>
          </w:tcPr>
          <w:p>
            <w:pPr>
              <w:spacing w:after="0"/>
              <w:rPr>
                <w:sz w:val="15"/>
                <w:szCs w:val="15"/>
                <w:color w:val="auto"/>
              </w:rPr>
            </w:pPr>
          </w:p>
        </w:tc>
        <w:tc>
          <w:tcPr>
            <w:tcW w:w="14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45</w:t>
            </w:r>
          </w:p>
        </w:tc>
        <w:tc>
          <w:tcPr>
            <w:tcW w:w="100" w:type="dxa"/>
            <w:vAlign w:val="bottom"/>
          </w:tcPr>
          <w:p>
            <w:pPr>
              <w:spacing w:after="0"/>
              <w:rPr>
                <w:sz w:val="15"/>
                <w:szCs w:val="15"/>
                <w:color w:val="auto"/>
              </w:rPr>
            </w:pPr>
          </w:p>
        </w:tc>
        <w:tc>
          <w:tcPr>
            <w:tcW w:w="14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48</w:t>
            </w:r>
          </w:p>
        </w:tc>
        <w:tc>
          <w:tcPr>
            <w:tcW w:w="80" w:type="dxa"/>
            <w:vAlign w:val="bottom"/>
          </w:tcPr>
          <w:p>
            <w:pPr>
              <w:spacing w:after="0"/>
              <w:rPr>
                <w:sz w:val="15"/>
                <w:szCs w:val="15"/>
                <w:color w:val="auto"/>
              </w:rPr>
            </w:pPr>
          </w:p>
        </w:tc>
        <w:tc>
          <w:tcPr>
            <w:tcW w:w="14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45</w:t>
            </w:r>
          </w:p>
        </w:tc>
        <w:tc>
          <w:tcPr>
            <w:tcW w:w="260" w:type="dxa"/>
            <w:vAlign w:val="bottom"/>
          </w:tcPr>
          <w:p>
            <w:pPr>
              <w:spacing w:after="0"/>
              <w:rPr>
                <w:sz w:val="15"/>
                <w:szCs w:val="15"/>
                <w:color w:val="auto"/>
              </w:rPr>
            </w:pPr>
          </w:p>
        </w:tc>
        <w:tc>
          <w:tcPr>
            <w:tcW w:w="14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51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100" w:type="dxa"/>
            <w:vAlign w:val="bottom"/>
            <w:gridSpan w:val="2"/>
          </w:tcPr>
          <w:p>
            <w:pPr>
              <w:ind w:left="60"/>
              <w:spacing w:after="0"/>
              <w:rPr>
                <w:sz w:val="20"/>
                <w:szCs w:val="20"/>
                <w:color w:val="auto"/>
              </w:rPr>
            </w:pPr>
            <w:r>
              <w:rPr>
                <w:rFonts w:ascii="Arial" w:cs="Arial" w:eastAsia="Arial" w:hAnsi="Arial"/>
                <w:sz w:val="14"/>
                <w:szCs w:val="14"/>
                <w:color w:val="auto"/>
              </w:rPr>
              <w:t>San Joaquin Basin</w:t>
            </w:r>
          </w:p>
        </w:tc>
        <w:tc>
          <w:tcPr>
            <w:tcW w:w="14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5100" w:type="dxa"/>
            <w:vAlign w:val="bottom"/>
            <w:gridSpan w:val="2"/>
          </w:tcPr>
          <w:p>
            <w:pPr>
              <w:ind w:left="60"/>
              <w:spacing w:after="0"/>
              <w:rPr>
                <w:sz w:val="20"/>
                <w:szCs w:val="20"/>
                <w:color w:val="auto"/>
              </w:rPr>
            </w:pPr>
            <w:r>
              <w:rPr>
                <w:rFonts w:ascii="Arial" w:cs="Arial" w:eastAsia="Arial" w:hAnsi="Arial"/>
                <w:sz w:val="14"/>
                <w:szCs w:val="14"/>
                <w:color w:val="auto"/>
              </w:rPr>
              <w:t>Los Angeles Basin</w:t>
            </w: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27</w:t>
            </w:r>
          </w:p>
        </w:tc>
        <w:tc>
          <w:tcPr>
            <w:tcW w:w="1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30</w:t>
            </w:r>
          </w:p>
        </w:tc>
        <w:tc>
          <w:tcPr>
            <w:tcW w:w="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27</w:t>
            </w:r>
          </w:p>
        </w:tc>
        <w:tc>
          <w:tcPr>
            <w:tcW w:w="2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100" w:type="dxa"/>
            <w:vAlign w:val="bottom"/>
            <w:gridSpan w:val="2"/>
          </w:tcPr>
          <w:p>
            <w:pPr>
              <w:ind w:left="60"/>
              <w:spacing w:after="0"/>
              <w:rPr>
                <w:sz w:val="20"/>
                <w:szCs w:val="20"/>
                <w:color w:val="auto"/>
              </w:rPr>
            </w:pPr>
            <w:r>
              <w:rPr>
                <w:rFonts w:ascii="Arial" w:cs="Arial" w:eastAsia="Arial" w:hAnsi="Arial"/>
                <w:sz w:val="14"/>
                <w:szCs w:val="14"/>
                <w:color w:val="auto"/>
              </w:rPr>
              <w:t>Ventura Basin</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w:t>
            </w:r>
          </w:p>
        </w:tc>
        <w:tc>
          <w:tcPr>
            <w:tcW w:w="100" w:type="dxa"/>
            <w:vAlign w:val="bottom"/>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w:t>
            </w:r>
          </w:p>
        </w:tc>
        <w:tc>
          <w:tcPr>
            <w:tcW w:w="80" w:type="dxa"/>
            <w:vAlign w:val="bottom"/>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w:t>
            </w:r>
          </w:p>
        </w:tc>
        <w:tc>
          <w:tcPr>
            <w:tcW w:w="260" w:type="dxa"/>
            <w:vAlign w:val="bottom"/>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5100" w:type="dxa"/>
            <w:vAlign w:val="bottom"/>
            <w:gridSpan w:val="2"/>
          </w:tcPr>
          <w:p>
            <w:pPr>
              <w:ind w:left="60"/>
              <w:spacing w:after="0"/>
              <w:rPr>
                <w:sz w:val="20"/>
                <w:szCs w:val="20"/>
                <w:color w:val="auto"/>
              </w:rPr>
            </w:pPr>
            <w:r>
              <w:rPr>
                <w:rFonts w:ascii="Arial" w:cs="Arial" w:eastAsia="Arial" w:hAnsi="Arial"/>
                <w:sz w:val="14"/>
                <w:szCs w:val="14"/>
                <w:color w:val="auto"/>
              </w:rPr>
              <w:t>Total</w:t>
            </w: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75</w:t>
            </w:r>
          </w:p>
        </w:tc>
        <w:tc>
          <w:tcPr>
            <w:tcW w:w="1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80</w:t>
            </w:r>
          </w:p>
        </w:tc>
        <w:tc>
          <w:tcPr>
            <w:tcW w:w="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75</w:t>
            </w:r>
          </w:p>
        </w:tc>
        <w:tc>
          <w:tcPr>
            <w:tcW w:w="2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85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4"/>
        </w:trPr>
        <w:tc>
          <w:tcPr>
            <w:tcW w:w="5100" w:type="dxa"/>
            <w:vAlign w:val="bottom"/>
            <w:gridSpan w:val="2"/>
          </w:tcPr>
          <w:p>
            <w:pPr>
              <w:ind w:left="20"/>
              <w:spacing w:after="0"/>
              <w:rPr>
                <w:sz w:val="20"/>
                <w:szCs w:val="20"/>
                <w:color w:val="auto"/>
              </w:rPr>
            </w:pPr>
            <w:r>
              <w:rPr>
                <w:rFonts w:ascii="Arial" w:cs="Arial" w:eastAsia="Arial" w:hAnsi="Arial"/>
                <w:sz w:val="14"/>
                <w:szCs w:val="14"/>
                <w:b w:val="1"/>
                <w:bCs w:val="1"/>
                <w:color w:val="auto"/>
              </w:rPr>
              <w:t>NGLs (MBbl/d)</w:t>
            </w:r>
          </w:p>
        </w:tc>
        <w:tc>
          <w:tcPr>
            <w:tcW w:w="14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14</w:t>
            </w:r>
          </w:p>
        </w:tc>
        <w:tc>
          <w:tcPr>
            <w:tcW w:w="100" w:type="dxa"/>
            <w:vAlign w:val="bottom"/>
          </w:tcPr>
          <w:p>
            <w:pPr>
              <w:spacing w:after="0"/>
              <w:rPr>
                <w:sz w:val="24"/>
                <w:szCs w:val="24"/>
                <w:color w:val="auto"/>
              </w:rPr>
            </w:pPr>
          </w:p>
        </w:tc>
        <w:tc>
          <w:tcPr>
            <w:tcW w:w="14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14</w:t>
            </w:r>
          </w:p>
        </w:tc>
        <w:tc>
          <w:tcPr>
            <w:tcW w:w="80" w:type="dxa"/>
            <w:vAlign w:val="bottom"/>
          </w:tcPr>
          <w:p>
            <w:pPr>
              <w:spacing w:after="0"/>
              <w:rPr>
                <w:sz w:val="24"/>
                <w:szCs w:val="24"/>
                <w:color w:val="auto"/>
              </w:rPr>
            </w:pPr>
          </w:p>
        </w:tc>
        <w:tc>
          <w:tcPr>
            <w:tcW w:w="14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12</w:t>
            </w:r>
          </w:p>
        </w:tc>
        <w:tc>
          <w:tcPr>
            <w:tcW w:w="260" w:type="dxa"/>
            <w:vAlign w:val="bottom"/>
          </w:tcPr>
          <w:p>
            <w:pPr>
              <w:spacing w:after="0"/>
              <w:rPr>
                <w:sz w:val="24"/>
                <w:szCs w:val="24"/>
                <w:color w:val="auto"/>
              </w:rPr>
            </w:pPr>
          </w:p>
        </w:tc>
        <w:tc>
          <w:tcPr>
            <w:tcW w:w="14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5100" w:type="dxa"/>
            <w:vAlign w:val="bottom"/>
            <w:gridSpan w:val="2"/>
          </w:tcPr>
          <w:p>
            <w:pPr>
              <w:ind w:left="60"/>
              <w:spacing w:after="0"/>
              <w:rPr>
                <w:sz w:val="20"/>
                <w:szCs w:val="20"/>
                <w:color w:val="auto"/>
              </w:rPr>
            </w:pPr>
            <w:r>
              <w:rPr>
                <w:rFonts w:ascii="Arial" w:cs="Arial" w:eastAsia="Arial" w:hAnsi="Arial"/>
                <w:sz w:val="14"/>
                <w:szCs w:val="14"/>
                <w:color w:val="auto"/>
              </w:rPr>
              <w:t>San Joaquin Basin</w:t>
            </w:r>
          </w:p>
        </w:tc>
        <w:tc>
          <w:tcPr>
            <w:tcW w:w="14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5100" w:type="dxa"/>
            <w:vAlign w:val="bottom"/>
            <w:gridSpan w:val="2"/>
          </w:tcPr>
          <w:p>
            <w:pPr>
              <w:ind w:left="20"/>
              <w:spacing w:after="0"/>
              <w:rPr>
                <w:sz w:val="20"/>
                <w:szCs w:val="20"/>
                <w:color w:val="auto"/>
              </w:rPr>
            </w:pPr>
            <w:r>
              <w:rPr>
                <w:rFonts w:ascii="Arial" w:cs="Arial" w:eastAsia="Arial" w:hAnsi="Arial"/>
                <w:sz w:val="14"/>
                <w:szCs w:val="14"/>
                <w:color w:val="auto"/>
              </w:rPr>
              <w:t>Ventura Basin</w:t>
            </w:r>
          </w:p>
        </w:tc>
        <w:tc>
          <w:tcPr>
            <w:tcW w:w="15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4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260" w:type="dxa"/>
            <w:vAlign w:val="bottom"/>
          </w:tcPr>
          <w:p>
            <w:pPr>
              <w:spacing w:after="0"/>
              <w:rPr>
                <w:sz w:val="16"/>
                <w:szCs w:val="16"/>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1"/>
        </w:trPr>
        <w:tc>
          <w:tcPr>
            <w:tcW w:w="5100" w:type="dxa"/>
            <w:vAlign w:val="bottom"/>
            <w:gridSpan w:val="2"/>
          </w:tcPr>
          <w:p>
            <w:pPr>
              <w:ind w:left="60"/>
              <w:spacing w:after="0"/>
              <w:rPr>
                <w:sz w:val="20"/>
                <w:szCs w:val="20"/>
                <w:color w:val="auto"/>
              </w:rPr>
            </w:pPr>
            <w:r>
              <w:rPr>
                <w:rFonts w:ascii="Arial" w:cs="Arial" w:eastAsia="Arial" w:hAnsi="Arial"/>
                <w:sz w:val="14"/>
                <w:szCs w:val="14"/>
                <w:color w:val="auto"/>
              </w:rPr>
              <w:t>Total</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14</w:t>
            </w:r>
          </w:p>
        </w:tc>
        <w:tc>
          <w:tcPr>
            <w:tcW w:w="100" w:type="dxa"/>
            <w:vAlign w:val="bottom"/>
          </w:tcPr>
          <w:p>
            <w:pPr>
              <w:spacing w:after="0"/>
              <w:rPr>
                <w:sz w:val="15"/>
                <w:szCs w:val="15"/>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14</w:t>
            </w:r>
          </w:p>
        </w:tc>
        <w:tc>
          <w:tcPr>
            <w:tcW w:w="80" w:type="dxa"/>
            <w:vAlign w:val="bottom"/>
          </w:tcPr>
          <w:p>
            <w:pPr>
              <w:spacing w:after="0"/>
              <w:rPr>
                <w:sz w:val="15"/>
                <w:szCs w:val="15"/>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13</w:t>
            </w:r>
          </w:p>
        </w:tc>
        <w:tc>
          <w:tcPr>
            <w:tcW w:w="260" w:type="dxa"/>
            <w:vAlign w:val="bottom"/>
          </w:tcPr>
          <w:p>
            <w:pPr>
              <w:spacing w:after="0"/>
              <w:rPr>
                <w:sz w:val="15"/>
                <w:szCs w:val="15"/>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4"/>
        </w:trPr>
        <w:tc>
          <w:tcPr>
            <w:tcW w:w="5100" w:type="dxa"/>
            <w:vAlign w:val="bottom"/>
            <w:gridSpan w:val="2"/>
          </w:tcPr>
          <w:p>
            <w:pPr>
              <w:ind w:left="20"/>
              <w:spacing w:after="0"/>
              <w:rPr>
                <w:sz w:val="20"/>
                <w:szCs w:val="20"/>
                <w:color w:val="auto"/>
              </w:rPr>
            </w:pPr>
            <w:r>
              <w:rPr>
                <w:rFonts w:ascii="Arial" w:cs="Arial" w:eastAsia="Arial" w:hAnsi="Arial"/>
                <w:sz w:val="14"/>
                <w:szCs w:val="14"/>
                <w:b w:val="1"/>
                <w:bCs w:val="1"/>
                <w:color w:val="auto"/>
              </w:rPr>
              <w:t>Natural Gas (MMcf/d)</w:t>
            </w:r>
          </w:p>
        </w:tc>
        <w:tc>
          <w:tcPr>
            <w:tcW w:w="14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144</w:t>
            </w:r>
          </w:p>
        </w:tc>
        <w:tc>
          <w:tcPr>
            <w:tcW w:w="100" w:type="dxa"/>
            <w:vAlign w:val="bottom"/>
          </w:tcPr>
          <w:p>
            <w:pPr>
              <w:spacing w:after="0"/>
              <w:rPr>
                <w:sz w:val="24"/>
                <w:szCs w:val="24"/>
                <w:color w:val="auto"/>
              </w:rPr>
            </w:pPr>
          </w:p>
        </w:tc>
        <w:tc>
          <w:tcPr>
            <w:tcW w:w="14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158</w:t>
            </w:r>
          </w:p>
        </w:tc>
        <w:tc>
          <w:tcPr>
            <w:tcW w:w="80" w:type="dxa"/>
            <w:vAlign w:val="bottom"/>
          </w:tcPr>
          <w:p>
            <w:pPr>
              <w:spacing w:after="0"/>
              <w:rPr>
                <w:sz w:val="24"/>
                <w:szCs w:val="24"/>
                <w:color w:val="auto"/>
              </w:rPr>
            </w:pPr>
          </w:p>
        </w:tc>
        <w:tc>
          <w:tcPr>
            <w:tcW w:w="14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144</w:t>
            </w:r>
          </w:p>
        </w:tc>
        <w:tc>
          <w:tcPr>
            <w:tcW w:w="260" w:type="dxa"/>
            <w:vAlign w:val="bottom"/>
          </w:tcPr>
          <w:p>
            <w:pPr>
              <w:spacing w:after="0"/>
              <w:rPr>
                <w:sz w:val="24"/>
                <w:szCs w:val="24"/>
                <w:color w:val="auto"/>
              </w:rPr>
            </w:pPr>
          </w:p>
        </w:tc>
        <w:tc>
          <w:tcPr>
            <w:tcW w:w="14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160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5100" w:type="dxa"/>
            <w:vAlign w:val="bottom"/>
            <w:gridSpan w:val="2"/>
          </w:tcPr>
          <w:p>
            <w:pPr>
              <w:ind w:left="60"/>
              <w:spacing w:after="0"/>
              <w:rPr>
                <w:sz w:val="20"/>
                <w:szCs w:val="20"/>
                <w:color w:val="auto"/>
              </w:rPr>
            </w:pPr>
            <w:r>
              <w:rPr>
                <w:rFonts w:ascii="Arial" w:cs="Arial" w:eastAsia="Arial" w:hAnsi="Arial"/>
                <w:sz w:val="14"/>
                <w:szCs w:val="14"/>
                <w:color w:val="auto"/>
              </w:rPr>
              <w:t>San Joaquin Basin</w:t>
            </w:r>
          </w:p>
        </w:tc>
        <w:tc>
          <w:tcPr>
            <w:tcW w:w="14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5100" w:type="dxa"/>
            <w:vAlign w:val="bottom"/>
            <w:gridSpan w:val="2"/>
          </w:tcPr>
          <w:p>
            <w:pPr>
              <w:ind w:left="60"/>
              <w:spacing w:after="0"/>
              <w:rPr>
                <w:sz w:val="20"/>
                <w:szCs w:val="20"/>
                <w:color w:val="auto"/>
              </w:rPr>
            </w:pPr>
            <w:r>
              <w:rPr>
                <w:rFonts w:ascii="Arial" w:cs="Arial" w:eastAsia="Arial" w:hAnsi="Arial"/>
                <w:sz w:val="14"/>
                <w:szCs w:val="14"/>
                <w:color w:val="auto"/>
              </w:rPr>
              <w:t>Los Angeles Basin</w:t>
            </w: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8</w:t>
            </w:r>
          </w:p>
        </w:tc>
        <w:tc>
          <w:tcPr>
            <w:tcW w:w="1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9</w:t>
            </w:r>
          </w:p>
        </w:tc>
        <w:tc>
          <w:tcPr>
            <w:tcW w:w="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8</w:t>
            </w:r>
          </w:p>
        </w:tc>
        <w:tc>
          <w:tcPr>
            <w:tcW w:w="2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100" w:type="dxa"/>
            <w:vAlign w:val="bottom"/>
            <w:gridSpan w:val="2"/>
          </w:tcPr>
          <w:p>
            <w:pPr>
              <w:ind w:left="60"/>
              <w:spacing w:after="0"/>
              <w:rPr>
                <w:sz w:val="20"/>
                <w:szCs w:val="20"/>
                <w:color w:val="auto"/>
              </w:rPr>
            </w:pPr>
            <w:r>
              <w:rPr>
                <w:rFonts w:ascii="Arial" w:cs="Arial" w:eastAsia="Arial" w:hAnsi="Arial"/>
                <w:sz w:val="14"/>
                <w:szCs w:val="14"/>
                <w:color w:val="auto"/>
              </w:rPr>
              <w:t>Ventura Basin</w:t>
            </w: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5</w:t>
            </w:r>
          </w:p>
        </w:tc>
        <w:tc>
          <w:tcPr>
            <w:tcW w:w="1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3</w:t>
            </w:r>
          </w:p>
        </w:tc>
        <w:tc>
          <w:tcPr>
            <w:tcW w:w="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5</w:t>
            </w:r>
          </w:p>
        </w:tc>
        <w:tc>
          <w:tcPr>
            <w:tcW w:w="2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100" w:type="dxa"/>
            <w:vAlign w:val="bottom"/>
            <w:gridSpan w:val="2"/>
          </w:tcPr>
          <w:p>
            <w:pPr>
              <w:ind w:left="60"/>
              <w:spacing w:after="0"/>
              <w:rPr>
                <w:sz w:val="20"/>
                <w:szCs w:val="20"/>
                <w:color w:val="auto"/>
              </w:rPr>
            </w:pPr>
            <w:r>
              <w:rPr>
                <w:rFonts w:ascii="Arial" w:cs="Arial" w:eastAsia="Arial" w:hAnsi="Arial"/>
                <w:sz w:val="14"/>
                <w:szCs w:val="14"/>
                <w:color w:val="auto"/>
              </w:rPr>
              <w:t>Sacramento Basin</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24</w:t>
            </w:r>
          </w:p>
        </w:tc>
        <w:tc>
          <w:tcPr>
            <w:tcW w:w="100" w:type="dxa"/>
            <w:vAlign w:val="bottom"/>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26</w:t>
            </w:r>
          </w:p>
        </w:tc>
        <w:tc>
          <w:tcPr>
            <w:tcW w:w="80" w:type="dxa"/>
            <w:vAlign w:val="bottom"/>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24</w:t>
            </w:r>
          </w:p>
        </w:tc>
        <w:tc>
          <w:tcPr>
            <w:tcW w:w="260" w:type="dxa"/>
            <w:vAlign w:val="bottom"/>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5100" w:type="dxa"/>
            <w:vAlign w:val="bottom"/>
            <w:gridSpan w:val="2"/>
          </w:tcPr>
          <w:p>
            <w:pPr>
              <w:ind w:left="60"/>
              <w:spacing w:after="0"/>
              <w:rPr>
                <w:sz w:val="20"/>
                <w:szCs w:val="20"/>
                <w:color w:val="auto"/>
              </w:rPr>
            </w:pPr>
            <w:r>
              <w:rPr>
                <w:rFonts w:ascii="Arial" w:cs="Arial" w:eastAsia="Arial" w:hAnsi="Arial"/>
                <w:sz w:val="14"/>
                <w:szCs w:val="14"/>
                <w:color w:val="auto"/>
              </w:rPr>
              <w:t>Total</w:t>
            </w: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181</w:t>
            </w:r>
          </w:p>
        </w:tc>
        <w:tc>
          <w:tcPr>
            <w:tcW w:w="1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196</w:t>
            </w:r>
          </w:p>
        </w:tc>
        <w:tc>
          <w:tcPr>
            <w:tcW w:w="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181</w:t>
            </w:r>
          </w:p>
        </w:tc>
        <w:tc>
          <w:tcPr>
            <w:tcW w:w="2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202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5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510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 Production (MBoe/d)</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119</w:t>
            </w:r>
          </w:p>
        </w:tc>
        <w:tc>
          <w:tcPr>
            <w:tcW w:w="100" w:type="dxa"/>
            <w:vAlign w:val="bottom"/>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127</w:t>
            </w:r>
          </w:p>
        </w:tc>
        <w:tc>
          <w:tcPr>
            <w:tcW w:w="80" w:type="dxa"/>
            <w:vAlign w:val="bottom"/>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118</w:t>
            </w:r>
          </w:p>
        </w:tc>
        <w:tc>
          <w:tcPr>
            <w:tcW w:w="260" w:type="dxa"/>
            <w:vAlign w:val="bottom"/>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5" w:lineRule="exact"/>
        <w:rPr>
          <w:sz w:val="20"/>
          <w:szCs w:val="20"/>
          <w:color w:val="auto"/>
        </w:rPr>
      </w:pPr>
    </w:p>
    <w:p>
      <w:pPr>
        <w:jc w:val="both"/>
        <w:ind w:right="160"/>
        <w:spacing w:after="0" w:line="243" w:lineRule="auto"/>
        <w:rPr>
          <w:sz w:val="20"/>
          <w:szCs w:val="20"/>
          <w:color w:val="auto"/>
        </w:rPr>
      </w:pPr>
      <w:r>
        <w:rPr>
          <w:rFonts w:ascii="Arial" w:cs="Arial" w:eastAsia="Arial" w:hAnsi="Arial"/>
          <w:sz w:val="14"/>
          <w:szCs w:val="14"/>
          <w:color w:val="auto"/>
        </w:rPr>
        <w:t>Note: MBbl/d refers to thousands of barrels per day; MMcf/d refers to millions of cubic feet per day; MBoe/d refers to thousands of barrels of oil equivalent (Boe) per day. Natural gas volumes have been converted to Boe based on the equivalence of energy content of six thousand cubic feet of natural gas to one barrel of oil. Barrels of oil equivalence does not necessarily result in price equivalence.</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Page 18</w:t>
      </w:r>
    </w:p>
    <w:p>
      <w:pPr>
        <w:sectPr>
          <w:pgSz w:w="11900" w:h="16838" w:orient="portrait"/>
          <w:cols w:equalWidth="0" w:num="1">
            <w:col w:w="11240"/>
          </w:cols>
          <w:pgMar w:left="320" w:top="1440" w:right="339" w:bottom="1440" w:gutter="0" w:footer="0" w:header="0"/>
          <w:type w:val="continuous"/>
        </w:sectPr>
      </w:pPr>
    </w:p>
    <w:bookmarkStart w:id="22" w:name="page23"/>
    <w:bookmarkEnd w:id="22"/>
    <w:tbl>
      <w:tblPr>
        <w:tblLayout w:type="fixed"/>
        <w:tblInd w:w="0" w:type="dxa"/>
        <w:tblCellMar>
          <w:top w:w="0" w:type="dxa"/>
          <w:left w:w="0" w:type="dxa"/>
          <w:bottom w:w="0" w:type="dxa"/>
          <w:right w:w="0" w:type="dxa"/>
        </w:tblCellMar>
      </w:tblPr>
      <w:tr>
        <w:trPr>
          <w:trHeight w:val="186"/>
        </w:trPr>
        <w:tc>
          <w:tcPr>
            <w:tcW w:w="44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Attachment 4</w:t>
            </w:r>
          </w:p>
        </w:tc>
        <w:tc>
          <w:tcPr>
            <w:tcW w:w="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4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420" w:type="dxa"/>
            <w:vAlign w:val="bottom"/>
          </w:tcPr>
          <w:p>
            <w:pPr>
              <w:ind w:left="20"/>
              <w:spacing w:after="0"/>
              <w:rPr>
                <w:sz w:val="20"/>
                <w:szCs w:val="20"/>
                <w:color w:val="auto"/>
              </w:rPr>
            </w:pPr>
            <w:r>
              <w:rPr>
                <w:rFonts w:ascii="Arial" w:cs="Arial" w:eastAsia="Arial" w:hAnsi="Arial"/>
                <w:sz w:val="14"/>
                <w:szCs w:val="14"/>
                <w:b w:val="1"/>
                <w:bCs w:val="1"/>
                <w:color w:val="auto"/>
              </w:rPr>
              <w:t>PRICE STATISTICS</w:t>
            </w: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4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149"/>
              <w:spacing w:after="0"/>
              <w:rPr>
                <w:sz w:val="20"/>
                <w:szCs w:val="20"/>
                <w:color w:val="auto"/>
              </w:rPr>
            </w:pPr>
            <w:r>
              <w:rPr>
                <w:rFonts w:ascii="Arial" w:cs="Arial" w:eastAsia="Arial" w:hAnsi="Arial"/>
                <w:sz w:val="14"/>
                <w:szCs w:val="14"/>
                <w:b w:val="1"/>
                <w:bCs w:val="1"/>
                <w:color w:val="auto"/>
              </w:rPr>
              <w:t>Successor</w:t>
            </w: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169"/>
              <w:spacing w:after="0"/>
              <w:rPr>
                <w:sz w:val="20"/>
                <w:szCs w:val="20"/>
                <w:color w:val="auto"/>
              </w:rPr>
            </w:pPr>
            <w:r>
              <w:rPr>
                <w:rFonts w:ascii="Arial" w:cs="Arial" w:eastAsia="Arial" w:hAnsi="Arial"/>
                <w:sz w:val="14"/>
                <w:szCs w:val="14"/>
                <w:b w:val="1"/>
                <w:bCs w:val="1"/>
                <w:color w:val="auto"/>
                <w:w w:val="99"/>
              </w:rPr>
              <w:t>Predecessor</w:t>
            </w: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169"/>
              <w:spacing w:after="0"/>
              <w:rPr>
                <w:sz w:val="20"/>
                <w:szCs w:val="20"/>
                <w:color w:val="auto"/>
              </w:rPr>
            </w:pPr>
            <w:r>
              <w:rPr>
                <w:rFonts w:ascii="Arial" w:cs="Arial" w:eastAsia="Arial" w:hAnsi="Arial"/>
                <w:sz w:val="14"/>
                <w:szCs w:val="14"/>
                <w:b w:val="1"/>
                <w:bCs w:val="1"/>
                <w:color w:val="auto"/>
                <w:w w:val="98"/>
              </w:rPr>
              <w:t>Successor</w:t>
            </w:r>
          </w:p>
        </w:tc>
        <w:tc>
          <w:tcPr>
            <w:tcW w:w="2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109"/>
              <w:spacing w:after="0"/>
              <w:rPr>
                <w:sz w:val="20"/>
                <w:szCs w:val="20"/>
                <w:color w:val="auto"/>
              </w:rPr>
            </w:pPr>
            <w:r>
              <w:rPr>
                <w:rFonts w:ascii="Arial" w:cs="Arial" w:eastAsia="Arial" w:hAnsi="Arial"/>
                <w:sz w:val="14"/>
                <w:szCs w:val="14"/>
                <w:b w:val="1"/>
                <w:bCs w:val="1"/>
                <w:color w:val="auto"/>
              </w:rPr>
              <w:t>Predecessor</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jc w:val="center"/>
              <w:ind w:right="149"/>
              <w:spacing w:after="0"/>
              <w:rPr>
                <w:sz w:val="20"/>
                <w:szCs w:val="20"/>
                <w:color w:val="auto"/>
              </w:rPr>
            </w:pPr>
            <w:r>
              <w:rPr>
                <w:rFonts w:ascii="Arial" w:cs="Arial" w:eastAsia="Arial" w:hAnsi="Arial"/>
                <w:sz w:val="14"/>
                <w:szCs w:val="14"/>
                <w:b w:val="1"/>
                <w:bCs w:val="1"/>
                <w:color w:val="auto"/>
              </w:rPr>
              <w:t>2nd Quarter</w:t>
            </w: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jc w:val="center"/>
              <w:ind w:right="169"/>
              <w:spacing w:after="0"/>
              <w:rPr>
                <w:sz w:val="20"/>
                <w:szCs w:val="20"/>
                <w:color w:val="auto"/>
              </w:rPr>
            </w:pPr>
            <w:r>
              <w:rPr>
                <w:rFonts w:ascii="Arial" w:cs="Arial" w:eastAsia="Arial" w:hAnsi="Arial"/>
                <w:sz w:val="14"/>
                <w:szCs w:val="14"/>
                <w:b w:val="1"/>
                <w:bCs w:val="1"/>
                <w:color w:val="auto"/>
              </w:rPr>
              <w:t>2nd Quarter</w:t>
            </w: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jc w:val="center"/>
              <w:ind w:right="169"/>
              <w:spacing w:after="0"/>
              <w:rPr>
                <w:sz w:val="20"/>
                <w:szCs w:val="20"/>
                <w:color w:val="auto"/>
              </w:rPr>
            </w:pPr>
            <w:r>
              <w:rPr>
                <w:rFonts w:ascii="Arial" w:cs="Arial" w:eastAsia="Arial" w:hAnsi="Arial"/>
                <w:sz w:val="14"/>
                <w:szCs w:val="14"/>
                <w:b w:val="1"/>
                <w:bCs w:val="1"/>
                <w:color w:val="auto"/>
                <w:w w:val="99"/>
              </w:rPr>
              <w:t>Six Months</w:t>
            </w:r>
          </w:p>
        </w:tc>
        <w:tc>
          <w:tcPr>
            <w:tcW w:w="2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jc w:val="center"/>
              <w:ind w:right="109"/>
              <w:spacing w:after="0"/>
              <w:rPr>
                <w:sz w:val="20"/>
                <w:szCs w:val="20"/>
                <w:color w:val="auto"/>
              </w:rPr>
            </w:pPr>
            <w:r>
              <w:rPr>
                <w:rFonts w:ascii="Arial" w:cs="Arial" w:eastAsia="Arial" w:hAnsi="Arial"/>
                <w:sz w:val="14"/>
                <w:szCs w:val="14"/>
                <w:b w:val="1"/>
                <w:bCs w:val="1"/>
                <w:color w:val="auto"/>
                <w:w w:val="99"/>
              </w:rPr>
              <w:t>Six Months</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4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Realized Prices</w:t>
            </w: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4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69"/>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69"/>
              <w:spacing w:after="0"/>
              <w:rPr>
                <w:sz w:val="20"/>
                <w:szCs w:val="20"/>
                <w:color w:val="auto"/>
              </w:rPr>
            </w:pPr>
            <w:r>
              <w:rPr>
                <w:rFonts w:ascii="Arial" w:cs="Arial" w:eastAsia="Arial" w:hAnsi="Arial"/>
                <w:sz w:val="14"/>
                <w:szCs w:val="14"/>
                <w:b w:val="1"/>
                <w:bCs w:val="1"/>
                <w:color w:val="auto"/>
                <w:w w:val="96"/>
              </w:rPr>
              <w:t>2021</w:t>
            </w:r>
          </w:p>
        </w:tc>
        <w:tc>
          <w:tcPr>
            <w:tcW w:w="2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09"/>
              <w:spacing w:after="0"/>
              <w:rPr>
                <w:sz w:val="20"/>
                <w:szCs w:val="20"/>
                <w:color w:val="auto"/>
              </w:rPr>
            </w:pPr>
            <w:r>
              <w:rPr>
                <w:rFonts w:ascii="Arial" w:cs="Arial" w:eastAsia="Arial" w:hAnsi="Arial"/>
                <w:sz w:val="14"/>
                <w:szCs w:val="14"/>
                <w:b w:val="1"/>
                <w:bCs w:val="1"/>
                <w:color w:val="auto"/>
                <w:w w:val="96"/>
              </w:rPr>
              <w:t>2020</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4420" w:type="dxa"/>
            <w:vAlign w:val="bottom"/>
            <w:vMerge w:val="continue"/>
          </w:tcPr>
          <w:p>
            <w:pPr>
              <w:spacing w:after="0"/>
              <w:rPr>
                <w:sz w:val="14"/>
                <w:szCs w:val="14"/>
                <w:color w:val="auto"/>
              </w:rPr>
            </w:pPr>
          </w:p>
        </w:tc>
        <w:tc>
          <w:tcPr>
            <w:tcW w:w="220" w:type="dxa"/>
            <w:vAlign w:val="bottom"/>
            <w:vMerge w:val="restart"/>
          </w:tcPr>
          <w:p>
            <w:pPr>
              <w:jc w:val="right"/>
              <w:ind w:right="49"/>
              <w:spacing w:after="0"/>
              <w:rPr>
                <w:sz w:val="20"/>
                <w:szCs w:val="20"/>
                <w:color w:val="auto"/>
              </w:rPr>
            </w:pPr>
            <w:r>
              <w:rPr>
                <w:rFonts w:ascii="Arial" w:cs="Arial" w:eastAsia="Arial" w:hAnsi="Arial"/>
                <w:sz w:val="14"/>
                <w:szCs w:val="14"/>
                <w:b w:val="1"/>
                <w:bCs w:val="1"/>
                <w:color w:val="auto"/>
              </w:rPr>
              <w:t>$</w:t>
            </w:r>
          </w:p>
        </w:tc>
        <w:tc>
          <w:tcPr>
            <w:tcW w:w="1300" w:type="dxa"/>
            <w:vAlign w:val="bottom"/>
            <w:vMerge w:val="restart"/>
          </w:tcPr>
          <w:p>
            <w:pPr>
              <w:jc w:val="right"/>
              <w:ind w:right="109"/>
              <w:spacing w:after="0"/>
              <w:rPr>
                <w:sz w:val="20"/>
                <w:szCs w:val="20"/>
                <w:color w:val="auto"/>
              </w:rPr>
            </w:pPr>
            <w:r>
              <w:rPr>
                <w:rFonts w:ascii="Arial" w:cs="Arial" w:eastAsia="Arial" w:hAnsi="Arial"/>
                <w:sz w:val="14"/>
                <w:szCs w:val="14"/>
                <w:b w:val="1"/>
                <w:bCs w:val="1"/>
                <w:color w:val="auto"/>
              </w:rPr>
              <w:t>54.10</w:t>
            </w: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vMerge w:val="restart"/>
          </w:tcPr>
          <w:p>
            <w:pPr>
              <w:jc w:val="right"/>
              <w:ind w:right="69"/>
              <w:spacing w:after="0"/>
              <w:rPr>
                <w:sz w:val="20"/>
                <w:szCs w:val="20"/>
                <w:color w:val="auto"/>
              </w:rPr>
            </w:pPr>
            <w:r>
              <w:rPr>
                <w:rFonts w:ascii="Arial" w:cs="Arial" w:eastAsia="Arial" w:hAnsi="Arial"/>
                <w:sz w:val="14"/>
                <w:szCs w:val="14"/>
                <w:b w:val="1"/>
                <w:bCs w:val="1"/>
                <w:color w:val="auto"/>
              </w:rPr>
              <w:t>$</w:t>
            </w:r>
          </w:p>
        </w:tc>
        <w:tc>
          <w:tcPr>
            <w:tcW w:w="1320" w:type="dxa"/>
            <w:vAlign w:val="bottom"/>
            <w:vMerge w:val="restart"/>
          </w:tcPr>
          <w:p>
            <w:pPr>
              <w:jc w:val="right"/>
              <w:ind w:right="109"/>
              <w:spacing w:after="0"/>
              <w:rPr>
                <w:sz w:val="20"/>
                <w:szCs w:val="20"/>
                <w:color w:val="auto"/>
              </w:rPr>
            </w:pPr>
            <w:r>
              <w:rPr>
                <w:rFonts w:ascii="Arial" w:cs="Arial" w:eastAsia="Arial" w:hAnsi="Arial"/>
                <w:sz w:val="14"/>
                <w:szCs w:val="14"/>
                <w:b w:val="1"/>
                <w:bCs w:val="1"/>
                <w:color w:val="auto"/>
              </w:rPr>
              <w:t>30.82</w:t>
            </w: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vMerge w:val="restart"/>
          </w:tcPr>
          <w:p>
            <w:pPr>
              <w:jc w:val="right"/>
              <w:ind w:right="69"/>
              <w:spacing w:after="0"/>
              <w:rPr>
                <w:sz w:val="20"/>
                <w:szCs w:val="20"/>
                <w:color w:val="auto"/>
              </w:rPr>
            </w:pPr>
            <w:r>
              <w:rPr>
                <w:rFonts w:ascii="Arial" w:cs="Arial" w:eastAsia="Arial" w:hAnsi="Arial"/>
                <w:sz w:val="14"/>
                <w:szCs w:val="14"/>
                <w:b w:val="1"/>
                <w:bCs w:val="1"/>
                <w:color w:val="auto"/>
              </w:rPr>
              <w:t>$</w:t>
            </w:r>
          </w:p>
        </w:tc>
        <w:tc>
          <w:tcPr>
            <w:tcW w:w="1300" w:type="dxa"/>
            <w:vAlign w:val="bottom"/>
            <w:vMerge w:val="restart"/>
          </w:tcPr>
          <w:p>
            <w:pPr>
              <w:jc w:val="right"/>
              <w:ind w:right="109"/>
              <w:spacing w:after="0"/>
              <w:rPr>
                <w:sz w:val="20"/>
                <w:szCs w:val="20"/>
                <w:color w:val="auto"/>
              </w:rPr>
            </w:pPr>
            <w:r>
              <w:rPr>
                <w:rFonts w:ascii="Arial" w:cs="Arial" w:eastAsia="Arial" w:hAnsi="Arial"/>
                <w:sz w:val="14"/>
                <w:szCs w:val="14"/>
                <w:b w:val="1"/>
                <w:bCs w:val="1"/>
                <w:color w:val="auto"/>
              </w:rPr>
              <w:t>53.91</w:t>
            </w:r>
          </w:p>
        </w:tc>
        <w:tc>
          <w:tcPr>
            <w:tcW w:w="2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vMerge w:val="restart"/>
          </w:tcPr>
          <w:p>
            <w:pPr>
              <w:jc w:val="right"/>
              <w:ind w:right="9"/>
              <w:spacing w:after="0"/>
              <w:rPr>
                <w:sz w:val="20"/>
                <w:szCs w:val="20"/>
                <w:color w:val="auto"/>
              </w:rPr>
            </w:pPr>
            <w:r>
              <w:rPr>
                <w:rFonts w:ascii="Arial" w:cs="Arial" w:eastAsia="Arial" w:hAnsi="Arial"/>
                <w:sz w:val="14"/>
                <w:szCs w:val="14"/>
                <w:b w:val="1"/>
                <w:bCs w:val="1"/>
                <w:color w:val="auto"/>
              </w:rPr>
              <w:t>$</w:t>
            </w:r>
          </w:p>
        </w:tc>
        <w:tc>
          <w:tcPr>
            <w:tcW w:w="1200" w:type="dxa"/>
            <w:vAlign w:val="bottom"/>
            <w:vMerge w:val="restart"/>
          </w:tcPr>
          <w:p>
            <w:pPr>
              <w:jc w:val="right"/>
              <w:ind w:right="109"/>
              <w:spacing w:after="0"/>
              <w:rPr>
                <w:sz w:val="20"/>
                <w:szCs w:val="20"/>
                <w:color w:val="auto"/>
              </w:rPr>
            </w:pPr>
            <w:r>
              <w:rPr>
                <w:rFonts w:ascii="Arial" w:cs="Arial" w:eastAsia="Arial" w:hAnsi="Arial"/>
                <w:sz w:val="14"/>
                <w:szCs w:val="14"/>
                <w:b w:val="1"/>
                <w:bCs w:val="1"/>
                <w:color w:val="auto"/>
              </w:rPr>
              <w:t>43.76</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420" w:type="dxa"/>
            <w:vAlign w:val="bottom"/>
          </w:tcPr>
          <w:p>
            <w:pPr>
              <w:ind w:left="60"/>
              <w:spacing w:after="0"/>
              <w:rPr>
                <w:sz w:val="20"/>
                <w:szCs w:val="20"/>
                <w:color w:val="auto"/>
              </w:rPr>
            </w:pPr>
            <w:r>
              <w:rPr>
                <w:rFonts w:ascii="Arial" w:cs="Arial" w:eastAsia="Arial" w:hAnsi="Arial"/>
                <w:sz w:val="14"/>
                <w:szCs w:val="14"/>
                <w:color w:val="auto"/>
              </w:rPr>
              <w:t>Oil with hedge ($/Bbl)</w:t>
            </w:r>
          </w:p>
        </w:tc>
        <w:tc>
          <w:tcPr>
            <w:tcW w:w="220" w:type="dxa"/>
            <w:vAlign w:val="bottom"/>
            <w:vMerge w:val="continue"/>
          </w:tcPr>
          <w:p>
            <w:pPr>
              <w:spacing w:after="0"/>
              <w:rPr>
                <w:sz w:val="15"/>
                <w:szCs w:val="15"/>
                <w:color w:val="auto"/>
              </w:rPr>
            </w:pPr>
          </w:p>
        </w:tc>
        <w:tc>
          <w:tcPr>
            <w:tcW w:w="1300" w:type="dxa"/>
            <w:vAlign w:val="bottom"/>
            <w:vMerge w:val="continue"/>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vMerge w:val="continue"/>
          </w:tcPr>
          <w:p>
            <w:pPr>
              <w:spacing w:after="0"/>
              <w:rPr>
                <w:sz w:val="15"/>
                <w:szCs w:val="15"/>
                <w:color w:val="auto"/>
              </w:rPr>
            </w:pPr>
          </w:p>
        </w:tc>
        <w:tc>
          <w:tcPr>
            <w:tcW w:w="1320" w:type="dxa"/>
            <w:vAlign w:val="bottom"/>
            <w:vMerge w:val="continue"/>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vMerge w:val="continue"/>
          </w:tcPr>
          <w:p>
            <w:pPr>
              <w:spacing w:after="0"/>
              <w:rPr>
                <w:sz w:val="15"/>
                <w:szCs w:val="15"/>
                <w:color w:val="auto"/>
              </w:rPr>
            </w:pPr>
          </w:p>
        </w:tc>
        <w:tc>
          <w:tcPr>
            <w:tcW w:w="1300" w:type="dxa"/>
            <w:vAlign w:val="bottom"/>
            <w:vMerge w:val="continue"/>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420" w:type="dxa"/>
            <w:vAlign w:val="bottom"/>
          </w:tcPr>
          <w:p>
            <w:pPr>
              <w:ind w:left="60"/>
              <w:spacing w:after="0"/>
              <w:rPr>
                <w:sz w:val="20"/>
                <w:szCs w:val="20"/>
                <w:color w:val="auto"/>
              </w:rPr>
            </w:pPr>
            <w:r>
              <w:rPr>
                <w:rFonts w:ascii="Arial" w:cs="Arial" w:eastAsia="Arial" w:hAnsi="Arial"/>
                <w:sz w:val="14"/>
                <w:szCs w:val="14"/>
                <w:color w:val="auto"/>
              </w:rPr>
              <w:t>Oil without hedge ($/Bbl)</w:t>
            </w:r>
          </w:p>
        </w:tc>
        <w:tc>
          <w:tcPr>
            <w:tcW w:w="220" w:type="dxa"/>
            <w:vAlign w:val="bottom"/>
          </w:tcPr>
          <w:p>
            <w:pPr>
              <w:jc w:val="right"/>
              <w:ind w:right="49"/>
              <w:spacing w:after="0"/>
              <w:rPr>
                <w:sz w:val="20"/>
                <w:szCs w:val="20"/>
                <w:color w:val="auto"/>
              </w:rPr>
            </w:pPr>
            <w:r>
              <w:rPr>
                <w:rFonts w:ascii="Arial" w:cs="Arial" w:eastAsia="Arial" w:hAnsi="Arial"/>
                <w:sz w:val="14"/>
                <w:szCs w:val="14"/>
                <w:b w:val="1"/>
                <w:bCs w:val="1"/>
                <w:color w:val="auto"/>
              </w:rPr>
              <w:t>$</w:t>
            </w:r>
          </w:p>
        </w:tc>
        <w:tc>
          <w:tcPr>
            <w:tcW w:w="1300" w:type="dxa"/>
            <w:vAlign w:val="bottom"/>
          </w:tcPr>
          <w:p>
            <w:pPr>
              <w:jc w:val="right"/>
              <w:ind w:right="109"/>
              <w:spacing w:after="0"/>
              <w:rPr>
                <w:sz w:val="20"/>
                <w:szCs w:val="20"/>
                <w:color w:val="auto"/>
              </w:rPr>
            </w:pPr>
            <w:r>
              <w:rPr>
                <w:rFonts w:ascii="Arial" w:cs="Arial" w:eastAsia="Arial" w:hAnsi="Arial"/>
                <w:sz w:val="14"/>
                <w:szCs w:val="14"/>
                <w:b w:val="1"/>
                <w:bCs w:val="1"/>
                <w:color w:val="auto"/>
              </w:rPr>
              <w:t>68.94</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jc w:val="right"/>
              <w:ind w:right="69"/>
              <w:spacing w:after="0"/>
              <w:rPr>
                <w:sz w:val="20"/>
                <w:szCs w:val="20"/>
                <w:color w:val="auto"/>
              </w:rPr>
            </w:pPr>
            <w:r>
              <w:rPr>
                <w:rFonts w:ascii="Arial" w:cs="Arial" w:eastAsia="Arial" w:hAnsi="Arial"/>
                <w:sz w:val="14"/>
                <w:szCs w:val="14"/>
                <w:b w:val="1"/>
                <w:bCs w:val="1"/>
                <w:color w:val="auto"/>
              </w:rPr>
              <w:t>$</w:t>
            </w:r>
          </w:p>
        </w:tc>
        <w:tc>
          <w:tcPr>
            <w:tcW w:w="1320" w:type="dxa"/>
            <w:vAlign w:val="bottom"/>
          </w:tcPr>
          <w:p>
            <w:pPr>
              <w:jc w:val="right"/>
              <w:ind w:right="109"/>
              <w:spacing w:after="0"/>
              <w:rPr>
                <w:sz w:val="20"/>
                <w:szCs w:val="20"/>
                <w:color w:val="auto"/>
              </w:rPr>
            </w:pPr>
            <w:r>
              <w:rPr>
                <w:rFonts w:ascii="Arial" w:cs="Arial" w:eastAsia="Arial" w:hAnsi="Arial"/>
                <w:sz w:val="14"/>
                <w:szCs w:val="14"/>
                <w:b w:val="1"/>
                <w:bCs w:val="1"/>
                <w:color w:val="auto"/>
              </w:rPr>
              <w:t>30.27</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jc w:val="right"/>
              <w:ind w:right="69"/>
              <w:spacing w:after="0"/>
              <w:rPr>
                <w:sz w:val="20"/>
                <w:szCs w:val="20"/>
                <w:color w:val="auto"/>
              </w:rPr>
            </w:pPr>
            <w:r>
              <w:rPr>
                <w:rFonts w:ascii="Arial" w:cs="Arial" w:eastAsia="Arial" w:hAnsi="Arial"/>
                <w:sz w:val="14"/>
                <w:szCs w:val="14"/>
                <w:b w:val="1"/>
                <w:bCs w:val="1"/>
                <w:color w:val="auto"/>
              </w:rPr>
              <w:t>$</w:t>
            </w:r>
          </w:p>
        </w:tc>
        <w:tc>
          <w:tcPr>
            <w:tcW w:w="1300" w:type="dxa"/>
            <w:vAlign w:val="bottom"/>
          </w:tcPr>
          <w:p>
            <w:pPr>
              <w:jc w:val="right"/>
              <w:ind w:right="109"/>
              <w:spacing w:after="0"/>
              <w:rPr>
                <w:sz w:val="20"/>
                <w:szCs w:val="20"/>
                <w:color w:val="auto"/>
              </w:rPr>
            </w:pPr>
            <w:r>
              <w:rPr>
                <w:rFonts w:ascii="Arial" w:cs="Arial" w:eastAsia="Arial" w:hAnsi="Arial"/>
                <w:sz w:val="14"/>
                <w:szCs w:val="14"/>
                <w:b w:val="1"/>
                <w:bCs w:val="1"/>
                <w:color w:val="auto"/>
              </w:rPr>
              <w:t>64.89</w:t>
            </w:r>
          </w:p>
        </w:tc>
        <w:tc>
          <w:tcPr>
            <w:tcW w:w="2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200" w:type="dxa"/>
            <w:vAlign w:val="bottom"/>
          </w:tcPr>
          <w:p>
            <w:pPr>
              <w:jc w:val="right"/>
              <w:ind w:right="109"/>
              <w:spacing w:after="0"/>
              <w:rPr>
                <w:sz w:val="20"/>
                <w:szCs w:val="20"/>
                <w:color w:val="auto"/>
              </w:rPr>
            </w:pPr>
            <w:r>
              <w:rPr>
                <w:rFonts w:ascii="Arial" w:cs="Arial" w:eastAsia="Arial" w:hAnsi="Arial"/>
                <w:sz w:val="14"/>
                <w:szCs w:val="14"/>
                <w:b w:val="1"/>
                <w:bCs w:val="1"/>
                <w:color w:val="auto"/>
              </w:rPr>
              <w:t>41.02</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420" w:type="dxa"/>
            <w:vAlign w:val="bottom"/>
          </w:tcPr>
          <w:p>
            <w:pPr>
              <w:ind w:left="60"/>
              <w:spacing w:after="0"/>
              <w:rPr>
                <w:sz w:val="20"/>
                <w:szCs w:val="20"/>
                <w:color w:val="auto"/>
              </w:rPr>
            </w:pPr>
            <w:r>
              <w:rPr>
                <w:rFonts w:ascii="Arial" w:cs="Arial" w:eastAsia="Arial" w:hAnsi="Arial"/>
                <w:sz w:val="14"/>
                <w:szCs w:val="14"/>
                <w:color w:val="auto"/>
              </w:rPr>
              <w:t>NGLs ($/Bbl)</w:t>
            </w:r>
          </w:p>
        </w:tc>
        <w:tc>
          <w:tcPr>
            <w:tcW w:w="220" w:type="dxa"/>
            <w:vAlign w:val="bottom"/>
          </w:tcPr>
          <w:p>
            <w:pPr>
              <w:jc w:val="right"/>
              <w:ind w:right="49"/>
              <w:spacing w:after="0"/>
              <w:rPr>
                <w:sz w:val="20"/>
                <w:szCs w:val="20"/>
                <w:color w:val="auto"/>
              </w:rPr>
            </w:pPr>
            <w:r>
              <w:rPr>
                <w:rFonts w:ascii="Arial" w:cs="Arial" w:eastAsia="Arial" w:hAnsi="Arial"/>
                <w:sz w:val="14"/>
                <w:szCs w:val="14"/>
                <w:b w:val="1"/>
                <w:bCs w:val="1"/>
                <w:color w:val="auto"/>
              </w:rPr>
              <w:t>$</w:t>
            </w:r>
          </w:p>
        </w:tc>
        <w:tc>
          <w:tcPr>
            <w:tcW w:w="1300" w:type="dxa"/>
            <w:vAlign w:val="bottom"/>
          </w:tcPr>
          <w:p>
            <w:pPr>
              <w:jc w:val="right"/>
              <w:ind w:right="109"/>
              <w:spacing w:after="0"/>
              <w:rPr>
                <w:sz w:val="20"/>
                <w:szCs w:val="20"/>
                <w:color w:val="auto"/>
              </w:rPr>
            </w:pPr>
            <w:r>
              <w:rPr>
                <w:rFonts w:ascii="Arial" w:cs="Arial" w:eastAsia="Arial" w:hAnsi="Arial"/>
                <w:sz w:val="14"/>
                <w:szCs w:val="14"/>
                <w:b w:val="1"/>
                <w:bCs w:val="1"/>
                <w:color w:val="auto"/>
              </w:rPr>
              <w:t>44.90</w:t>
            </w:r>
          </w:p>
        </w:tc>
        <w:tc>
          <w:tcPr>
            <w:tcW w:w="12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jc w:val="right"/>
              <w:ind w:right="69"/>
              <w:spacing w:after="0"/>
              <w:rPr>
                <w:sz w:val="20"/>
                <w:szCs w:val="20"/>
                <w:color w:val="auto"/>
              </w:rPr>
            </w:pPr>
            <w:r>
              <w:rPr>
                <w:rFonts w:ascii="Arial" w:cs="Arial" w:eastAsia="Arial" w:hAnsi="Arial"/>
                <w:sz w:val="14"/>
                <w:szCs w:val="14"/>
                <w:b w:val="1"/>
                <w:bCs w:val="1"/>
                <w:color w:val="auto"/>
              </w:rPr>
              <w:t>$</w:t>
            </w:r>
          </w:p>
        </w:tc>
        <w:tc>
          <w:tcPr>
            <w:tcW w:w="1320" w:type="dxa"/>
            <w:vAlign w:val="bottom"/>
          </w:tcPr>
          <w:p>
            <w:pPr>
              <w:jc w:val="right"/>
              <w:ind w:right="109"/>
              <w:spacing w:after="0"/>
              <w:rPr>
                <w:sz w:val="20"/>
                <w:szCs w:val="20"/>
                <w:color w:val="auto"/>
              </w:rPr>
            </w:pPr>
            <w:r>
              <w:rPr>
                <w:rFonts w:ascii="Arial" w:cs="Arial" w:eastAsia="Arial" w:hAnsi="Arial"/>
                <w:sz w:val="14"/>
                <w:szCs w:val="14"/>
                <w:b w:val="1"/>
                <w:bCs w:val="1"/>
                <w:color w:val="auto"/>
              </w:rPr>
              <w:t>21.05</w:t>
            </w:r>
          </w:p>
        </w:tc>
        <w:tc>
          <w:tcPr>
            <w:tcW w:w="12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jc w:val="right"/>
              <w:ind w:right="69"/>
              <w:spacing w:after="0"/>
              <w:rPr>
                <w:sz w:val="20"/>
                <w:szCs w:val="20"/>
                <w:color w:val="auto"/>
              </w:rPr>
            </w:pPr>
            <w:r>
              <w:rPr>
                <w:rFonts w:ascii="Arial" w:cs="Arial" w:eastAsia="Arial" w:hAnsi="Arial"/>
                <w:sz w:val="14"/>
                <w:szCs w:val="14"/>
                <w:b w:val="1"/>
                <w:bCs w:val="1"/>
                <w:color w:val="auto"/>
              </w:rPr>
              <w:t>$</w:t>
            </w:r>
          </w:p>
        </w:tc>
        <w:tc>
          <w:tcPr>
            <w:tcW w:w="1300" w:type="dxa"/>
            <w:vAlign w:val="bottom"/>
          </w:tcPr>
          <w:p>
            <w:pPr>
              <w:jc w:val="right"/>
              <w:ind w:right="109"/>
              <w:spacing w:after="0"/>
              <w:rPr>
                <w:sz w:val="20"/>
                <w:szCs w:val="20"/>
                <w:color w:val="auto"/>
              </w:rPr>
            </w:pPr>
            <w:r>
              <w:rPr>
                <w:rFonts w:ascii="Arial" w:cs="Arial" w:eastAsia="Arial" w:hAnsi="Arial"/>
                <w:sz w:val="14"/>
                <w:szCs w:val="14"/>
                <w:b w:val="1"/>
                <w:bCs w:val="1"/>
                <w:color w:val="auto"/>
              </w:rPr>
              <w:t>46.75</w:t>
            </w:r>
          </w:p>
        </w:tc>
        <w:tc>
          <w:tcPr>
            <w:tcW w:w="20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200" w:type="dxa"/>
            <w:vAlign w:val="bottom"/>
          </w:tcPr>
          <w:p>
            <w:pPr>
              <w:jc w:val="right"/>
              <w:ind w:right="109"/>
              <w:spacing w:after="0"/>
              <w:rPr>
                <w:sz w:val="20"/>
                <w:szCs w:val="20"/>
                <w:color w:val="auto"/>
              </w:rPr>
            </w:pPr>
            <w:r>
              <w:rPr>
                <w:rFonts w:ascii="Arial" w:cs="Arial" w:eastAsia="Arial" w:hAnsi="Arial"/>
                <w:sz w:val="14"/>
                <w:szCs w:val="14"/>
                <w:b w:val="1"/>
                <w:bCs w:val="1"/>
                <w:color w:val="auto"/>
              </w:rPr>
              <w:t>25.18</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420" w:type="dxa"/>
            <w:vAlign w:val="bottom"/>
          </w:tcPr>
          <w:p>
            <w:pPr>
              <w:ind w:left="60"/>
              <w:spacing w:after="0"/>
              <w:rPr>
                <w:sz w:val="20"/>
                <w:szCs w:val="20"/>
                <w:color w:val="auto"/>
              </w:rPr>
            </w:pPr>
            <w:r>
              <w:rPr>
                <w:rFonts w:ascii="Arial" w:cs="Arial" w:eastAsia="Arial" w:hAnsi="Arial"/>
                <w:sz w:val="14"/>
                <w:szCs w:val="14"/>
                <w:color w:val="auto"/>
              </w:rPr>
              <w:t>Natural gas ($/Mcf)</w:t>
            </w:r>
          </w:p>
        </w:tc>
        <w:tc>
          <w:tcPr>
            <w:tcW w:w="220" w:type="dxa"/>
            <w:vAlign w:val="bottom"/>
          </w:tcPr>
          <w:p>
            <w:pPr>
              <w:jc w:val="right"/>
              <w:ind w:right="49"/>
              <w:spacing w:after="0"/>
              <w:rPr>
                <w:sz w:val="20"/>
                <w:szCs w:val="20"/>
                <w:color w:val="auto"/>
              </w:rPr>
            </w:pPr>
            <w:r>
              <w:rPr>
                <w:rFonts w:ascii="Arial" w:cs="Arial" w:eastAsia="Arial" w:hAnsi="Arial"/>
                <w:sz w:val="14"/>
                <w:szCs w:val="14"/>
                <w:b w:val="1"/>
                <w:bCs w:val="1"/>
                <w:color w:val="auto"/>
              </w:rPr>
              <w:t>$</w:t>
            </w:r>
          </w:p>
        </w:tc>
        <w:tc>
          <w:tcPr>
            <w:tcW w:w="1300" w:type="dxa"/>
            <w:vAlign w:val="bottom"/>
          </w:tcPr>
          <w:p>
            <w:pPr>
              <w:jc w:val="right"/>
              <w:ind w:right="109"/>
              <w:spacing w:after="0"/>
              <w:rPr>
                <w:sz w:val="20"/>
                <w:szCs w:val="20"/>
                <w:color w:val="auto"/>
              </w:rPr>
            </w:pPr>
            <w:r>
              <w:rPr>
                <w:rFonts w:ascii="Arial" w:cs="Arial" w:eastAsia="Arial" w:hAnsi="Arial"/>
                <w:sz w:val="14"/>
                <w:szCs w:val="14"/>
                <w:b w:val="1"/>
                <w:bCs w:val="1"/>
                <w:color w:val="auto"/>
              </w:rPr>
              <w:t>3.04</w:t>
            </w:r>
          </w:p>
        </w:tc>
        <w:tc>
          <w:tcPr>
            <w:tcW w:w="12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jc w:val="right"/>
              <w:ind w:right="69"/>
              <w:spacing w:after="0"/>
              <w:rPr>
                <w:sz w:val="20"/>
                <w:szCs w:val="20"/>
                <w:color w:val="auto"/>
              </w:rPr>
            </w:pPr>
            <w:r>
              <w:rPr>
                <w:rFonts w:ascii="Arial" w:cs="Arial" w:eastAsia="Arial" w:hAnsi="Arial"/>
                <w:sz w:val="14"/>
                <w:szCs w:val="14"/>
                <w:b w:val="1"/>
                <w:bCs w:val="1"/>
                <w:color w:val="auto"/>
              </w:rPr>
              <w:t>$</w:t>
            </w:r>
          </w:p>
        </w:tc>
        <w:tc>
          <w:tcPr>
            <w:tcW w:w="1320" w:type="dxa"/>
            <w:vAlign w:val="bottom"/>
          </w:tcPr>
          <w:p>
            <w:pPr>
              <w:jc w:val="right"/>
              <w:ind w:right="109"/>
              <w:spacing w:after="0"/>
              <w:rPr>
                <w:sz w:val="20"/>
                <w:szCs w:val="20"/>
                <w:color w:val="auto"/>
              </w:rPr>
            </w:pPr>
            <w:r>
              <w:rPr>
                <w:rFonts w:ascii="Arial" w:cs="Arial" w:eastAsia="Arial" w:hAnsi="Arial"/>
                <w:sz w:val="14"/>
                <w:szCs w:val="14"/>
                <w:b w:val="1"/>
                <w:bCs w:val="1"/>
                <w:color w:val="auto"/>
              </w:rPr>
              <w:t>1.65</w:t>
            </w:r>
          </w:p>
        </w:tc>
        <w:tc>
          <w:tcPr>
            <w:tcW w:w="12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jc w:val="right"/>
              <w:ind w:right="69"/>
              <w:spacing w:after="0"/>
              <w:rPr>
                <w:sz w:val="20"/>
                <w:szCs w:val="20"/>
                <w:color w:val="auto"/>
              </w:rPr>
            </w:pPr>
            <w:r>
              <w:rPr>
                <w:rFonts w:ascii="Arial" w:cs="Arial" w:eastAsia="Arial" w:hAnsi="Arial"/>
                <w:sz w:val="14"/>
                <w:szCs w:val="14"/>
                <w:b w:val="1"/>
                <w:bCs w:val="1"/>
                <w:color w:val="auto"/>
              </w:rPr>
              <w:t>$</w:t>
            </w:r>
          </w:p>
        </w:tc>
        <w:tc>
          <w:tcPr>
            <w:tcW w:w="1300" w:type="dxa"/>
            <w:vAlign w:val="bottom"/>
          </w:tcPr>
          <w:p>
            <w:pPr>
              <w:jc w:val="right"/>
              <w:ind w:right="109"/>
              <w:spacing w:after="0"/>
              <w:rPr>
                <w:sz w:val="20"/>
                <w:szCs w:val="20"/>
                <w:color w:val="auto"/>
              </w:rPr>
            </w:pPr>
            <w:r>
              <w:rPr>
                <w:rFonts w:ascii="Arial" w:cs="Arial" w:eastAsia="Arial" w:hAnsi="Arial"/>
                <w:sz w:val="14"/>
                <w:szCs w:val="14"/>
                <w:b w:val="1"/>
                <w:bCs w:val="1"/>
                <w:color w:val="auto"/>
              </w:rPr>
              <w:t>3.17</w:t>
            </w:r>
          </w:p>
        </w:tc>
        <w:tc>
          <w:tcPr>
            <w:tcW w:w="20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200" w:type="dxa"/>
            <w:vAlign w:val="bottom"/>
          </w:tcPr>
          <w:p>
            <w:pPr>
              <w:jc w:val="right"/>
              <w:ind w:right="109"/>
              <w:spacing w:after="0"/>
              <w:rPr>
                <w:sz w:val="20"/>
                <w:szCs w:val="20"/>
                <w:color w:val="auto"/>
              </w:rPr>
            </w:pPr>
            <w:r>
              <w:rPr>
                <w:rFonts w:ascii="Arial" w:cs="Arial" w:eastAsia="Arial" w:hAnsi="Arial"/>
                <w:sz w:val="14"/>
                <w:szCs w:val="14"/>
                <w:b w:val="1"/>
                <w:bCs w:val="1"/>
                <w:color w:val="auto"/>
              </w:rPr>
              <w:t>1.96</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1"/>
        </w:trPr>
        <w:tc>
          <w:tcPr>
            <w:tcW w:w="4420" w:type="dxa"/>
            <w:vAlign w:val="bottom"/>
          </w:tcPr>
          <w:p>
            <w:pPr>
              <w:ind w:left="20"/>
              <w:spacing w:after="0"/>
              <w:rPr>
                <w:sz w:val="20"/>
                <w:szCs w:val="20"/>
                <w:color w:val="auto"/>
              </w:rPr>
            </w:pPr>
            <w:r>
              <w:rPr>
                <w:rFonts w:ascii="Arial" w:cs="Arial" w:eastAsia="Arial" w:hAnsi="Arial"/>
                <w:sz w:val="14"/>
                <w:szCs w:val="14"/>
                <w:b w:val="1"/>
                <w:bCs w:val="1"/>
                <w:color w:val="auto"/>
              </w:rPr>
              <w:t>Index Prices</w:t>
            </w:r>
          </w:p>
        </w:tc>
        <w:tc>
          <w:tcPr>
            <w:tcW w:w="220" w:type="dxa"/>
            <w:vAlign w:val="bottom"/>
            <w:vMerge w:val="restart"/>
          </w:tcPr>
          <w:p>
            <w:pPr>
              <w:jc w:val="right"/>
              <w:ind w:right="49"/>
              <w:spacing w:after="0"/>
              <w:rPr>
                <w:sz w:val="20"/>
                <w:szCs w:val="20"/>
                <w:color w:val="auto"/>
              </w:rPr>
            </w:pPr>
            <w:r>
              <w:rPr>
                <w:rFonts w:ascii="Arial" w:cs="Arial" w:eastAsia="Arial" w:hAnsi="Arial"/>
                <w:sz w:val="14"/>
                <w:szCs w:val="14"/>
                <w:b w:val="1"/>
                <w:bCs w:val="1"/>
                <w:color w:val="auto"/>
              </w:rPr>
              <w:t>$</w:t>
            </w:r>
          </w:p>
        </w:tc>
        <w:tc>
          <w:tcPr>
            <w:tcW w:w="1300" w:type="dxa"/>
            <w:vAlign w:val="bottom"/>
            <w:vMerge w:val="restart"/>
          </w:tcPr>
          <w:p>
            <w:pPr>
              <w:jc w:val="right"/>
              <w:ind w:right="109"/>
              <w:spacing w:after="0"/>
              <w:rPr>
                <w:sz w:val="20"/>
                <w:szCs w:val="20"/>
                <w:color w:val="auto"/>
              </w:rPr>
            </w:pPr>
            <w:r>
              <w:rPr>
                <w:rFonts w:ascii="Arial" w:cs="Arial" w:eastAsia="Arial" w:hAnsi="Arial"/>
                <w:sz w:val="14"/>
                <w:szCs w:val="14"/>
                <w:b w:val="1"/>
                <w:bCs w:val="1"/>
                <w:color w:val="auto"/>
              </w:rPr>
              <w:t>69.02</w:t>
            </w:r>
          </w:p>
        </w:tc>
        <w:tc>
          <w:tcPr>
            <w:tcW w:w="12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vMerge w:val="restart"/>
          </w:tcPr>
          <w:p>
            <w:pPr>
              <w:jc w:val="right"/>
              <w:ind w:right="69"/>
              <w:spacing w:after="0"/>
              <w:rPr>
                <w:sz w:val="20"/>
                <w:szCs w:val="20"/>
                <w:color w:val="auto"/>
              </w:rPr>
            </w:pPr>
            <w:r>
              <w:rPr>
                <w:rFonts w:ascii="Arial" w:cs="Arial" w:eastAsia="Arial" w:hAnsi="Arial"/>
                <w:sz w:val="14"/>
                <w:szCs w:val="14"/>
                <w:b w:val="1"/>
                <w:bCs w:val="1"/>
                <w:color w:val="auto"/>
              </w:rPr>
              <w:t>$</w:t>
            </w:r>
          </w:p>
        </w:tc>
        <w:tc>
          <w:tcPr>
            <w:tcW w:w="1320" w:type="dxa"/>
            <w:vAlign w:val="bottom"/>
            <w:vMerge w:val="restart"/>
          </w:tcPr>
          <w:p>
            <w:pPr>
              <w:jc w:val="right"/>
              <w:ind w:right="109"/>
              <w:spacing w:after="0"/>
              <w:rPr>
                <w:sz w:val="20"/>
                <w:szCs w:val="20"/>
                <w:color w:val="auto"/>
              </w:rPr>
            </w:pPr>
            <w:r>
              <w:rPr>
                <w:rFonts w:ascii="Arial" w:cs="Arial" w:eastAsia="Arial" w:hAnsi="Arial"/>
                <w:sz w:val="14"/>
                <w:szCs w:val="14"/>
                <w:b w:val="1"/>
                <w:bCs w:val="1"/>
                <w:color w:val="auto"/>
              </w:rPr>
              <w:t>33.27</w:t>
            </w:r>
          </w:p>
        </w:tc>
        <w:tc>
          <w:tcPr>
            <w:tcW w:w="12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vMerge w:val="restart"/>
          </w:tcPr>
          <w:p>
            <w:pPr>
              <w:jc w:val="right"/>
              <w:ind w:right="69"/>
              <w:spacing w:after="0"/>
              <w:rPr>
                <w:sz w:val="20"/>
                <w:szCs w:val="20"/>
                <w:color w:val="auto"/>
              </w:rPr>
            </w:pPr>
            <w:r>
              <w:rPr>
                <w:rFonts w:ascii="Arial" w:cs="Arial" w:eastAsia="Arial" w:hAnsi="Arial"/>
                <w:sz w:val="14"/>
                <w:szCs w:val="14"/>
                <w:b w:val="1"/>
                <w:bCs w:val="1"/>
                <w:color w:val="auto"/>
              </w:rPr>
              <w:t>$</w:t>
            </w:r>
          </w:p>
        </w:tc>
        <w:tc>
          <w:tcPr>
            <w:tcW w:w="1300" w:type="dxa"/>
            <w:vAlign w:val="bottom"/>
            <w:vMerge w:val="restart"/>
          </w:tcPr>
          <w:p>
            <w:pPr>
              <w:jc w:val="right"/>
              <w:ind w:right="109"/>
              <w:spacing w:after="0"/>
              <w:rPr>
                <w:sz w:val="20"/>
                <w:szCs w:val="20"/>
                <w:color w:val="auto"/>
              </w:rPr>
            </w:pPr>
            <w:r>
              <w:rPr>
                <w:rFonts w:ascii="Arial" w:cs="Arial" w:eastAsia="Arial" w:hAnsi="Arial"/>
                <w:sz w:val="14"/>
                <w:szCs w:val="14"/>
                <w:b w:val="1"/>
                <w:bCs w:val="1"/>
                <w:color w:val="auto"/>
              </w:rPr>
              <w:t>65.06</w:t>
            </w:r>
          </w:p>
        </w:tc>
        <w:tc>
          <w:tcPr>
            <w:tcW w:w="20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vMerge w:val="restart"/>
          </w:tcPr>
          <w:p>
            <w:pPr>
              <w:jc w:val="right"/>
              <w:ind w:right="9"/>
              <w:spacing w:after="0"/>
              <w:rPr>
                <w:sz w:val="20"/>
                <w:szCs w:val="20"/>
                <w:color w:val="auto"/>
              </w:rPr>
            </w:pPr>
            <w:r>
              <w:rPr>
                <w:rFonts w:ascii="Arial" w:cs="Arial" w:eastAsia="Arial" w:hAnsi="Arial"/>
                <w:sz w:val="14"/>
                <w:szCs w:val="14"/>
                <w:b w:val="1"/>
                <w:bCs w:val="1"/>
                <w:color w:val="auto"/>
              </w:rPr>
              <w:t>$</w:t>
            </w:r>
          </w:p>
        </w:tc>
        <w:tc>
          <w:tcPr>
            <w:tcW w:w="1200" w:type="dxa"/>
            <w:vAlign w:val="bottom"/>
            <w:vMerge w:val="restart"/>
          </w:tcPr>
          <w:p>
            <w:pPr>
              <w:jc w:val="right"/>
              <w:ind w:right="109"/>
              <w:spacing w:after="0"/>
              <w:rPr>
                <w:sz w:val="20"/>
                <w:szCs w:val="20"/>
                <w:color w:val="auto"/>
              </w:rPr>
            </w:pPr>
            <w:r>
              <w:rPr>
                <w:rFonts w:ascii="Arial" w:cs="Arial" w:eastAsia="Arial" w:hAnsi="Arial"/>
                <w:sz w:val="14"/>
                <w:szCs w:val="14"/>
                <w:b w:val="1"/>
                <w:bCs w:val="1"/>
                <w:color w:val="auto"/>
              </w:rPr>
              <w:t>42.12</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4420" w:type="dxa"/>
            <w:vAlign w:val="bottom"/>
          </w:tcPr>
          <w:p>
            <w:pPr>
              <w:ind w:left="60"/>
              <w:spacing w:after="0"/>
              <w:rPr>
                <w:sz w:val="20"/>
                <w:szCs w:val="20"/>
                <w:color w:val="auto"/>
              </w:rPr>
            </w:pPr>
            <w:r>
              <w:rPr>
                <w:rFonts w:ascii="Arial" w:cs="Arial" w:eastAsia="Arial" w:hAnsi="Arial"/>
                <w:sz w:val="14"/>
                <w:szCs w:val="14"/>
                <w:color w:val="auto"/>
              </w:rPr>
              <w:t>Brent oil ($/Bbl)</w:t>
            </w:r>
          </w:p>
        </w:tc>
        <w:tc>
          <w:tcPr>
            <w:tcW w:w="220" w:type="dxa"/>
            <w:vAlign w:val="bottom"/>
            <w:vMerge w:val="continue"/>
          </w:tcPr>
          <w:p>
            <w:pPr>
              <w:spacing w:after="0"/>
              <w:rPr>
                <w:sz w:val="15"/>
                <w:szCs w:val="15"/>
                <w:color w:val="auto"/>
              </w:rPr>
            </w:pPr>
          </w:p>
        </w:tc>
        <w:tc>
          <w:tcPr>
            <w:tcW w:w="1300" w:type="dxa"/>
            <w:vAlign w:val="bottom"/>
            <w:vMerge w:val="continue"/>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vMerge w:val="continue"/>
          </w:tcPr>
          <w:p>
            <w:pPr>
              <w:spacing w:after="0"/>
              <w:rPr>
                <w:sz w:val="15"/>
                <w:szCs w:val="15"/>
                <w:color w:val="auto"/>
              </w:rPr>
            </w:pPr>
          </w:p>
        </w:tc>
        <w:tc>
          <w:tcPr>
            <w:tcW w:w="1320" w:type="dxa"/>
            <w:vAlign w:val="bottom"/>
            <w:vMerge w:val="continue"/>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vMerge w:val="continue"/>
          </w:tcPr>
          <w:p>
            <w:pPr>
              <w:spacing w:after="0"/>
              <w:rPr>
                <w:sz w:val="15"/>
                <w:szCs w:val="15"/>
                <w:color w:val="auto"/>
              </w:rPr>
            </w:pPr>
          </w:p>
        </w:tc>
        <w:tc>
          <w:tcPr>
            <w:tcW w:w="1300" w:type="dxa"/>
            <w:vAlign w:val="bottom"/>
            <w:vMerge w:val="continue"/>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420" w:type="dxa"/>
            <w:vAlign w:val="bottom"/>
          </w:tcPr>
          <w:p>
            <w:pPr>
              <w:ind w:left="60"/>
              <w:spacing w:after="0"/>
              <w:rPr>
                <w:sz w:val="20"/>
                <w:szCs w:val="20"/>
                <w:color w:val="auto"/>
              </w:rPr>
            </w:pPr>
            <w:r>
              <w:rPr>
                <w:rFonts w:ascii="Arial" w:cs="Arial" w:eastAsia="Arial" w:hAnsi="Arial"/>
                <w:sz w:val="14"/>
                <w:szCs w:val="14"/>
                <w:color w:val="auto"/>
              </w:rPr>
              <w:t>WTI oil ($/Bbl)</w:t>
            </w:r>
          </w:p>
        </w:tc>
        <w:tc>
          <w:tcPr>
            <w:tcW w:w="220" w:type="dxa"/>
            <w:vAlign w:val="bottom"/>
          </w:tcPr>
          <w:p>
            <w:pPr>
              <w:jc w:val="right"/>
              <w:ind w:right="49"/>
              <w:spacing w:after="0"/>
              <w:rPr>
                <w:sz w:val="20"/>
                <w:szCs w:val="20"/>
                <w:color w:val="auto"/>
              </w:rPr>
            </w:pPr>
            <w:r>
              <w:rPr>
                <w:rFonts w:ascii="Arial" w:cs="Arial" w:eastAsia="Arial" w:hAnsi="Arial"/>
                <w:sz w:val="14"/>
                <w:szCs w:val="14"/>
                <w:b w:val="1"/>
                <w:bCs w:val="1"/>
                <w:color w:val="auto"/>
              </w:rPr>
              <w:t>$</w:t>
            </w:r>
          </w:p>
        </w:tc>
        <w:tc>
          <w:tcPr>
            <w:tcW w:w="1300" w:type="dxa"/>
            <w:vAlign w:val="bottom"/>
          </w:tcPr>
          <w:p>
            <w:pPr>
              <w:jc w:val="right"/>
              <w:ind w:right="109"/>
              <w:spacing w:after="0"/>
              <w:rPr>
                <w:sz w:val="20"/>
                <w:szCs w:val="20"/>
                <w:color w:val="auto"/>
              </w:rPr>
            </w:pPr>
            <w:r>
              <w:rPr>
                <w:rFonts w:ascii="Arial" w:cs="Arial" w:eastAsia="Arial" w:hAnsi="Arial"/>
                <w:sz w:val="14"/>
                <w:szCs w:val="14"/>
                <w:b w:val="1"/>
                <w:bCs w:val="1"/>
                <w:color w:val="auto"/>
              </w:rPr>
              <w:t>66.07</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jc w:val="right"/>
              <w:ind w:right="69"/>
              <w:spacing w:after="0"/>
              <w:rPr>
                <w:sz w:val="20"/>
                <w:szCs w:val="20"/>
                <w:color w:val="auto"/>
              </w:rPr>
            </w:pPr>
            <w:r>
              <w:rPr>
                <w:rFonts w:ascii="Arial" w:cs="Arial" w:eastAsia="Arial" w:hAnsi="Arial"/>
                <w:sz w:val="14"/>
                <w:szCs w:val="14"/>
                <w:b w:val="1"/>
                <w:bCs w:val="1"/>
                <w:color w:val="auto"/>
              </w:rPr>
              <w:t>$</w:t>
            </w:r>
          </w:p>
        </w:tc>
        <w:tc>
          <w:tcPr>
            <w:tcW w:w="1320" w:type="dxa"/>
            <w:vAlign w:val="bottom"/>
          </w:tcPr>
          <w:p>
            <w:pPr>
              <w:jc w:val="right"/>
              <w:ind w:right="109"/>
              <w:spacing w:after="0"/>
              <w:rPr>
                <w:sz w:val="20"/>
                <w:szCs w:val="20"/>
                <w:color w:val="auto"/>
              </w:rPr>
            </w:pPr>
            <w:r>
              <w:rPr>
                <w:rFonts w:ascii="Arial" w:cs="Arial" w:eastAsia="Arial" w:hAnsi="Arial"/>
                <w:sz w:val="14"/>
                <w:szCs w:val="14"/>
                <w:b w:val="1"/>
                <w:bCs w:val="1"/>
                <w:color w:val="auto"/>
              </w:rPr>
              <w:t>27.85</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jc w:val="right"/>
              <w:ind w:right="69"/>
              <w:spacing w:after="0"/>
              <w:rPr>
                <w:sz w:val="20"/>
                <w:szCs w:val="20"/>
                <w:color w:val="auto"/>
              </w:rPr>
            </w:pPr>
            <w:r>
              <w:rPr>
                <w:rFonts w:ascii="Arial" w:cs="Arial" w:eastAsia="Arial" w:hAnsi="Arial"/>
                <w:sz w:val="14"/>
                <w:szCs w:val="14"/>
                <w:b w:val="1"/>
                <w:bCs w:val="1"/>
                <w:color w:val="auto"/>
              </w:rPr>
              <w:t>$</w:t>
            </w:r>
          </w:p>
        </w:tc>
        <w:tc>
          <w:tcPr>
            <w:tcW w:w="1300" w:type="dxa"/>
            <w:vAlign w:val="bottom"/>
          </w:tcPr>
          <w:p>
            <w:pPr>
              <w:jc w:val="right"/>
              <w:ind w:right="109"/>
              <w:spacing w:after="0"/>
              <w:rPr>
                <w:sz w:val="20"/>
                <w:szCs w:val="20"/>
                <w:color w:val="auto"/>
              </w:rPr>
            </w:pPr>
            <w:r>
              <w:rPr>
                <w:rFonts w:ascii="Arial" w:cs="Arial" w:eastAsia="Arial" w:hAnsi="Arial"/>
                <w:sz w:val="14"/>
                <w:szCs w:val="14"/>
                <w:b w:val="1"/>
                <w:bCs w:val="1"/>
                <w:color w:val="auto"/>
              </w:rPr>
              <w:t>61.96</w:t>
            </w:r>
          </w:p>
        </w:tc>
        <w:tc>
          <w:tcPr>
            <w:tcW w:w="2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200" w:type="dxa"/>
            <w:vAlign w:val="bottom"/>
          </w:tcPr>
          <w:p>
            <w:pPr>
              <w:jc w:val="right"/>
              <w:ind w:right="109"/>
              <w:spacing w:after="0"/>
              <w:rPr>
                <w:sz w:val="20"/>
                <w:szCs w:val="20"/>
                <w:color w:val="auto"/>
              </w:rPr>
            </w:pPr>
            <w:r>
              <w:rPr>
                <w:rFonts w:ascii="Arial" w:cs="Arial" w:eastAsia="Arial" w:hAnsi="Arial"/>
                <w:sz w:val="14"/>
                <w:szCs w:val="14"/>
                <w:b w:val="1"/>
                <w:bCs w:val="1"/>
                <w:color w:val="auto"/>
              </w:rPr>
              <w:t>37.01</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420" w:type="dxa"/>
            <w:vAlign w:val="bottom"/>
          </w:tcPr>
          <w:p>
            <w:pPr>
              <w:ind w:left="60"/>
              <w:spacing w:after="0"/>
              <w:rPr>
                <w:sz w:val="20"/>
                <w:szCs w:val="20"/>
                <w:color w:val="auto"/>
              </w:rPr>
            </w:pPr>
            <w:r>
              <w:rPr>
                <w:rFonts w:ascii="Arial" w:cs="Arial" w:eastAsia="Arial" w:hAnsi="Arial"/>
                <w:sz w:val="14"/>
                <w:szCs w:val="14"/>
                <w:color w:val="auto"/>
              </w:rPr>
              <w:t>NYMEX gas ($/MMBtu)</w:t>
            </w:r>
          </w:p>
        </w:tc>
        <w:tc>
          <w:tcPr>
            <w:tcW w:w="220" w:type="dxa"/>
            <w:vAlign w:val="bottom"/>
          </w:tcPr>
          <w:p>
            <w:pPr>
              <w:jc w:val="right"/>
              <w:ind w:right="49"/>
              <w:spacing w:after="0"/>
              <w:rPr>
                <w:sz w:val="20"/>
                <w:szCs w:val="20"/>
                <w:color w:val="auto"/>
              </w:rPr>
            </w:pPr>
            <w:r>
              <w:rPr>
                <w:rFonts w:ascii="Arial" w:cs="Arial" w:eastAsia="Arial" w:hAnsi="Arial"/>
                <w:sz w:val="14"/>
                <w:szCs w:val="14"/>
                <w:b w:val="1"/>
                <w:bCs w:val="1"/>
                <w:color w:val="auto"/>
              </w:rPr>
              <w:t>$</w:t>
            </w:r>
          </w:p>
        </w:tc>
        <w:tc>
          <w:tcPr>
            <w:tcW w:w="1300" w:type="dxa"/>
            <w:vAlign w:val="bottom"/>
          </w:tcPr>
          <w:p>
            <w:pPr>
              <w:jc w:val="right"/>
              <w:ind w:right="109"/>
              <w:spacing w:after="0"/>
              <w:rPr>
                <w:sz w:val="20"/>
                <w:szCs w:val="20"/>
                <w:color w:val="auto"/>
              </w:rPr>
            </w:pPr>
            <w:r>
              <w:rPr>
                <w:rFonts w:ascii="Arial" w:cs="Arial" w:eastAsia="Arial" w:hAnsi="Arial"/>
                <w:sz w:val="14"/>
                <w:szCs w:val="14"/>
                <w:b w:val="1"/>
                <w:bCs w:val="1"/>
                <w:color w:val="auto"/>
              </w:rPr>
              <w:t>2.76</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jc w:val="right"/>
              <w:ind w:right="69"/>
              <w:spacing w:after="0"/>
              <w:rPr>
                <w:sz w:val="20"/>
                <w:szCs w:val="20"/>
                <w:color w:val="auto"/>
              </w:rPr>
            </w:pPr>
            <w:r>
              <w:rPr>
                <w:rFonts w:ascii="Arial" w:cs="Arial" w:eastAsia="Arial" w:hAnsi="Arial"/>
                <w:sz w:val="14"/>
                <w:szCs w:val="14"/>
                <w:b w:val="1"/>
                <w:bCs w:val="1"/>
                <w:color w:val="auto"/>
              </w:rPr>
              <w:t>$</w:t>
            </w:r>
          </w:p>
        </w:tc>
        <w:tc>
          <w:tcPr>
            <w:tcW w:w="1320" w:type="dxa"/>
            <w:vAlign w:val="bottom"/>
          </w:tcPr>
          <w:p>
            <w:pPr>
              <w:jc w:val="right"/>
              <w:ind w:right="109"/>
              <w:spacing w:after="0"/>
              <w:rPr>
                <w:sz w:val="20"/>
                <w:szCs w:val="20"/>
                <w:color w:val="auto"/>
              </w:rPr>
            </w:pPr>
            <w:r>
              <w:rPr>
                <w:rFonts w:ascii="Arial" w:cs="Arial" w:eastAsia="Arial" w:hAnsi="Arial"/>
                <w:sz w:val="14"/>
                <w:szCs w:val="14"/>
                <w:b w:val="1"/>
                <w:bCs w:val="1"/>
                <w:color w:val="auto"/>
              </w:rPr>
              <w:t>1.77</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jc w:val="right"/>
              <w:ind w:right="69"/>
              <w:spacing w:after="0"/>
              <w:rPr>
                <w:sz w:val="20"/>
                <w:szCs w:val="20"/>
                <w:color w:val="auto"/>
              </w:rPr>
            </w:pPr>
            <w:r>
              <w:rPr>
                <w:rFonts w:ascii="Arial" w:cs="Arial" w:eastAsia="Arial" w:hAnsi="Arial"/>
                <w:sz w:val="14"/>
                <w:szCs w:val="14"/>
                <w:b w:val="1"/>
                <w:bCs w:val="1"/>
                <w:color w:val="auto"/>
              </w:rPr>
              <w:t>$</w:t>
            </w:r>
          </w:p>
        </w:tc>
        <w:tc>
          <w:tcPr>
            <w:tcW w:w="1300" w:type="dxa"/>
            <w:vAlign w:val="bottom"/>
          </w:tcPr>
          <w:p>
            <w:pPr>
              <w:jc w:val="right"/>
              <w:ind w:right="109"/>
              <w:spacing w:after="0"/>
              <w:rPr>
                <w:sz w:val="20"/>
                <w:szCs w:val="20"/>
                <w:color w:val="auto"/>
              </w:rPr>
            </w:pPr>
            <w:r>
              <w:rPr>
                <w:rFonts w:ascii="Arial" w:cs="Arial" w:eastAsia="Arial" w:hAnsi="Arial"/>
                <w:sz w:val="14"/>
                <w:szCs w:val="14"/>
                <w:b w:val="1"/>
                <w:bCs w:val="1"/>
                <w:color w:val="auto"/>
              </w:rPr>
              <w:t>2.74</w:t>
            </w:r>
          </w:p>
        </w:tc>
        <w:tc>
          <w:tcPr>
            <w:tcW w:w="2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200" w:type="dxa"/>
            <w:vAlign w:val="bottom"/>
          </w:tcPr>
          <w:p>
            <w:pPr>
              <w:jc w:val="right"/>
              <w:ind w:right="109"/>
              <w:spacing w:after="0"/>
              <w:rPr>
                <w:sz w:val="20"/>
                <w:szCs w:val="20"/>
                <w:color w:val="auto"/>
              </w:rPr>
            </w:pPr>
            <w:r>
              <w:rPr>
                <w:rFonts w:ascii="Arial" w:cs="Arial" w:eastAsia="Arial" w:hAnsi="Arial"/>
                <w:sz w:val="14"/>
                <w:szCs w:val="14"/>
                <w:b w:val="1"/>
                <w:bCs w:val="1"/>
                <w:color w:val="auto"/>
              </w:rPr>
              <w:t>1.91</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0"/>
        </w:trPr>
        <w:tc>
          <w:tcPr>
            <w:tcW w:w="4420" w:type="dxa"/>
            <w:vAlign w:val="bottom"/>
          </w:tcPr>
          <w:p>
            <w:pPr>
              <w:ind w:left="20"/>
              <w:spacing w:after="0"/>
              <w:rPr>
                <w:sz w:val="20"/>
                <w:szCs w:val="20"/>
                <w:color w:val="auto"/>
              </w:rPr>
            </w:pPr>
            <w:r>
              <w:rPr>
                <w:rFonts w:ascii="Arial" w:cs="Arial" w:eastAsia="Arial" w:hAnsi="Arial"/>
                <w:sz w:val="14"/>
                <w:szCs w:val="14"/>
                <w:b w:val="1"/>
                <w:bCs w:val="1"/>
                <w:color w:val="auto"/>
              </w:rPr>
              <w:t>Realized Prices as Percentage of Index Prices</w:t>
            </w:r>
          </w:p>
        </w:tc>
        <w:tc>
          <w:tcPr>
            <w:tcW w:w="220" w:type="dxa"/>
            <w:vAlign w:val="bottom"/>
          </w:tcPr>
          <w:p>
            <w:pPr>
              <w:spacing w:after="0"/>
              <w:rPr>
                <w:sz w:val="24"/>
                <w:szCs w:val="24"/>
                <w:color w:val="auto"/>
              </w:rPr>
            </w:pPr>
          </w:p>
        </w:tc>
        <w:tc>
          <w:tcPr>
            <w:tcW w:w="13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78 %</w:t>
            </w:r>
          </w:p>
        </w:tc>
        <w:tc>
          <w:tcPr>
            <w:tcW w:w="12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93 %</w:t>
            </w:r>
          </w:p>
        </w:tc>
        <w:tc>
          <w:tcPr>
            <w:tcW w:w="12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83 %</w:t>
            </w:r>
          </w:p>
        </w:tc>
        <w:tc>
          <w:tcPr>
            <w:tcW w:w="20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104 %</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4420" w:type="dxa"/>
            <w:vAlign w:val="bottom"/>
          </w:tcPr>
          <w:p>
            <w:pPr>
              <w:ind w:left="60"/>
              <w:spacing w:after="0"/>
              <w:rPr>
                <w:sz w:val="20"/>
                <w:szCs w:val="20"/>
                <w:color w:val="auto"/>
              </w:rPr>
            </w:pPr>
            <w:r>
              <w:rPr>
                <w:rFonts w:ascii="Arial" w:cs="Arial" w:eastAsia="Arial" w:hAnsi="Arial"/>
                <w:sz w:val="14"/>
                <w:szCs w:val="14"/>
                <w:color w:val="auto"/>
              </w:rPr>
              <w:t>Oil with hedge as a percentage of Brent</w:t>
            </w:r>
          </w:p>
        </w:tc>
        <w:tc>
          <w:tcPr>
            <w:tcW w:w="220" w:type="dxa"/>
            <w:vAlign w:val="bottom"/>
          </w:tcPr>
          <w:p>
            <w:pPr>
              <w:spacing w:after="0"/>
              <w:rPr>
                <w:sz w:val="15"/>
                <w:szCs w:val="15"/>
                <w:color w:val="auto"/>
              </w:rPr>
            </w:pPr>
          </w:p>
        </w:tc>
        <w:tc>
          <w:tcPr>
            <w:tcW w:w="1300" w:type="dxa"/>
            <w:vAlign w:val="bottom"/>
            <w:vMerge w:val="continue"/>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vMerge w:val="continue"/>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420" w:type="dxa"/>
            <w:vAlign w:val="bottom"/>
          </w:tcPr>
          <w:p>
            <w:pPr>
              <w:ind w:left="60"/>
              <w:spacing w:after="0"/>
              <w:rPr>
                <w:sz w:val="20"/>
                <w:szCs w:val="20"/>
                <w:color w:val="auto"/>
              </w:rPr>
            </w:pPr>
            <w:r>
              <w:rPr>
                <w:rFonts w:ascii="Arial" w:cs="Arial" w:eastAsia="Arial" w:hAnsi="Arial"/>
                <w:sz w:val="14"/>
                <w:szCs w:val="14"/>
                <w:color w:val="auto"/>
              </w:rPr>
              <w:t>Oil without hedge as a percentage of Brent</w:t>
            </w: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100 %</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91 %</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100 %</w:t>
            </w:r>
          </w:p>
        </w:tc>
        <w:tc>
          <w:tcPr>
            <w:tcW w:w="2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97 %</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420" w:type="dxa"/>
            <w:vAlign w:val="bottom"/>
          </w:tcPr>
          <w:p>
            <w:pPr>
              <w:ind w:left="60"/>
              <w:spacing w:after="0"/>
              <w:rPr>
                <w:sz w:val="20"/>
                <w:szCs w:val="20"/>
                <w:color w:val="auto"/>
              </w:rPr>
            </w:pPr>
            <w:r>
              <w:rPr>
                <w:rFonts w:ascii="Arial" w:cs="Arial" w:eastAsia="Arial" w:hAnsi="Arial"/>
                <w:sz w:val="14"/>
                <w:szCs w:val="14"/>
                <w:color w:val="auto"/>
              </w:rPr>
              <w:t>Oil with hedge as a percentage of WTI</w:t>
            </w: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82 %</w:t>
            </w:r>
          </w:p>
        </w:tc>
        <w:tc>
          <w:tcPr>
            <w:tcW w:w="12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111 %</w:t>
            </w:r>
          </w:p>
        </w:tc>
        <w:tc>
          <w:tcPr>
            <w:tcW w:w="12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87 %</w:t>
            </w:r>
          </w:p>
        </w:tc>
        <w:tc>
          <w:tcPr>
            <w:tcW w:w="20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118 %</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4420" w:type="dxa"/>
            <w:vAlign w:val="bottom"/>
          </w:tcPr>
          <w:p>
            <w:pPr>
              <w:ind w:left="60"/>
              <w:spacing w:after="0"/>
              <w:rPr>
                <w:sz w:val="20"/>
                <w:szCs w:val="20"/>
                <w:color w:val="auto"/>
              </w:rPr>
            </w:pPr>
            <w:r>
              <w:rPr>
                <w:rFonts w:ascii="Arial" w:cs="Arial" w:eastAsia="Arial" w:hAnsi="Arial"/>
                <w:sz w:val="14"/>
                <w:szCs w:val="14"/>
                <w:color w:val="auto"/>
              </w:rPr>
              <w:t>Oil without hedge as a percentage of WTI</w:t>
            </w: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104 %</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109 %</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105 %</w:t>
            </w:r>
          </w:p>
        </w:tc>
        <w:tc>
          <w:tcPr>
            <w:tcW w:w="2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111 %</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420" w:type="dxa"/>
            <w:vAlign w:val="bottom"/>
          </w:tcPr>
          <w:p>
            <w:pPr>
              <w:ind w:left="60"/>
              <w:spacing w:after="0"/>
              <w:rPr>
                <w:sz w:val="20"/>
                <w:szCs w:val="20"/>
                <w:color w:val="auto"/>
              </w:rPr>
            </w:pPr>
            <w:r>
              <w:rPr>
                <w:rFonts w:ascii="Arial" w:cs="Arial" w:eastAsia="Arial" w:hAnsi="Arial"/>
                <w:sz w:val="14"/>
                <w:szCs w:val="14"/>
                <w:color w:val="auto"/>
              </w:rPr>
              <w:t>NGLs as a percentage of Brent</w:t>
            </w: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65 %</w:t>
            </w:r>
          </w:p>
        </w:tc>
        <w:tc>
          <w:tcPr>
            <w:tcW w:w="12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63 %</w:t>
            </w:r>
          </w:p>
        </w:tc>
        <w:tc>
          <w:tcPr>
            <w:tcW w:w="12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72 %</w:t>
            </w:r>
          </w:p>
        </w:tc>
        <w:tc>
          <w:tcPr>
            <w:tcW w:w="20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60 %</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4420" w:type="dxa"/>
            <w:vAlign w:val="bottom"/>
          </w:tcPr>
          <w:p>
            <w:pPr>
              <w:ind w:left="60"/>
              <w:spacing w:after="0"/>
              <w:rPr>
                <w:sz w:val="20"/>
                <w:szCs w:val="20"/>
                <w:color w:val="auto"/>
              </w:rPr>
            </w:pPr>
            <w:r>
              <w:rPr>
                <w:rFonts w:ascii="Arial" w:cs="Arial" w:eastAsia="Arial" w:hAnsi="Arial"/>
                <w:sz w:val="14"/>
                <w:szCs w:val="14"/>
                <w:color w:val="auto"/>
              </w:rPr>
              <w:t>NGLs as a percentage of WTI</w:t>
            </w: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68 %</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76 %</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75 %</w:t>
            </w:r>
          </w:p>
        </w:tc>
        <w:tc>
          <w:tcPr>
            <w:tcW w:w="2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68 %</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420" w:type="dxa"/>
            <w:vAlign w:val="bottom"/>
          </w:tcPr>
          <w:p>
            <w:pPr>
              <w:ind w:left="60"/>
              <w:spacing w:after="0"/>
              <w:rPr>
                <w:sz w:val="20"/>
                <w:szCs w:val="20"/>
                <w:color w:val="auto"/>
              </w:rPr>
            </w:pPr>
            <w:r>
              <w:rPr>
                <w:rFonts w:ascii="Arial" w:cs="Arial" w:eastAsia="Arial" w:hAnsi="Arial"/>
                <w:sz w:val="14"/>
                <w:szCs w:val="14"/>
                <w:color w:val="auto"/>
              </w:rPr>
              <w:t>Natural gas as a percentage of NYMEX</w:t>
            </w: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110 %</w:t>
            </w:r>
          </w:p>
        </w:tc>
        <w:tc>
          <w:tcPr>
            <w:tcW w:w="12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93 %</w:t>
            </w:r>
          </w:p>
        </w:tc>
        <w:tc>
          <w:tcPr>
            <w:tcW w:w="12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116 %</w:t>
            </w:r>
          </w:p>
        </w:tc>
        <w:tc>
          <w:tcPr>
            <w:tcW w:w="20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103 %</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19</w:t>
      </w:r>
    </w:p>
    <w:p>
      <w:pPr>
        <w:sectPr>
          <w:pgSz w:w="11900" w:h="16838" w:orient="portrait"/>
          <w:cols w:equalWidth="0" w:num="1">
            <w:col w:w="11240"/>
          </w:cols>
          <w:pgMar w:left="320" w:top="1040"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86"/>
        </w:trPr>
        <w:tc>
          <w:tcPr>
            <w:tcW w:w="3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ind w:left="660"/>
              <w:spacing w:after="0"/>
              <w:rPr>
                <w:sz w:val="20"/>
                <w:szCs w:val="20"/>
                <w:color w:val="auto"/>
              </w:rPr>
            </w:pPr>
            <w:r>
              <w:rPr>
                <w:rFonts w:ascii="Arial" w:cs="Arial" w:eastAsia="Arial" w:hAnsi="Arial"/>
                <w:sz w:val="14"/>
                <w:szCs w:val="14"/>
                <w:b w:val="1"/>
                <w:bCs w:val="1"/>
                <w:color w:val="auto"/>
                <w:w w:val="99"/>
              </w:rPr>
              <w:t>Attachment 5</w:t>
            </w:r>
          </w:p>
        </w:tc>
        <w:tc>
          <w:tcPr>
            <w:tcW w:w="0" w:type="dxa"/>
            <w:vAlign w:val="bottom"/>
          </w:tcPr>
          <w:p>
            <w:pPr>
              <w:spacing w:after="0"/>
              <w:rPr>
                <w:sz w:val="1"/>
                <w:szCs w:val="1"/>
                <w:color w:val="auto"/>
              </w:rPr>
            </w:pPr>
          </w:p>
        </w:tc>
      </w:tr>
      <w:tr>
        <w:trPr>
          <w:trHeight w:val="20"/>
        </w:trPr>
        <w:tc>
          <w:tcPr>
            <w:tcW w:w="3840" w:type="dxa"/>
            <w:vAlign w:val="bottom"/>
            <w:tcBorders>
              <w:bottom w:val="single" w:sz="8" w:color="auto"/>
            </w:tcBorders>
            <w:gridSpan w:val="2"/>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3840" w:type="dxa"/>
            <w:vAlign w:val="bottom"/>
            <w:gridSpan w:val="2"/>
          </w:tcPr>
          <w:p>
            <w:pPr>
              <w:spacing w:after="0"/>
              <w:rPr>
                <w:sz w:val="20"/>
                <w:szCs w:val="20"/>
                <w:color w:val="auto"/>
              </w:rPr>
            </w:pPr>
            <w:r>
              <w:rPr>
                <w:rFonts w:ascii="Arial" w:cs="Arial" w:eastAsia="Arial" w:hAnsi="Arial"/>
                <w:sz w:val="14"/>
                <w:szCs w:val="14"/>
                <w:b w:val="1"/>
                <w:bCs w:val="1"/>
                <w:color w:val="auto"/>
              </w:rPr>
              <w:t>2ND QUARTER 2021 DRILLING ACTIVITY</w:t>
            </w:r>
          </w:p>
        </w:tc>
        <w:tc>
          <w:tcPr>
            <w:tcW w:w="14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San Joaquin</w:t>
            </w:r>
          </w:p>
        </w:tc>
        <w:tc>
          <w:tcPr>
            <w:tcW w:w="14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Los Angeles</w:t>
            </w:r>
          </w:p>
        </w:tc>
        <w:tc>
          <w:tcPr>
            <w:tcW w:w="14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9"/>
              </w:rPr>
              <w:t>Ventura</w:t>
            </w:r>
          </w:p>
        </w:tc>
        <w:tc>
          <w:tcPr>
            <w:tcW w:w="15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9"/>
              </w:rPr>
              <w:t>Sacramento</w:t>
            </w: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Wells Drilled</w:t>
            </w:r>
          </w:p>
        </w:tc>
        <w:tc>
          <w:tcPr>
            <w:tcW w:w="120" w:type="dxa"/>
            <w:vAlign w:val="bottom"/>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Basin</w:t>
            </w:r>
          </w:p>
        </w:tc>
        <w:tc>
          <w:tcPr>
            <w:tcW w:w="100" w:type="dxa"/>
            <w:vAlign w:val="bottom"/>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Basin</w:t>
            </w:r>
          </w:p>
        </w:tc>
        <w:tc>
          <w:tcPr>
            <w:tcW w:w="120" w:type="dxa"/>
            <w:vAlign w:val="bottom"/>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Basin</w:t>
            </w:r>
          </w:p>
        </w:tc>
        <w:tc>
          <w:tcPr>
            <w:tcW w:w="100" w:type="dxa"/>
            <w:vAlign w:val="bottom"/>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Basin</w:t>
            </w:r>
          </w:p>
        </w:tc>
        <w:tc>
          <w:tcPr>
            <w:tcW w:w="100" w:type="dxa"/>
            <w:vAlign w:val="bottom"/>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419"/>
        </w:trPr>
        <w:tc>
          <w:tcPr>
            <w:tcW w:w="3840" w:type="dxa"/>
            <w:vAlign w:val="bottom"/>
            <w:gridSpan w:val="2"/>
          </w:tcPr>
          <w:p>
            <w:pPr>
              <w:spacing w:after="0"/>
              <w:rPr>
                <w:sz w:val="20"/>
                <w:szCs w:val="20"/>
                <w:color w:val="auto"/>
              </w:rPr>
            </w:pPr>
            <w:r>
              <w:rPr>
                <w:rFonts w:ascii="Arial" w:cs="Arial" w:eastAsia="Arial" w:hAnsi="Arial"/>
                <w:sz w:val="14"/>
                <w:szCs w:val="14"/>
                <w:b w:val="1"/>
                <w:bCs w:val="1"/>
                <w:color w:val="auto"/>
              </w:rPr>
              <w:t>Development Wells</w:t>
            </w: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840" w:type="dxa"/>
            <w:vAlign w:val="bottom"/>
            <w:gridSpan w:val="2"/>
          </w:tcPr>
          <w:p>
            <w:pPr>
              <w:ind w:left="120"/>
              <w:spacing w:after="0"/>
              <w:rPr>
                <w:sz w:val="20"/>
                <w:szCs w:val="20"/>
                <w:color w:val="auto"/>
              </w:rPr>
            </w:pPr>
            <w:r>
              <w:rPr>
                <w:rFonts w:ascii="Arial" w:cs="Arial" w:eastAsia="Arial" w:hAnsi="Arial"/>
                <w:sz w:val="14"/>
                <w:szCs w:val="14"/>
                <w:color w:val="auto"/>
              </w:rPr>
              <w:t>Primary</w:t>
            </w:r>
          </w:p>
        </w:tc>
        <w:tc>
          <w:tcPr>
            <w:tcW w:w="1300" w:type="dxa"/>
            <w:vAlign w:val="bottom"/>
          </w:tcPr>
          <w:p>
            <w:pPr>
              <w:jc w:val="center"/>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6"/>
                <w:szCs w:val="16"/>
                <w:color w:val="auto"/>
              </w:rPr>
            </w:pPr>
          </w:p>
        </w:tc>
        <w:tc>
          <w:tcPr>
            <w:tcW w:w="1400" w:type="dxa"/>
            <w:vAlign w:val="bottom"/>
            <w:gridSpan w:val="2"/>
          </w:tcPr>
          <w:p>
            <w:pPr>
              <w:jc w:val="center"/>
              <w:ind w:right="140"/>
              <w:spacing w:after="0"/>
              <w:rPr>
                <w:sz w:val="20"/>
                <w:szCs w:val="20"/>
                <w:color w:val="auto"/>
              </w:rPr>
            </w:pPr>
            <w:r>
              <w:rPr>
                <w:rFonts w:ascii="Arial" w:cs="Arial" w:eastAsia="Arial" w:hAnsi="Arial"/>
                <w:sz w:val="14"/>
                <w:szCs w:val="14"/>
                <w:color w:val="auto"/>
                <w:w w:val="99"/>
              </w:rPr>
              <w:t>—</w:t>
            </w:r>
          </w:p>
        </w:tc>
        <w:tc>
          <w:tcPr>
            <w:tcW w:w="142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560" w:type="dxa"/>
            <w:vAlign w:val="bottom"/>
          </w:tcPr>
          <w:p>
            <w:pPr>
              <w:jc w:val="center"/>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83"/>
        </w:trPr>
        <w:tc>
          <w:tcPr>
            <w:tcW w:w="3840" w:type="dxa"/>
            <w:vAlign w:val="bottom"/>
            <w:gridSpan w:val="2"/>
          </w:tcPr>
          <w:p>
            <w:pPr>
              <w:ind w:left="120"/>
              <w:spacing w:after="0"/>
              <w:rPr>
                <w:sz w:val="20"/>
                <w:szCs w:val="20"/>
                <w:color w:val="auto"/>
              </w:rPr>
            </w:pPr>
            <w:r>
              <w:rPr>
                <w:rFonts w:ascii="Arial" w:cs="Arial" w:eastAsia="Arial" w:hAnsi="Arial"/>
                <w:sz w:val="14"/>
                <w:szCs w:val="14"/>
                <w:color w:val="auto"/>
              </w:rPr>
              <w:t>Waterflood</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5"/>
                <w:szCs w:val="15"/>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5"/>
                <w:szCs w:val="15"/>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5"/>
                <w:szCs w:val="15"/>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5"/>
                <w:szCs w:val="15"/>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79"/>
        </w:trPr>
        <w:tc>
          <w:tcPr>
            <w:tcW w:w="3840" w:type="dxa"/>
            <w:vAlign w:val="bottom"/>
            <w:gridSpan w:val="2"/>
          </w:tcPr>
          <w:p>
            <w:pPr>
              <w:spacing w:after="0" w:line="179" w:lineRule="exact"/>
              <w:rPr>
                <w:sz w:val="20"/>
                <w:szCs w:val="20"/>
                <w:color w:val="auto"/>
              </w:rPr>
            </w:pPr>
            <w:r>
              <w:rPr>
                <w:rFonts w:ascii="Arial" w:cs="Arial" w:eastAsia="Arial" w:hAnsi="Arial"/>
                <w:sz w:val="14"/>
                <w:szCs w:val="14"/>
                <w:b w:val="1"/>
                <w:bCs w:val="1"/>
                <w:color w:val="auto"/>
              </w:rPr>
              <w:t xml:space="preserve">Total </w:t>
            </w:r>
            <w:r>
              <w:rPr>
                <w:rFonts w:ascii="Arial" w:cs="Arial" w:eastAsia="Arial" w:hAnsi="Arial"/>
                <w:sz w:val="18"/>
                <w:szCs w:val="18"/>
                <w:b w:val="1"/>
                <w:bCs w:val="1"/>
                <w:color w:val="auto"/>
                <w:vertAlign w:val="superscript"/>
              </w:rPr>
              <w:t>(1)</w:t>
            </w:r>
          </w:p>
        </w:tc>
        <w:tc>
          <w:tcPr>
            <w:tcW w:w="1300" w:type="dxa"/>
            <w:vAlign w:val="bottom"/>
          </w:tcPr>
          <w:p>
            <w:pPr>
              <w:jc w:val="center"/>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5"/>
                <w:szCs w:val="15"/>
                <w:color w:val="auto"/>
              </w:rPr>
            </w:pPr>
          </w:p>
        </w:tc>
        <w:tc>
          <w:tcPr>
            <w:tcW w:w="1400" w:type="dxa"/>
            <w:vAlign w:val="bottom"/>
            <w:gridSpan w:val="2"/>
          </w:tcPr>
          <w:p>
            <w:pPr>
              <w:jc w:val="center"/>
              <w:ind w:right="140"/>
              <w:spacing w:after="0"/>
              <w:rPr>
                <w:sz w:val="20"/>
                <w:szCs w:val="20"/>
                <w:color w:val="auto"/>
              </w:rPr>
            </w:pPr>
            <w:r>
              <w:rPr>
                <w:rFonts w:ascii="Arial" w:cs="Arial" w:eastAsia="Arial" w:hAnsi="Arial"/>
                <w:sz w:val="14"/>
                <w:szCs w:val="14"/>
                <w:color w:val="auto"/>
                <w:w w:val="99"/>
              </w:rPr>
              <w:t>—</w:t>
            </w:r>
          </w:p>
        </w:tc>
        <w:tc>
          <w:tcPr>
            <w:tcW w:w="142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560" w:type="dxa"/>
            <w:vAlign w:val="bottom"/>
          </w:tcPr>
          <w:p>
            <w:pPr>
              <w:jc w:val="center"/>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20"/>
        </w:trPr>
        <w:tc>
          <w:tcPr>
            <w:tcW w:w="3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SIX MONTHS 2021 DRILLING ACTIVITY</w:t>
            </w: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8"/>
        </w:trPr>
        <w:tc>
          <w:tcPr>
            <w:tcW w:w="3840" w:type="dxa"/>
            <w:vAlign w:val="bottom"/>
            <w:gridSpan w:val="2"/>
            <w:vMerge w:val="continue"/>
          </w:tcPr>
          <w:p>
            <w:pPr>
              <w:spacing w:after="0"/>
              <w:rPr>
                <w:sz w:val="24"/>
                <w:szCs w:val="24"/>
                <w:color w:val="auto"/>
              </w:rPr>
            </w:pPr>
          </w:p>
        </w:tc>
        <w:tc>
          <w:tcPr>
            <w:tcW w:w="14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San Joaquin</w:t>
            </w:r>
          </w:p>
        </w:tc>
        <w:tc>
          <w:tcPr>
            <w:tcW w:w="14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Los Angeles</w:t>
            </w:r>
          </w:p>
        </w:tc>
        <w:tc>
          <w:tcPr>
            <w:tcW w:w="14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9"/>
              </w:rPr>
              <w:t>Ventura</w:t>
            </w:r>
          </w:p>
        </w:tc>
        <w:tc>
          <w:tcPr>
            <w:tcW w:w="15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9"/>
              </w:rPr>
              <w:t>Sacramento</w:t>
            </w: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3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Wells Drilled</w:t>
            </w:r>
          </w:p>
        </w:tc>
        <w:tc>
          <w:tcPr>
            <w:tcW w:w="120" w:type="dxa"/>
            <w:vAlign w:val="bottom"/>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Basin</w:t>
            </w:r>
          </w:p>
        </w:tc>
        <w:tc>
          <w:tcPr>
            <w:tcW w:w="100" w:type="dxa"/>
            <w:vAlign w:val="bottom"/>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Basin</w:t>
            </w:r>
          </w:p>
        </w:tc>
        <w:tc>
          <w:tcPr>
            <w:tcW w:w="120" w:type="dxa"/>
            <w:vAlign w:val="bottom"/>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Basin</w:t>
            </w:r>
          </w:p>
        </w:tc>
        <w:tc>
          <w:tcPr>
            <w:tcW w:w="100" w:type="dxa"/>
            <w:vAlign w:val="bottom"/>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Basin</w:t>
            </w:r>
          </w:p>
        </w:tc>
        <w:tc>
          <w:tcPr>
            <w:tcW w:w="100" w:type="dxa"/>
            <w:vAlign w:val="bottom"/>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419"/>
        </w:trPr>
        <w:tc>
          <w:tcPr>
            <w:tcW w:w="3840" w:type="dxa"/>
            <w:vAlign w:val="bottom"/>
            <w:gridSpan w:val="2"/>
          </w:tcPr>
          <w:p>
            <w:pPr>
              <w:spacing w:after="0"/>
              <w:rPr>
                <w:sz w:val="20"/>
                <w:szCs w:val="20"/>
                <w:color w:val="auto"/>
              </w:rPr>
            </w:pPr>
            <w:r>
              <w:rPr>
                <w:rFonts w:ascii="Arial" w:cs="Arial" w:eastAsia="Arial" w:hAnsi="Arial"/>
                <w:sz w:val="14"/>
                <w:szCs w:val="14"/>
                <w:b w:val="1"/>
                <w:bCs w:val="1"/>
                <w:color w:val="auto"/>
              </w:rPr>
              <w:t>Development Wells</w:t>
            </w: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840" w:type="dxa"/>
            <w:vAlign w:val="bottom"/>
            <w:gridSpan w:val="2"/>
          </w:tcPr>
          <w:p>
            <w:pPr>
              <w:ind w:left="120"/>
              <w:spacing w:after="0"/>
              <w:rPr>
                <w:sz w:val="20"/>
                <w:szCs w:val="20"/>
                <w:color w:val="auto"/>
              </w:rPr>
            </w:pPr>
            <w:r>
              <w:rPr>
                <w:rFonts w:ascii="Arial" w:cs="Arial" w:eastAsia="Arial" w:hAnsi="Arial"/>
                <w:sz w:val="14"/>
                <w:szCs w:val="14"/>
                <w:color w:val="auto"/>
              </w:rPr>
              <w:t>Primary</w:t>
            </w:r>
          </w:p>
        </w:tc>
        <w:tc>
          <w:tcPr>
            <w:tcW w:w="1300" w:type="dxa"/>
            <w:vAlign w:val="bottom"/>
          </w:tcPr>
          <w:p>
            <w:pPr>
              <w:jc w:val="center"/>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6"/>
                <w:szCs w:val="16"/>
                <w:color w:val="auto"/>
              </w:rPr>
            </w:pPr>
          </w:p>
        </w:tc>
        <w:tc>
          <w:tcPr>
            <w:tcW w:w="1400" w:type="dxa"/>
            <w:vAlign w:val="bottom"/>
            <w:gridSpan w:val="2"/>
          </w:tcPr>
          <w:p>
            <w:pPr>
              <w:jc w:val="center"/>
              <w:ind w:right="140"/>
              <w:spacing w:after="0"/>
              <w:rPr>
                <w:sz w:val="20"/>
                <w:szCs w:val="20"/>
                <w:color w:val="auto"/>
              </w:rPr>
            </w:pPr>
            <w:r>
              <w:rPr>
                <w:rFonts w:ascii="Arial" w:cs="Arial" w:eastAsia="Arial" w:hAnsi="Arial"/>
                <w:sz w:val="14"/>
                <w:szCs w:val="14"/>
                <w:color w:val="auto"/>
                <w:w w:val="99"/>
              </w:rPr>
              <w:t>—</w:t>
            </w:r>
          </w:p>
        </w:tc>
        <w:tc>
          <w:tcPr>
            <w:tcW w:w="142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560" w:type="dxa"/>
            <w:vAlign w:val="bottom"/>
          </w:tcPr>
          <w:p>
            <w:pPr>
              <w:jc w:val="center"/>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83"/>
        </w:trPr>
        <w:tc>
          <w:tcPr>
            <w:tcW w:w="3840" w:type="dxa"/>
            <w:vAlign w:val="bottom"/>
            <w:gridSpan w:val="2"/>
          </w:tcPr>
          <w:p>
            <w:pPr>
              <w:ind w:left="120"/>
              <w:spacing w:after="0"/>
              <w:rPr>
                <w:sz w:val="20"/>
                <w:szCs w:val="20"/>
                <w:color w:val="auto"/>
              </w:rPr>
            </w:pPr>
            <w:r>
              <w:rPr>
                <w:rFonts w:ascii="Arial" w:cs="Arial" w:eastAsia="Arial" w:hAnsi="Arial"/>
                <w:sz w:val="14"/>
                <w:szCs w:val="14"/>
                <w:color w:val="auto"/>
              </w:rPr>
              <w:t>Waterflood</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5"/>
                <w:szCs w:val="15"/>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5"/>
                <w:szCs w:val="15"/>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5"/>
                <w:szCs w:val="15"/>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5"/>
                <w:szCs w:val="15"/>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79"/>
        </w:trPr>
        <w:tc>
          <w:tcPr>
            <w:tcW w:w="3840" w:type="dxa"/>
            <w:vAlign w:val="bottom"/>
            <w:gridSpan w:val="2"/>
          </w:tcPr>
          <w:p>
            <w:pPr>
              <w:spacing w:after="0" w:line="179" w:lineRule="exact"/>
              <w:rPr>
                <w:sz w:val="20"/>
                <w:szCs w:val="20"/>
                <w:color w:val="auto"/>
              </w:rPr>
            </w:pPr>
            <w:r>
              <w:rPr>
                <w:rFonts w:ascii="Arial" w:cs="Arial" w:eastAsia="Arial" w:hAnsi="Arial"/>
                <w:sz w:val="14"/>
                <w:szCs w:val="14"/>
                <w:b w:val="1"/>
                <w:bCs w:val="1"/>
                <w:color w:val="auto"/>
              </w:rPr>
              <w:t xml:space="preserve">Total </w:t>
            </w:r>
            <w:r>
              <w:rPr>
                <w:rFonts w:ascii="Arial" w:cs="Arial" w:eastAsia="Arial" w:hAnsi="Arial"/>
                <w:sz w:val="18"/>
                <w:szCs w:val="18"/>
                <w:b w:val="1"/>
                <w:bCs w:val="1"/>
                <w:color w:val="auto"/>
                <w:vertAlign w:val="superscript"/>
              </w:rPr>
              <w:t>(1)</w:t>
            </w:r>
          </w:p>
        </w:tc>
        <w:tc>
          <w:tcPr>
            <w:tcW w:w="1300" w:type="dxa"/>
            <w:vAlign w:val="bottom"/>
          </w:tcPr>
          <w:p>
            <w:pPr>
              <w:jc w:val="center"/>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15"/>
                <w:szCs w:val="15"/>
                <w:color w:val="auto"/>
              </w:rPr>
            </w:pPr>
          </w:p>
        </w:tc>
        <w:tc>
          <w:tcPr>
            <w:tcW w:w="1400" w:type="dxa"/>
            <w:vAlign w:val="bottom"/>
            <w:gridSpan w:val="2"/>
          </w:tcPr>
          <w:p>
            <w:pPr>
              <w:jc w:val="center"/>
              <w:ind w:right="140"/>
              <w:spacing w:after="0"/>
              <w:rPr>
                <w:sz w:val="20"/>
                <w:szCs w:val="20"/>
                <w:color w:val="auto"/>
              </w:rPr>
            </w:pPr>
            <w:r>
              <w:rPr>
                <w:rFonts w:ascii="Arial" w:cs="Arial" w:eastAsia="Arial" w:hAnsi="Arial"/>
                <w:sz w:val="14"/>
                <w:szCs w:val="14"/>
                <w:color w:val="auto"/>
                <w:w w:val="99"/>
              </w:rPr>
              <w:t>—</w:t>
            </w:r>
          </w:p>
        </w:tc>
        <w:tc>
          <w:tcPr>
            <w:tcW w:w="142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560" w:type="dxa"/>
            <w:vAlign w:val="bottom"/>
          </w:tcPr>
          <w:p>
            <w:pPr>
              <w:jc w:val="center"/>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7" w:lineRule="exact"/>
        <w:rPr>
          <w:sz w:val="20"/>
          <w:szCs w:val="20"/>
          <w:color w:val="auto"/>
        </w:rPr>
      </w:pPr>
    </w:p>
    <w:p>
      <w:pPr>
        <w:ind w:left="160" w:hanging="157"/>
        <w:spacing w:after="0"/>
        <w:tabs>
          <w:tab w:leader="none" w:pos="160" w:val="left"/>
        </w:tabs>
        <w:numPr>
          <w:ilvl w:val="0"/>
          <w:numId w:val="12"/>
        </w:numPr>
        <w:rPr>
          <w:rFonts w:ascii="Arial" w:cs="Arial" w:eastAsia="Arial" w:hAnsi="Arial"/>
          <w:sz w:val="18"/>
          <w:szCs w:val="18"/>
          <w:color w:val="auto"/>
          <w:vertAlign w:val="superscript"/>
        </w:rPr>
      </w:pPr>
      <w:r>
        <w:rPr>
          <w:rFonts w:ascii="Arial" w:cs="Arial" w:eastAsia="Arial" w:hAnsi="Arial"/>
          <w:sz w:val="14"/>
          <w:szCs w:val="14"/>
          <w:color w:val="auto"/>
        </w:rPr>
        <w:t>Includes steam injectors and drilled but uncompleted wells, which would not be included in the SEC definition of wells drilled.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20</w:t>
      </w:r>
    </w:p>
    <w:p>
      <w:pPr>
        <w:sectPr>
          <w:pgSz w:w="11900" w:h="16838" w:orient="portrait"/>
          <w:cols w:equalWidth="0" w:num="1">
            <w:col w:w="11180"/>
          </w:cols>
          <w:pgMar w:left="360" w:top="1040" w:right="35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86"/>
        </w:trPr>
        <w:tc>
          <w:tcPr>
            <w:tcW w:w="40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w w:val="99"/>
              </w:rPr>
              <w:t>Attachment 6</w:t>
            </w:r>
          </w:p>
        </w:tc>
      </w:tr>
      <w:tr>
        <w:trPr>
          <w:trHeight w:val="20"/>
        </w:trPr>
        <w:tc>
          <w:tcPr>
            <w:tcW w:w="4300" w:type="dxa"/>
            <w:vAlign w:val="bottom"/>
            <w:tcBorders>
              <w:bottom w:val="single" w:sz="8" w:color="auto"/>
            </w:tcBorders>
            <w:gridSpan w:val="2"/>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81"/>
        </w:trPr>
        <w:tc>
          <w:tcPr>
            <w:tcW w:w="4300" w:type="dxa"/>
            <w:vAlign w:val="bottom"/>
            <w:gridSpan w:val="2"/>
          </w:tcPr>
          <w:p>
            <w:pPr>
              <w:ind w:left="20"/>
              <w:spacing w:after="0"/>
              <w:rPr>
                <w:sz w:val="20"/>
                <w:szCs w:val="20"/>
                <w:color w:val="auto"/>
              </w:rPr>
            </w:pPr>
            <w:r>
              <w:rPr>
                <w:rFonts w:ascii="Arial" w:cs="Arial" w:eastAsia="Arial" w:hAnsi="Arial"/>
                <w:sz w:val="14"/>
                <w:szCs w:val="14"/>
                <w:b w:val="1"/>
                <w:bCs w:val="1"/>
                <w:color w:val="auto"/>
              </w:rPr>
              <w:t>CRUDE OIL HEDGES AS OF JUNE 30, 2021</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395"/>
        </w:trPr>
        <w:tc>
          <w:tcPr>
            <w:tcW w:w="40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Q3 2021</w:t>
            </w:r>
          </w:p>
        </w:tc>
        <w:tc>
          <w:tcPr>
            <w:tcW w:w="100" w:type="dxa"/>
            <w:vAlign w:val="bottom"/>
          </w:tcPr>
          <w:p>
            <w:pPr>
              <w:spacing w:after="0"/>
              <w:rPr>
                <w:sz w:val="24"/>
                <w:szCs w:val="2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Q4 2021</w:t>
            </w:r>
          </w:p>
        </w:tc>
        <w:tc>
          <w:tcPr>
            <w:tcW w:w="100" w:type="dxa"/>
            <w:vAlign w:val="bottom"/>
          </w:tcPr>
          <w:p>
            <w:pPr>
              <w:spacing w:after="0"/>
              <w:rPr>
                <w:sz w:val="24"/>
                <w:szCs w:val="2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1Q 2022</w:t>
            </w:r>
          </w:p>
        </w:tc>
        <w:tc>
          <w:tcPr>
            <w:tcW w:w="100" w:type="dxa"/>
            <w:vAlign w:val="bottom"/>
          </w:tcPr>
          <w:p>
            <w:pPr>
              <w:spacing w:after="0"/>
              <w:rPr>
                <w:sz w:val="24"/>
                <w:szCs w:val="2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2Q 2022</w:t>
            </w:r>
          </w:p>
        </w:tc>
        <w:tc>
          <w:tcPr>
            <w:tcW w:w="100" w:type="dxa"/>
            <w:vAlign w:val="bottom"/>
          </w:tcPr>
          <w:p>
            <w:pPr>
              <w:spacing w:after="0"/>
              <w:rPr>
                <w:sz w:val="24"/>
                <w:szCs w:val="2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2H 2022</w:t>
            </w:r>
          </w:p>
        </w:tc>
        <w:tc>
          <w:tcPr>
            <w:tcW w:w="100" w:type="dxa"/>
            <w:vAlign w:val="bottom"/>
          </w:tcPr>
          <w:p>
            <w:pPr>
              <w:spacing w:after="0"/>
              <w:rPr>
                <w:sz w:val="24"/>
                <w:szCs w:val="24"/>
                <w:color w:val="auto"/>
              </w:rPr>
            </w:pPr>
          </w:p>
        </w:tc>
        <w:tc>
          <w:tcPr>
            <w:tcW w:w="124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FY 2023</w:t>
            </w:r>
          </w:p>
        </w:tc>
      </w:tr>
      <w:tr>
        <w:trPr>
          <w:trHeight w:val="419"/>
        </w:trPr>
        <w:tc>
          <w:tcPr>
            <w:tcW w:w="4300" w:type="dxa"/>
            <w:vAlign w:val="bottom"/>
            <w:gridSpan w:val="2"/>
          </w:tcPr>
          <w:p>
            <w:pPr>
              <w:ind w:left="20"/>
              <w:spacing w:after="0"/>
              <w:rPr>
                <w:sz w:val="20"/>
                <w:szCs w:val="20"/>
                <w:color w:val="auto"/>
              </w:rPr>
            </w:pPr>
            <w:r>
              <w:rPr>
                <w:rFonts w:ascii="Arial" w:cs="Arial" w:eastAsia="Arial" w:hAnsi="Arial"/>
                <w:sz w:val="14"/>
                <w:szCs w:val="14"/>
                <w:b w:val="1"/>
                <w:bCs w:val="1"/>
                <w:color w:val="auto"/>
              </w:rPr>
              <w:t>Sold Calls:</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86"/>
        </w:trPr>
        <w:tc>
          <w:tcPr>
            <w:tcW w:w="4300" w:type="dxa"/>
            <w:vAlign w:val="bottom"/>
            <w:gridSpan w:val="2"/>
          </w:tcPr>
          <w:p>
            <w:pPr>
              <w:ind w:left="140"/>
              <w:spacing w:after="0"/>
              <w:rPr>
                <w:sz w:val="20"/>
                <w:szCs w:val="20"/>
                <w:color w:val="auto"/>
              </w:rPr>
            </w:pPr>
            <w:r>
              <w:rPr>
                <w:rFonts w:ascii="Arial" w:cs="Arial" w:eastAsia="Arial" w:hAnsi="Arial"/>
                <w:sz w:val="14"/>
                <w:szCs w:val="14"/>
                <w:color w:val="auto"/>
              </w:rPr>
              <w:t>Barrels per day</w:t>
            </w:r>
          </w:p>
        </w:tc>
        <w:tc>
          <w:tcPr>
            <w:tcW w:w="1040" w:type="dxa"/>
            <w:vAlign w:val="bottom"/>
          </w:tcPr>
          <w:p>
            <w:pPr>
              <w:jc w:val="center"/>
              <w:spacing w:after="0"/>
              <w:rPr>
                <w:sz w:val="20"/>
                <w:szCs w:val="20"/>
                <w:color w:val="auto"/>
              </w:rPr>
            </w:pPr>
            <w:r>
              <w:rPr>
                <w:rFonts w:ascii="Arial" w:cs="Arial" w:eastAsia="Arial" w:hAnsi="Arial"/>
                <w:sz w:val="14"/>
                <w:szCs w:val="14"/>
                <w:color w:val="auto"/>
              </w:rPr>
              <w:t>36,688</w:t>
            </w:r>
          </w:p>
        </w:tc>
        <w:tc>
          <w:tcPr>
            <w:tcW w:w="10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37,037</w:t>
            </w:r>
          </w:p>
        </w:tc>
        <w:tc>
          <w:tcPr>
            <w:tcW w:w="10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35,347</w:t>
            </w:r>
          </w:p>
        </w:tc>
        <w:tc>
          <w:tcPr>
            <w:tcW w:w="10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35,343</w:t>
            </w:r>
          </w:p>
        </w:tc>
        <w:tc>
          <w:tcPr>
            <w:tcW w:w="10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28,773</w:t>
            </w:r>
          </w:p>
        </w:tc>
        <w:tc>
          <w:tcPr>
            <w:tcW w:w="10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4"/>
                <w:szCs w:val="14"/>
                <w:color w:val="auto"/>
                <w:w w:val="97"/>
              </w:rPr>
              <w:t>14,790</w:t>
            </w:r>
          </w:p>
        </w:tc>
      </w:tr>
      <w:tr>
        <w:trPr>
          <w:trHeight w:val="186"/>
        </w:trPr>
        <w:tc>
          <w:tcPr>
            <w:tcW w:w="4300" w:type="dxa"/>
            <w:vAlign w:val="bottom"/>
            <w:gridSpan w:val="2"/>
          </w:tcPr>
          <w:p>
            <w:pPr>
              <w:ind w:left="140"/>
              <w:spacing w:after="0"/>
              <w:rPr>
                <w:sz w:val="20"/>
                <w:szCs w:val="20"/>
                <w:color w:val="auto"/>
              </w:rPr>
            </w:pPr>
            <w:r>
              <w:rPr>
                <w:rFonts w:ascii="Arial" w:cs="Arial" w:eastAsia="Arial" w:hAnsi="Arial"/>
                <w:sz w:val="14"/>
                <w:szCs w:val="14"/>
                <w:color w:val="auto"/>
              </w:rPr>
              <w:t>Weighted-average Brent price per barrel</w:t>
            </w:r>
          </w:p>
        </w:tc>
        <w:tc>
          <w:tcPr>
            <w:tcW w:w="1040" w:type="dxa"/>
            <w:vAlign w:val="bottom"/>
          </w:tcPr>
          <w:p>
            <w:pPr>
              <w:jc w:val="center"/>
              <w:spacing w:after="0"/>
              <w:rPr>
                <w:sz w:val="20"/>
                <w:szCs w:val="20"/>
                <w:color w:val="auto"/>
              </w:rPr>
            </w:pPr>
            <w:r>
              <w:rPr>
                <w:rFonts w:ascii="Arial" w:cs="Arial" w:eastAsia="Arial" w:hAnsi="Arial"/>
                <w:sz w:val="14"/>
                <w:szCs w:val="14"/>
                <w:color w:val="auto"/>
              </w:rPr>
              <w:t>$50.47</w:t>
            </w:r>
          </w:p>
        </w:tc>
        <w:tc>
          <w:tcPr>
            <w:tcW w:w="10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$60.75</w:t>
            </w:r>
          </w:p>
        </w:tc>
        <w:tc>
          <w:tcPr>
            <w:tcW w:w="10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$60.37</w:t>
            </w:r>
          </w:p>
        </w:tc>
        <w:tc>
          <w:tcPr>
            <w:tcW w:w="10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$60.63</w:t>
            </w:r>
          </w:p>
        </w:tc>
        <w:tc>
          <w:tcPr>
            <w:tcW w:w="10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$59.07</w:t>
            </w:r>
          </w:p>
        </w:tc>
        <w:tc>
          <w:tcPr>
            <w:tcW w:w="10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4"/>
                <w:szCs w:val="14"/>
                <w:color w:val="auto"/>
                <w:w w:val="97"/>
              </w:rPr>
              <w:t>$58.01</w:t>
            </w:r>
          </w:p>
        </w:tc>
      </w:tr>
      <w:tr>
        <w:trPr>
          <w:trHeight w:val="437"/>
        </w:trPr>
        <w:tc>
          <w:tcPr>
            <w:tcW w:w="4300" w:type="dxa"/>
            <w:vAlign w:val="bottom"/>
            <w:gridSpan w:val="2"/>
          </w:tcPr>
          <w:p>
            <w:pPr>
              <w:ind w:left="20"/>
              <w:spacing w:after="0"/>
              <w:rPr>
                <w:sz w:val="20"/>
                <w:szCs w:val="20"/>
                <w:color w:val="auto"/>
              </w:rPr>
            </w:pPr>
            <w:r>
              <w:rPr>
                <w:rFonts w:ascii="Arial" w:cs="Arial" w:eastAsia="Arial" w:hAnsi="Arial"/>
                <w:sz w:val="14"/>
                <w:szCs w:val="14"/>
                <w:b w:val="1"/>
                <w:bCs w:val="1"/>
                <w:color w:val="auto"/>
              </w:rPr>
              <w:t>Purchased Puts:</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85"/>
        </w:trPr>
        <w:tc>
          <w:tcPr>
            <w:tcW w:w="4300" w:type="dxa"/>
            <w:vAlign w:val="bottom"/>
            <w:gridSpan w:val="2"/>
          </w:tcPr>
          <w:p>
            <w:pPr>
              <w:ind w:left="140"/>
              <w:spacing w:after="0"/>
              <w:rPr>
                <w:sz w:val="20"/>
                <w:szCs w:val="20"/>
                <w:color w:val="auto"/>
              </w:rPr>
            </w:pPr>
            <w:r>
              <w:rPr>
                <w:rFonts w:ascii="Arial" w:cs="Arial" w:eastAsia="Arial" w:hAnsi="Arial"/>
                <w:sz w:val="14"/>
                <w:szCs w:val="14"/>
                <w:color w:val="auto"/>
              </w:rPr>
              <w:t>Barrels per day</w:t>
            </w:r>
          </w:p>
        </w:tc>
        <w:tc>
          <w:tcPr>
            <w:tcW w:w="1040" w:type="dxa"/>
            <w:vAlign w:val="bottom"/>
          </w:tcPr>
          <w:p>
            <w:pPr>
              <w:jc w:val="center"/>
              <w:spacing w:after="0"/>
              <w:rPr>
                <w:sz w:val="20"/>
                <w:szCs w:val="20"/>
                <w:color w:val="auto"/>
              </w:rPr>
            </w:pPr>
            <w:r>
              <w:rPr>
                <w:rFonts w:ascii="Arial" w:cs="Arial" w:eastAsia="Arial" w:hAnsi="Arial"/>
                <w:sz w:val="14"/>
                <w:szCs w:val="14"/>
                <w:color w:val="auto"/>
              </w:rPr>
              <w:t>36,943</w:t>
            </w:r>
          </w:p>
        </w:tc>
        <w:tc>
          <w:tcPr>
            <w:tcW w:w="10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35,820</w:t>
            </w:r>
          </w:p>
        </w:tc>
        <w:tc>
          <w:tcPr>
            <w:tcW w:w="10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35,347</w:t>
            </w:r>
          </w:p>
        </w:tc>
        <w:tc>
          <w:tcPr>
            <w:tcW w:w="10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35,343</w:t>
            </w:r>
          </w:p>
        </w:tc>
        <w:tc>
          <w:tcPr>
            <w:tcW w:w="10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28,773</w:t>
            </w:r>
          </w:p>
        </w:tc>
        <w:tc>
          <w:tcPr>
            <w:tcW w:w="10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4"/>
                <w:szCs w:val="14"/>
                <w:color w:val="auto"/>
                <w:w w:val="97"/>
              </w:rPr>
              <w:t>14,790</w:t>
            </w:r>
          </w:p>
        </w:tc>
      </w:tr>
      <w:tr>
        <w:trPr>
          <w:trHeight w:val="186"/>
        </w:trPr>
        <w:tc>
          <w:tcPr>
            <w:tcW w:w="4300" w:type="dxa"/>
            <w:vAlign w:val="bottom"/>
            <w:gridSpan w:val="2"/>
          </w:tcPr>
          <w:p>
            <w:pPr>
              <w:ind w:left="140"/>
              <w:spacing w:after="0"/>
              <w:rPr>
                <w:sz w:val="20"/>
                <w:szCs w:val="20"/>
                <w:color w:val="auto"/>
              </w:rPr>
            </w:pPr>
            <w:r>
              <w:rPr>
                <w:rFonts w:ascii="Arial" w:cs="Arial" w:eastAsia="Arial" w:hAnsi="Arial"/>
                <w:sz w:val="14"/>
                <w:szCs w:val="14"/>
                <w:color w:val="auto"/>
              </w:rPr>
              <w:t>Weighted-average Brent price per barrel</w:t>
            </w:r>
          </w:p>
        </w:tc>
        <w:tc>
          <w:tcPr>
            <w:tcW w:w="1040" w:type="dxa"/>
            <w:vAlign w:val="bottom"/>
          </w:tcPr>
          <w:p>
            <w:pPr>
              <w:jc w:val="center"/>
              <w:spacing w:after="0"/>
              <w:rPr>
                <w:sz w:val="20"/>
                <w:szCs w:val="20"/>
                <w:color w:val="auto"/>
              </w:rPr>
            </w:pPr>
            <w:r>
              <w:rPr>
                <w:rFonts w:ascii="Arial" w:cs="Arial" w:eastAsia="Arial" w:hAnsi="Arial"/>
                <w:sz w:val="14"/>
                <w:szCs w:val="14"/>
                <w:color w:val="auto"/>
              </w:rPr>
              <w:t>$40.18</w:t>
            </w:r>
          </w:p>
        </w:tc>
        <w:tc>
          <w:tcPr>
            <w:tcW w:w="10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$40.19</w:t>
            </w:r>
          </w:p>
        </w:tc>
        <w:tc>
          <w:tcPr>
            <w:tcW w:w="10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$40.57</w:t>
            </w:r>
          </w:p>
        </w:tc>
        <w:tc>
          <w:tcPr>
            <w:tcW w:w="10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$41.13</w:t>
            </w:r>
          </w:p>
        </w:tc>
        <w:tc>
          <w:tcPr>
            <w:tcW w:w="10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$40.70</w:t>
            </w:r>
          </w:p>
        </w:tc>
        <w:tc>
          <w:tcPr>
            <w:tcW w:w="10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4"/>
                <w:szCs w:val="14"/>
                <w:color w:val="auto"/>
                <w:w w:val="97"/>
              </w:rPr>
              <w:t>$40.00</w:t>
            </w:r>
          </w:p>
        </w:tc>
      </w:tr>
      <w:tr>
        <w:trPr>
          <w:trHeight w:val="437"/>
        </w:trPr>
        <w:tc>
          <w:tcPr>
            <w:tcW w:w="4300" w:type="dxa"/>
            <w:vAlign w:val="bottom"/>
            <w:gridSpan w:val="2"/>
          </w:tcPr>
          <w:p>
            <w:pPr>
              <w:ind w:left="20"/>
              <w:spacing w:after="0"/>
              <w:rPr>
                <w:sz w:val="20"/>
                <w:szCs w:val="20"/>
                <w:color w:val="auto"/>
              </w:rPr>
            </w:pPr>
            <w:r>
              <w:rPr>
                <w:rFonts w:ascii="Arial" w:cs="Arial" w:eastAsia="Arial" w:hAnsi="Arial"/>
                <w:sz w:val="14"/>
                <w:szCs w:val="14"/>
                <w:b w:val="1"/>
                <w:bCs w:val="1"/>
                <w:color w:val="auto"/>
              </w:rPr>
              <w:t>Sold Puts:</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86"/>
        </w:trPr>
        <w:tc>
          <w:tcPr>
            <w:tcW w:w="4300" w:type="dxa"/>
            <w:vAlign w:val="bottom"/>
            <w:gridSpan w:val="2"/>
          </w:tcPr>
          <w:p>
            <w:pPr>
              <w:ind w:left="140"/>
              <w:spacing w:after="0"/>
              <w:rPr>
                <w:sz w:val="20"/>
                <w:szCs w:val="20"/>
                <w:color w:val="auto"/>
              </w:rPr>
            </w:pPr>
            <w:r>
              <w:rPr>
                <w:rFonts w:ascii="Arial" w:cs="Arial" w:eastAsia="Arial" w:hAnsi="Arial"/>
                <w:sz w:val="14"/>
                <w:szCs w:val="14"/>
                <w:color w:val="auto"/>
              </w:rPr>
              <w:t>Barrels per day</w:t>
            </w:r>
          </w:p>
        </w:tc>
        <w:tc>
          <w:tcPr>
            <w:tcW w:w="1040" w:type="dxa"/>
            <w:vAlign w:val="bottom"/>
          </w:tcPr>
          <w:p>
            <w:pPr>
              <w:jc w:val="center"/>
              <w:spacing w:after="0"/>
              <w:rPr>
                <w:sz w:val="20"/>
                <w:szCs w:val="20"/>
                <w:color w:val="auto"/>
              </w:rPr>
            </w:pPr>
            <w:r>
              <w:rPr>
                <w:rFonts w:ascii="Arial" w:cs="Arial" w:eastAsia="Arial" w:hAnsi="Arial"/>
                <w:sz w:val="14"/>
                <w:szCs w:val="14"/>
                <w:color w:val="auto"/>
              </w:rPr>
              <w:t>14,647</w:t>
            </w:r>
          </w:p>
        </w:tc>
        <w:tc>
          <w:tcPr>
            <w:tcW w:w="10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14,193</w:t>
            </w:r>
          </w:p>
        </w:tc>
        <w:tc>
          <w:tcPr>
            <w:tcW w:w="10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6,869</w:t>
            </w:r>
          </w:p>
        </w:tc>
        <w:tc>
          <w:tcPr>
            <w:tcW w:w="100" w:type="dxa"/>
            <w:vAlign w:val="bottom"/>
          </w:tcPr>
          <w:p>
            <w:pPr>
              <w:spacing w:after="0"/>
              <w:rPr>
                <w:sz w:val="16"/>
                <w:szCs w:val="16"/>
                <w:color w:val="auto"/>
              </w:rPr>
            </w:pPr>
          </w:p>
        </w:tc>
        <w:tc>
          <w:tcPr>
            <w:tcW w:w="114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040" w:type="dxa"/>
            <w:vAlign w:val="bottom"/>
          </w:tcPr>
          <w:p>
            <w:pPr>
              <w:jc w:val="center"/>
              <w:spacing w:after="0"/>
              <w:rPr>
                <w:sz w:val="20"/>
                <w:szCs w:val="20"/>
                <w:color w:val="auto"/>
              </w:rPr>
            </w:pPr>
            <w:r>
              <w:rPr>
                <w:rFonts w:ascii="Arial" w:cs="Arial" w:eastAsia="Arial" w:hAnsi="Arial"/>
                <w:sz w:val="14"/>
                <w:szCs w:val="14"/>
                <w:color w:val="auto"/>
              </w:rPr>
              <w:t>2,674</w:t>
            </w:r>
          </w:p>
        </w:tc>
        <w:tc>
          <w:tcPr>
            <w:tcW w:w="10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4"/>
                <w:szCs w:val="14"/>
                <w:color w:val="auto"/>
                <w:w w:val="99"/>
              </w:rPr>
              <w:t>—</w:t>
            </w:r>
          </w:p>
        </w:tc>
      </w:tr>
      <w:tr>
        <w:trPr>
          <w:trHeight w:val="185"/>
        </w:trPr>
        <w:tc>
          <w:tcPr>
            <w:tcW w:w="4300" w:type="dxa"/>
            <w:vAlign w:val="bottom"/>
            <w:gridSpan w:val="2"/>
          </w:tcPr>
          <w:p>
            <w:pPr>
              <w:ind w:left="140"/>
              <w:spacing w:after="0"/>
              <w:rPr>
                <w:sz w:val="20"/>
                <w:szCs w:val="20"/>
                <w:color w:val="auto"/>
              </w:rPr>
            </w:pPr>
            <w:r>
              <w:rPr>
                <w:rFonts w:ascii="Arial" w:cs="Arial" w:eastAsia="Arial" w:hAnsi="Arial"/>
                <w:sz w:val="14"/>
                <w:szCs w:val="14"/>
                <w:color w:val="auto"/>
              </w:rPr>
              <w:t>Weighted-average Brent price per barrel</w:t>
            </w:r>
          </w:p>
        </w:tc>
        <w:tc>
          <w:tcPr>
            <w:tcW w:w="1040" w:type="dxa"/>
            <w:vAlign w:val="bottom"/>
          </w:tcPr>
          <w:p>
            <w:pPr>
              <w:jc w:val="center"/>
              <w:spacing w:after="0"/>
              <w:rPr>
                <w:sz w:val="20"/>
                <w:szCs w:val="20"/>
                <w:color w:val="auto"/>
              </w:rPr>
            </w:pPr>
            <w:r>
              <w:rPr>
                <w:rFonts w:ascii="Arial" w:cs="Arial" w:eastAsia="Arial" w:hAnsi="Arial"/>
                <w:sz w:val="14"/>
                <w:szCs w:val="14"/>
                <w:color w:val="auto"/>
              </w:rPr>
              <w:t>$30.00</w:t>
            </w:r>
          </w:p>
        </w:tc>
        <w:tc>
          <w:tcPr>
            <w:tcW w:w="10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$32.00</w:t>
            </w:r>
          </w:p>
        </w:tc>
        <w:tc>
          <w:tcPr>
            <w:tcW w:w="10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$32.00</w:t>
            </w:r>
          </w:p>
        </w:tc>
        <w:tc>
          <w:tcPr>
            <w:tcW w:w="100" w:type="dxa"/>
            <w:vAlign w:val="bottom"/>
          </w:tcPr>
          <w:p>
            <w:pPr>
              <w:spacing w:after="0"/>
              <w:rPr>
                <w:sz w:val="16"/>
                <w:szCs w:val="16"/>
                <w:color w:val="auto"/>
              </w:rPr>
            </w:pPr>
          </w:p>
        </w:tc>
        <w:tc>
          <w:tcPr>
            <w:tcW w:w="114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040" w:type="dxa"/>
            <w:vAlign w:val="bottom"/>
          </w:tcPr>
          <w:p>
            <w:pPr>
              <w:jc w:val="center"/>
              <w:spacing w:after="0"/>
              <w:rPr>
                <w:sz w:val="20"/>
                <w:szCs w:val="20"/>
                <w:color w:val="auto"/>
              </w:rPr>
            </w:pPr>
            <w:r>
              <w:rPr>
                <w:rFonts w:ascii="Arial" w:cs="Arial" w:eastAsia="Arial" w:hAnsi="Arial"/>
                <w:sz w:val="14"/>
                <w:szCs w:val="14"/>
                <w:color w:val="auto"/>
              </w:rPr>
              <w:t>$32.00</w:t>
            </w:r>
          </w:p>
        </w:tc>
        <w:tc>
          <w:tcPr>
            <w:tcW w:w="10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4"/>
                <w:szCs w:val="14"/>
                <w:color w:val="auto"/>
                <w:w w:val="99"/>
              </w:rPr>
              <w:t>—</w:t>
            </w:r>
          </w:p>
        </w:tc>
      </w:tr>
      <w:tr>
        <w:trPr>
          <w:trHeight w:val="437"/>
        </w:trPr>
        <w:tc>
          <w:tcPr>
            <w:tcW w:w="4300" w:type="dxa"/>
            <w:vAlign w:val="bottom"/>
            <w:gridSpan w:val="2"/>
          </w:tcPr>
          <w:p>
            <w:pPr>
              <w:ind w:left="20"/>
              <w:spacing w:after="0"/>
              <w:rPr>
                <w:sz w:val="20"/>
                <w:szCs w:val="20"/>
                <w:color w:val="auto"/>
              </w:rPr>
            </w:pPr>
            <w:r>
              <w:rPr>
                <w:rFonts w:ascii="Arial" w:cs="Arial" w:eastAsia="Arial" w:hAnsi="Arial"/>
                <w:sz w:val="14"/>
                <w:szCs w:val="14"/>
                <w:b w:val="1"/>
                <w:bCs w:val="1"/>
                <w:color w:val="auto"/>
              </w:rPr>
              <w:t>Swaps:</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86"/>
        </w:trPr>
        <w:tc>
          <w:tcPr>
            <w:tcW w:w="4300" w:type="dxa"/>
            <w:vAlign w:val="bottom"/>
            <w:gridSpan w:val="2"/>
          </w:tcPr>
          <w:p>
            <w:pPr>
              <w:ind w:left="140"/>
              <w:spacing w:after="0"/>
              <w:rPr>
                <w:sz w:val="20"/>
                <w:szCs w:val="20"/>
                <w:color w:val="auto"/>
              </w:rPr>
            </w:pPr>
            <w:r>
              <w:rPr>
                <w:rFonts w:ascii="Arial" w:cs="Arial" w:eastAsia="Arial" w:hAnsi="Arial"/>
                <w:sz w:val="14"/>
                <w:szCs w:val="14"/>
                <w:color w:val="auto"/>
              </w:rPr>
              <w:t>Barrels per day</w:t>
            </w:r>
          </w:p>
        </w:tc>
        <w:tc>
          <w:tcPr>
            <w:tcW w:w="1040" w:type="dxa"/>
            <w:vAlign w:val="bottom"/>
          </w:tcPr>
          <w:p>
            <w:pPr>
              <w:jc w:val="center"/>
              <w:spacing w:after="0"/>
              <w:rPr>
                <w:sz w:val="20"/>
                <w:szCs w:val="20"/>
                <w:color w:val="auto"/>
              </w:rPr>
            </w:pPr>
            <w:r>
              <w:rPr>
                <w:rFonts w:ascii="Arial" w:cs="Arial" w:eastAsia="Arial" w:hAnsi="Arial"/>
                <w:sz w:val="14"/>
                <w:szCs w:val="14"/>
                <w:color w:val="auto"/>
              </w:rPr>
              <w:t>11,063</w:t>
            </w:r>
          </w:p>
        </w:tc>
        <w:tc>
          <w:tcPr>
            <w:tcW w:w="10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11,922</w:t>
            </w:r>
          </w:p>
        </w:tc>
        <w:tc>
          <w:tcPr>
            <w:tcW w:w="10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10,869</w:t>
            </w:r>
          </w:p>
        </w:tc>
        <w:tc>
          <w:tcPr>
            <w:tcW w:w="10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8,669</w:t>
            </w:r>
          </w:p>
        </w:tc>
        <w:tc>
          <w:tcPr>
            <w:tcW w:w="10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8,386</w:t>
            </w:r>
          </w:p>
        </w:tc>
        <w:tc>
          <w:tcPr>
            <w:tcW w:w="10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4"/>
                <w:szCs w:val="14"/>
                <w:color w:val="auto"/>
              </w:rPr>
              <w:t>6,930</w:t>
            </w:r>
          </w:p>
        </w:tc>
      </w:tr>
      <w:tr>
        <w:trPr>
          <w:trHeight w:val="186"/>
        </w:trPr>
        <w:tc>
          <w:tcPr>
            <w:tcW w:w="4300" w:type="dxa"/>
            <w:vAlign w:val="bottom"/>
            <w:gridSpan w:val="2"/>
          </w:tcPr>
          <w:p>
            <w:pPr>
              <w:ind w:left="140"/>
              <w:spacing w:after="0"/>
              <w:rPr>
                <w:sz w:val="20"/>
                <w:szCs w:val="20"/>
                <w:color w:val="auto"/>
              </w:rPr>
            </w:pPr>
            <w:r>
              <w:rPr>
                <w:rFonts w:ascii="Arial" w:cs="Arial" w:eastAsia="Arial" w:hAnsi="Arial"/>
                <w:sz w:val="14"/>
                <w:szCs w:val="14"/>
                <w:color w:val="auto"/>
              </w:rPr>
              <w:t>Weighted-average Brent price per barrel</w:t>
            </w:r>
          </w:p>
        </w:tc>
        <w:tc>
          <w:tcPr>
            <w:tcW w:w="1040" w:type="dxa"/>
            <w:vAlign w:val="bottom"/>
          </w:tcPr>
          <w:p>
            <w:pPr>
              <w:jc w:val="center"/>
              <w:spacing w:after="0"/>
              <w:rPr>
                <w:sz w:val="20"/>
                <w:szCs w:val="20"/>
                <w:color w:val="auto"/>
              </w:rPr>
            </w:pPr>
            <w:r>
              <w:rPr>
                <w:rFonts w:ascii="Arial" w:cs="Arial" w:eastAsia="Arial" w:hAnsi="Arial"/>
                <w:sz w:val="14"/>
                <w:szCs w:val="14"/>
                <w:color w:val="auto"/>
              </w:rPr>
              <w:t>$51.02</w:t>
            </w:r>
          </w:p>
        </w:tc>
        <w:tc>
          <w:tcPr>
            <w:tcW w:w="10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$52.61</w:t>
            </w:r>
          </w:p>
        </w:tc>
        <w:tc>
          <w:tcPr>
            <w:tcW w:w="10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$52.62</w:t>
            </w:r>
          </w:p>
        </w:tc>
        <w:tc>
          <w:tcPr>
            <w:tcW w:w="10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$51.31</w:t>
            </w:r>
          </w:p>
        </w:tc>
        <w:tc>
          <w:tcPr>
            <w:tcW w:w="10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$51.22</w:t>
            </w:r>
          </w:p>
        </w:tc>
        <w:tc>
          <w:tcPr>
            <w:tcW w:w="10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4"/>
                <w:szCs w:val="14"/>
                <w:color w:val="auto"/>
                <w:w w:val="97"/>
              </w:rPr>
              <w:t>$52.15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21</w:t>
      </w:r>
    </w:p>
    <w:p>
      <w:pPr>
        <w:sectPr>
          <w:pgSz w:w="11900" w:h="16838" w:orient="portrait"/>
          <w:cols w:equalWidth="0" w:num="1">
            <w:col w:w="11240"/>
          </w:cols>
          <w:pgMar w:left="320" w:top="1279" w:right="339" w:bottom="1440" w:gutter="0" w:footer="0" w:header="0"/>
        </w:sectPr>
      </w:pPr>
    </w:p>
    <w:bookmarkStart w:id="25" w:name="page26"/>
    <w:bookmarkEnd w:id="25"/>
    <w:p>
      <w:pPr>
        <w:spacing w:after="0" w:line="200" w:lineRule="exact"/>
        <w:rPr>
          <w:sz w:val="20"/>
          <w:szCs w:val="20"/>
          <w:color w:val="auto"/>
        </w:rPr>
      </w:pPr>
    </w:p>
    <w:p>
      <w:pPr>
        <w:spacing w:after="0" w:line="328"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auto"/>
        </w:rPr>
        <w:t>Attachment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13486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40640</wp:posOffset>
            </wp:positionV>
            <wp:extent cx="713486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5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2021E TOTAL YEAR GUIDANCE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930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6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8"/>
              </w:rPr>
              <w:t>Total Year 2021E</w:t>
            </w:r>
          </w:p>
        </w:tc>
      </w:tr>
      <w:tr>
        <w:trPr>
          <w:trHeight w:val="605"/>
        </w:trPr>
        <w:tc>
          <w:tcPr>
            <w:tcW w:w="9620" w:type="dxa"/>
            <w:vAlign w:val="bottom"/>
            <w:gridSpan w:val="2"/>
          </w:tcPr>
          <w:p>
            <w:pPr>
              <w:ind w:left="140"/>
              <w:spacing w:after="0"/>
              <w:rPr>
                <w:sz w:val="20"/>
                <w:szCs w:val="20"/>
                <w:color w:val="auto"/>
              </w:rPr>
            </w:pPr>
            <w:r>
              <w:rPr>
                <w:rFonts w:ascii="Arial" w:cs="Arial" w:eastAsia="Arial" w:hAnsi="Arial"/>
                <w:sz w:val="14"/>
                <w:szCs w:val="14"/>
                <w:color w:val="auto"/>
              </w:rPr>
              <w:t>Total Production (Mboe/d)</w:t>
            </w:r>
          </w:p>
        </w:tc>
        <w:tc>
          <w:tcPr>
            <w:tcW w:w="1620" w:type="dxa"/>
            <w:vAlign w:val="bottom"/>
            <w:gridSpan w:val="2"/>
          </w:tcPr>
          <w:p>
            <w:pPr>
              <w:jc w:val="right"/>
              <w:ind w:right="489"/>
              <w:spacing w:after="0"/>
              <w:rPr>
                <w:sz w:val="20"/>
                <w:szCs w:val="20"/>
                <w:color w:val="auto"/>
              </w:rPr>
            </w:pPr>
            <w:r>
              <w:rPr>
                <w:rFonts w:ascii="Arial" w:cs="Arial" w:eastAsia="Arial" w:hAnsi="Arial"/>
                <w:sz w:val="14"/>
                <w:szCs w:val="14"/>
                <w:color w:val="auto"/>
              </w:rPr>
              <w:t>97 - 100</w:t>
            </w:r>
          </w:p>
        </w:tc>
      </w:tr>
      <w:tr>
        <w:trPr>
          <w:trHeight w:val="186"/>
        </w:trPr>
        <w:tc>
          <w:tcPr>
            <w:tcW w:w="9620" w:type="dxa"/>
            <w:vAlign w:val="bottom"/>
            <w:gridSpan w:val="2"/>
          </w:tcPr>
          <w:p>
            <w:pPr>
              <w:ind w:left="140"/>
              <w:spacing w:after="0"/>
              <w:rPr>
                <w:sz w:val="20"/>
                <w:szCs w:val="20"/>
                <w:color w:val="auto"/>
              </w:rPr>
            </w:pPr>
            <w:r>
              <w:rPr>
                <w:rFonts w:ascii="Arial" w:cs="Arial" w:eastAsia="Arial" w:hAnsi="Arial"/>
                <w:sz w:val="14"/>
                <w:szCs w:val="14"/>
                <w:color w:val="auto"/>
              </w:rPr>
              <w:t>Oil Production (Mbbl/d)</w:t>
            </w:r>
          </w:p>
        </w:tc>
        <w:tc>
          <w:tcPr>
            <w:tcW w:w="760" w:type="dxa"/>
            <w:vAlign w:val="bottom"/>
          </w:tcPr>
          <w:p>
            <w:pPr>
              <w:jc w:val="right"/>
              <w:spacing w:after="0"/>
              <w:rPr>
                <w:sz w:val="20"/>
                <w:szCs w:val="20"/>
                <w:color w:val="auto"/>
              </w:rPr>
            </w:pPr>
            <w:r>
              <w:rPr>
                <w:rFonts w:ascii="Arial" w:cs="Arial" w:eastAsia="Arial" w:hAnsi="Arial"/>
                <w:sz w:val="14"/>
                <w:szCs w:val="14"/>
                <w:color w:val="auto"/>
              </w:rPr>
              <w:t>60</w:t>
            </w:r>
          </w:p>
        </w:tc>
        <w:tc>
          <w:tcPr>
            <w:tcW w:w="860" w:type="dxa"/>
            <w:vAlign w:val="bottom"/>
          </w:tcPr>
          <w:p>
            <w:pPr>
              <w:ind w:left="20"/>
              <w:spacing w:after="0"/>
              <w:rPr>
                <w:sz w:val="20"/>
                <w:szCs w:val="20"/>
                <w:color w:val="auto"/>
              </w:rPr>
            </w:pPr>
            <w:r>
              <w:rPr>
                <w:rFonts w:ascii="Arial" w:cs="Arial" w:eastAsia="Arial" w:hAnsi="Arial"/>
                <w:sz w:val="14"/>
                <w:szCs w:val="14"/>
                <w:color w:val="auto"/>
              </w:rPr>
              <w:t>- 62</w:t>
            </w:r>
          </w:p>
        </w:tc>
      </w:tr>
      <w:tr>
        <w:trPr>
          <w:trHeight w:val="186"/>
        </w:trPr>
        <w:tc>
          <w:tcPr>
            <w:tcW w:w="9620" w:type="dxa"/>
            <w:vAlign w:val="bottom"/>
            <w:gridSpan w:val="2"/>
          </w:tcPr>
          <w:p>
            <w:pPr>
              <w:ind w:left="140"/>
              <w:spacing w:after="0"/>
              <w:rPr>
                <w:sz w:val="20"/>
                <w:szCs w:val="20"/>
                <w:color w:val="auto"/>
              </w:rPr>
            </w:pPr>
            <w:r>
              <w:rPr>
                <w:rFonts w:ascii="Arial" w:cs="Arial" w:eastAsia="Arial" w:hAnsi="Arial"/>
                <w:sz w:val="14"/>
                <w:szCs w:val="14"/>
                <w:color w:val="auto"/>
              </w:rPr>
              <w:t>Operating Costs ($ millions)</w:t>
            </w:r>
          </w:p>
        </w:tc>
        <w:tc>
          <w:tcPr>
            <w:tcW w:w="760" w:type="dxa"/>
            <w:vAlign w:val="bottom"/>
          </w:tcPr>
          <w:p>
            <w:pPr>
              <w:jc w:val="right"/>
              <w:spacing w:after="0"/>
              <w:rPr>
                <w:sz w:val="20"/>
                <w:szCs w:val="20"/>
                <w:color w:val="auto"/>
              </w:rPr>
            </w:pPr>
            <w:r>
              <w:rPr>
                <w:rFonts w:ascii="Arial" w:cs="Arial" w:eastAsia="Arial" w:hAnsi="Arial"/>
                <w:sz w:val="14"/>
                <w:szCs w:val="14"/>
                <w:color w:val="auto"/>
              </w:rPr>
              <w:t>$670</w:t>
            </w:r>
          </w:p>
        </w:tc>
        <w:tc>
          <w:tcPr>
            <w:tcW w:w="860" w:type="dxa"/>
            <w:vAlign w:val="bottom"/>
          </w:tcPr>
          <w:p>
            <w:pPr>
              <w:ind w:left="20"/>
              <w:spacing w:after="0"/>
              <w:rPr>
                <w:sz w:val="20"/>
                <w:szCs w:val="20"/>
                <w:color w:val="auto"/>
              </w:rPr>
            </w:pPr>
            <w:r>
              <w:rPr>
                <w:rFonts w:ascii="Arial" w:cs="Arial" w:eastAsia="Arial" w:hAnsi="Arial"/>
                <w:sz w:val="14"/>
                <w:szCs w:val="14"/>
                <w:color w:val="auto"/>
              </w:rPr>
              <w:t>- $695</w:t>
            </w:r>
          </w:p>
        </w:tc>
      </w:tr>
      <w:tr>
        <w:trPr>
          <w:trHeight w:val="185"/>
        </w:trPr>
        <w:tc>
          <w:tcPr>
            <w:tcW w:w="9620" w:type="dxa"/>
            <w:vAlign w:val="bottom"/>
            <w:gridSpan w:val="2"/>
          </w:tcPr>
          <w:p>
            <w:pPr>
              <w:ind w:left="140"/>
              <w:spacing w:after="0"/>
              <w:rPr>
                <w:sz w:val="20"/>
                <w:szCs w:val="20"/>
                <w:color w:val="auto"/>
              </w:rPr>
            </w:pPr>
            <w:r>
              <w:rPr>
                <w:rFonts w:ascii="Arial" w:cs="Arial" w:eastAsia="Arial" w:hAnsi="Arial"/>
                <w:sz w:val="14"/>
                <w:szCs w:val="14"/>
                <w:color w:val="auto"/>
              </w:rPr>
              <w:t>General and administrative expenses ($ millions)</w:t>
            </w:r>
          </w:p>
        </w:tc>
        <w:tc>
          <w:tcPr>
            <w:tcW w:w="760" w:type="dxa"/>
            <w:vAlign w:val="bottom"/>
          </w:tcPr>
          <w:p>
            <w:pPr>
              <w:jc w:val="right"/>
              <w:spacing w:after="0"/>
              <w:rPr>
                <w:sz w:val="20"/>
                <w:szCs w:val="20"/>
                <w:color w:val="auto"/>
              </w:rPr>
            </w:pPr>
            <w:r>
              <w:rPr>
                <w:rFonts w:ascii="Arial" w:cs="Arial" w:eastAsia="Arial" w:hAnsi="Arial"/>
                <w:sz w:val="14"/>
                <w:szCs w:val="14"/>
                <w:color w:val="auto"/>
              </w:rPr>
              <w:t>$180</w:t>
            </w:r>
          </w:p>
        </w:tc>
        <w:tc>
          <w:tcPr>
            <w:tcW w:w="860" w:type="dxa"/>
            <w:vAlign w:val="bottom"/>
          </w:tcPr>
          <w:p>
            <w:pPr>
              <w:ind w:left="20"/>
              <w:spacing w:after="0"/>
              <w:rPr>
                <w:sz w:val="20"/>
                <w:szCs w:val="20"/>
                <w:color w:val="auto"/>
              </w:rPr>
            </w:pPr>
            <w:r>
              <w:rPr>
                <w:rFonts w:ascii="Arial" w:cs="Arial" w:eastAsia="Arial" w:hAnsi="Arial"/>
                <w:sz w:val="14"/>
                <w:szCs w:val="14"/>
                <w:color w:val="auto"/>
              </w:rPr>
              <w:t>- $190</w:t>
            </w:r>
          </w:p>
        </w:tc>
      </w:tr>
      <w:tr>
        <w:trPr>
          <w:trHeight w:val="186"/>
        </w:trPr>
        <w:tc>
          <w:tcPr>
            <w:tcW w:w="9620" w:type="dxa"/>
            <w:vAlign w:val="bottom"/>
            <w:gridSpan w:val="2"/>
          </w:tcPr>
          <w:p>
            <w:pPr>
              <w:ind w:left="140"/>
              <w:spacing w:after="0"/>
              <w:rPr>
                <w:sz w:val="20"/>
                <w:szCs w:val="20"/>
                <w:color w:val="auto"/>
              </w:rPr>
            </w:pPr>
            <w:r>
              <w:rPr>
                <w:rFonts w:ascii="Arial" w:cs="Arial" w:eastAsia="Arial" w:hAnsi="Arial"/>
                <w:sz w:val="14"/>
                <w:szCs w:val="14"/>
                <w:color w:val="auto"/>
              </w:rPr>
              <w:t>Capital ($ millions)</w:t>
            </w:r>
          </w:p>
        </w:tc>
        <w:tc>
          <w:tcPr>
            <w:tcW w:w="760" w:type="dxa"/>
            <w:vAlign w:val="bottom"/>
          </w:tcPr>
          <w:p>
            <w:pPr>
              <w:jc w:val="right"/>
              <w:spacing w:after="0"/>
              <w:rPr>
                <w:sz w:val="20"/>
                <w:szCs w:val="20"/>
                <w:color w:val="auto"/>
              </w:rPr>
            </w:pPr>
            <w:r>
              <w:rPr>
                <w:rFonts w:ascii="Arial" w:cs="Arial" w:eastAsia="Arial" w:hAnsi="Arial"/>
                <w:sz w:val="14"/>
                <w:szCs w:val="14"/>
                <w:color w:val="auto"/>
              </w:rPr>
              <w:t>$170</w:t>
            </w:r>
          </w:p>
        </w:tc>
        <w:tc>
          <w:tcPr>
            <w:tcW w:w="860" w:type="dxa"/>
            <w:vAlign w:val="bottom"/>
          </w:tcPr>
          <w:p>
            <w:pPr>
              <w:ind w:left="20"/>
              <w:spacing w:after="0"/>
              <w:rPr>
                <w:sz w:val="20"/>
                <w:szCs w:val="20"/>
                <w:color w:val="auto"/>
              </w:rPr>
            </w:pPr>
            <w:r>
              <w:rPr>
                <w:rFonts w:ascii="Arial" w:cs="Arial" w:eastAsia="Arial" w:hAnsi="Arial"/>
                <w:sz w:val="14"/>
                <w:szCs w:val="14"/>
                <w:color w:val="auto"/>
              </w:rPr>
              <w:t>- $190</w:t>
            </w:r>
          </w:p>
        </w:tc>
      </w:tr>
      <w:tr>
        <w:trPr>
          <w:trHeight w:val="185"/>
        </w:trPr>
        <w:tc>
          <w:tcPr>
            <w:tcW w:w="9620" w:type="dxa"/>
            <w:vAlign w:val="bottom"/>
            <w:gridSpan w:val="2"/>
          </w:tcPr>
          <w:p>
            <w:pPr>
              <w:ind w:left="140"/>
              <w:spacing w:after="0"/>
              <w:rPr>
                <w:sz w:val="20"/>
                <w:szCs w:val="20"/>
                <w:color w:val="auto"/>
              </w:rPr>
            </w:pPr>
            <w:r>
              <w:rPr>
                <w:rFonts w:ascii="Arial" w:cs="Arial" w:eastAsia="Arial" w:hAnsi="Arial"/>
                <w:sz w:val="14"/>
                <w:szCs w:val="14"/>
                <w:color w:val="auto"/>
              </w:rPr>
              <w:t>Adjusted EBITDAX ($ millions)</w:t>
            </w:r>
          </w:p>
        </w:tc>
        <w:tc>
          <w:tcPr>
            <w:tcW w:w="760" w:type="dxa"/>
            <w:vAlign w:val="bottom"/>
          </w:tcPr>
          <w:p>
            <w:pPr>
              <w:jc w:val="right"/>
              <w:spacing w:after="0"/>
              <w:rPr>
                <w:sz w:val="20"/>
                <w:szCs w:val="20"/>
                <w:color w:val="auto"/>
              </w:rPr>
            </w:pPr>
            <w:r>
              <w:rPr>
                <w:rFonts w:ascii="Arial" w:cs="Arial" w:eastAsia="Arial" w:hAnsi="Arial"/>
                <w:sz w:val="14"/>
                <w:szCs w:val="14"/>
                <w:color w:val="auto"/>
              </w:rPr>
              <w:t>$725</w:t>
            </w:r>
          </w:p>
        </w:tc>
        <w:tc>
          <w:tcPr>
            <w:tcW w:w="860" w:type="dxa"/>
            <w:vAlign w:val="bottom"/>
          </w:tcPr>
          <w:p>
            <w:pPr>
              <w:ind w:left="20"/>
              <w:spacing w:after="0"/>
              <w:rPr>
                <w:sz w:val="20"/>
                <w:szCs w:val="20"/>
                <w:color w:val="auto"/>
              </w:rPr>
            </w:pPr>
            <w:r>
              <w:rPr>
                <w:rFonts w:ascii="Arial" w:cs="Arial" w:eastAsia="Arial" w:hAnsi="Arial"/>
                <w:sz w:val="14"/>
                <w:szCs w:val="14"/>
                <w:color w:val="auto"/>
              </w:rPr>
              <w:t>- $825</w:t>
            </w:r>
          </w:p>
        </w:tc>
      </w:tr>
      <w:tr>
        <w:trPr>
          <w:trHeight w:val="186"/>
        </w:trPr>
        <w:tc>
          <w:tcPr>
            <w:tcW w:w="9620" w:type="dxa"/>
            <w:vAlign w:val="bottom"/>
            <w:gridSpan w:val="2"/>
          </w:tcPr>
          <w:p>
            <w:pPr>
              <w:ind w:left="140"/>
              <w:spacing w:after="0"/>
              <w:rPr>
                <w:sz w:val="20"/>
                <w:szCs w:val="20"/>
                <w:color w:val="auto"/>
              </w:rPr>
            </w:pPr>
            <w:r>
              <w:rPr>
                <w:rFonts w:ascii="Arial" w:cs="Arial" w:eastAsia="Arial" w:hAnsi="Arial"/>
                <w:sz w:val="14"/>
                <w:szCs w:val="14"/>
                <w:color w:val="auto"/>
              </w:rPr>
              <w:t>Free cash flow ($ millions)</w:t>
            </w:r>
          </w:p>
        </w:tc>
        <w:tc>
          <w:tcPr>
            <w:tcW w:w="760" w:type="dxa"/>
            <w:vAlign w:val="bottom"/>
          </w:tcPr>
          <w:p>
            <w:pPr>
              <w:jc w:val="right"/>
              <w:spacing w:after="0"/>
              <w:rPr>
                <w:sz w:val="20"/>
                <w:szCs w:val="20"/>
                <w:color w:val="auto"/>
              </w:rPr>
            </w:pPr>
            <w:r>
              <w:rPr>
                <w:rFonts w:ascii="Arial" w:cs="Arial" w:eastAsia="Arial" w:hAnsi="Arial"/>
                <w:sz w:val="14"/>
                <w:szCs w:val="14"/>
                <w:color w:val="auto"/>
              </w:rPr>
              <w:t>$400</w:t>
            </w:r>
          </w:p>
        </w:tc>
        <w:tc>
          <w:tcPr>
            <w:tcW w:w="860" w:type="dxa"/>
            <w:vAlign w:val="bottom"/>
          </w:tcPr>
          <w:p>
            <w:pPr>
              <w:ind w:left="20"/>
              <w:spacing w:after="0"/>
              <w:rPr>
                <w:sz w:val="20"/>
                <w:szCs w:val="20"/>
                <w:color w:val="auto"/>
              </w:rPr>
            </w:pPr>
            <w:r>
              <w:rPr>
                <w:rFonts w:ascii="Arial" w:cs="Arial" w:eastAsia="Arial" w:hAnsi="Arial"/>
                <w:sz w:val="14"/>
                <w:szCs w:val="14"/>
                <w:color w:val="auto"/>
              </w:rPr>
              <w:t>- $500</w:t>
            </w:r>
          </w:p>
        </w:tc>
      </w:tr>
    </w:tbl>
    <w:p>
      <w:pPr>
        <w:spacing w:after="0" w:line="334" w:lineRule="exact"/>
        <w:rPr>
          <w:sz w:val="20"/>
          <w:szCs w:val="20"/>
          <w:color w:val="auto"/>
        </w:rPr>
      </w:pPr>
    </w:p>
    <w:p>
      <w:pPr>
        <w:jc w:val="both"/>
        <w:ind w:right="280"/>
        <w:spacing w:after="0" w:line="250" w:lineRule="auto"/>
        <w:rPr>
          <w:sz w:val="20"/>
          <w:szCs w:val="20"/>
          <w:color w:val="auto"/>
        </w:rPr>
      </w:pPr>
      <w:r>
        <w:rPr>
          <w:rFonts w:ascii="Arial" w:cs="Arial" w:eastAsia="Arial" w:hAnsi="Arial"/>
          <w:sz w:val="14"/>
          <w:szCs w:val="14"/>
          <w:color w:val="auto"/>
        </w:rPr>
        <w:t>See Attachment 2 for management's disclosure of its use of these non-GAAP measures and how these measures provide useful information to investors about CRC's results of operations and financial condition. For FY 2021E guidance, management is not providing guidance on income taxes or any unusual or infrequent events at this time.</w:t>
      </w:r>
    </w:p>
    <w:p>
      <w:pPr>
        <w:spacing w:after="0" w:line="4"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84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ind w:left="400"/>
              <w:spacing w:after="0"/>
              <w:rPr>
                <w:sz w:val="20"/>
                <w:szCs w:val="20"/>
                <w:color w:val="auto"/>
              </w:rPr>
            </w:pPr>
            <w:r>
              <w:rPr>
                <w:rFonts w:ascii="Arial" w:cs="Arial" w:eastAsia="Arial" w:hAnsi="Arial"/>
                <w:sz w:val="14"/>
                <w:szCs w:val="14"/>
                <w:b w:val="1"/>
                <w:bCs w:val="1"/>
                <w:color w:val="auto"/>
              </w:rPr>
              <w:t>FY 2021 Estimated</w:t>
            </w:r>
          </w:p>
        </w:tc>
      </w:tr>
      <w:tr>
        <w:trPr>
          <w:trHeight w:val="179"/>
        </w:trPr>
        <w:tc>
          <w:tcPr>
            <w:tcW w:w="8420" w:type="dxa"/>
            <w:vAlign w:val="bottom"/>
          </w:tcPr>
          <w:p>
            <w:pPr>
              <w:spacing w:after="0"/>
              <w:rPr>
                <w:sz w:val="20"/>
                <w:szCs w:val="20"/>
                <w:color w:val="auto"/>
              </w:rPr>
            </w:pPr>
            <w:r>
              <w:rPr>
                <w:rFonts w:ascii="Arial" w:cs="Arial" w:eastAsia="Arial" w:hAnsi="Arial"/>
                <w:sz w:val="14"/>
                <w:szCs w:val="14"/>
                <w:i w:val="1"/>
                <w:iCs w:val="1"/>
                <w:color w:val="auto"/>
              </w:rPr>
              <w:t>($ millions)</w:t>
            </w:r>
          </w:p>
        </w:tc>
        <w:tc>
          <w:tcPr>
            <w:tcW w:w="300" w:type="dxa"/>
            <w:vAlign w:val="bottom"/>
          </w:tcPr>
          <w:p>
            <w:pPr>
              <w:spacing w:after="0"/>
              <w:rPr>
                <w:sz w:val="15"/>
                <w:szCs w:val="15"/>
                <w:color w:val="auto"/>
              </w:rPr>
            </w:pPr>
          </w:p>
        </w:tc>
        <w:tc>
          <w:tcPr>
            <w:tcW w:w="1120" w:type="dxa"/>
            <w:vAlign w:val="bottom"/>
            <w:gridSpan w:val="2"/>
          </w:tcPr>
          <w:p>
            <w:pPr>
              <w:ind w:left="200"/>
              <w:spacing w:after="0"/>
              <w:rPr>
                <w:sz w:val="20"/>
                <w:szCs w:val="20"/>
                <w:color w:val="auto"/>
              </w:rPr>
            </w:pPr>
            <w:r>
              <w:rPr>
                <w:rFonts w:ascii="Arial" w:cs="Arial" w:eastAsia="Arial" w:hAnsi="Arial"/>
                <w:sz w:val="14"/>
                <w:szCs w:val="14"/>
                <w:color w:val="auto"/>
              </w:rPr>
              <w:t>Low</w:t>
            </w:r>
          </w:p>
        </w:tc>
        <w:tc>
          <w:tcPr>
            <w:tcW w:w="280" w:type="dxa"/>
            <w:vAlign w:val="bottom"/>
          </w:tcPr>
          <w:p>
            <w:pPr>
              <w:spacing w:after="0"/>
              <w:rPr>
                <w:sz w:val="15"/>
                <w:szCs w:val="15"/>
                <w:color w:val="auto"/>
              </w:rPr>
            </w:pPr>
          </w:p>
        </w:tc>
        <w:tc>
          <w:tcPr>
            <w:tcW w:w="960" w:type="dxa"/>
            <w:vAlign w:val="bottom"/>
          </w:tcPr>
          <w:p>
            <w:pPr>
              <w:ind w:left="200"/>
              <w:spacing w:after="0"/>
              <w:rPr>
                <w:sz w:val="20"/>
                <w:szCs w:val="20"/>
                <w:color w:val="auto"/>
              </w:rPr>
            </w:pPr>
            <w:r>
              <w:rPr>
                <w:rFonts w:ascii="Arial" w:cs="Arial" w:eastAsia="Arial" w:hAnsi="Arial"/>
                <w:sz w:val="14"/>
                <w:szCs w:val="14"/>
                <w:color w:val="auto"/>
              </w:rPr>
              <w:t>High</w:t>
            </w:r>
          </w:p>
        </w:tc>
      </w:tr>
      <w:tr>
        <w:trPr>
          <w:trHeight w:val="181"/>
        </w:trPr>
        <w:tc>
          <w:tcPr>
            <w:tcW w:w="8420" w:type="dxa"/>
            <w:vAlign w:val="bottom"/>
          </w:tcPr>
          <w:p>
            <w:pPr>
              <w:spacing w:after="0"/>
              <w:rPr>
                <w:sz w:val="20"/>
                <w:szCs w:val="20"/>
                <w:color w:val="auto"/>
              </w:rPr>
            </w:pPr>
            <w:r>
              <w:rPr>
                <w:rFonts w:ascii="Arial" w:cs="Arial" w:eastAsia="Arial" w:hAnsi="Arial"/>
                <w:sz w:val="14"/>
                <w:szCs w:val="14"/>
                <w:color w:val="auto"/>
              </w:rPr>
              <w:t>Net cash provided by operating activities</w:t>
            </w:r>
          </w:p>
        </w:tc>
        <w:tc>
          <w:tcPr>
            <w:tcW w:w="300" w:type="dxa"/>
            <w:vAlign w:val="bottom"/>
            <w:tcBorders>
              <w:top w:val="single" w:sz="8" w:color="auto"/>
            </w:tcBorders>
          </w:tcPr>
          <w:p>
            <w:pPr>
              <w:jc w:val="right"/>
              <w:ind w:right="129"/>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tcPr>
          <w:p>
            <w:pPr>
              <w:jc w:val="center"/>
              <w:ind w:left="509"/>
              <w:spacing w:after="0"/>
              <w:rPr>
                <w:sz w:val="20"/>
                <w:szCs w:val="20"/>
                <w:color w:val="auto"/>
              </w:rPr>
            </w:pPr>
            <w:r>
              <w:rPr>
                <w:rFonts w:ascii="Arial" w:cs="Arial" w:eastAsia="Arial" w:hAnsi="Arial"/>
                <w:sz w:val="14"/>
                <w:szCs w:val="14"/>
                <w:color w:val="auto"/>
              </w:rPr>
              <w:t>590</w:t>
            </w:r>
          </w:p>
        </w:tc>
        <w:tc>
          <w:tcPr>
            <w:tcW w:w="180" w:type="dxa"/>
            <w:vAlign w:val="bottom"/>
          </w:tcPr>
          <w:p>
            <w:pPr>
              <w:spacing w:after="0"/>
              <w:rPr>
                <w:sz w:val="15"/>
                <w:szCs w:val="15"/>
                <w:color w:val="auto"/>
              </w:rPr>
            </w:pPr>
          </w:p>
        </w:tc>
        <w:tc>
          <w:tcPr>
            <w:tcW w:w="280" w:type="dxa"/>
            <w:vAlign w:val="bottom"/>
            <w:tcBorders>
              <w:top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tcPr>
          <w:p>
            <w:pPr>
              <w:jc w:val="center"/>
              <w:ind w:left="529"/>
              <w:spacing w:after="0"/>
              <w:rPr>
                <w:sz w:val="20"/>
                <w:szCs w:val="20"/>
                <w:color w:val="auto"/>
              </w:rPr>
            </w:pPr>
            <w:r>
              <w:rPr>
                <w:rFonts w:ascii="Arial" w:cs="Arial" w:eastAsia="Arial" w:hAnsi="Arial"/>
                <w:sz w:val="14"/>
                <w:szCs w:val="14"/>
                <w:color w:val="auto"/>
              </w:rPr>
              <w:t>670</w:t>
            </w:r>
          </w:p>
        </w:tc>
      </w:tr>
      <w:tr>
        <w:trPr>
          <w:trHeight w:val="183"/>
        </w:trPr>
        <w:tc>
          <w:tcPr>
            <w:tcW w:w="8420" w:type="dxa"/>
            <w:vAlign w:val="bottom"/>
          </w:tcPr>
          <w:p>
            <w:pPr>
              <w:spacing w:after="0"/>
              <w:rPr>
                <w:sz w:val="20"/>
                <w:szCs w:val="20"/>
                <w:color w:val="auto"/>
              </w:rPr>
            </w:pPr>
            <w:r>
              <w:rPr>
                <w:rFonts w:ascii="Arial" w:cs="Arial" w:eastAsia="Arial" w:hAnsi="Arial"/>
                <w:sz w:val="14"/>
                <w:szCs w:val="14"/>
                <w:color w:val="auto"/>
              </w:rPr>
              <w:t>Capital investments</w:t>
            </w: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left="489"/>
              <w:spacing w:after="0"/>
              <w:rPr>
                <w:sz w:val="20"/>
                <w:szCs w:val="20"/>
                <w:color w:val="auto"/>
              </w:rPr>
            </w:pPr>
            <w:r>
              <w:rPr>
                <w:rFonts w:ascii="Arial" w:cs="Arial" w:eastAsia="Arial" w:hAnsi="Arial"/>
                <w:sz w:val="14"/>
                <w:szCs w:val="14"/>
                <w:color w:val="auto"/>
              </w:rPr>
              <w:t>(190)</w:t>
            </w:r>
          </w:p>
        </w:tc>
        <w:tc>
          <w:tcPr>
            <w:tcW w:w="1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left="489"/>
              <w:spacing w:after="0"/>
              <w:rPr>
                <w:sz w:val="20"/>
                <w:szCs w:val="20"/>
                <w:color w:val="auto"/>
              </w:rPr>
            </w:pPr>
            <w:r>
              <w:rPr>
                <w:rFonts w:ascii="Arial" w:cs="Arial" w:eastAsia="Arial" w:hAnsi="Arial"/>
                <w:sz w:val="14"/>
                <w:szCs w:val="14"/>
                <w:color w:val="auto"/>
                <w:w w:val="97"/>
              </w:rPr>
              <w:t>(170)</w:t>
            </w:r>
          </w:p>
        </w:tc>
      </w:tr>
      <w:tr>
        <w:trPr>
          <w:trHeight w:val="179"/>
        </w:trPr>
        <w:tc>
          <w:tcPr>
            <w:tcW w:w="8420" w:type="dxa"/>
            <w:vAlign w:val="bottom"/>
          </w:tcPr>
          <w:p>
            <w:pPr>
              <w:spacing w:after="0"/>
              <w:rPr>
                <w:sz w:val="20"/>
                <w:szCs w:val="20"/>
                <w:color w:val="auto"/>
              </w:rPr>
            </w:pPr>
            <w:r>
              <w:rPr>
                <w:rFonts w:ascii="Arial" w:cs="Arial" w:eastAsia="Arial" w:hAnsi="Arial"/>
                <w:sz w:val="14"/>
                <w:szCs w:val="14"/>
                <w:b w:val="1"/>
                <w:bCs w:val="1"/>
                <w:color w:val="auto"/>
              </w:rPr>
              <w:t>Estimated free cash flow</w:t>
            </w:r>
          </w:p>
        </w:tc>
        <w:tc>
          <w:tcPr>
            <w:tcW w:w="30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center"/>
              <w:ind w:left="509"/>
              <w:spacing w:after="0"/>
              <w:rPr>
                <w:sz w:val="20"/>
                <w:szCs w:val="20"/>
                <w:color w:val="auto"/>
              </w:rPr>
            </w:pPr>
            <w:r>
              <w:rPr>
                <w:rFonts w:ascii="Arial" w:cs="Arial" w:eastAsia="Arial" w:hAnsi="Arial"/>
                <w:sz w:val="14"/>
                <w:szCs w:val="14"/>
                <w:color w:val="auto"/>
              </w:rPr>
              <w:t>400</w:t>
            </w:r>
          </w:p>
        </w:tc>
        <w:tc>
          <w:tcPr>
            <w:tcW w:w="180" w:type="dxa"/>
            <w:vAlign w:val="bottom"/>
          </w:tcPr>
          <w:p>
            <w:pPr>
              <w:spacing w:after="0"/>
              <w:rPr>
                <w:sz w:val="15"/>
                <w:szCs w:val="15"/>
                <w:color w:val="auto"/>
              </w:rPr>
            </w:pPr>
          </w:p>
        </w:tc>
        <w:tc>
          <w:tcPr>
            <w:tcW w:w="2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center"/>
              <w:ind w:left="529"/>
              <w:spacing w:after="0"/>
              <w:rPr>
                <w:sz w:val="20"/>
                <w:szCs w:val="20"/>
                <w:color w:val="auto"/>
              </w:rPr>
            </w:pPr>
            <w:r>
              <w:rPr>
                <w:rFonts w:ascii="Arial" w:cs="Arial" w:eastAsia="Arial" w:hAnsi="Arial"/>
                <w:sz w:val="14"/>
                <w:szCs w:val="14"/>
                <w:color w:val="auto"/>
              </w:rPr>
              <w:t>500</w:t>
            </w:r>
          </w:p>
        </w:tc>
      </w:tr>
      <w:tr>
        <w:trPr>
          <w:trHeight w:val="20"/>
        </w:trPr>
        <w:tc>
          <w:tcPr>
            <w:tcW w:w="8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44"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84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jc w:val="right"/>
              <w:ind w:right="629"/>
              <w:spacing w:after="0"/>
              <w:rPr>
                <w:sz w:val="20"/>
                <w:szCs w:val="20"/>
                <w:color w:val="auto"/>
              </w:rPr>
            </w:pPr>
            <w:r>
              <w:rPr>
                <w:rFonts w:ascii="Arial" w:cs="Arial" w:eastAsia="Arial" w:hAnsi="Arial"/>
                <w:sz w:val="14"/>
                <w:szCs w:val="14"/>
                <w:b w:val="1"/>
                <w:bCs w:val="1"/>
                <w:color w:val="auto"/>
              </w:rPr>
              <w:t>FY 2021 Estimated</w:t>
            </w:r>
          </w:p>
        </w:tc>
      </w:tr>
      <w:tr>
        <w:trPr>
          <w:trHeight w:val="179"/>
        </w:trPr>
        <w:tc>
          <w:tcPr>
            <w:tcW w:w="8420" w:type="dxa"/>
            <w:vAlign w:val="bottom"/>
          </w:tcPr>
          <w:p>
            <w:pPr>
              <w:spacing w:after="0"/>
              <w:rPr>
                <w:sz w:val="20"/>
                <w:szCs w:val="20"/>
                <w:color w:val="auto"/>
              </w:rPr>
            </w:pPr>
            <w:r>
              <w:rPr>
                <w:rFonts w:ascii="Arial" w:cs="Arial" w:eastAsia="Arial" w:hAnsi="Arial"/>
                <w:sz w:val="14"/>
                <w:szCs w:val="14"/>
                <w:i w:val="1"/>
                <w:iCs w:val="1"/>
                <w:color w:val="auto"/>
              </w:rPr>
              <w:t>($ millions)</w:t>
            </w:r>
          </w:p>
        </w:tc>
        <w:tc>
          <w:tcPr>
            <w:tcW w:w="300" w:type="dxa"/>
            <w:vAlign w:val="bottom"/>
          </w:tcPr>
          <w:p>
            <w:pPr>
              <w:spacing w:after="0"/>
              <w:rPr>
                <w:sz w:val="15"/>
                <w:szCs w:val="15"/>
                <w:color w:val="auto"/>
              </w:rPr>
            </w:pPr>
          </w:p>
        </w:tc>
        <w:tc>
          <w:tcPr>
            <w:tcW w:w="1120" w:type="dxa"/>
            <w:vAlign w:val="bottom"/>
            <w:gridSpan w:val="2"/>
          </w:tcPr>
          <w:p>
            <w:pPr>
              <w:ind w:left="200"/>
              <w:spacing w:after="0"/>
              <w:rPr>
                <w:sz w:val="20"/>
                <w:szCs w:val="20"/>
                <w:color w:val="auto"/>
              </w:rPr>
            </w:pPr>
            <w:r>
              <w:rPr>
                <w:rFonts w:ascii="Arial" w:cs="Arial" w:eastAsia="Arial" w:hAnsi="Arial"/>
                <w:sz w:val="14"/>
                <w:szCs w:val="14"/>
                <w:color w:val="auto"/>
              </w:rPr>
              <w:t>Low</w:t>
            </w:r>
          </w:p>
        </w:tc>
        <w:tc>
          <w:tcPr>
            <w:tcW w:w="280" w:type="dxa"/>
            <w:vAlign w:val="bottom"/>
          </w:tcPr>
          <w:p>
            <w:pPr>
              <w:spacing w:after="0"/>
              <w:rPr>
                <w:sz w:val="15"/>
                <w:szCs w:val="15"/>
                <w:color w:val="auto"/>
              </w:rPr>
            </w:pPr>
          </w:p>
        </w:tc>
        <w:tc>
          <w:tcPr>
            <w:tcW w:w="960" w:type="dxa"/>
            <w:vAlign w:val="bottom"/>
          </w:tcPr>
          <w:p>
            <w:pPr>
              <w:jc w:val="right"/>
              <w:ind w:right="409"/>
              <w:spacing w:after="0"/>
              <w:rPr>
                <w:sz w:val="20"/>
                <w:szCs w:val="20"/>
                <w:color w:val="auto"/>
              </w:rPr>
            </w:pPr>
            <w:r>
              <w:rPr>
                <w:rFonts w:ascii="Arial" w:cs="Arial" w:eastAsia="Arial" w:hAnsi="Arial"/>
                <w:sz w:val="14"/>
                <w:szCs w:val="14"/>
                <w:color w:val="auto"/>
              </w:rPr>
              <w:t>High</w:t>
            </w:r>
          </w:p>
        </w:tc>
      </w:tr>
      <w:tr>
        <w:trPr>
          <w:trHeight w:val="181"/>
        </w:trPr>
        <w:tc>
          <w:tcPr>
            <w:tcW w:w="8420" w:type="dxa"/>
            <w:vAlign w:val="bottom"/>
          </w:tcPr>
          <w:p>
            <w:pPr>
              <w:spacing w:after="0"/>
              <w:rPr>
                <w:sz w:val="20"/>
                <w:szCs w:val="20"/>
                <w:color w:val="auto"/>
              </w:rPr>
            </w:pPr>
            <w:r>
              <w:rPr>
                <w:rFonts w:ascii="Arial" w:cs="Arial" w:eastAsia="Arial" w:hAnsi="Arial"/>
                <w:sz w:val="14"/>
                <w:szCs w:val="14"/>
                <w:color w:val="auto"/>
              </w:rPr>
              <w:t>Net income</w:t>
            </w:r>
          </w:p>
        </w:tc>
        <w:tc>
          <w:tcPr>
            <w:tcW w:w="300" w:type="dxa"/>
            <w:vAlign w:val="bottom"/>
            <w:tcBorders>
              <w:top w:val="single" w:sz="8" w:color="auto"/>
            </w:tcBorders>
          </w:tcPr>
          <w:p>
            <w:pPr>
              <w:jc w:val="right"/>
              <w:ind w:right="129"/>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195</w:t>
            </w:r>
          </w:p>
        </w:tc>
        <w:tc>
          <w:tcPr>
            <w:tcW w:w="180" w:type="dxa"/>
            <w:vAlign w:val="bottom"/>
          </w:tcPr>
          <w:p>
            <w:pPr>
              <w:spacing w:after="0"/>
              <w:rPr>
                <w:sz w:val="15"/>
                <w:szCs w:val="15"/>
                <w:color w:val="auto"/>
              </w:rPr>
            </w:pPr>
          </w:p>
        </w:tc>
        <w:tc>
          <w:tcPr>
            <w:tcW w:w="280" w:type="dxa"/>
            <w:vAlign w:val="bottom"/>
            <w:tcBorders>
              <w:top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240</w:t>
            </w:r>
          </w:p>
        </w:tc>
      </w:tr>
      <w:tr>
        <w:trPr>
          <w:trHeight w:val="185"/>
        </w:trPr>
        <w:tc>
          <w:tcPr>
            <w:tcW w:w="8420" w:type="dxa"/>
            <w:vAlign w:val="bottom"/>
          </w:tcPr>
          <w:p>
            <w:pPr>
              <w:ind w:left="120"/>
              <w:spacing w:after="0"/>
              <w:rPr>
                <w:sz w:val="20"/>
                <w:szCs w:val="20"/>
                <w:color w:val="auto"/>
              </w:rPr>
            </w:pPr>
            <w:r>
              <w:rPr>
                <w:rFonts w:ascii="Arial" w:cs="Arial" w:eastAsia="Arial" w:hAnsi="Arial"/>
                <w:sz w:val="14"/>
                <w:szCs w:val="14"/>
                <w:color w:val="auto"/>
              </w:rPr>
              <w:t>Interest and debt expense, net</w:t>
            </w: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50</w:t>
            </w: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55</w:t>
            </w:r>
          </w:p>
        </w:tc>
      </w:tr>
      <w:tr>
        <w:trPr>
          <w:trHeight w:val="185"/>
        </w:trPr>
        <w:tc>
          <w:tcPr>
            <w:tcW w:w="8420" w:type="dxa"/>
            <w:vAlign w:val="bottom"/>
          </w:tcPr>
          <w:p>
            <w:pPr>
              <w:ind w:left="120"/>
              <w:spacing w:after="0"/>
              <w:rPr>
                <w:sz w:val="20"/>
                <w:szCs w:val="20"/>
                <w:color w:val="auto"/>
              </w:rPr>
            </w:pPr>
            <w:r>
              <w:rPr>
                <w:rFonts w:ascii="Arial" w:cs="Arial" w:eastAsia="Arial" w:hAnsi="Arial"/>
                <w:sz w:val="14"/>
                <w:szCs w:val="14"/>
                <w:color w:val="auto"/>
              </w:rPr>
              <w:t>Depreciation, depletion and amortization</w:t>
            </w: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190</w:t>
            </w: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225</w:t>
            </w:r>
          </w:p>
        </w:tc>
      </w:tr>
      <w:tr>
        <w:trPr>
          <w:trHeight w:val="185"/>
        </w:trPr>
        <w:tc>
          <w:tcPr>
            <w:tcW w:w="8420" w:type="dxa"/>
            <w:vAlign w:val="bottom"/>
          </w:tcPr>
          <w:p>
            <w:pPr>
              <w:ind w:left="120"/>
              <w:spacing w:after="0"/>
              <w:rPr>
                <w:sz w:val="20"/>
                <w:szCs w:val="20"/>
                <w:color w:val="auto"/>
              </w:rPr>
            </w:pPr>
            <w:r>
              <w:rPr>
                <w:rFonts w:ascii="Arial" w:cs="Arial" w:eastAsia="Arial" w:hAnsi="Arial"/>
                <w:sz w:val="14"/>
                <w:szCs w:val="14"/>
                <w:color w:val="auto"/>
              </w:rPr>
              <w:t>Exploration expense</w:t>
            </w: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w:t>
            </w: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w:t>
            </w:r>
          </w:p>
        </w:tc>
      </w:tr>
      <w:tr>
        <w:trPr>
          <w:trHeight w:val="186"/>
        </w:trPr>
        <w:tc>
          <w:tcPr>
            <w:tcW w:w="8420" w:type="dxa"/>
            <w:vAlign w:val="bottom"/>
          </w:tcPr>
          <w:p>
            <w:pPr>
              <w:ind w:left="120"/>
              <w:spacing w:after="0"/>
              <w:rPr>
                <w:sz w:val="20"/>
                <w:szCs w:val="20"/>
                <w:color w:val="auto"/>
              </w:rPr>
            </w:pPr>
            <w:r>
              <w:rPr>
                <w:rFonts w:ascii="Arial" w:cs="Arial" w:eastAsia="Arial" w:hAnsi="Arial"/>
                <w:sz w:val="14"/>
                <w:szCs w:val="14"/>
                <w:color w:val="auto"/>
              </w:rPr>
              <w:t>Unusual, infrequent and other items</w:t>
            </w: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220</w:t>
            </w: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220</w:t>
            </w:r>
          </w:p>
        </w:tc>
      </w:tr>
      <w:tr>
        <w:trPr>
          <w:trHeight w:val="185"/>
        </w:trPr>
        <w:tc>
          <w:tcPr>
            <w:tcW w:w="8420" w:type="dxa"/>
            <w:vAlign w:val="bottom"/>
          </w:tcPr>
          <w:p>
            <w:pPr>
              <w:ind w:left="120"/>
              <w:spacing w:after="0"/>
              <w:rPr>
                <w:sz w:val="20"/>
                <w:szCs w:val="20"/>
                <w:color w:val="auto"/>
              </w:rPr>
            </w:pPr>
            <w:r>
              <w:rPr>
                <w:rFonts w:ascii="Arial" w:cs="Arial" w:eastAsia="Arial" w:hAnsi="Arial"/>
                <w:sz w:val="14"/>
                <w:szCs w:val="14"/>
                <w:color w:val="auto"/>
              </w:rPr>
              <w:t>Other non-cash items</w:t>
            </w: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5"/>
        </w:trPr>
        <w:tc>
          <w:tcPr>
            <w:tcW w:w="8420" w:type="dxa"/>
            <w:vAlign w:val="bottom"/>
          </w:tcPr>
          <w:p>
            <w:pPr>
              <w:ind w:left="240"/>
              <w:spacing w:after="0"/>
              <w:rPr>
                <w:sz w:val="20"/>
                <w:szCs w:val="20"/>
                <w:color w:val="auto"/>
              </w:rPr>
            </w:pPr>
            <w:r>
              <w:rPr>
                <w:rFonts w:ascii="Arial" w:cs="Arial" w:eastAsia="Arial" w:hAnsi="Arial"/>
                <w:sz w:val="14"/>
                <w:szCs w:val="14"/>
                <w:color w:val="auto"/>
              </w:rPr>
              <w:t>Accretion expense</w:t>
            </w: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50</w:t>
            </w: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55</w:t>
            </w:r>
          </w:p>
        </w:tc>
      </w:tr>
      <w:tr>
        <w:trPr>
          <w:trHeight w:val="185"/>
        </w:trPr>
        <w:tc>
          <w:tcPr>
            <w:tcW w:w="8420" w:type="dxa"/>
            <w:vAlign w:val="bottom"/>
          </w:tcPr>
          <w:p>
            <w:pPr>
              <w:ind w:left="240"/>
              <w:spacing w:after="0"/>
              <w:rPr>
                <w:sz w:val="20"/>
                <w:szCs w:val="20"/>
                <w:color w:val="auto"/>
              </w:rPr>
            </w:pPr>
            <w:r>
              <w:rPr>
                <w:rFonts w:ascii="Arial" w:cs="Arial" w:eastAsia="Arial" w:hAnsi="Arial"/>
                <w:sz w:val="14"/>
                <w:szCs w:val="14"/>
                <w:color w:val="auto"/>
              </w:rPr>
              <w:t>Stock-settled compensation</w:t>
            </w: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w:t>
            </w: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15</w:t>
            </w:r>
          </w:p>
        </w:tc>
      </w:tr>
      <w:tr>
        <w:trPr>
          <w:trHeight w:val="183"/>
        </w:trPr>
        <w:tc>
          <w:tcPr>
            <w:tcW w:w="8420" w:type="dxa"/>
            <w:vAlign w:val="bottom"/>
          </w:tcPr>
          <w:p>
            <w:pPr>
              <w:ind w:left="240"/>
              <w:spacing w:after="0"/>
              <w:rPr>
                <w:sz w:val="20"/>
                <w:szCs w:val="20"/>
                <w:color w:val="auto"/>
              </w:rPr>
            </w:pPr>
            <w:r>
              <w:rPr>
                <w:rFonts w:ascii="Arial" w:cs="Arial" w:eastAsia="Arial" w:hAnsi="Arial"/>
                <w:sz w:val="14"/>
                <w:szCs w:val="14"/>
                <w:color w:val="auto"/>
              </w:rPr>
              <w:t>Post-retirement medical and pension</w:t>
            </w: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r>
      <w:tr>
        <w:trPr>
          <w:trHeight w:val="179"/>
        </w:trPr>
        <w:tc>
          <w:tcPr>
            <w:tcW w:w="8420" w:type="dxa"/>
            <w:vAlign w:val="bottom"/>
          </w:tcPr>
          <w:p>
            <w:pPr>
              <w:spacing w:after="0"/>
              <w:rPr>
                <w:sz w:val="20"/>
                <w:szCs w:val="20"/>
                <w:color w:val="auto"/>
              </w:rPr>
            </w:pPr>
            <w:r>
              <w:rPr>
                <w:rFonts w:ascii="Arial" w:cs="Arial" w:eastAsia="Arial" w:hAnsi="Arial"/>
                <w:sz w:val="14"/>
                <w:szCs w:val="14"/>
                <w:b w:val="1"/>
                <w:bCs w:val="1"/>
                <w:color w:val="auto"/>
              </w:rPr>
              <w:t>Estimated adjusted EBITDAX</w:t>
            </w:r>
          </w:p>
        </w:tc>
        <w:tc>
          <w:tcPr>
            <w:tcW w:w="30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725</w:t>
            </w:r>
          </w:p>
        </w:tc>
        <w:tc>
          <w:tcPr>
            <w:tcW w:w="180" w:type="dxa"/>
            <w:vAlign w:val="bottom"/>
          </w:tcPr>
          <w:p>
            <w:pPr>
              <w:spacing w:after="0"/>
              <w:rPr>
                <w:sz w:val="15"/>
                <w:szCs w:val="15"/>
                <w:color w:val="auto"/>
              </w:rPr>
            </w:pPr>
          </w:p>
        </w:tc>
        <w:tc>
          <w:tcPr>
            <w:tcW w:w="2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825</w:t>
            </w:r>
          </w:p>
        </w:tc>
      </w:tr>
      <w:tr>
        <w:trPr>
          <w:trHeight w:val="20"/>
        </w:trPr>
        <w:tc>
          <w:tcPr>
            <w:tcW w:w="8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366"/>
        </w:trPr>
        <w:tc>
          <w:tcPr>
            <w:tcW w:w="8420" w:type="dxa"/>
            <w:vAlign w:val="bottom"/>
          </w:tcPr>
          <w:p>
            <w:pPr>
              <w:spacing w:after="0"/>
              <w:rPr>
                <w:sz w:val="20"/>
                <w:szCs w:val="20"/>
                <w:color w:val="auto"/>
              </w:rPr>
            </w:pPr>
            <w:r>
              <w:rPr>
                <w:rFonts w:ascii="Arial" w:cs="Arial" w:eastAsia="Arial" w:hAnsi="Arial"/>
                <w:sz w:val="14"/>
                <w:szCs w:val="14"/>
                <w:color w:val="auto"/>
              </w:rPr>
              <w:t>Net cash provided by operating activities</w:t>
            </w:r>
          </w:p>
        </w:tc>
        <w:tc>
          <w:tcPr>
            <w:tcW w:w="30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590</w:t>
            </w:r>
          </w:p>
        </w:tc>
        <w:tc>
          <w:tcPr>
            <w:tcW w:w="180" w:type="dxa"/>
            <w:vAlign w:val="bottom"/>
          </w:tcPr>
          <w:p>
            <w:pPr>
              <w:spacing w:after="0"/>
              <w:rPr>
                <w:sz w:val="24"/>
                <w:szCs w:val="24"/>
                <w:color w:val="auto"/>
              </w:rPr>
            </w:pPr>
          </w:p>
        </w:tc>
        <w:tc>
          <w:tcPr>
            <w:tcW w:w="2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670</w:t>
            </w:r>
          </w:p>
        </w:tc>
      </w:tr>
      <w:tr>
        <w:trPr>
          <w:trHeight w:val="185"/>
        </w:trPr>
        <w:tc>
          <w:tcPr>
            <w:tcW w:w="8420" w:type="dxa"/>
            <w:vAlign w:val="bottom"/>
          </w:tcPr>
          <w:p>
            <w:pPr>
              <w:ind w:left="120"/>
              <w:spacing w:after="0"/>
              <w:rPr>
                <w:sz w:val="20"/>
                <w:szCs w:val="20"/>
                <w:color w:val="auto"/>
              </w:rPr>
            </w:pPr>
            <w:r>
              <w:rPr>
                <w:rFonts w:ascii="Arial" w:cs="Arial" w:eastAsia="Arial" w:hAnsi="Arial"/>
                <w:sz w:val="14"/>
                <w:szCs w:val="14"/>
                <w:color w:val="auto"/>
              </w:rPr>
              <w:t>Cash interest</w:t>
            </w: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30</w:t>
            </w: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35</w:t>
            </w:r>
          </w:p>
        </w:tc>
      </w:tr>
      <w:tr>
        <w:trPr>
          <w:trHeight w:val="185"/>
        </w:trPr>
        <w:tc>
          <w:tcPr>
            <w:tcW w:w="8420" w:type="dxa"/>
            <w:vAlign w:val="bottom"/>
          </w:tcPr>
          <w:p>
            <w:pPr>
              <w:ind w:left="120"/>
              <w:spacing w:after="0"/>
              <w:rPr>
                <w:sz w:val="20"/>
                <w:szCs w:val="20"/>
                <w:color w:val="auto"/>
              </w:rPr>
            </w:pPr>
            <w:r>
              <w:rPr>
                <w:rFonts w:ascii="Arial" w:cs="Arial" w:eastAsia="Arial" w:hAnsi="Arial"/>
                <w:sz w:val="14"/>
                <w:szCs w:val="14"/>
                <w:color w:val="auto"/>
              </w:rPr>
              <w:t>Exploration expenditures</w:t>
            </w: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w:t>
            </w: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w:t>
            </w:r>
          </w:p>
        </w:tc>
      </w:tr>
      <w:tr>
        <w:trPr>
          <w:trHeight w:val="183"/>
        </w:trPr>
        <w:tc>
          <w:tcPr>
            <w:tcW w:w="8420" w:type="dxa"/>
            <w:vAlign w:val="bottom"/>
          </w:tcPr>
          <w:p>
            <w:pPr>
              <w:ind w:left="120"/>
              <w:spacing w:after="0"/>
              <w:rPr>
                <w:sz w:val="20"/>
                <w:szCs w:val="20"/>
                <w:color w:val="auto"/>
              </w:rPr>
            </w:pPr>
            <w:r>
              <w:rPr>
                <w:rFonts w:ascii="Arial" w:cs="Arial" w:eastAsia="Arial" w:hAnsi="Arial"/>
                <w:sz w:val="14"/>
                <w:szCs w:val="14"/>
                <w:color w:val="auto"/>
              </w:rPr>
              <w:t>Working capital changes</w:t>
            </w: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w:t>
            </w:r>
          </w:p>
        </w:tc>
        <w:tc>
          <w:tcPr>
            <w:tcW w:w="1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w:t>
            </w:r>
          </w:p>
        </w:tc>
      </w:tr>
      <w:tr>
        <w:trPr>
          <w:trHeight w:val="179"/>
        </w:trPr>
        <w:tc>
          <w:tcPr>
            <w:tcW w:w="8420" w:type="dxa"/>
            <w:vAlign w:val="bottom"/>
          </w:tcPr>
          <w:p>
            <w:pPr>
              <w:spacing w:after="0"/>
              <w:rPr>
                <w:sz w:val="20"/>
                <w:szCs w:val="20"/>
                <w:color w:val="auto"/>
              </w:rPr>
            </w:pPr>
            <w:r>
              <w:rPr>
                <w:rFonts w:ascii="Arial" w:cs="Arial" w:eastAsia="Arial" w:hAnsi="Arial"/>
                <w:sz w:val="14"/>
                <w:szCs w:val="14"/>
                <w:b w:val="1"/>
                <w:bCs w:val="1"/>
                <w:color w:val="auto"/>
              </w:rPr>
              <w:t>Estimated adjusted EBITDAX</w:t>
            </w:r>
          </w:p>
        </w:tc>
        <w:tc>
          <w:tcPr>
            <w:tcW w:w="30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725</w:t>
            </w:r>
          </w:p>
        </w:tc>
        <w:tc>
          <w:tcPr>
            <w:tcW w:w="180" w:type="dxa"/>
            <w:vAlign w:val="bottom"/>
          </w:tcPr>
          <w:p>
            <w:pPr>
              <w:spacing w:after="0"/>
              <w:rPr>
                <w:sz w:val="15"/>
                <w:szCs w:val="15"/>
                <w:color w:val="auto"/>
              </w:rPr>
            </w:pPr>
          </w:p>
        </w:tc>
        <w:tc>
          <w:tcPr>
            <w:tcW w:w="2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825</w:t>
            </w:r>
          </w:p>
        </w:tc>
      </w:tr>
      <w:tr>
        <w:trPr>
          <w:trHeight w:val="20"/>
        </w:trPr>
        <w:tc>
          <w:tcPr>
            <w:tcW w:w="8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22</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decimal"/>
      <w:start w:val="104"/>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1)"/>
      <w:numFmt w:val="lowerLetter"/>
      <w:start w:val="1"/>
    </w:lvl>
  </w:abstractNum>
  <w:abstractNum w:abstractNumId="7">
    <w:nsid w:val="4DB127F8"/>
    <w:multiLevelType w:val="hybridMultilevel"/>
    <w:lvl w:ilvl="0">
      <w:lvlJc w:val="left"/>
      <w:lvlText w:val="1"/>
      <w:numFmt w:val="bullet"/>
      <w:start w:val="1"/>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
      <w:numFmt w:val="bullet"/>
      <w:start w:val="1"/>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2021-08-05T16:26:19Z</dcterms:created>
  <dcterms:modified xsi:type="dcterms:W3CDTF">2021-08-05T16:26:19Z</dcterms:modified>
</cp:coreProperties>
</file>