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highlight w:val="black"/>
        </w:rPr>
      </w:pPr>
    </w:p>
    <w:p>
      <w:pPr>
        <w:ind w:left="3100"/>
        <w:spacing w:after="0"/>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 the quarterly period ended September 30, 2018</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7" w:lineRule="exact"/>
        <w:rPr>
          <w:sz w:val="24"/>
          <w:szCs w:val="24"/>
          <w:color w:val="auto"/>
        </w:rPr>
      </w:pPr>
    </w:p>
    <w:p>
      <w:pPr>
        <w:ind w:left="3060"/>
        <w:spacing w:after="0"/>
        <w:rPr>
          <w:sz w:val="20"/>
          <w:szCs w:val="20"/>
          <w:color w:val="auto"/>
        </w:rPr>
      </w:pPr>
      <w:r>
        <w:rPr>
          <w:rFonts w:ascii="Arial" w:cs="Arial" w:eastAsia="Arial" w:hAnsi="Arial"/>
          <w:sz w:val="20"/>
          <w:szCs w:val="20"/>
          <w:color w:val="auto"/>
        </w:rPr>
        <w:t>For the transition period from ___________ to 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001-36478</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719" w:right="239" w:bottom="1440" w:gutter="0" w:footer="0" w:header="0"/>
        </w:sectPr>
      </w:pPr>
    </w:p>
    <w:p>
      <w:pPr>
        <w:spacing w:after="0" w:line="133" w:lineRule="exact"/>
        <w:rPr>
          <w:sz w:val="24"/>
          <w:szCs w:val="24"/>
          <w:color w:val="auto"/>
        </w:rPr>
      </w:pPr>
    </w:p>
    <w:p>
      <w:pPr>
        <w:jc w:val="center"/>
        <w:ind w:right="1460"/>
        <w:spacing w:after="0"/>
        <w:rPr>
          <w:sz w:val="20"/>
          <w:szCs w:val="20"/>
          <w:color w:val="auto"/>
        </w:rPr>
      </w:pPr>
      <w:r>
        <w:rPr>
          <w:rFonts w:ascii="Arial" w:cs="Arial" w:eastAsia="Arial" w:hAnsi="Arial"/>
          <w:sz w:val="22"/>
          <w:szCs w:val="22"/>
          <w:b w:val="1"/>
          <w:bCs w:val="1"/>
          <w:color w:val="auto"/>
        </w:rPr>
        <w:t>Delaware</w:t>
      </w:r>
    </w:p>
    <w:p>
      <w:pPr>
        <w:spacing w:after="0" w:line="5" w:lineRule="exact"/>
        <w:rPr>
          <w:sz w:val="24"/>
          <w:szCs w:val="24"/>
          <w:color w:val="auto"/>
        </w:rPr>
      </w:pPr>
    </w:p>
    <w:p>
      <w:pPr>
        <w:ind w:left="1580"/>
        <w:spacing w:after="0"/>
        <w:rPr>
          <w:sz w:val="20"/>
          <w:szCs w:val="20"/>
          <w:color w:val="auto"/>
        </w:rPr>
      </w:pPr>
      <w:r>
        <w:rPr>
          <w:rFonts w:ascii="Arial" w:cs="Arial" w:eastAsia="Arial" w:hAnsi="Arial"/>
          <w:sz w:val="20"/>
          <w:szCs w:val="20"/>
          <w:color w:val="auto"/>
        </w:rPr>
        <w:t>(State or other jurisdiction of</w:t>
      </w:r>
    </w:p>
    <w:p>
      <w:pPr>
        <w:ind w:left="1520"/>
        <w:spacing w:after="0"/>
        <w:rPr>
          <w:sz w:val="20"/>
          <w:szCs w:val="20"/>
          <w:color w:val="auto"/>
        </w:rPr>
      </w:pPr>
      <w:r>
        <w:rPr>
          <w:rFonts w:ascii="Arial" w:cs="Arial" w:eastAsia="Arial" w:hAnsi="Arial"/>
          <w:sz w:val="20"/>
          <w:szCs w:val="20"/>
          <w:color w:val="auto"/>
        </w:rPr>
        <w:t>incorporation or organization)</w:t>
      </w:r>
    </w:p>
    <w:p>
      <w:pPr>
        <w:spacing w:after="0" w:line="286"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27200 Tourney Road, Suite 315</w:t>
      </w:r>
    </w:p>
    <w:p>
      <w:pPr>
        <w:jc w:val="center"/>
        <w:ind w:right="1460"/>
        <w:spacing w:after="0" w:line="236" w:lineRule="auto"/>
        <w:rPr>
          <w:sz w:val="20"/>
          <w:szCs w:val="20"/>
          <w:color w:val="auto"/>
        </w:rPr>
      </w:pPr>
      <w:r>
        <w:rPr>
          <w:rFonts w:ascii="Arial" w:cs="Arial" w:eastAsia="Arial" w:hAnsi="Arial"/>
          <w:sz w:val="20"/>
          <w:szCs w:val="20"/>
          <w:b w:val="1"/>
          <w:bCs w:val="1"/>
          <w:color w:val="auto"/>
        </w:rPr>
        <w:t>Santa Clarita, California</w:t>
      </w:r>
    </w:p>
    <w:p>
      <w:pPr>
        <w:jc w:val="center"/>
        <w:ind w:right="1460"/>
        <w:spacing w:after="0"/>
        <w:rPr>
          <w:sz w:val="20"/>
          <w:szCs w:val="20"/>
          <w:color w:val="auto"/>
        </w:rPr>
      </w:pPr>
      <w:r>
        <w:rPr>
          <w:rFonts w:ascii="Arial" w:cs="Arial" w:eastAsia="Arial" w:hAnsi="Arial"/>
          <w:sz w:val="19"/>
          <w:szCs w:val="19"/>
          <w:color w:val="auto"/>
        </w:rPr>
        <w:t>(Address of principal executive offices)</w:t>
      </w:r>
    </w:p>
    <w:p>
      <w:pPr>
        <w:spacing w:after="0" w:line="122" w:lineRule="exact"/>
        <w:rPr>
          <w:sz w:val="24"/>
          <w:szCs w:val="24"/>
          <w:color w:val="auto"/>
        </w:rPr>
      </w:pPr>
    </w:p>
    <w:p>
      <w:pPr>
        <w:jc w:val="right"/>
        <w:ind w:right="680"/>
        <w:spacing w:after="0"/>
        <w:rPr>
          <w:sz w:val="20"/>
          <w:szCs w:val="20"/>
          <w:color w:val="auto"/>
        </w:rPr>
      </w:pPr>
      <w:r>
        <w:rPr>
          <w:rFonts w:ascii="Arial" w:cs="Arial" w:eastAsia="Arial" w:hAnsi="Arial"/>
          <w:sz w:val="20"/>
          <w:szCs w:val="20"/>
          <w:b w:val="1"/>
          <w:bCs w:val="1"/>
          <w:color w:val="auto"/>
        </w:rPr>
        <w:t>(888) 848-4754</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46-5670947</w:t>
      </w:r>
    </w:p>
    <w:p>
      <w:pPr>
        <w:ind w:left="40"/>
        <w:spacing w:after="0" w:line="236" w:lineRule="auto"/>
        <w:rPr>
          <w:sz w:val="20"/>
          <w:szCs w:val="20"/>
          <w:color w:val="auto"/>
        </w:rPr>
      </w:pPr>
      <w:r>
        <w:rPr>
          <w:rFonts w:ascii="Arial" w:cs="Arial" w:eastAsia="Arial" w:hAnsi="Arial"/>
          <w:sz w:val="20"/>
          <w:szCs w:val="20"/>
          <w:color w:val="auto"/>
        </w:rPr>
        <w:t>(I.R.S. Employer</w:t>
      </w:r>
    </w:p>
    <w:p>
      <w:pPr>
        <w:spacing w:after="0"/>
        <w:rPr>
          <w:sz w:val="20"/>
          <w:szCs w:val="20"/>
          <w:color w:val="auto"/>
        </w:rPr>
      </w:pPr>
      <w:r>
        <w:rPr>
          <w:rFonts w:ascii="Arial" w:cs="Arial" w:eastAsia="Arial" w:hAnsi="Arial"/>
          <w:sz w:val="19"/>
          <w:szCs w:val="19"/>
          <w:color w:val="auto"/>
        </w:rPr>
        <w:t>Identification No.)</w:t>
      </w:r>
    </w:p>
    <w:p>
      <w:pPr>
        <w:spacing w:after="0" w:line="325"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91355</w:t>
      </w:r>
    </w:p>
    <w:p>
      <w:pPr>
        <w:spacing w:after="0" w:line="10" w:lineRule="exact"/>
        <w:rPr>
          <w:sz w:val="24"/>
          <w:szCs w:val="24"/>
          <w:color w:val="auto"/>
        </w:rPr>
      </w:pPr>
    </w:p>
    <w:p>
      <w:pPr>
        <w:jc w:val="center"/>
        <w:ind w:right="2080"/>
        <w:spacing w:after="0"/>
        <w:rPr>
          <w:sz w:val="20"/>
          <w:szCs w:val="20"/>
          <w:color w:val="auto"/>
        </w:rPr>
      </w:pPr>
      <w:r>
        <w:rPr>
          <w:rFonts w:ascii="Arial" w:cs="Arial" w:eastAsia="Arial" w:hAnsi="Arial"/>
          <w:sz w:val="20"/>
          <w:szCs w:val="20"/>
          <w:color w:val="auto"/>
        </w:rPr>
        <w:t>(Zip Code)</w:t>
      </w:r>
    </w:p>
    <w:p>
      <w:pPr>
        <w:spacing w:after="0" w:line="579" w:lineRule="exact"/>
        <w:rPr>
          <w:sz w:val="24"/>
          <w:szCs w:val="24"/>
          <w:color w:val="auto"/>
        </w:rPr>
      </w:pPr>
    </w:p>
    <w:p>
      <w:pPr>
        <w:sectPr>
          <w:pgSz w:w="11900" w:h="16838" w:orient="portrait"/>
          <w:cols w:equalWidth="0" w:num="2">
            <w:col w:w="7080" w:space="720"/>
            <w:col w:w="3620"/>
          </w:cols>
          <w:pgMar w:left="240" w:top="719" w:right="239" w:bottom="1440" w:gutter="0" w:footer="0" w:header="0"/>
          <w:type w:val="continuous"/>
        </w:sect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124" w:lineRule="exact"/>
        <w:rPr>
          <w:sz w:val="24"/>
          <w:szCs w:val="24"/>
          <w:color w:val="auto"/>
        </w:rPr>
      </w:pPr>
    </w:p>
    <w:p>
      <w:pPr>
        <w:jc w:val="both"/>
        <w:ind w:firstLine="324"/>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20"/>
        <w:spacing w:after="0" w:line="207" w:lineRule="exact"/>
        <w:tabs>
          <w:tab w:leader="none" w:pos="109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29" w:lineRule="exact"/>
        <w:rPr>
          <w:sz w:val="24"/>
          <w:szCs w:val="24"/>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12" w:lineRule="exact"/>
        <w:rPr>
          <w:sz w:val="24"/>
          <w:szCs w:val="24"/>
          <w:color w:val="auto"/>
        </w:rPr>
      </w:pPr>
    </w:p>
    <w:p>
      <w:pPr>
        <w:ind w:left="1120"/>
        <w:spacing w:after="0" w:line="196" w:lineRule="exact"/>
        <w:tabs>
          <w:tab w:leader="none" w:pos="3400" w:val="left"/>
          <w:tab w:leader="none" w:pos="4160" w:val="left"/>
          <w:tab w:leader="none" w:pos="6480" w:val="left"/>
          <w:tab w:leader="none" w:pos="7240" w:val="left"/>
          <w:tab w:leader="none" w:pos="956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Arial" w:cs="Arial" w:eastAsia="Arial" w:hAnsi="Arial"/>
          <w:sz w:val="14"/>
          <w:szCs w:val="14"/>
          <w:color w:val="auto"/>
        </w:rPr>
        <w:t>o</w:t>
      </w:r>
    </w:p>
    <w:p>
      <w:pPr>
        <w:spacing w:after="0" w:line="107" w:lineRule="exact"/>
        <w:rPr>
          <w:sz w:val="24"/>
          <w:szCs w:val="24"/>
          <w:color w:val="auto"/>
        </w:rPr>
      </w:pPr>
    </w:p>
    <w:p>
      <w:pPr>
        <w:ind w:left="1120"/>
        <w:spacing w:after="0"/>
        <w:tabs>
          <w:tab w:leader="none" w:pos="3400" w:val="left"/>
          <w:tab w:leader="none" w:pos="4160" w:val="left"/>
          <w:tab w:leader="none" w:pos="6480" w:val="left"/>
        </w:tabs>
        <w:rPr>
          <w:sz w:val="20"/>
          <w:szCs w:val="20"/>
          <w:color w:val="auto"/>
        </w:rPr>
      </w:pPr>
      <w:r>
        <w:rPr>
          <w:rFonts w:ascii="Arial" w:cs="Arial" w:eastAsia="Arial" w:hAnsi="Arial"/>
          <w:sz w:val="17"/>
          <w:szCs w:val="17"/>
          <w:color w:val="auto"/>
        </w:rPr>
        <w:t>Smaller Reporting Company</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Arial" w:cs="Arial" w:eastAsia="Arial" w:hAnsi="Arial"/>
          <w:sz w:val="14"/>
          <w:szCs w:val="14"/>
          <w:color w:val="auto"/>
        </w:rPr>
        <w:t>o</w:t>
      </w:r>
    </w:p>
    <w:p>
      <w:pPr>
        <w:spacing w:after="0" w:line="267" w:lineRule="exact"/>
        <w:rPr>
          <w:sz w:val="24"/>
          <w:szCs w:val="24"/>
          <w:color w:val="auto"/>
        </w:rPr>
      </w:pPr>
    </w:p>
    <w:p>
      <w:pPr>
        <w:jc w:val="both"/>
        <w:ind w:firstLine="3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jc w:val="center"/>
        <w:ind w:right="500"/>
        <w:spacing w:after="0" w:line="207" w:lineRule="exact"/>
        <w:tabs>
          <w:tab w:leader="none" w:pos="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17" w:lineRule="exact"/>
        <w:rPr>
          <w:sz w:val="24"/>
          <w:szCs w:val="24"/>
          <w:color w:val="auto"/>
        </w:rPr>
      </w:pPr>
    </w:p>
    <w:p>
      <w:pPr>
        <w:ind w:left="40"/>
        <w:spacing w:after="0"/>
        <w:tabs>
          <w:tab w:leader="none" w:pos="9980" w:val="left"/>
        </w:tabs>
        <w:rPr>
          <w:sz w:val="20"/>
          <w:szCs w:val="20"/>
          <w:color w:val="auto"/>
        </w:rPr>
      </w:pPr>
      <w:r>
        <w:rPr>
          <w:rFonts w:ascii="Arial" w:cs="Arial" w:eastAsia="Arial" w:hAnsi="Arial"/>
          <w:sz w:val="18"/>
          <w:szCs w:val="18"/>
          <w:color w:val="auto"/>
        </w:rPr>
        <w:t>Shares of common stock outstanding as of September 30, 2018</w:t>
      </w:r>
      <w:r>
        <w:rPr>
          <w:sz w:val="20"/>
          <w:szCs w:val="20"/>
          <w:color w:val="auto"/>
        </w:rPr>
        <w:tab/>
      </w:r>
      <w:r>
        <w:rPr>
          <w:rFonts w:ascii="Arial" w:cs="Arial" w:eastAsia="Arial" w:hAnsi="Arial"/>
          <w:sz w:val="17"/>
          <w:szCs w:val="17"/>
          <w:color w:val="auto"/>
        </w:rPr>
        <w:t>48,565,905</w:t>
      </w:r>
    </w:p>
    <w:p>
      <w:pPr>
        <w:sectPr>
          <w:pgSz w:w="11900" w:h="16838" w:orient="portrait"/>
          <w:cols w:equalWidth="0" w:num="1">
            <w:col w:w="11420"/>
          </w:cols>
          <w:pgMar w:left="240" w:top="7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27</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Acquisitions and Divestitures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30</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2018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Lawsuits, Claims, Contingencies and Commitments</w:t>
            </w:r>
          </w:p>
        </w:tc>
        <w:tc>
          <w:tcPr>
            <w:tcW w:w="740" w:type="dxa"/>
            <w:vAlign w:val="bottom"/>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Safe Harbor Statement Regarding Outlook and Forward-Looking Information</w:t>
            </w:r>
          </w:p>
        </w:tc>
        <w:tc>
          <w:tcPr>
            <w:tcW w:w="740" w:type="dxa"/>
            <w:vAlign w:val="bottom"/>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45</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45</w:t>
              </w:r>
            </w:hyperlink>
          </w:p>
        </w:tc>
      </w:tr>
      <w:tr>
        <w:trPr>
          <w:trHeight w:val="290"/>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43"/>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6"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9"/>
        </w:trPr>
        <w:tc>
          <w:tcPr>
            <w:tcW w:w="700" w:type="dxa"/>
            <w:vAlign w:val="bottom"/>
          </w:tcPr>
          <w:p>
            <w:pPr>
              <w:spacing w:after="0"/>
              <w:rPr>
                <w:sz w:val="24"/>
                <w:szCs w:val="24"/>
                <w:color w:val="auto"/>
              </w:rPr>
            </w:pPr>
          </w:p>
        </w:tc>
        <w:tc>
          <w:tcPr>
            <w:tcW w:w="900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As of September 30, 2018 and December 31, 2017</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7"/>
        </w:trPr>
        <w:tc>
          <w:tcPr>
            <w:tcW w:w="700" w:type="dxa"/>
            <w:vAlign w:val="bottom"/>
          </w:tcPr>
          <w:p>
            <w:pPr>
              <w:spacing w:after="0"/>
              <w:rPr>
                <w:sz w:val="18"/>
                <w:szCs w:val="18"/>
                <w:color w:val="auto"/>
              </w:rPr>
            </w:pPr>
          </w:p>
        </w:tc>
        <w:tc>
          <w:tcPr>
            <w:tcW w:w="7180" w:type="dxa"/>
            <w:vAlign w:val="bottom"/>
          </w:tcPr>
          <w:p>
            <w:pPr>
              <w:jc w:val="center"/>
              <w:ind w:left="2770"/>
              <w:spacing w:after="0"/>
              <w:rPr>
                <w:sz w:val="20"/>
                <w:szCs w:val="20"/>
                <w:color w:val="auto"/>
              </w:rPr>
            </w:pPr>
            <w:r>
              <w:rPr>
                <w:rFonts w:ascii="Arial" w:cs="Arial" w:eastAsia="Arial" w:hAnsi="Arial"/>
                <w:sz w:val="18"/>
                <w:szCs w:val="18"/>
                <w:color w:val="auto"/>
                <w:w w:val="99"/>
              </w:rPr>
              <w:t>(in millions, except share data)</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2"/>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4"/>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22,323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21,260</w:t>
            </w:r>
          </w:p>
        </w:tc>
      </w:tr>
      <w:tr>
        <w:trPr>
          <w:trHeight w:val="270"/>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6,207</w:t>
            </w:r>
          </w:p>
        </w:tc>
      </w:tr>
      <w:tr>
        <w:trPr>
          <w:trHeight w:val="20"/>
        </w:trPr>
        <w:tc>
          <w:tcPr>
            <w:tcW w:w="7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6"/>
        </w:trPr>
        <w:tc>
          <w:tcPr>
            <w:tcW w:w="78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732</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MEZZANINE EQUITY</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w w:val="95"/>
              </w:rPr>
              <w:t>EQUITY</w:t>
            </w:r>
          </w:p>
        </w:tc>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September 30, 2018 and December 31, 2017</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(September 30, 2018 - 48,565,905 and December 31, 2017 - 42,901,946)</w:t>
            </w: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4,879</w:t>
            </w: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50"/>
        </w:trPr>
        <w:tc>
          <w:tcPr>
            <w:tcW w:w="700" w:type="dxa"/>
            <w:vAlign w:val="bottom"/>
            <w:tcBorders>
              <w:bottom w:val="single" w:sz="8" w:color="CCEEFF"/>
            </w:tcBorders>
          </w:tcPr>
          <w:p>
            <w:pPr>
              <w:spacing w:after="0"/>
              <w:rPr>
                <w:sz w:val="21"/>
                <w:szCs w:val="21"/>
                <w:color w:val="auto"/>
              </w:rPr>
            </w:pPr>
          </w:p>
        </w:tc>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r>
      <w:tr>
        <w:trPr>
          <w:trHeight w:val="20"/>
        </w:trPr>
        <w:tc>
          <w:tcPr>
            <w:tcW w:w="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ind w:left="260" w:right="284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For the three and nine months ended September 30, 2018 and 2017 </w:t>
      </w:r>
      <w:r>
        <w:rPr>
          <w:rFonts w:ascii="Arial" w:cs="Arial" w:eastAsia="Arial" w:hAnsi="Arial"/>
          <w:sz w:val="18"/>
          <w:szCs w:val="18"/>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derivative (loss) gain from commodity contracts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90"/>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asset divestitures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 per share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ind w:left="260" w:right="284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For the three and nine months ended September 30, 2018 and 2017 </w:t>
      </w:r>
      <w:r>
        <w:rPr>
          <w:rFonts w:ascii="Arial" w:cs="Arial" w:eastAsia="Arial" w:hAnsi="Arial"/>
          <w:sz w:val="18"/>
          <w:szCs w:val="18"/>
          <w:color w:val="auto"/>
        </w:rPr>
        <w:t>(in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43"/>
        </w:trPr>
        <w:tc>
          <w:tcPr>
            <w:tcW w:w="65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income items:</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3"/>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realized losses on pension and postretirement benefits to</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3"/>
        </w:trPr>
        <w:tc>
          <w:tcPr>
            <w:tcW w:w="6500" w:type="dxa"/>
            <w:vAlign w:val="bottom"/>
            <w:shd w:val="clear" w:color="auto" w:fill="CCEEFF"/>
          </w:tcPr>
          <w:p>
            <w:pPr>
              <w:ind w:left="380"/>
              <w:spacing w:after="0" w:line="233" w:lineRule="exact"/>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(a)</w:t>
            </w:r>
          </w:p>
        </w:tc>
        <w:tc>
          <w:tcPr>
            <w:tcW w:w="7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7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65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common stock</w:t>
            </w: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and nine months ended September 30, 2018 and 2017. See </w:t>
      </w:r>
      <w:r>
        <w:rPr>
          <w:rFonts w:ascii="Arial" w:cs="Arial" w:eastAsia="Arial" w:hAnsi="Arial"/>
          <w:sz w:val="14"/>
          <w:szCs w:val="14"/>
          <w:i w:val="1"/>
          <w:iCs w:val="1"/>
          <w:color w:val="auto"/>
        </w:rPr>
        <w:t>Note 11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8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88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88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derivative loss (gain) from commodity contracts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(payments) proceeds on settled commodity derivatives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Gain on asset divestitures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(1,843)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on 2014 Term Loan</w:t>
            </w:r>
          </w:p>
        </w:tc>
        <w:tc>
          <w:tcPr>
            <w:tcW w:w="10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Debt repurchases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transaction costs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period</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43"/>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2017</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14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0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Equity</w:t>
            </w:r>
            <w:r>
              <w:rPr>
                <w:rFonts w:ascii="Arial" w:cs="Arial" w:eastAsia="Arial" w:hAnsi="Arial"/>
                <w:sz w:val="17"/>
                <w:szCs w:val="17"/>
                <w:b w:val="1"/>
                <w:bCs w:val="1"/>
                <w:color w:val="auto"/>
                <w:w w:val="98"/>
                <w:vertAlign w:val="superscript"/>
              </w:rPr>
              <w:t>(a)</w:t>
            </w:r>
          </w:p>
        </w:tc>
      </w:tr>
      <w:tr>
        <w:trPr>
          <w:trHeight w:val="250"/>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r>
              <w:rPr>
                <w:rFonts w:ascii="Arial" w:cs="Arial" w:eastAsia="Arial" w:hAnsi="Arial"/>
                <w:sz w:val="17"/>
                <w:szCs w:val="17"/>
                <w:b w:val="1"/>
                <w:bCs w:val="1"/>
                <w:color w:val="auto"/>
                <w:vertAlign w:val="superscript"/>
              </w:rPr>
              <w:t>(b)</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37"/>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Excludes redeemable noncontrolling interest recorded in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42" w:lineRule="exact"/>
        <w:rPr>
          <w:rFonts w:ascii="Arial" w:cs="Arial" w:eastAsia="Arial" w:hAnsi="Arial"/>
          <w:sz w:val="14"/>
          <w:szCs w:val="14"/>
          <w:color w:val="auto"/>
        </w:rPr>
      </w:pPr>
    </w:p>
    <w:p>
      <w:pPr>
        <w:jc w:val="both"/>
        <w:ind w:left="660" w:hanging="328"/>
        <w:spacing w:after="0" w:line="250"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Includes 2.85 million shares of common stock (valued at $51 million at issuance) issued to Chevron in connection with our acquisition of Chevron's working interest in Elk Hills unit and 2.3 million shares of common stock (valued at $50 million at issuance) issued to an Ares-led investor group in connection with the formation of our Ares JV. See </w:t>
      </w:r>
      <w:r>
        <w:rPr>
          <w:rFonts w:ascii="Arial" w:cs="Arial" w:eastAsia="Arial" w:hAnsi="Arial"/>
          <w:sz w:val="14"/>
          <w:szCs w:val="14"/>
          <w:i w:val="1"/>
          <w:iCs w:val="1"/>
          <w:color w:val="auto"/>
        </w:rPr>
        <w:t>Note 7 Acquisitions and Divestitures</w:t>
      </w:r>
      <w:r>
        <w:rPr>
          <w:rFonts w:ascii="Arial" w:cs="Arial" w:eastAsia="Arial" w:hAnsi="Arial"/>
          <w:sz w:val="14"/>
          <w:szCs w:val="14"/>
          <w:color w:val="auto"/>
        </w:rPr>
        <w:t xml:space="preserve"> for more information.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were incorporated in Delaware as a wholly owned subsidiary of Occidental Petroleum Corporation (Occidental) on April 23, 2014 and remained a wholly owned subsidiary of Occidental until November 30, 2014. On November 30, 2014, Occidental distributed shares of our common stock on a pro-rata basis to Occidental stockholders (the Spin-off). We became an independent, publicly traded company on December 1, 2014. Occidental initially retained approximately 18.5% of our outstanding shares of common stock, which were distributed to Occidental stockholders on March 24, 2016.</w:t>
      </w:r>
    </w:p>
    <w:p>
      <w:pPr>
        <w:spacing w:after="0" w:line="20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and all references to ‘‘Occidental’’ refer to Occidental Petroleum Corporation, our former parent,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September 30, 2018 and December 31, 2017 and the statements of operations, comprehensive income, cash flows and equity for the three and nine months ended September 30, 2018 and 2017, as applicable. We have eliminated all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our balance sheets, statements of operations and cash flows.</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prepared this report pursuant to the rules and regulations of the United States (U.S.) Securities and Exchange Commission (SEC)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2017.</w:t>
      </w:r>
    </w:p>
    <w:p>
      <w:pPr>
        <w:spacing w:after="0" w:line="20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 xml:space="preserve">Certain prior year amounts have been reclassified to conform to the 2018 presentation. On the statements of operations, we reclassified interest cost, expected return on assets, amortization of prior service costs and settlements/curtailments, all associated with defined benefit pension plans, from general and administrative expenses to other non-operating expenses, net in accordance with new accounting rules. See </w:t>
      </w:r>
      <w:r>
        <w:rPr>
          <w:rFonts w:ascii="Arial" w:cs="Arial" w:eastAsia="Arial" w:hAnsi="Arial"/>
          <w:sz w:val="18"/>
          <w:szCs w:val="18"/>
          <w:i w:val="1"/>
          <w:iCs w:val="1"/>
          <w:color w:val="auto"/>
        </w:rPr>
        <w:t xml:space="preserve">Note 2 Accounting and Disclosure Changes </w:t>
      </w:r>
      <w:r>
        <w:rPr>
          <w:rFonts w:ascii="Arial" w:cs="Arial" w:eastAsia="Arial" w:hAnsi="Arial"/>
          <w:sz w:val="18"/>
          <w:szCs w:val="18"/>
          <w:color w:val="auto"/>
        </w:rPr>
        <w:t>for more information.</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and Disclosure Changes</w:t>
      </w:r>
    </w:p>
    <w:p>
      <w:pPr>
        <w:spacing w:after="0" w:line="24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February 2016, the Financial Accounting Standards Board (FASB) issued rules requiring lessees to recognize assets and liabilities on the balance sheet for the rights and obligations created by all leases with terms of more than 12 months and to include qualitative and quantitative disclosures with respect to the amount, timing, and uncertainty of cash flows arising from leases. In January 2018, the FASB issued an update to the lease standard providing an optional transition approach for land easements allowing entities to evaluate only new or modified land easements. In July 2018, the FASB provided optional transition relief allowing a prospective approach in applying the new rules by not adjusting comparative period financial information for the effects of the new rules and not requiring disclosures for periods before the effective date. These rules will be effective for us on January 1, 2019, which we expect to apply prospectively. We have identified our lease population and are currently implementing lease accounting software among other activities. We expect the adoption of these rules to increase both our assets and liabilities by the same amount, which could be significant.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In May 2014, the FASB issued rules on the recognition of revenue that created Topic 606 (ASC 606), which superseded existing revenue recognition requirements reported in accordance with U.S. generally accepted accounting principles (GAAP), and required an entity to recognize revenue when it transfers promised goods or services to customers in an amount that reflects the consideration the entity expects to receive in exchange for those goods or services. The new rules required certain sales-related costs to be reported as other expense as opposed to being netted against oil and gas sales or other revenue. We adopted ASC 606 on January 1, 2018 using the modified retrospective method with no adjustment to opening retained earnings. Results for reporting periods beginning after January 1, 2018 are presented under ASC 606, while prior period amounts are not adjusted and continue to be reported under the accounting standards in effect prior to adoption. See </w:t>
      </w:r>
      <w:r>
        <w:rPr>
          <w:rFonts w:ascii="Arial" w:cs="Arial" w:eastAsia="Arial" w:hAnsi="Arial"/>
          <w:sz w:val="18"/>
          <w:szCs w:val="18"/>
          <w:i w:val="1"/>
          <w:iCs w:val="1"/>
          <w:color w:val="auto"/>
        </w:rPr>
        <w:t>Note 12 Revenue Recognition</w:t>
      </w:r>
      <w:r>
        <w:rPr>
          <w:rFonts w:ascii="Arial" w:cs="Arial" w:eastAsia="Arial" w:hAnsi="Arial"/>
          <w:sz w:val="18"/>
          <w:szCs w:val="18"/>
          <w:color w:val="auto"/>
        </w:rPr>
        <w:t xml:space="preserve"> for more information.</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March 2017, the FASB issued rules requiring employers that sponsor defined benefit plans for pensions and postretirement benefits to present the service cost component of net periodic benefit cost in the same income statement line item as other employee compensation costs arising from services rendered during the period. Only the service cost component will be eligible for capitalization to assets. Employers are required to present the other components of the net periodic benefit cost separately from the line item that includes the service cost and outside of any subtotal of operating income. We adopted these rules in the first quarter of 2018 with no significant impact on our financial statements. The interest cost, expected return on assets, amortization of prior service costs and settlements/curtailments have been reclassified from general and administrative expense to other non-operating expenses. We elected to use the amounts disclosed for the various components of net periodic benefit cost in the pension and postretirement benefit plans footnote as the basis of the retrospective application.</w:t>
      </w:r>
    </w:p>
    <w:p>
      <w:pPr>
        <w:spacing w:after="0" w:line="20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2017, the FASB issued rules to simplify the guidance on the modification of share-based payment awards. The amendments provide clarity on which changes to the terms or conditions of a share-based payment award require an entity to apply modification accounting prospectively. We adopted these rules in the first quarter of 2018 with no impact on our financial statements.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Components of accumulated other comprehensive income (AOCI) are recorded net of related taxes determined using prevailing rates when the components are initially recorded. When the U.S. federal corporate tax rates changed in December 2017, a difference arose between tax amounts recorded to AOCI as compared to the expected tax amount using the newly enacted corporate tax rates. Our accounting policy is to remove such residual tax differences from AOCI when the related components are ultimately settled. In February 2018, the FASB issued rules that give entities the option to reclassify this residual difference from AOCI to retained earnings. We early adopted this accounting standard in the first quarter of 2018 without reclassifying this residual tax difference to retained earnings.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16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Cash at September 30, 2018 and December 31, 2017 included approximately $13 million and $5 million, respectively, which is restricted under one of our joint venture agreements.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assets, net as of September 30, 2018 and December 31, 2017 consisted of the following: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77"/>
        </w:trPr>
        <w:tc>
          <w:tcPr>
            <w:tcW w:w="7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Derivative assets from commodities contracts</w:t>
            </w:r>
          </w:p>
        </w:tc>
        <w:tc>
          <w:tcPr>
            <w:tcW w:w="220" w:type="dxa"/>
            <w:vAlign w:val="bottom"/>
          </w:tcPr>
          <w:p>
            <w:pPr>
              <w:spacing w:after="0"/>
              <w:rPr>
                <w:sz w:val="22"/>
                <w:szCs w:val="22"/>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Asset held for sale</w:t>
            </w:r>
          </w:p>
        </w:tc>
        <w:tc>
          <w:tcPr>
            <w:tcW w:w="2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Other current assets,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color w:val="auto"/>
        </w:rPr>
        <w:t xml:space="preserve">In the second quarter of 2018, we divested a non-core asset that was held for sale in the prior period. See </w:t>
      </w:r>
      <w:r>
        <w:rPr>
          <w:rFonts w:ascii="Arial" w:cs="Arial" w:eastAsia="Arial" w:hAnsi="Arial"/>
          <w:sz w:val="18"/>
          <w:szCs w:val="18"/>
          <w:i w:val="1"/>
          <w:iCs w:val="1"/>
          <w:color w:val="auto"/>
        </w:rPr>
        <w:t>Note 7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for more information.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Accrued liabilities as of September 30, 2018 and December 31, 2017 consisted of the following: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4"/>
          </w:tcPr>
          <w:p>
            <w:pPr>
              <w:jc w:val="right"/>
              <w:ind w:right="1350"/>
              <w:spacing w:after="0"/>
              <w:rPr>
                <w:sz w:val="20"/>
                <w:szCs w:val="20"/>
                <w:color w:val="auto"/>
              </w:rPr>
            </w:pPr>
            <w:r>
              <w:rPr>
                <w:rFonts w:ascii="Arial" w:cs="Arial" w:eastAsia="Arial" w:hAnsi="Arial"/>
                <w:sz w:val="14"/>
                <w:szCs w:val="14"/>
                <w:color w:val="auto"/>
              </w:rPr>
              <w:t>(in millions)</w:t>
            </w: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liabilities from commodities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220" w:type="dxa"/>
            <w:vAlign w:val="bottom"/>
          </w:tcPr>
          <w:p>
            <w:pPr>
              <w:spacing w:after="0"/>
              <w:rPr>
                <w:sz w:val="22"/>
                <w:szCs w:val="22"/>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2"/>
                <w:szCs w:val="22"/>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Other long-term liabilities included asset retirement obligations of $417 million and $403 million at September 30, 2018 and December 31,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We did not make U.S. federal and state income tax payments during the nine months ended September 30, 2018 and 2017. Interest paid, net of capitalized amounts, totaled approximately $278 million and $249 million for the nine months ended September 30, 2018 and 2017, respectively. Non-cash financing activities in 2018 included 2.85 million shares of common stock (valued at $51 million) issued in connection with the Elk Hills transaction. See </w:t>
      </w:r>
      <w:r>
        <w:rPr>
          <w:rFonts w:ascii="Arial" w:cs="Arial" w:eastAsia="Arial" w:hAnsi="Arial"/>
          <w:sz w:val="18"/>
          <w:szCs w:val="18"/>
          <w:i w:val="1"/>
          <w:iCs w:val="1"/>
          <w:color w:val="auto"/>
        </w:rPr>
        <w:t>Note 7 Acquisitions and Divestitures</w:t>
      </w:r>
      <w:r>
        <w:rPr>
          <w:rFonts w:ascii="Arial" w:cs="Arial" w:eastAsia="Arial" w:hAnsi="Arial"/>
          <w:sz w:val="18"/>
          <w:szCs w:val="18"/>
          <w:color w:val="auto"/>
        </w:rPr>
        <w:t xml:space="preserve"> for more on the Elk Hills transaction.</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September 30, 2018 and December 31, 2017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37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4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3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As of September 30, 2018 and December 31, 2017, our long-term debt consisted of the following credit agreements, second lien notes and senior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Outstanding Principal</w:t>
            </w:r>
          </w:p>
        </w:tc>
        <w:tc>
          <w:tcPr>
            <w:tcW w:w="100" w:type="dxa"/>
            <w:vAlign w:val="bottom"/>
          </w:tcPr>
          <w:p>
            <w:pPr>
              <w:spacing w:after="0"/>
              <w:rPr>
                <w:sz w:val="18"/>
                <w:szCs w:val="18"/>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3.25%-4.00%</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16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Priority Lien</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2,250</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16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5,108</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3810</wp:posOffset>
            </wp:positionV>
            <wp:extent cx="19723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Note: For a detailed description of our credit agreements, second lien notes and senior notes, please see our most recent Form 10-K for the year ended December 31, 2017.</w:t>
      </w:r>
    </w:p>
    <w:p>
      <w:pPr>
        <w:spacing w:after="0" w:line="1" w:lineRule="exact"/>
        <w:rPr>
          <w:sz w:val="20"/>
          <w:szCs w:val="20"/>
          <w:color w:val="auto"/>
        </w:rPr>
      </w:pPr>
    </w:p>
    <w:p>
      <w:pPr>
        <w:ind w:left="660" w:right="24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$335 million in June 2021, $67 million in December 2021 and $70 million in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As of September 30, 2018, net deferred gain and issuance costs were $253 million, consisting of $357 million of a deferred gain offset by $104 million of deferred issuance costs and original issue discounts. The December 31, 2017 net deferred gain and issuance costs were $287 million, consisting of $415 million of a deferred gain offset by $128 million of deferred issuance costs and original issue discounts.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of September 30, 2018, we had approximately $490 million of available borrowing capacity, subject to a $150 million month-end minimum liquidity requirement. The borrowing base under this facility was reaffirmed at $2.3 billion in October 2018. Our 2014 Revolving Credit Facility also includes a sub-limit of $400 million for the issuance of letters of credit. As of September 30, 2018 and December 31, 2017, we had letters of credit outstanding of approximately $167 million and $148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third quarter of 2018, we repurchased $31 million in aggregate principal amount of our 8% senior secured second lien notes due December 15, 2022 (Second Lien Notes) and $1 million of our 6% senior notes due November 15, 2024 (2024 Notes) for $30 million, resulting in a $2 million pre-tax gain, net of a reduction in deferred issuance costs. In the nine months ended September 30, 2018, we repurchased $128 million and $49 million in aggregate principal amount of our Second Lien Notes and our 2024 Notes, respectively, for $149 million in cash resulting in a pre-tax gain of $26 million, net of a reduction in deferred issuance costs.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estimate the fair value of fixed-rate debt, which is classified as Level 1, based on prices from known market transactions for our instruments. The estimated fair value of our debt at September 30, 2018 and December 31, 2017, including the fair value of variable-rate debt, was approximately $5.0 billion and $4.8 billion, respectively, compared to a carrying value of approximately $5.1 billion and $5.3 billion,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On August 20, 2018, we entered into an amendment to the 2014 Credit Agreement. The 2014 Credit Agreement was amended to, among other things:</w:t>
      </w:r>
    </w:p>
    <w:p>
      <w:pPr>
        <w:spacing w:after="0" w:line="196" w:lineRule="exact"/>
        <w:rPr>
          <w:sz w:val="20"/>
          <w:szCs w:val="20"/>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 us to draw on our revolver to repurchase our Second Lien Notes and Senior Notes at a discount to par in an amount up to $300 million;</w:t>
      </w: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 us to draw on our revolver to repurchase our Second Lien Notes and Senior Notes at a discount to par, without regard to time limit, in an amount not to exceed a specified portion of proceeds from future dispositions of certain assets;</w:t>
      </w:r>
    </w:p>
    <w:p>
      <w:pPr>
        <w:ind w:left="660" w:right="3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any repurchase of certain of our indebtedness, increase the minimum liquidity required to make such repurchase (calculated on a pro forma basis after giving effect to the repurchase) from $250 million to $300 million; and</w:t>
      </w:r>
    </w:p>
    <w:p>
      <w:pPr>
        <w:ind w:left="660" w:right="20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our ability to refinance our outstanding term loans under our 2017 Credit Agreement and 2016 Credit Agreement, Second Lien Notes and Senior Notes, in each case by allowing the use of permitted refinancing indebtedness for such refinancing so long as certain conditions are met.</w:t>
      </w:r>
    </w:p>
    <w:p>
      <w:pPr>
        <w:spacing w:after="0" w:line="1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September 18, 2018, we entered into an amendment to the 2017 Credit Agreement. The 2017 Credit Agreement was amended to, among other things:</w:t>
      </w:r>
    </w:p>
    <w:p>
      <w:pPr>
        <w:spacing w:after="0" w:line="184" w:lineRule="exact"/>
        <w:rPr>
          <w:sz w:val="20"/>
          <w:szCs w:val="20"/>
          <w:color w:val="auto"/>
        </w:rPr>
      </w:pPr>
    </w:p>
    <w:p>
      <w:pPr>
        <w:ind w:left="660" w:right="120" w:hanging="247"/>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us to repurchase our Second Lien Notes and Senior Notes at a discount to par, without regard to time limit, in an amount not to exceed a specified portion of proceeds from dispositions of certain assets; and</w:t>
      </w:r>
    </w:p>
    <w:p>
      <w:pPr>
        <w:ind w:left="660" w:right="620" w:hanging="247"/>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our ability to refinance our outstanding Second Lien Notes, Senior Notes and 2016 Credit Agreement, in each case by allowing the use of permitted refinancing indebtedness for such refinancing so long as certain conditions are met.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we were in compliance with all financial and other debt covenants.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September 30, 2018 would result in a $3 million change in annual interest expense.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76" w:right="25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by joint venture partners (described in greater detail below), reported in equity and mezzanine equity on the condensed consolidated balance sheets, for the nine months ended September 30, 2018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Equity Attributable</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to Noncontrolling</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52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8"/>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71</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41"/>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September 30, 2018</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745</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Management L.P. (Ares)</w:t>
      </w:r>
    </w:p>
    <w:p>
      <w:pPr>
        <w:spacing w:after="0" w:line="24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for transaction costs.</w:t>
      </w:r>
    </w:p>
    <w:p>
      <w:pPr>
        <w:spacing w:after="0" w:line="20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condensed consolidated balance sheets.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condensed consolidated balance sheets. Monthly, the Ares JV is also required to distribute its excess cash flow over its working capital requirements to the Class C common interests, on a pro-rata basis.</w:t>
      </w:r>
    </w:p>
    <w:p>
      <w:pPr>
        <w:spacing w:after="0" w:line="20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cause a redemption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condensed consolidated statements of operations reflect the full operations of our Ares JV, with ECR's share of net income reported in net income attributable to noncontrolling interests.</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Additionally, in the first quarter of 2018, an Ares-led investor group purchased approximately 2.3 million shares of our common stock in a private placement for an aggregate purchase price of $50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Benefit Street Partners (BSP)</w:t>
      </w:r>
    </w:p>
    <w:p>
      <w:pPr>
        <w:spacing w:after="0" w:line="24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February 2017, we entered into a joint venture with BSP (BSP JV) where BSP will contribute up to $250 million, subject to agreement of the parties, in exchange for a preferred interest in the BSP JV. BSP is entitled to preferential distributions and, if BSP receives cash distributions equal to a predetermined threshold, the preferred interest is automatically redeemed in full with no additional payment. BSP funded $ 150 million in three equal tranches, before transaction costs, in March 2017, July 2017 and June 2018. The funds contributed by BSP are used to develop certain of our oil and gas properties.</w:t>
      </w:r>
    </w:p>
    <w:p>
      <w:pPr>
        <w:spacing w:after="0" w:line="20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pay for development costs within the project area, upon mutual agreement between members, and (3) make distributions to BSP until the predetermined threshold is achieved.</w:t>
      </w:r>
    </w:p>
    <w:p>
      <w:pPr>
        <w:spacing w:after="0" w:line="20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BSP JV, with BSP's share of net income being reported in net income attributable to noncontrolling interests on our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Macquarie Infrastructure and Real Assets Inc. (MIRA)</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include our working interest share in a joint venture we entered into with Macquarie Infrastructure and Real Assets Inc. (MIRA) in April 2017. Subject to the agreement of the parties, MIRA will invest up to $300 million to develop certain of our oil and gas properties in exchange for a 90% working interest in the related properties. MIRA will fund 100% of the development cost of such properties. Our 10% working interest increases to 75% if MIRA receives cash distributions equal to a predetermined threshold return. MIRA initially committed $ 160 million. In June 2018, the parties amended the initial joint development program to $140 million. The agreement provides for a commitment of up to 110% of the program amount. MIRA invested $58 million in 2017 and $46 million in the nine months ended September 30, 2018. MIRA expects to contribute $11 million for drilling projects in the fourth quarter of 2018 and the balance of the committed amount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Events</w:t>
      </w:r>
    </w:p>
    <w:p>
      <w:pPr>
        <w:spacing w:after="0" w:line="24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 October 2018, we entered into three joint ventures where our partners carry a portion of our costs. The JV partners have committed capital of approximately $35 million and could provide additional capital if certain milestones are met. We have committed $13 million over a three-year period in connection with these joint ventures.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On April 9, 2018, we acquired the remaining working, surface and mineral interests in the 47,000-acre Elk Hills unit from Chevron U.S.A., Inc. (Chevron) (the Elk Hills transaction) for approximately $518 million, including $7 million of liabilities assumed relating to asset retirement obligations and favorable customary purchase price adjustments of $2 million. We accounted for the Elk Hills transaction as a business combination. After the transaction, we hold all of the working, surface and mineral interests in the Elk Hills unit. The effective date of the transaction was April 1, 2018.</w:t>
      </w:r>
    </w:p>
    <w:p>
      <w:pPr>
        <w:spacing w:after="0" w:line="206"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September 30, 2018, the remaining commitment was approximately $18 million. Any deficiency in meeting this capital investment obligation will be paid in cash. We expect to fulfill the capital investment requirement within the extended period. In addition, the parties mutually agreed to release each other from pending claims with respect to the Elk Hills unit.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ind w:right="300" w:firstLine="324"/>
        <w:spacing w:after="0" w:line="262" w:lineRule="auto"/>
        <w:rPr>
          <w:sz w:val="20"/>
          <w:szCs w:val="20"/>
          <w:color w:val="auto"/>
        </w:rPr>
      </w:pPr>
      <w:r>
        <w:rPr>
          <w:rFonts w:ascii="Arial" w:cs="Arial" w:eastAsia="Arial" w:hAnsi="Arial"/>
          <w:sz w:val="18"/>
          <w:szCs w:val="18"/>
          <w:color w:val="auto"/>
        </w:rPr>
        <w:t>The following table summarizes the total consideration, including customary closing adjustments, and the allocation of the consideration based on the fair value of the assets acquired as of the acquisition date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3"/>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50"/>
        </w:trPr>
        <w:tc>
          <w:tcPr>
            <w:tcW w:w="8780" w:type="dxa"/>
            <w:vAlign w:val="bottom"/>
          </w:tcPr>
          <w:p>
            <w:pPr>
              <w:ind w:left="180"/>
              <w:spacing w:after="0"/>
              <w:rPr>
                <w:sz w:val="20"/>
                <w:szCs w:val="20"/>
                <w:color w:val="auto"/>
              </w:rPr>
            </w:pPr>
            <w:r>
              <w:rPr>
                <w:rFonts w:ascii="Arial" w:cs="Arial" w:eastAsia="Arial" w:hAnsi="Arial"/>
                <w:sz w:val="18"/>
                <w:szCs w:val="18"/>
                <w:color w:val="auto"/>
              </w:rPr>
              <w:t>Purchase price adjustments</w:t>
            </w:r>
          </w:p>
        </w:tc>
        <w:tc>
          <w:tcPr>
            <w:tcW w:w="1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(2.85 million shares)</w:t>
            </w:r>
          </w:p>
        </w:tc>
        <w:tc>
          <w:tcPr>
            <w:tcW w:w="1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50"/>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assumed</w:t>
            </w:r>
          </w:p>
        </w:tc>
        <w:tc>
          <w:tcPr>
            <w:tcW w:w="1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0"/>
        </w:trPr>
        <w:tc>
          <w:tcPr>
            <w:tcW w:w="8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1"/>
        </w:trPr>
        <w:tc>
          <w:tcPr>
            <w:tcW w:w="8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assets acquired:</w:t>
            </w:r>
          </w:p>
        </w:tc>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0"/>
        </w:trPr>
        <w:tc>
          <w:tcPr>
            <w:tcW w:w="878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1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63"/>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property and equipment</w:t>
            </w:r>
          </w:p>
        </w:tc>
        <w:tc>
          <w:tcPr>
            <w:tcW w:w="1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50"/>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Materials and supplies</w:t>
            </w:r>
          </w:p>
        </w:tc>
        <w:tc>
          <w:tcPr>
            <w:tcW w:w="1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0"/>
        </w:trPr>
        <w:tc>
          <w:tcPr>
            <w:tcW w:w="8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results of operations for the Elk Hills transaction were included in our condensed consolidated financial statements subsequent to the closing date.</w:t>
      </w:r>
    </w:p>
    <w:p>
      <w:pPr>
        <w:spacing w:after="0" w:line="19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April 2, 2018, we acquired an office building in Bakersfield, California for $48.4 million, which we believe is significantly less than the estimated replacement value of the property and the land. We currently have approximately 500 employees using eight different locations in Bakersfield across multiple leases. We expect that the new building will create significant value by bringing our Bakersfield employees together into a single location over the next 12 to 15 months, which will increase the efficiency, effectiveness and collaboration of these employees. This building was the only available office space in the Bakersfield area large enough to allow us to consolidate our workforce into a single location.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vacated space will be available to lease to other tenants to generate additional income. In addition, the unimproved land may be monetized in the future. Approximately $6 million of the purchase price was allocated to the in-place leases, which is included in other assets and is being amortized into other expenses,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2018, we divested non-core assets resulting in $17 million of proceeds and a $4 million 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2017, we divested non-core assets resulting in $33 million of proceeds and a $21 million gain.</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2018 and December 31, 2017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8" w:right="239" w:bottom="1440" w:gutter="0" w:footer="0" w:header="0"/>
        </w:sectPr>
      </w:pPr>
    </w:p>
    <w:bookmarkStart w:id="15" w:name="page16"/>
    <w:bookmarkEnd w:id="15"/>
    <w:p>
      <w:pPr>
        <w:ind w:right="20" w:firstLine="324"/>
        <w:spacing w:after="0" w:line="253" w:lineRule="auto"/>
        <w:rPr>
          <w:sz w:val="20"/>
          <w:szCs w:val="20"/>
          <w:color w:val="auto"/>
        </w:rPr>
      </w:pPr>
      <w:r>
        <w:rPr>
          <w:rFonts w:ascii="Arial" w:cs="Arial" w:eastAsia="Arial" w:hAnsi="Arial"/>
          <w:sz w:val="18"/>
          <w:szCs w:val="18"/>
          <w:color w:val="auto"/>
        </w:rPr>
        <w:t>We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September 30, 2018, we are not aware of material indemnity claims pending or threatened against the company.</w:t>
      </w:r>
    </w:p>
    <w:p>
      <w:pPr>
        <w:spacing w:after="0" w:line="20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October 2018, we settled the examination by the Internal Revenue Service (IRS) of our U.S. federal income tax returns for the post-Spin-off period in 2014 and calendar year 2015. There were no changes to our tax filings as a result of the examination. We remain subject to examination by the IRS for calendar years 2016 and 2017 as well as for all periods subsequent to the Spin-off by the state of California.</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These derivatives are intended to help us maintain adequate liquidity and improve our ability to comply with the covenants of our Credit Facilities in case of price deterioration. We will continue to be strategic and opportunistic in implementing our hedging program as market conditions permit. Derivatives are carried at fair value and on a net basis when a legal right of offset exists with the same counterparty.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9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September 30, 2018, we did not have any derivatives designated as hedges. Unless otherwise indicated, we use the term "hedge" to describe derivative instruments that are designed to achieve our hedging program goals, even though they are not necessarily accounted for as cash-flow or fair-value hedges. As part of our hedging program, we entered into a number of derivative transactions that resulted in the following Brent-based crude oil contracts as of September 30, 2018:</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Q4</w:t>
            </w:r>
          </w:p>
        </w:tc>
        <w:tc>
          <w:tcPr>
            <w:tcW w:w="2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Q1</w:t>
            </w:r>
          </w:p>
        </w:tc>
        <w:tc>
          <w:tcPr>
            <w:tcW w:w="28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Q2</w:t>
            </w:r>
          </w:p>
        </w:tc>
        <w:tc>
          <w:tcPr>
            <w:tcW w:w="2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Q3</w:t>
            </w:r>
          </w:p>
        </w:tc>
        <w:tc>
          <w:tcPr>
            <w:tcW w:w="280" w:type="dxa"/>
            <w:vAlign w:val="bottom"/>
          </w:tcPr>
          <w:p>
            <w:pPr>
              <w:spacing w:after="0"/>
              <w:rPr>
                <w:sz w:val="16"/>
                <w:szCs w:val="16"/>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Q4</w:t>
            </w:r>
          </w:p>
        </w:tc>
      </w:tr>
      <w:tr>
        <w:trPr>
          <w:trHeight w:val="228"/>
        </w:trPr>
        <w:tc>
          <w:tcPr>
            <w:tcW w:w="4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Sold Calls: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46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3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Calls: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46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3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Puts: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46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30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80"/>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84"/>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Sold Puts: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46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3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80"/>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84"/>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Swaps: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6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Note: Additional hedges for 2019 and 2020 were put in place after September 30, 2018 that are not included in the table above.</w:t>
      </w:r>
    </w:p>
    <w:p>
      <w:pPr>
        <w:spacing w:after="0" w:line="1" w:lineRule="exact"/>
        <w:rPr>
          <w:sz w:val="20"/>
          <w:szCs w:val="20"/>
          <w:color w:val="auto"/>
        </w:rPr>
      </w:pPr>
    </w:p>
    <w:p>
      <w:pPr>
        <w:ind w:left="660" w:right="200" w:hanging="328"/>
        <w:spacing w:after="0" w:line="25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BSP JV entered into crude oil derivatives that are included in our consolidated results but not in the above table. The hedges entered into by the BSP JV could affect the timing of the redemption of the JV interest. The BSP JV sold calls for up to approximately 1,000 barrels per day at a weighted-average price per barrel of $60.00 per barrel for 2018 through 2020. The BSP JV purchased puts for up to approximately 2,000 barrels per day at a weighted-average price per barrel of approximately $50.00 for 2018 through 2021. This joint venture also entered into natural gas swaps for insignificant volumes for periods through May 2021.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instruments are as follows: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Purchased calls – we receive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2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From time to time, we may use combinations of these and other derivative instruments to increase the efficacy of our commodity hedging program.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6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 fair value changes on derivative instruments in each reporting period. The changes in fair value result from new positions and settlements that occurred during the period, as well as the relationship between contract prices or interest rates and the associated forward curves.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September 30,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2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20" w:type="dxa"/>
            <w:vAlign w:val="bottom"/>
            <w:tcBorders>
              <w:top w:val="single" w:sz="8" w:color="auto"/>
            </w:tcBorders>
          </w:tcPr>
          <w:p>
            <w:pPr>
              <w:spacing w:after="0"/>
              <w:rPr>
                <w:sz w:val="22"/>
                <w:szCs w:val="22"/>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63"/>
        </w:trPr>
        <w:tc>
          <w:tcPr>
            <w:tcW w:w="20" w:type="dxa"/>
            <w:vAlign w:val="bottom"/>
          </w:tcPr>
          <w:p>
            <w:pPr>
              <w:spacing w:after="0"/>
              <w:rPr>
                <w:sz w:val="22"/>
                <w:szCs w:val="22"/>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04"/>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64"/>
        </w:trPr>
        <w:tc>
          <w:tcPr>
            <w:tcW w:w="20" w:type="dxa"/>
            <w:vAlign w:val="bottom"/>
            <w:tcBorders>
              <w:bottom w:val="single" w:sz="8" w:color="CCEEFF"/>
            </w:tcBorders>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20" w:type="dxa"/>
            <w:vAlign w:val="bottom"/>
            <w:shd w:val="clear" w:color="auto" w:fill="CCEEFF"/>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2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20" w:type="dxa"/>
            <w:vAlign w:val="bottom"/>
          </w:tcPr>
          <w:p>
            <w:pPr>
              <w:spacing w:after="0"/>
              <w:rPr>
                <w:sz w:val="22"/>
                <w:szCs w:val="22"/>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63"/>
        </w:trPr>
        <w:tc>
          <w:tcPr>
            <w:tcW w:w="20" w:type="dxa"/>
            <w:vAlign w:val="bottom"/>
          </w:tcPr>
          <w:p>
            <w:pPr>
              <w:spacing w:after="0"/>
              <w:rPr>
                <w:sz w:val="22"/>
                <w:szCs w:val="22"/>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90"/>
        </w:trPr>
        <w:tc>
          <w:tcPr>
            <w:tcW w:w="20" w:type="dxa"/>
            <w:vAlign w:val="bottom"/>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4"/>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20" w:type="dxa"/>
            <w:vAlign w:val="bottom"/>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As of September 30, 2018, we reported the fair value of our interest rate derivatives of $9 million in other assets on our condensed consolidated balance sheets. For the three months ended September 30, 2018, we reported a $1 million gain on these contracts in other non-operating expense on our condensed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nine months ended September 30, 2018 and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color w:val="auto"/>
              </w:rPr>
              <w:t>(in millions, except per-share amounts)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64"/>
        </w:trPr>
        <w:tc>
          <w:tcPr>
            <w:tcW w:w="602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64"/>
        </w:trPr>
        <w:tc>
          <w:tcPr>
            <w:tcW w:w="602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80"/>
              <w:spacing w:after="0"/>
              <w:rPr>
                <w:sz w:val="20"/>
                <w:szCs w:val="20"/>
                <w:color w:val="auto"/>
              </w:rPr>
            </w:pPr>
            <w:r>
              <w:rPr>
                <w:rFonts w:ascii="Arial" w:cs="Arial" w:eastAsia="Arial" w:hAnsi="Arial"/>
                <w:sz w:val="18"/>
                <w:szCs w:val="18"/>
                <w:color w:val="auto"/>
              </w:rPr>
              <w:t>Weighted-average anti-dilutive shares</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ind w:right="40" w:firstLine="8"/>
        <w:spacing w:after="0" w:line="258" w:lineRule="auto"/>
        <w:tabs>
          <w:tab w:leader="none" w:pos="2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Anti-dilutive shares represent potentially dilutive securities that are excluded from the computation of diluted EPS. In periods of income, anti-dilutive shares primarily include the effect of out-of-the-money stock options. In periods of loss, anti-dilutive shares include stock options and unvested awards.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19" w:name="page20"/>
    <w:bookmarkEnd w:id="19"/>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Pension</w:t>
            </w: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9"/>
              </w:rPr>
              <w:t>Benefit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Nine months ended September 30,</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Pension</w:t>
            </w: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9"/>
              </w:rPr>
              <w:t>Benefit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We contributed $6 million and $1, respectively, to our defined benefit pension plans in the three months ended September 30, 2018 and 2017. We contributed $ 8 million and $6 million, respectively, to our defined benefit pension plans in the nine months ended September 30, 2018 and 2017. We do not expect to make any additional contributions to our defined benefit plans during the remainder of 2018. The 2018 and 2017 settlement losses were associated with early retirements.</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account for revenue in accordance with ASC 606, Revenue from Contracts with Customers, which we adopted on January 1, 2018, using the modified retrospective method, which was applied to all contracts that were not completed as of that date. Prior period results were not adjusted and continue to be reported under the accounting standards in effect for the prior period. The new standard did not affect the timing of our revenue recognition and did not impact net income; accordingly, we did not record an adjustment to the opening balance of retained earnings.</w:t>
      </w:r>
    </w:p>
    <w:p>
      <w:pPr>
        <w:spacing w:after="0" w:line="206"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sales of electricity and marketing activities related to storage and managing excess pipeline capacity.</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In certain instances, transportation and processing fees are incurred by us prior to control being transferred to customers. These costs were previously offset against oil and gas sales. Upon adoption of ASC 606, we are recording these costs as a component of other expenses, net on our condensed consolidated statements of operations.</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that we have a right to invoice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a power purchase and sales agreement, which includes a capacity payment. Revenue is recognized when obligations under the terms of a contract with our customer are satisfied; generally, this occurs upon delivery of the electricity. We report electricity sales as other revenue on our condensed consolidated statements of operations. Revenue is measured as the amount of consideration we expect to receive based on average index pricing with payment due the month following delivery. Capacity payments are based on a fixed annual amount per kilowatt hour and monthly rates vary based on seasonality, which is consistent with how we earn the capacity payment. Capacity payments are settled monthly. We consider our performance obligations to be satisfied upon delivery of electricity or as the contracted amount of energy is made available to the customer in the case of capacity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Marketing, trading and other revenue primarily includes our activities associated with storing, transporting and marketing our production as well as third-party volumes.</w:t>
      </w:r>
    </w:p>
    <w:p>
      <w:pPr>
        <w:spacing w:after="0" w:line="19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Depending on market conditions, we may have excess capacity, in which case we may enter into natural gas purchase and sale agreements with third parties. We consider our performance obligations to be satisfied upon transfer of control of the commodity. We have not incurred any significant fees or penalties related to excess capacity on these commitments.</w:t>
      </w:r>
    </w:p>
    <w:p>
      <w:pPr>
        <w:spacing w:after="0" w:line="204"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We report our marketing and trading activities on a gross basis with purchases and costs reported in other expenses, net and sales recorded in other revenue on our condensed consolidated statements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7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three and nine months ended September 30, 2018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September 30, 2018</w:t>
            </w:r>
          </w:p>
        </w:tc>
        <w:tc>
          <w:tcPr>
            <w:tcW w:w="240" w:type="dxa"/>
            <w:vAlign w:val="bottom"/>
          </w:tcPr>
          <w:p>
            <w:pPr>
              <w:spacing w:after="0"/>
              <w:rPr>
                <w:sz w:val="21"/>
                <w:szCs w:val="21"/>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 2018</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220" w:type="dxa"/>
            <w:vAlign w:val="bottom"/>
            <w:tcBorders>
              <w:top w:val="single" w:sz="8" w:color="auto"/>
            </w:tcBorders>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NGLs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50"/>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1,932</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64"/>
        </w:trPr>
        <w:tc>
          <w:tcPr>
            <w:tcW w:w="65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2"/>
                <w:szCs w:val="22"/>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5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2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 from commodity contracts</w:t>
            </w: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57"/>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adoption of ASC 606 on our condensed consolidated statements of operations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was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center"/>
              <w:ind w:left="611"/>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6"/>
          </w:tcPr>
          <w:p>
            <w:pPr>
              <w:jc w:val="center"/>
              <w:ind w:left="651"/>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center"/>
              <w:ind w:left="611"/>
              <w:spacing w:after="0"/>
              <w:rPr>
                <w:sz w:val="20"/>
                <w:szCs w:val="20"/>
                <w:color w:val="auto"/>
              </w:rPr>
            </w:pPr>
            <w:r>
              <w:rPr>
                <w:rFonts w:ascii="Arial" w:cs="Arial" w:eastAsia="Arial" w:hAnsi="Arial"/>
                <w:sz w:val="16"/>
                <w:szCs w:val="16"/>
                <w:b w:val="1"/>
                <w:bCs w:val="1"/>
                <w:color w:val="auto"/>
              </w:rPr>
              <w:t>September 30, 2018</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rPr>
              <w:t>September 30, 2018</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Previous</w:t>
            </w:r>
          </w:p>
        </w:tc>
        <w:tc>
          <w:tcPr>
            <w:tcW w:w="200" w:type="dxa"/>
            <w:vAlign w:val="bottom"/>
          </w:tcPr>
          <w:p>
            <w:pPr>
              <w:spacing w:after="0"/>
              <w:rPr>
                <w:sz w:val="17"/>
                <w:szCs w:val="17"/>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Previous</w:t>
            </w:r>
          </w:p>
        </w:tc>
        <w:tc>
          <w:tcPr>
            <w:tcW w:w="180" w:type="dxa"/>
            <w:vAlign w:val="bottom"/>
          </w:tcPr>
          <w:p>
            <w:pPr>
              <w:spacing w:after="0"/>
              <w:rPr>
                <w:sz w:val="17"/>
                <w:szCs w:val="17"/>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20"/>
        </w:trPr>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ASC 606</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GAAP</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ASC 606</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GAAP</w:t>
            </w: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REVENUES AND OTHER</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Oil and gas sales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Net derivative loss from commodity contracts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revenues and other</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84"/>
        </w:trPr>
        <w:tc>
          <w:tcPr>
            <w:tcW w:w="4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COSTS AND OTHER</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Production costs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Taxes other than on income</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expenses, net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costs and other</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NON-OPERATING (LOSS) INCOME</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debt expense, net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Net gain on early extinguishment of debt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asset divestitures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non-operating expenses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NET INCOME (LOSS) ATTRIBUTABLE TO COMMON STOCK </w:t>
            </w: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76" w:right="239" w:bottom="1440" w:gutter="0" w:footer="0" w:header="0"/>
          <w:type w:val="continuous"/>
        </w:sectPr>
      </w:pPr>
    </w:p>
    <w:bookmarkStart w:id="22" w:name="page23"/>
    <w:bookmarkEnd w:id="22"/>
    <w:p>
      <w:pPr>
        <w:ind w:firstLine="324"/>
        <w:spacing w:after="0" w:line="262" w:lineRule="auto"/>
        <w:rPr>
          <w:sz w:val="20"/>
          <w:szCs w:val="20"/>
          <w:color w:val="auto"/>
        </w:rPr>
      </w:pPr>
      <w:r>
        <w:rPr>
          <w:rFonts w:ascii="Arial" w:cs="Arial" w:eastAsia="Arial" w:hAnsi="Arial"/>
          <w:sz w:val="18"/>
          <w:szCs w:val="18"/>
          <w:color w:val="auto"/>
        </w:rPr>
        <w:t>The adoption of ASC 606 did not have an impact on our condensed consolidated balance sheets as of September 30, 2018 and December 31, 2017.</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166"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For the three and nine months ended September 30, 2018 and 2017,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are able to actually achieve.</w:t>
      </w:r>
    </w:p>
    <w:p>
      <w:pPr>
        <w:spacing w:after="0" w:line="206"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color w:val="auto"/>
        </w:rPr>
        <w:t>The Tax Cuts and Jobs Act was signed into law on December 22, 2017 and included significant changes to corporate tax provisions such as a reduction in the corporate tax rate, limitations on certain corporate deductions and favorable capital recovery provisions. The California Franchise Tax Board released its summary of Federal Income Tax Changes for 2017 on April 19, 2018, which identified how these U.S. federal changes interact with California law. California law was not conformed to the corporate provisions that are the most significant to our business.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September 30, 2018 and December 31, 2017 and the condensed consolidating statements of operations and statements of cash flows for the three and nine months ended September 30, 2018 and 2017, as applicable, reflect the condensed consolidating financial information of our parent company, CRC (Parent), our combined Guarantor Subsidiaries, our combined Non-Guarantor Subsidiaries and the elimination entries necessary to arrive at the information for CRC on a consolidated basis.</w:t>
      </w:r>
    </w:p>
    <w:p>
      <w:pPr>
        <w:spacing w:after="0" w:line="206"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98"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80" w:type="dxa"/>
            <w:vAlign w:val="bottom"/>
            <w:gridSpan w:val="11"/>
          </w:tcPr>
          <w:p>
            <w:pPr>
              <w:jc w:val="right"/>
              <w:spacing w:after="0"/>
              <w:rPr>
                <w:sz w:val="20"/>
                <w:szCs w:val="20"/>
                <w:color w:val="auto"/>
              </w:rPr>
            </w:pPr>
            <w:r>
              <w:rPr>
                <w:rFonts w:ascii="Arial" w:cs="Arial" w:eastAsia="Arial" w:hAnsi="Arial"/>
                <w:sz w:val="16"/>
                <w:szCs w:val="16"/>
                <w:b w:val="1"/>
                <w:bCs w:val="1"/>
                <w:color w:val="auto"/>
              </w:rPr>
              <w:t>Condensed Consolidating Balance Sheets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Combined</w:t>
            </w:r>
          </w:p>
        </w:tc>
        <w:tc>
          <w:tcPr>
            <w:tcW w:w="1460" w:type="dxa"/>
            <w:vAlign w:val="bottom"/>
            <w:gridSpan w:val="4"/>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2018</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ind w:lef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6,386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consolidated subsidiaries</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5,905</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gain and issuance costs, net</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to (from) affiliates</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10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5,905</w:t>
            </w:r>
          </w:p>
        </w:tc>
        <w:tc>
          <w:tcPr>
            <w:tcW w:w="20" w:type="dxa"/>
            <w:vAlign w:val="bottom"/>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2017</w:t>
            </w: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5,696</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consolidated subsidiaries</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5,306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5,306</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gain and issuance costs, net</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to (from) affiliates</w:t>
            </w: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0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5,142</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5"/>
        </w:trPr>
        <w:tc>
          <w:tcPr>
            <w:tcW w:w="8680" w:type="dxa"/>
            <w:vAlign w:val="bottom"/>
            <w:gridSpan w:val="10"/>
          </w:tcPr>
          <w:p>
            <w:pPr>
              <w:ind w:left="3680"/>
              <w:spacing w:after="0"/>
              <w:rPr>
                <w:sz w:val="20"/>
                <w:szCs w:val="20"/>
                <w:color w:val="auto"/>
              </w:rPr>
            </w:pPr>
            <w:r>
              <w:rPr>
                <w:rFonts w:ascii="Arial" w:cs="Arial" w:eastAsia="Arial" w:hAnsi="Arial"/>
                <w:sz w:val="16"/>
                <w:szCs w:val="16"/>
                <w:b w:val="1"/>
                <w:bCs w:val="1"/>
                <w:color w:val="auto"/>
              </w:rPr>
              <w:t>Condensed Consolidating Statements of Operations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September 30, 2018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INCOME (LOSS) ATTRIBUTABLE TO COMMON</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September 30, 2017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8680" w:type="dxa"/>
            <w:vAlign w:val="bottom"/>
            <w:gridSpan w:val="10"/>
          </w:tcPr>
          <w:p>
            <w:pPr>
              <w:ind w:left="3680"/>
              <w:spacing w:after="0"/>
              <w:rPr>
                <w:sz w:val="20"/>
                <w:szCs w:val="20"/>
                <w:color w:val="auto"/>
              </w:rPr>
            </w:pPr>
            <w:r>
              <w:rPr>
                <w:rFonts w:ascii="Arial" w:cs="Arial" w:eastAsia="Arial" w:hAnsi="Arial"/>
                <w:sz w:val="16"/>
                <w:szCs w:val="16"/>
                <w:b w:val="1"/>
                <w:bCs w:val="1"/>
                <w:color w:val="auto"/>
              </w:rPr>
              <w:t>Condensed Consolidating Statements of Operations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2018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INCOME (LOSS) ATTRIBUTABLE TO COMMON</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nine months ended September 30, 2017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8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8"/>
        </w:trPr>
        <w:tc>
          <w:tcPr>
            <w:tcW w:w="456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743"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5000" w:type="dxa"/>
            <w:vAlign w:val="bottom"/>
            <w:gridSpan w:val="10"/>
          </w:tcPr>
          <w:p>
            <w:pPr>
              <w:spacing w:after="0"/>
              <w:rPr>
                <w:sz w:val="20"/>
                <w:szCs w:val="20"/>
                <w:color w:val="auto"/>
              </w:rPr>
            </w:pPr>
            <w:r>
              <w:rPr>
                <w:rFonts w:ascii="Arial" w:cs="Arial" w:eastAsia="Arial" w:hAnsi="Arial"/>
                <w:sz w:val="16"/>
                <w:szCs w:val="16"/>
                <w:b w:val="1"/>
                <w:bCs w:val="1"/>
                <w:color w:val="auto"/>
              </w:rPr>
              <w:t>Condensed Consolidating Statements of Cash Flows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rPr>
              <w:t>Combined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2018</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operating activities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60"/>
        </w:trPr>
        <w:tc>
          <w:tcPr>
            <w:tcW w:w="3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8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8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40"/>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Increase in cash</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8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1"/>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Cash—end of period</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nine months ended September 30, 2017</w:t>
            </w: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operating activities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60"/>
        </w:trPr>
        <w:tc>
          <w:tcPr>
            <w:tcW w:w="3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8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8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0"/>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Increase (decrease) in cash</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8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Cash—end of period</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743"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Global oil prices were higher in the third quarter and the first nine months of 2018 compared to the same periods of 2017. Further, the spread between Brent and WTI widened reflecting rising domestic shale production in the mid-continent and pipeline constraints in these areas. Prices for natural gas liquids (NGLs) have improved between comparative periods due to tighter local supplies and higher contract prices across the NGL spectrum. Natural gas prices in the U.S. were lower in the third quarter and the first nine months of 2018 than the comparable periods of 2017 due to higher natural gas production, which has outpaced demand.</w:t>
      </w:r>
    </w:p>
    <w:p>
      <w:pPr>
        <w:spacing w:after="0" w:line="206"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The following table presents the average daily Brent, WTI and NYMEX prices for the three and nine months ended September 30,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52.59</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49.47</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bl>
    <w:p>
      <w:pPr>
        <w:spacing w:after="0" w:line="21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74% of the oil consumed in the first half of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 Additionally, our differentials improved against Brent during 2017 and continuing into the third quarter of 2018 in response to strong demand for California crude oil to optimize local refinery yields as well as a decline in overall California crude oil production.</w:t>
      </w:r>
    </w:p>
    <w:p>
      <w:pPr>
        <w:spacing w:after="0" w:line="206"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Prices and differentials for NGLs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2"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such as storage capacity, as well as availability of transportation capacity from producing areas. Transportation capacity influences prices because California imports approximately 90% of its natural gas from other states and Canada. As a result, we typically enjoy favorable pricing relative to out-of-state producers since we can deliver our gas for lower transportation costs. Due to our much lower natural gas production compared to our oil production, the changes in natural gas prices have a smaller impact on our operating results.</w:t>
      </w:r>
    </w:p>
    <w:p>
      <w:pPr>
        <w:spacing w:after="0" w:line="20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to selling natural gas, we also use gas for our steamfloods and power generation. As a result, the positive impact of higher natural gas prices is partially offset by higher operating costs, but higher prices still have a net positive effect on our operating results. Conversely, lower natural gas prices generally have a net negative effect on our results, but lower the operating cost of our steamflood projects and power generation.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ind w:firstLine="324"/>
        <w:spacing w:after="0" w:line="252" w:lineRule="auto"/>
        <w:rPr>
          <w:sz w:val="20"/>
          <w:szCs w:val="20"/>
          <w:color w:val="auto"/>
        </w:rPr>
      </w:pPr>
      <w:r>
        <w:rPr>
          <w:rFonts w:ascii="Arial" w:cs="Arial" w:eastAsia="Arial" w:hAnsi="Arial"/>
          <w:sz w:val="18"/>
          <w:szCs w:val="18"/>
          <w:color w:val="auto"/>
        </w:rPr>
        <w:t>Our earnings are also affected by the performance of our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nearby fields and increase reliability. The remaining electricity is sold to the wholesale power market and a utility under a power purchase and sales agreement that includes a capacity payment. The price obtained for excess power impacts our earnings but generally by an insignificant amount.</w:t>
      </w:r>
    </w:p>
    <w:p>
      <w:pPr>
        <w:spacing w:after="0" w:line="209"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We procure tubular goods and equipment from multiple vendors. Tariffs of 25% for steel and 10% for aluminum on foreign imports were made effective in the first quarter of 2018. We do not expect these tariffs to have a material impact on our operating costs in the foreseeable future.</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in case of price deterioration. We are building our future commodity hedge positions to protect our downside risk without significantly limiting our upside potential.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respond to economic conditions by adjusting the amount and allocation of our capital program, aligning the size of our workforce with our level of activity and continuing to identify efficiencies and cost savings. The reductions in our capital program in 2015 and 2016 negatively impacted our 2017 production levels. We exited 2017 with total daily production volumes in the fourth quarter averaging 126 MBoe per day and oil production averaging 80 MBoe per day. With our increased capital program in 2017, our oil production stabilized in the first half of 2018, excluding the impact of our PSC-type contracts and the additional Elk Hills interest acquired in the second quarter of 2018. We expect to exit 2018 with higher average daily production than the fourth quarter of 2017. Volatility in oil prices may materially affect the quantities of oil and gas reserves we can economically produce over the longer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electricity costs, overall, seasonality has not been a material driver of changes in our quarterly results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Exploration Joint Ventures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line with our strategy, we have entered into a number of joint ventures (JVs) which allow us to accelerate the development of our assets while providing us with operational and financial flexibility as well as near term production benefits.</w:t>
      </w:r>
    </w:p>
    <w:p>
      <w:pPr>
        <w:spacing w:after="0" w:line="19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February 2017, we entered into a joint venture with Benefit Street Partners (BSP) where BSP will contribute up to $250 million, subject to agreement of the parties, in exchange for a preferred interest in the BSP joint venture (BSP JV). BSP is entitled to preferential distributions and, if BSP receives cash distributions equal to a predetermined threshold, the preferred interest is automatically redeemed in full with no additional payment. BSP funded $150 million in three equal tranches, before transaction costs, in March 2017, July 2017 and June 2018. The funds contributed by BSP are used to develop certain of our oil and gas properties.</w:t>
      </w:r>
    </w:p>
    <w:p>
      <w:pPr>
        <w:spacing w:after="0" w:line="2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pay for development costs within the project area, upon mutual agreement between members, and (3) make distributions to BSP until the predetermined threshold is achieved. Our consolidated results reflect the full operations of our BSP JV, with BSP's share of net income being reported in net income attributable to noncontrolling interests on our condensed consolidated statements of operations.</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April 2017, we entered into a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increases to 75% if MIRA receives cash distributions equal to a predetermined threshold return. MIRA initially committed $160 million, which was intended to be invested over two years. In June 2018, the parties amended the joint development program to $140 million. The agreement provides for a commitment of up to 110% of the program amount. MIRA invested $58 million in 2017 and $46 million in the nine months ended September 30, 2018. MIRA expects to contribute $11 million for drilling projects in the fourth quarter of 2018 and the balance of the committed amount in 2019. Our consolidated results reflect only our working interest share in our MIRA JV.</w:t>
      </w:r>
    </w:p>
    <w:p>
      <w:pPr>
        <w:spacing w:after="0" w:line="206"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 October 2018, we entered into three joint ventures where our partners carry a portion of our costs. The JV partners have committed capital of approximately $35 million and could provide additional capital if certain milestones are met. We have committed $13 million over a three-year period in connection with these joint ventures.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Joint Venture</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for transaction costs.</w:t>
      </w:r>
    </w:p>
    <w:p>
      <w:pPr>
        <w:sectPr>
          <w:pgSz w:w="11900" w:h="16838" w:orient="portrait"/>
          <w:cols w:equalWidth="0" w:num="1">
            <w:col w:w="11420"/>
          </w:cols>
          <w:pgMar w:left="240" w:top="814"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814" w:right="239" w:bottom="0" w:gutter="0" w:footer="0" w:header="0"/>
          <w:type w:val="continuous"/>
        </w:sectPr>
      </w:pPr>
    </w:p>
    <w:bookmarkStart w:id="28" w:name="page29"/>
    <w:bookmarkEnd w:id="28"/>
    <w:p>
      <w:pPr>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condensed consolidated balance sheets.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condensed consolidated balance sheets. Monthly, the Ares JV is also required to distribute its excess cash flow over its working capital requirements to the Class C common interests, on a pro-rata basis.</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exercise a redemption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condensed consolidated statements of operations reflect the full operations of our Ares JV, with ECR's share of net income reported in net income attributable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April 9, 2018, we acquired the remaining working, surface and mineral interests in the 47,000-acre Elk Hills unit from Chevron U.S.A., Inc. (Chevron) (the Elk Hills transaction) for approximately $518 million, including $7 million of liabilities assumed relating to asset retirement obligations and favorable customary purchase price adjustments. We accounted for the Elk Hills transaction as a business combination and allocated $435 million to proved properties, $77 million to other property, plant and equipment and $6 million to materials and supplies. The consideration paid consisted of $462 million in cash and 2.85 million shares of CRC common stock issued at the close of the transaction (valued at $51 million). After the transaction, we hold all of the working, surface and mineral interests in the Elk Hills unit. The effective date of the transaction was April 1, 2018. Since the acquisition, we estimate that we have recognized approximately $16 million in cost savings and revenue enhancements by streamlining operations and consolidating infrastructure. On an annualized basis, these synergies amount to approximately $34 million, exceeding the initial targeted $20 million over 24 months. Additionally, we realized approximately $15 million of nonrecurring capital savings through September 30, 2018 and we may have additional capital savings in the future. Chevron has sold all of the shares of CRC common stock it acquired in the Elk Hills transaction.</w:t>
      </w:r>
    </w:p>
    <w:p>
      <w:pPr>
        <w:spacing w:after="0" w:line="21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September 30, 2018, the remaining commitment was approximately $18 million. Any deficiency in meeting this capital investment obligation will be paid in cash to Chevron. We expect to fulfill the capital investment requirement within the extended period. In addition, the parties mutually agreed to release each other from pending claims with respect to the Elk Hills unit.</w:t>
      </w:r>
    </w:p>
    <w:p>
      <w:pPr>
        <w:spacing w:after="0" w:line="20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April 2, 2018, we acquired an office building in Bakersfield, California for $48.4 million, which we believe is significantly less than the estimated replacement value of the property and the land. We currently have approximately 500 employees using eight different locations in Bakersfield across multiple leases. We expect that the new building will create significant value by bringing our Bakersfield employees together into a single location over the next 12 to 15 months, which will increase the efficiency, effectiveness and collaboration of these employees. This building was the only available office space in the Bakersfield area large enough to allow us to consolidate our workforce in a single location.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vacated space will be available to lease to other tenants to generate additional income. In addition, the unimproved land may be monetized in the future. Approximately $6 million of the purchase price was allocated to the in-place leases, which is included in other assets and is being amortized into other expenses,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2018, we divested non-core assets resulting in $17 million of proceeds and a $4 million 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2017, we divested non-core assets resulting in $33 million of proceeds and a $21 million gain.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believe we are the largest private oil and natural gas mineral acreage holder in California, with interests in approximately 2.3 million net mineral acres, approximately 60% of which we hold in fee and approximately 15% of which is held by production. Our oil and gas leases have primary terms ranging from one to ten years, which are extended through the end of production once commenced. We also own or control a network of strategically placed infrastructure that is integrated with, and complementary to, our operations, including gas plants, oil and gas gathering systems, power plants and other related assets, which we use to maximize the value generated from our production.</w:t>
      </w:r>
    </w:p>
    <w:p>
      <w:pPr>
        <w:sectPr>
          <w:pgSz w:w="11900" w:h="16838" w:orient="portrait"/>
          <w:cols w:equalWidth="0" w:num="1">
            <w:col w:w="11420"/>
          </w:cols>
          <w:pgMar w:left="240" w:top="598" w:right="239" w:bottom="543"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98" w:right="239" w:bottom="543" w:gutter="0" w:footer="0" w:header="0"/>
          <w:type w:val="continuous"/>
        </w:sectPr>
      </w:pPr>
    </w:p>
    <w:bookmarkStart w:id="29" w:name="page30"/>
    <w:bookmarkEnd w:id="29"/>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15% of our production for the quarter ended September 30, 2018.</w:t>
      </w:r>
    </w:p>
    <w:p>
      <w:pPr>
        <w:spacing w:after="0" w:line="21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addition, we report 100% of operating costs under the PSC-type contracts in our consolidated statements of operations as opposed to reporting only our share of those costs, which is in line with industry practice for reporting PSC-type contracts.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inflates our operating costs per barrel, with an equal corresponding increase in revenues, and has no effect on our net results.</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other commercial real estate uses. We are also exploring carbon dioxide capture and storage projects and reclaimed water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total production costs consist of variable costs that tend to vary depending on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While a certain amount of costs for facilities, surface support, surveillance and related maintenance can be regarded as fixed in the early phases of a program,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98"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production volumes of oil, NGLs and natural gas per day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Three months ended</w:t>
            </w:r>
          </w:p>
        </w:tc>
        <w:tc>
          <w:tcPr>
            <w:tcW w:w="2380" w:type="dxa"/>
            <w:vAlign w:val="bottom"/>
            <w:gridSpan w:val="3"/>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20" w:type="dxa"/>
            <w:vAlign w:val="bottom"/>
          </w:tcPr>
          <w:p>
            <w:pPr>
              <w:spacing w:after="0"/>
              <w:rPr>
                <w:sz w:val="21"/>
                <w:szCs w:val="21"/>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September 30,</w:t>
            </w:r>
          </w:p>
        </w:tc>
        <w:tc>
          <w:tcPr>
            <w:tcW w:w="23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Oil (MBbl/d)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4"/>
        </w:trPr>
        <w:tc>
          <w:tcPr>
            <w:tcW w:w="6520" w:type="dxa"/>
            <w:vAlign w:val="bottom"/>
          </w:tcPr>
          <w:p>
            <w:pPr>
              <w:ind w:left="340"/>
              <w:spacing w:after="0"/>
              <w:rPr>
                <w:sz w:val="20"/>
                <w:szCs w:val="20"/>
                <w:color w:val="auto"/>
              </w:rPr>
            </w:pPr>
            <w:r>
              <w:rPr>
                <w:rFonts w:ascii="Arial" w:cs="Arial" w:eastAsia="Arial" w:hAnsi="Arial"/>
                <w:sz w:val="18"/>
                <w:szCs w:val="18"/>
                <w:color w:val="auto"/>
              </w:rPr>
              <w:t>Sacramento Basin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NGLs (MBbl/d)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4"/>
        </w:trPr>
        <w:tc>
          <w:tcPr>
            <w:tcW w:w="6520" w:type="dxa"/>
            <w:vAlign w:val="bottom"/>
          </w:tcPr>
          <w:p>
            <w:pPr>
              <w:ind w:left="340"/>
              <w:spacing w:after="0"/>
              <w:rPr>
                <w:sz w:val="20"/>
                <w:szCs w:val="20"/>
                <w:color w:val="auto"/>
              </w:rPr>
            </w:pPr>
            <w:r>
              <w:rPr>
                <w:rFonts w:ascii="Arial" w:cs="Arial" w:eastAsia="Arial" w:hAnsi="Arial"/>
                <w:sz w:val="18"/>
                <w:szCs w:val="18"/>
                <w:color w:val="auto"/>
              </w:rPr>
              <w:t>Sacramento Basin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Natural gas (MMcf/d)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64"/>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Sacramento Basin</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50"/>
        </w:trPr>
        <w:tc>
          <w:tcPr>
            <w:tcW w:w="6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84"/>
        </w:trPr>
        <w:tc>
          <w:tcPr>
            <w:tcW w:w="65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1"/>
                <w:szCs w:val="21"/>
                <w:b w:val="1"/>
                <w:bCs w:val="1"/>
                <w:color w:val="auto"/>
                <w:vertAlign w:val="superscript"/>
              </w:rPr>
              <w:t>(a)</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760" w:hanging="411"/>
        <w:spacing w:after="0" w:line="258"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barrel of oil. Barrels of oil equivalence does not necessarily result in price equivalence.</w:t>
      </w:r>
    </w:p>
    <w:p>
      <w:pPr>
        <w:spacing w:after="0" w:line="18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average realized prices for our products for the three and nine months ended September 30,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 hedge ($ per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49.42</w:t>
            </w:r>
          </w:p>
        </w:tc>
      </w:tr>
      <w:tr>
        <w:trPr>
          <w:trHeight w:val="284"/>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without hedge ($ per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48.76</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NGLs prices ($ per Bbl)</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33.00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prices ($ per Mcf)</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bl>
    <w:p>
      <w:pPr>
        <w:spacing w:after="0" w:line="5" w:lineRule="exact"/>
        <w:rPr>
          <w:sz w:val="20"/>
          <w:szCs w:val="20"/>
          <w:color w:val="auto"/>
        </w:rPr>
      </w:pPr>
    </w:p>
    <w:p>
      <w:pPr>
        <w:ind w:left="660" w:right="320" w:hanging="328"/>
        <w:spacing w:after="0" w:line="25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2018, the realized gas price was impacted by the adoption of new accounting rules on revenue recognition and would have been $2.98 and $2.52 per Mcf, respectively, under prior accounting standards.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1" w:name="page32"/>
    <w:bookmarkEnd w:id="31"/>
    <w:p>
      <w:pPr>
        <w:ind w:right="540" w:firstLine="324"/>
        <w:spacing w:after="0" w:line="262" w:lineRule="auto"/>
        <w:rPr>
          <w:sz w:val="20"/>
          <w:szCs w:val="20"/>
          <w:color w:val="auto"/>
        </w:rPr>
      </w:pPr>
      <w:r>
        <w:rPr>
          <w:rFonts w:ascii="Arial" w:cs="Arial" w:eastAsia="Arial" w:hAnsi="Arial"/>
          <w:sz w:val="18"/>
          <w:szCs w:val="18"/>
          <w:color w:val="auto"/>
        </w:rPr>
        <w:t>The following table presents our average price realizations as a percentage of Brent, WTI and NYMEX for the three and nine months ended September 30,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6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9"/>
              </w:rPr>
              <w:t>Three months ended</w:t>
            </w:r>
          </w:p>
        </w:tc>
        <w:tc>
          <w:tcPr>
            <w:tcW w:w="25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280" w:type="dxa"/>
            <w:vAlign w:val="bottom"/>
          </w:tcPr>
          <w:p>
            <w:pPr>
              <w:spacing w:after="0"/>
              <w:rPr>
                <w:sz w:val="21"/>
                <w:szCs w:val="21"/>
                <w:color w:val="auto"/>
              </w:rPr>
            </w:pPr>
          </w:p>
        </w:tc>
        <w:tc>
          <w:tcPr>
            <w:tcW w:w="26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2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with hedge as a percentage of Brent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Oil with hedge as a percentage of WTI</w:t>
            </w: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0"/>
        </w:trPr>
        <w:tc>
          <w:tcPr>
            <w:tcW w:w="6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Oil without hedge as a percentage of Brent</w:t>
            </w: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without hedge as a percentage of WTI</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NGLs as a percentage of Brent</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NGLs as a percentage of WTI</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5"/>
        </w:trPr>
        <w:tc>
          <w:tcPr>
            <w:tcW w:w="6280" w:type="dxa"/>
            <w:vAlign w:val="bottom"/>
          </w:tcPr>
          <w:p>
            <w:pPr>
              <w:ind w:left="40"/>
              <w:spacing w:after="0"/>
              <w:rPr>
                <w:sz w:val="20"/>
                <w:szCs w:val="20"/>
                <w:color w:val="auto"/>
              </w:rPr>
            </w:pPr>
            <w:r>
              <w:rPr>
                <w:rFonts w:ascii="Arial" w:cs="Arial" w:eastAsia="Arial" w:hAnsi="Arial"/>
                <w:sz w:val="18"/>
                <w:szCs w:val="18"/>
                <w:color w:val="auto"/>
              </w:rPr>
              <w:t>Natural gas as a percentage of NYMEX</w:t>
            </w:r>
            <w:r>
              <w:rPr>
                <w:rFonts w:ascii="Arial" w:cs="Arial" w:eastAsia="Arial" w:hAnsi="Arial"/>
                <w:sz w:val="21"/>
                <w:szCs w:val="21"/>
                <w:color w:val="auto"/>
                <w:vertAlign w:val="superscript"/>
              </w:rPr>
              <w:t>(a)</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r>
    </w:tbl>
    <w:p>
      <w:pPr>
        <w:ind w:left="660" w:right="180" w:hanging="328"/>
        <w:spacing w:after="0" w:line="258"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2018, the gas price realization as a percentage of NYMEX was impacted by the adoption of new accounting rules on revenue recognition and would have been 103% and 89%, respectively, under prior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from December 31, 2017 to September 30, 2018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September 30, 2018</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December 31, 2017</w:t>
            </w:r>
          </w:p>
        </w:tc>
      </w:tr>
      <w:tr>
        <w:trPr>
          <w:trHeight w:val="204"/>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7"/>
                <w:szCs w:val="17"/>
                <w:color w:val="auto"/>
              </w:rPr>
            </w:pPr>
          </w:p>
        </w:tc>
      </w:tr>
      <w:tr>
        <w:trPr>
          <w:trHeight w:val="53"/>
        </w:trPr>
        <w:tc>
          <w:tcPr>
            <w:tcW w:w="6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293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6,386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522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5,108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253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745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71"/>
              <w:spacing w:after="0"/>
              <w:rPr>
                <w:sz w:val="20"/>
                <w:szCs w:val="20"/>
                <w:color w:val="auto"/>
              </w:rPr>
            </w:pPr>
            <w:r>
              <w:rPr>
                <w:rFonts w:ascii="Arial" w:cs="Arial" w:eastAsia="Arial" w:hAnsi="Arial"/>
                <w:sz w:val="18"/>
                <w:szCs w:val="18"/>
                <w:color w:val="auto"/>
              </w:rPr>
              <w:t>120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 xml:space="preserve">Cash at September 30, 2018 and December 31, 2017 included approximately $ 13 million and $5 million, respectively, that is restricted under one of our joint venture agreements.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increase in other current assets, net primarily reflected increases in amounts due from joint interest partners, fair value changes in the current portion of our derivative assets and prepaid power plant major maintenance expenses, partially offset by the sale of a non-core asset. The increase in property, plant and equipment, net primarily reflected proved reserves acquired in connection with the Elk Hills transaction, the acquisition of our Bakersfield building and capital investments for the period, partially offset by depreciation, depletion and amortization (DD&amp;A). The increase in other assets was primarily due to fair value changes in our long-term derivative assets.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8" w:right="239" w:bottom="1440" w:gutter="0" w:footer="0" w:header="0"/>
        </w:sectPr>
      </w:pPr>
    </w:p>
    <w:bookmarkStart w:id="32" w:name="page33"/>
    <w:bookmarkEnd w:id="32"/>
    <w:p>
      <w:pPr>
        <w:ind w:right="140" w:firstLine="324"/>
        <w:spacing w:after="0" w:line="252" w:lineRule="auto"/>
        <w:rPr>
          <w:sz w:val="20"/>
          <w:szCs w:val="20"/>
          <w:color w:val="auto"/>
        </w:rPr>
      </w:pPr>
      <w:r>
        <w:rPr>
          <w:rFonts w:ascii="Arial" w:cs="Arial" w:eastAsia="Arial" w:hAnsi="Arial"/>
          <w:sz w:val="18"/>
          <w:szCs w:val="18"/>
          <w:color w:val="auto"/>
        </w:rPr>
        <w:t>The increase in accounts payable for the quarter ended September 30, 2018 reflected the increase in activity between periods. The increase in accrued liabilities was primarily due to higher accrued interest and property taxes due to the timing of payments, higher accrued employee-related costs due to increases in stock price between periods and the change in value of certain derivative positions due to higher Brent prices between periods. These increases were partially offset by payments made for greenhouse gas obligations. The decrease in long-term debt primarily reflected repurchases of our Second Lien Notes and 2024 Notes. The decrease in deferred gain and issuance costs, net, reflected the amortization of deferred gains, partially offset by the amortization of deferred issuance costs.</w:t>
      </w:r>
    </w:p>
    <w:p>
      <w:pPr>
        <w:spacing w:after="0" w:line="20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Mezzanine equity reflected the carrying amount of the Class A common and Class B preferred interests held by ECR in our Ares JV. The increase in equity attributable to common stock primarily reflected the issuance of common stock in connection with the Ares JV and the Elk Hills transaction. Equity attributable to noncontrolling interest reflected contributions from and distributions to ECR's Class C common interest and BSP's preferred interest as well as their respective share of net income or loss for the period. See </w:t>
      </w:r>
      <w:r>
        <w:rPr>
          <w:rFonts w:ascii="Arial" w:cs="Arial" w:eastAsia="Arial" w:hAnsi="Arial"/>
          <w:sz w:val="18"/>
          <w:szCs w:val="18"/>
          <w:i w:val="1"/>
          <w:iCs w:val="1"/>
          <w:color w:val="auto"/>
        </w:rPr>
        <w:t>Note 6 Joint Ventures</w:t>
      </w:r>
      <w:r>
        <w:rPr>
          <w:rFonts w:ascii="Arial" w:cs="Arial" w:eastAsia="Arial" w:hAnsi="Arial"/>
          <w:sz w:val="18"/>
          <w:szCs w:val="18"/>
          <w:color w:val="auto"/>
        </w:rPr>
        <w:t xml:space="preserve"> in the Notes to the Condensed Consolidated Financial Statements included in Part I of this Form 10-Q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17.21</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bl>
    <w:p>
      <w:pPr>
        <w:jc w:val="both"/>
        <w:ind w:left="660" w:right="140" w:hanging="328"/>
        <w:spacing w:after="0" w:line="24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the production costs for the company after adjusting for this difference.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corporate amounts.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following represents key operating data for consolidated operations for the three and nine months ended September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380" w:type="dxa"/>
            <w:vAlign w:val="bottom"/>
          </w:tcPr>
          <w:p>
            <w:pPr>
              <w:spacing w:after="0"/>
              <w:rPr>
                <w:sz w:val="21"/>
                <w:szCs w:val="21"/>
                <w:color w:val="auto"/>
              </w:rPr>
            </w:pPr>
          </w:p>
        </w:tc>
        <w:tc>
          <w:tcPr>
            <w:tcW w:w="21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2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51"/>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1,387</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Net derivative (loss) gain</w:t>
            </w: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(412)</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7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97"/>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64"/>
        </w:trPr>
        <w:tc>
          <w:tcPr>
            <w:tcW w:w="6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Adjusted 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548</w:t>
            </w: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2"/>
                <w:szCs w:val="22"/>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ind w:left="660" w:right="2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We adopted the new revenue recognition standard on January 1, 2018 that required certain sales-related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during the prior periods. Under prior accounting standards, for the three and nine months ended September 30, 2018, oil and gas sales would have been $695 million and $1,915 million, respectively, other revenue would have been $177 million and $242 million, respectively, and other expenses, net would have been $139 million and $171 million, respectively. See </w:t>
      </w:r>
      <w:r>
        <w:rPr>
          <w:rFonts w:ascii="Arial" w:cs="Arial" w:eastAsia="Arial" w:hAnsi="Arial"/>
          <w:sz w:val="14"/>
          <w:szCs w:val="14"/>
          <w:i w:val="1"/>
          <w:iCs w:val="1"/>
          <w:color w:val="auto"/>
        </w:rPr>
        <w:t>Note 12</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in the Notes to the Condensed Consolidated Financial Statements included in Part I of this Form 10-Q for more information.</w:t>
      </w:r>
    </w:p>
    <w:p>
      <w:pPr>
        <w:spacing w:after="0" w:line="2" w:lineRule="exact"/>
        <w:rPr>
          <w:rFonts w:ascii="Arial" w:cs="Arial" w:eastAsia="Arial" w:hAnsi="Arial"/>
          <w:sz w:val="14"/>
          <w:szCs w:val="14"/>
          <w:color w:val="auto"/>
        </w:rPr>
      </w:pPr>
    </w:p>
    <w:p>
      <w:pPr>
        <w:ind w:left="660" w:right="160" w:hanging="328"/>
        <w:spacing w:after="0" w:line="24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For the three and nine months ended September 30, 2017, certain pension benefit costs of $2 million and $8 million, respectively, have been reclassified to other non-operating expenses to conform to the current year presentation in accordance with new accounting rules adopted on January 1, 2018 related to the presentation of net periodic benefit costs for pension and postretirement benefits in the Condensed Consolidated Statements of Operations. See </w:t>
      </w:r>
      <w:r>
        <w:rPr>
          <w:rFonts w:ascii="Arial" w:cs="Arial" w:eastAsia="Arial" w:hAnsi="Arial"/>
          <w:sz w:val="14"/>
          <w:szCs w:val="14"/>
          <w:i w:val="1"/>
          <w:iCs w:val="1"/>
          <w:color w:val="auto"/>
        </w:rPr>
        <w:t>Note 2 Accounting and Disclosure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Changes </w:t>
      </w:r>
      <w:r>
        <w:rPr>
          <w:rFonts w:ascii="Arial" w:cs="Arial" w:eastAsia="Arial" w:hAnsi="Arial"/>
          <w:sz w:val="14"/>
          <w:szCs w:val="14"/>
          <w:color w:val="auto"/>
        </w:rPr>
        <w:t>in the Notes to the Condensed Consolidated Financial Statements included in Part I of this Form 10-Q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of operations for the three and nine months ended September 30, 2018 include the effects of our significantly higher stock price for certain stock-based long-term incentive plans payable in cash. We have stock-based compensation plans under which we annually grant stock-based awards to executives, non-executive employees and directors that are payable in shares of our common stock or phantom shares that are ultimately settled in cash and are generally paid out over a three-year time period. Our Board of Directors instituted these cash-settled long-term incentive awards for non-executives near the bottom of the price cycle to limit share dilution. Accounting rules require that we adjust our obligation for all vested but unpaid cash-settled awards under our long-term incentive program to the amount that would be paid using our stock price as of the end of each quarter. Conversely, stock-based compensation cost for our equity-settled awards are not similarly adjusted for changes in stock price.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76" w:right="259" w:bottom="1440" w:gutter="0" w:footer="0" w:header="0"/>
        </w:sectPr>
      </w:pPr>
    </w:p>
    <w:bookmarkStart w:id="34" w:name="page35"/>
    <w:bookmarkEnd w:id="34"/>
    <w:p>
      <w:pPr>
        <w:ind w:right="180" w:firstLine="324"/>
        <w:spacing w:after="0" w:line="254" w:lineRule="auto"/>
        <w:rPr>
          <w:sz w:val="20"/>
          <w:szCs w:val="20"/>
          <w:color w:val="auto"/>
        </w:rPr>
      </w:pPr>
      <w:r>
        <w:rPr>
          <w:rFonts w:ascii="Arial" w:cs="Arial" w:eastAsia="Arial" w:hAnsi="Arial"/>
          <w:sz w:val="18"/>
          <w:szCs w:val="18"/>
          <w:color w:val="auto"/>
        </w:rPr>
        <w:t>Our stock price increased $ 38.07 or 364% from $10.46 as of September 30, 2017 to $48.53 as of September 30, 2018. Due to our stock price increase, we must accrue and mark-to-market the cash -settled long-term incentive awards based on the stock price each quarter, which has introduced volatility to our income statement. In the third quarter of 2018, we recognized a significant increase in stock-based compensation expense that is included in both general and administrative expenses and production costs as shown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4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45"/>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6"/>
          </w:tcPr>
          <w:p>
            <w:pPr>
              <w:ind w:left="20"/>
              <w:spacing w:after="0"/>
              <w:rPr>
                <w:sz w:val="20"/>
                <w:szCs w:val="20"/>
                <w:color w:val="auto"/>
              </w:rPr>
            </w:pPr>
            <w:r>
              <w:rPr>
                <w:rFonts w:ascii="Arial" w:cs="Arial" w:eastAsia="Arial" w:hAnsi="Arial"/>
                <w:sz w:val="14"/>
                <w:szCs w:val="14"/>
                <w:color w:val="auto"/>
              </w:rPr>
              <w:t>(in millions, except per Boe amounts)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6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50"/>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in G&amp;A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50"/>
        </w:trPr>
        <w:tc>
          <w:tcPr>
            <w:tcW w:w="6480" w:type="dxa"/>
            <w:vAlign w:val="bottom"/>
          </w:tcPr>
          <w:p>
            <w:pPr>
              <w:ind w:left="160"/>
              <w:spacing w:after="0"/>
              <w:rPr>
                <w:sz w:val="20"/>
                <w:szCs w:val="20"/>
                <w:color w:val="auto"/>
              </w:rPr>
            </w:pPr>
            <w:r>
              <w:rPr>
                <w:rFonts w:ascii="Arial" w:cs="Arial" w:eastAsia="Arial" w:hAnsi="Arial"/>
                <w:sz w:val="18"/>
                <w:szCs w:val="18"/>
                <w:color w:val="auto"/>
              </w:rPr>
              <w:t>Total stock-based compensation in G&amp;A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0.37</w:t>
            </w:r>
          </w:p>
        </w:tc>
      </w:tr>
      <w:tr>
        <w:trPr>
          <w:trHeight w:val="290"/>
        </w:trPr>
        <w:tc>
          <w:tcPr>
            <w:tcW w:w="6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in production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6480" w:type="dxa"/>
            <w:vAlign w:val="bottom"/>
          </w:tcPr>
          <w:p>
            <w:pPr>
              <w:ind w:left="160"/>
              <w:spacing w:after="0"/>
              <w:rPr>
                <w:sz w:val="20"/>
                <w:szCs w:val="20"/>
                <w:color w:val="auto"/>
              </w:rPr>
            </w:pPr>
            <w:r>
              <w:rPr>
                <w:rFonts w:ascii="Arial" w:cs="Arial" w:eastAsia="Arial" w:hAnsi="Arial"/>
                <w:sz w:val="18"/>
                <w:szCs w:val="18"/>
                <w:color w:val="auto"/>
              </w:rPr>
              <w:t>Total stock-based compensation in production costs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0.08</w:t>
            </w:r>
          </w:p>
        </w:tc>
      </w:tr>
      <w:tr>
        <w:trPr>
          <w:trHeight w:val="290"/>
        </w:trPr>
        <w:tc>
          <w:tcPr>
            <w:tcW w:w="64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company stock-based compensation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 stock-based compensation per Boe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2018 vs. 2017</w:t>
      </w:r>
    </w:p>
    <w:p>
      <w:pPr>
        <w:spacing w:after="0" w:line="243"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Oil and gas sales increased 52%, or $239 million, for the three months ended September 30, 2018 compared to the same period of 2017 due to increases of approximately $186 million, $15 million and $10 million from higher oil, NGL and natural gas realized prices, respectively, and $15 million, $5 million and $ 8 million from higher oil, NGL and natural gas production, respectively. The higher realized oil prices reflected the significant increase in global oil prices and improved differentials.</w:t>
      </w:r>
    </w:p>
    <w:p>
      <w:pPr>
        <w:spacing w:after="0" w:line="20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total daily production volumes averaged 136 MBoe per day in the three months ended September 30, 2018 compared with 128 MBoe per day in the comparable period of 2017, representing a year-over-year increase of 6%. Our total daily production volumes included the Elk Hills transaction effect of 12 MBoe per day. PSC-type contracts negatively impacted our third quarter 2018 production by 1 MBoe per day compared to the prior year quarter, without which the year-over-year production increase would have been 7%.</w:t>
      </w:r>
    </w:p>
    <w:p>
      <w:pPr>
        <w:spacing w:after="0" w:line="20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Net derivative loss was $54 million and $65 million for the three months ended September 30, 2018 and 2017, respectively, representing a decrease of $11 million. We made cash payments of $79 million in the three months ended September 30, 2018, compared to receiving $8 million in the prior year, primarily due to the upward movement of Brent prices relative to the strike price on our derivative contracts. The non-cash change of $98 million reflected changes in the commodity price curves based on our derivative positions at the end of each of the respective periods.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increase in other revenue of $ 133 million for the three months ended September 30, 2018 compared to the same period of 2017 was the result of higher gas trading activity and the adoption of new accounting rules on the recognition of revenue on January 1, 2018 while the prior comparative period was not adjusted. The increase resulting from the accounting change was offset by an increase in other expenses, net with no effect on net income.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8"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Production costs for the three months ended September 30, 2018 increased $14 million to $236 million or $18.92 per Boe,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$222 million or $18.90 per Boe for the same period of 2017, resulting in a 6% increase on an absolute dollar basis. Without the effect of the Elk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Hills transaction and cash-settled stock-based compensation included in production costs, which added $12 million and $2 million to the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respectively, our production costs would have been $222 million or $19.46 per Boe. The Elk Hills unit production costs are lower than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company-wide production costs per barrel. As a result, the Elk Hills transaction had a favorable effect on production costs per barrel.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2018 production costs also reflect cost savings achieved following the Elk Hills transaction of $6 million.</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general and administrative (G&amp;A) expenses increased $20 million to $81 million for the three months ended September 30, 2018 compared to the same period of 2017. Our stock-based compensation expense for cash-settled awards increased $9 million due to the increase in our stock price. Additionally, our G&amp;A expenses increased $3 million as these costs were no longer shared with our working interest partner following the Elk Hills transaction. The remaining increase in G&amp;A expenses was the result of a number of smaller increases in various cost categories.</w:t>
      </w:r>
    </w:p>
    <w:p>
      <w:pPr>
        <w:spacing w:after="0" w:line="20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increase in other expenses of $120 million to $149 million for the three months ended September 30, 2018, compared to $29 million in the same period of 2017, was largely the result of higher gas trading activity and the adoption of new accounting rules on revenue recognition that impact the current period but not the prior period. The increase resulting from the accounting change was offset by an increase in oil and gas sales and other revenue with no effect on net income.</w:t>
      </w:r>
    </w:p>
    <w:p>
      <w:pPr>
        <w:spacing w:after="0" w:line="20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Interest and debt expense, net, increased to $95 million for the three months ended September 30, 2018, compared to $ 85 million in the same period of 2017, primarily due to higher interest on our variable-rate debt, partially offset by lower interest due to paying off our 2014 Term Loan and repurchases of our Second Lien Notes and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2018 vs. 2017</w:t>
      </w:r>
    </w:p>
    <w:p>
      <w:pPr>
        <w:spacing w:after="0" w:line="24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Oil and gas sales increased 39%, or $545 million, for the nine months ended September 30, 2018 compared to the same period of 2017 due to increases of approximately $518 million, $46 million and $ 5 million from higher oil, NGL and natural gas realized prices, respectively, and an increase of $14 million and $ 3 million from higher natural gas and NGL production, respectively. These increases were partially offset by $41 million from lower oil production primarily from the first quarter of 2018. The higher realized oil prices reflected the significant increase in global oil prices and improved differentials.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total daily production volumes averaged 131 MBoe in the nine months ended September 30, 2018 compared with 130 MBoe in the comparable period of 2017, representing a year-over-year increase of 1%. Our total daily production volumes included the Elk Hills transaction effect of 8 MBoe per day in the nine months ended September 30, 2018. Our PSC-type contracts negatively impacted our 2018 production by 2 MBoe per day compared with the prior year period, without which the year-over-year production increase would have been 2%.</w:t>
      </w:r>
    </w:p>
    <w:p>
      <w:pPr>
        <w:spacing w:after="0" w:line="20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Net derivative loss was $259 million for the nine months ended September 30, 2018 compared to a gain of $51 million in the comparable period of 2017, representing an overall change of $310 million. We made cash payments of $178 million in the nine months ended September 30, 2018, compared to receiving $15 million in the prior year, primarily due to the upward movement of Brent prices relative to the strike price on our derivative contracts. The non-cash change of $117 million reflected changes in the commodity price curves based on our derivative positions at the end of each of the respective periods.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increase in other revenue of $200 million for the nine months ended September 30, 2018 compared to the same period of 2017 was largely the result of higher gas trading activity and the adoption of new accounting rules on the recognition of revenue in the nine months ended September 30, 2018 while the prior comparative period was not adjusted. The increase resulting from the accounting change was offset in its entirety by an increase in other expenses, net with no effect on net income.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8" w:right="239" w:bottom="1440" w:gutter="0" w:footer="0" w:header="0"/>
        </w:sectPr>
      </w:pPr>
    </w:p>
    <w:bookmarkStart w:id="36" w:name="page37"/>
    <w:bookmarkEnd w:id="36"/>
    <w:p>
      <w:pPr>
        <w:ind w:right="20" w:firstLine="324"/>
        <w:spacing w:after="0" w:line="252" w:lineRule="auto"/>
        <w:rPr>
          <w:sz w:val="20"/>
          <w:szCs w:val="20"/>
          <w:color w:val="auto"/>
        </w:rPr>
      </w:pPr>
      <w:r>
        <w:rPr>
          <w:rFonts w:ascii="Arial" w:cs="Arial" w:eastAsia="Arial" w:hAnsi="Arial"/>
          <w:sz w:val="18"/>
          <w:szCs w:val="18"/>
          <w:color w:val="auto"/>
        </w:rPr>
        <w:t>Production costs for the nine months ended September 30, 2018 increased $30 million to $679 million or $18.98 per Boe, compared to $649 million or $18.31 per Boe for the same period of 2017, resulting in a 5% increase on an absolute dollar basis. Without the Elk Hills transaction and cash-settled stock-based compensation included in production costs, which added $24 million and $8 million to the 2018 costs, respectively, our production costs would have been $647 million or $19.18 per Boe. The Elk Hills unit production costs are lower than the average company-wide production costs per barrel. As a result, the Elk Hills transaction had a favorable effect on production costs per barrel. For the nine months ended September 30, 2018, production costs also reflect cost savings achieved following the Elk Hills transaction of $11 million.</w:t>
      </w:r>
    </w:p>
    <w:p>
      <w:pPr>
        <w:spacing w:after="0" w:line="207"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Our G&amp;A expenses increased $51 million to $234 million for the nine months ended September 30, 2018 compared to the same period of 2017. Our stock-based compensation increased $30 million due to the increase in our stock price as noted in the stock-based compensation table above. Additionally, our G&amp;A expenses increased approximately $6 million as these costs were no longer shared with our working interest partner following the Elk Hills transaction.</w:t>
      </w:r>
    </w:p>
    <w:p>
      <w:pPr>
        <w:spacing w:after="0" w:line="2" w:lineRule="exact"/>
        <w:rPr>
          <w:sz w:val="20"/>
          <w:szCs w:val="20"/>
          <w:color w:val="auto"/>
        </w:rPr>
      </w:pPr>
    </w:p>
    <w:p>
      <w:pPr>
        <w:jc w:val="both"/>
        <w:ind w:right="160" w:firstLine="324"/>
        <w:spacing w:after="0" w:line="262" w:lineRule="auto"/>
        <w:rPr>
          <w:sz w:val="20"/>
          <w:szCs w:val="20"/>
          <w:color w:val="auto"/>
        </w:rPr>
      </w:pPr>
      <w:r>
        <w:rPr>
          <w:rFonts w:ascii="Arial" w:cs="Arial" w:eastAsia="Arial" w:hAnsi="Arial"/>
          <w:sz w:val="18"/>
          <w:szCs w:val="18"/>
          <w:color w:val="auto"/>
        </w:rPr>
        <w:t>DD&amp;A expense decreased by $40 million for the nine months ended September 30, 2018 compared to the same period of 2017, primarily resulting from lower DD&amp;A rates due to increased reserves at year-end 2017.</w:t>
      </w:r>
    </w:p>
    <w:p>
      <w:pPr>
        <w:spacing w:after="0" w:line="19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7"/>
          <w:szCs w:val="17"/>
          <w:color w:val="auto"/>
        </w:rPr>
        <w:t>Taxes other than on income increased 17% for the nine months ended September 30, 2018 compared to the same period of 2017, largely resulting from higher property taxes due to the increase in commodity prices and greenhouse gas allowance costs due to higher prices.</w:t>
      </w:r>
    </w:p>
    <w:p>
      <w:pPr>
        <w:spacing w:after="0" w:line="174"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The increase in other expenses of $183 million to $259 million for the nine months ended September 30, 2018 compared to $ 76 million in the same period of 2017 was largely the result of higher gas trading activity and the adoption of new accounting rules on revenue recognition that impact the current period but not the prior period. The increase resulting from the accounting change was offset by an increase in oil and gas sales and other revenue with no effect on net income.</w:t>
      </w:r>
    </w:p>
    <w:p>
      <w:pPr>
        <w:spacing w:after="0" w:line="20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Interest and debt expense, net, increased to $281 million for the nine months ended September 30, 2018 compared to $252 million in the same period of 2017, primarily due to higher interest on our variable-rate debt, partially offset by lower interest due to paying off our 2014 Term Loan and repurchases of our Second Lien Notes and Senior Notes.</w:t>
      </w:r>
    </w:p>
    <w:p>
      <w:pPr>
        <w:spacing w:after="0" w:line="20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Net gain on early extinguishment of debt consisted of the gain on open-market repurchases for the nine months ended September 30,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98" w:right="259" w:bottom="1440" w:gutter="0" w:footer="0" w:header="0"/>
        </w:sectPr>
      </w:pPr>
    </w:p>
    <w:bookmarkStart w:id="37" w:name="page38"/>
    <w:bookmarkEnd w:id="37"/>
    <w:p>
      <w:pPr>
        <w:jc w:val="both"/>
        <w:ind w:right="18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income (loss) attributable to common stock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21"/>
                <w:szCs w:val="21"/>
                <w:color w:val="auto"/>
              </w:rPr>
            </w:pPr>
          </w:p>
        </w:tc>
        <w:tc>
          <w:tcPr>
            <w:tcW w:w="21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5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color w:val="auto"/>
              </w:rPr>
              <w:t>(in millions, except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(gain) loss, excluding noncontrolling interest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Early retirement and severance costs</w:t>
            </w:r>
          </w:p>
        </w:tc>
        <w:tc>
          <w:tcPr>
            <w:tcW w:w="2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Gain on asset divestitures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0"/>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1"/>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 per diluted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Adjusted net income (loss) per diluted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r>
    </w:tbl>
    <w:p>
      <w:pPr>
        <w:spacing w:after="0" w:line="22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40" w:type="dxa"/>
            <w:vAlign w:val="bottom"/>
            <w:gridSpan w:val="4"/>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45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360" w:type="dxa"/>
            <w:vAlign w:val="bottom"/>
          </w:tcPr>
          <w:p>
            <w:pPr>
              <w:spacing w:after="0"/>
              <w:rPr>
                <w:sz w:val="21"/>
                <w:szCs w:val="21"/>
                <w:color w:val="auto"/>
              </w:rPr>
            </w:pPr>
          </w:p>
        </w:tc>
        <w:tc>
          <w:tcPr>
            <w:tcW w:w="20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45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expense</w:t>
            </w:r>
          </w:p>
        </w:tc>
        <w:tc>
          <w:tcPr>
            <w:tcW w:w="2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Unusual, infrequent and other items</w:t>
            </w: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20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0" w:type="dxa"/>
            <w:vAlign w:val="bottom"/>
            <w:vMerge w:val="restart"/>
          </w:tcPr>
          <w:p>
            <w:pPr>
              <w:jc w:val="right"/>
              <w:ind w:right="59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98" w:right="259" w:bottom="1440" w:gutter="0" w:footer="0" w:header="0"/>
        </w:sectPr>
      </w:pPr>
    </w:p>
    <w:bookmarkStart w:id="38" w:name="page39"/>
    <w:bookmarkEnd w:id="38"/>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20" w:lineRule="exact"/>
        <w:rPr>
          <w:sz w:val="20"/>
          <w:szCs w:val="20"/>
          <w:color w:val="auto"/>
        </w:rPr>
      </w:pPr>
    </w:p>
    <w:p>
      <w:pPr>
        <w:jc w:val="center"/>
        <w:ind w:left="9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9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14605</wp:posOffset>
            </wp:positionV>
            <wp:extent cx="1526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9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63"/>
        </w:trPr>
        <w:tc>
          <w:tcPr>
            <w:tcW w:w="900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7"/>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9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900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our net derivative gain (loss) from commodity contracts: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50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500" w:type="dxa"/>
            <w:vAlign w:val="bottom"/>
          </w:tcPr>
          <w:p>
            <w:pPr>
              <w:spacing w:after="0"/>
              <w:rPr>
                <w:sz w:val="21"/>
                <w:szCs w:val="21"/>
                <w:color w:val="auto"/>
              </w:rPr>
            </w:pPr>
          </w:p>
        </w:tc>
        <w:tc>
          <w:tcPr>
            <w:tcW w:w="20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derivative gain (loss), excluding noncontrolling interest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Non-cash derivative loss included in noncontrolling interest</w:t>
            </w:r>
          </w:p>
        </w:tc>
        <w:tc>
          <w:tcPr>
            <w:tcW w:w="7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(payments) proceeds on settled commodity derivatives</w:t>
            </w:r>
          </w:p>
        </w:tc>
        <w:tc>
          <w:tcPr>
            <w:tcW w:w="7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Net derivative (loss) gain from commodity contracts</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(65)</w:t>
            </w:r>
          </w:p>
        </w:tc>
        <w:tc>
          <w:tcPr>
            <w:tcW w:w="10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center"/>
              <w:ind w:left="391"/>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 net of accruals</w:t>
            </w: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Acquisitions, divestitures and other</w:t>
            </w: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Our net cash provided by operating activities is sensitive to many variables, including changes in commodity prices. Commodity price sensitivity also leads to changes in other variables in our business including adjustments to our capital program. Our operating cash flow increased 75%, or $168 million, to $393 million for the nine months ended September 30, 2018 from $225 million in the same period of 2017 primarily due to higher realized prices, including the effect of hedges, and, to a lesser degree, the Elk Hills transaction.</w:t>
      </w:r>
    </w:p>
    <w:p>
      <w:pPr>
        <w:spacing w:after="0" w:line="12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Cash interest increased by $33 million for the nine months ended September 30, 2018 due to higher interest rates on our variable-rate debt. Payments related to taxes other than on income increased $120 million for the nine months ended September 30, 2018 predominantly due to greenhouse gas payments related to prior years' activities. In 2018, changes in working capital, primarily related to these greenhouse gas payments, reduced our operating cash flow by $91 million compared to an increase of $9 million in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8" w:right="239" w:bottom="1440" w:gutter="0" w:footer="0" w:header="0"/>
        </w:sectPr>
      </w:pPr>
    </w:p>
    <w:bookmarkStart w:id="39" w:name="page40"/>
    <w:bookmarkEnd w:id="39"/>
    <w:p>
      <w:pPr>
        <w:ind w:firstLine="324"/>
        <w:spacing w:after="0" w:line="252" w:lineRule="auto"/>
        <w:rPr>
          <w:sz w:val="20"/>
          <w:szCs w:val="20"/>
          <w:color w:val="auto"/>
        </w:rPr>
      </w:pPr>
      <w:r>
        <w:rPr>
          <w:rFonts w:ascii="Arial" w:cs="Arial" w:eastAsia="Arial" w:hAnsi="Arial"/>
          <w:sz w:val="18"/>
          <w:szCs w:val="18"/>
          <w:color w:val="auto"/>
        </w:rPr>
        <w:t>Our net cash used in investing activities of $965 million for the nine months ended September 30, 2018 included approximately $514 million of acquisition costs primarily related to the Elk Hills transaction and our new building in Bakersfield. Cash used in investing activities also included $464 million of capital investments (net of $40 million in capital-related accruals), of which $37 million was funded by BSP. These uses were partially offset by $17 million in proceeds from the sale of non-core assets. Our net cash used in investing activities of $174 million for the nine months ended September 30, 2017 primarily included $206 million of capital investments (net of $ 26 million in capital-related accruals), of which $82 million was funded by BSP. These uses were partially offset by $33 million in proceeds from asset divestitures.</w:t>
      </w:r>
    </w:p>
    <w:p>
      <w:pPr>
        <w:spacing w:after="0" w:line="20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net cash provided by financing activities of $583 million for the nine months ended September 30, 2018 primarily comprised of $796 million in net contributions related to our Ares JV and BSP JV and $52 million primarily from the issuance of common stock to an Ares-led investor group in connection with the Ares JV, partially offset by $153 million of debt repurchases and transaction costs. For the nine months ended September 30, 2017, our net cash used in financing activities of $35 million primarily included approximately $91 million of payments on the 2014 Term Loan and $26 million of debt repurchases and transaction costs, partially offset by $98 million in net contributions related to our BSP JV.</w:t>
      </w:r>
    </w:p>
    <w:p>
      <w:pPr>
        <w:spacing w:after="0" w:line="20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 funding to supplement our capital program, fund acquisitions and for other corporate purposes. In February 2018, we entered into the Ares JV where we received $747 million in net proceeds and raised $50 million in a private placement of our common stock with an Ares-led investor group. The net proceeds from the Ares JV were used to pay off the then outstanding balance on our 2014 Revolving Credit Facility. During 2017, we closed two key JV transactions with BSP and MIRA. Under these arrangements, our JV partners have invested approximately $238 million in our drilling programs from inception through September 30, 2018, some of which is not included in our consolidated results. In April 2018, we acquired the remaining working, surface and mineral interests in the Elk Hills unit for $462 million in cash and 2.85 million shares of CRC common stock. As a result of the transaction, we expect to add operating cash flow in excess of $100 million per year, at about current prices.</w:t>
      </w:r>
    </w:p>
    <w:p>
      <w:pPr>
        <w:spacing w:after="0" w:line="21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Significant changes in oil and natural gas prices have a material impact on our liquidity. Declining commodity prices negatively affect our operating cash flow but lower natural gas prices have a positive effect on operating expenses. The inverse applies during periods of rising commodity prices. To mitigate some of the risk inherent in oil prices, we have utilized various derivative instruments to hedge price risk. We have historically aligned our capital program with our cash flow from operations, and we currently expect to fund our remaining portion of the planned 2018 capital program with cash flow from operations and funds available under our revolving credit facility as needed.</w:t>
      </w:r>
    </w:p>
    <w:p>
      <w:pPr>
        <w:spacing w:after="0" w:line="20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Tax Cuts and Jobs Act enacted in December 2017 provides for 100% bonus depreciation on tangible personal property acquired and placed in service after September 27, 2017 and before December 31, 2022. It also provides for a phase down of bonus depreciation for the years 2023 through 2026. Given our net operating loss and tax credit carryforwards from prior periods coupled with future capital spending eligible for bonus depreciation, we do not expect to pay cash taxes in the foreseeable future.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8"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As of September 30, 2018,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2,122</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5,108</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3810</wp:posOffset>
            </wp:positionV>
            <wp:extent cx="960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20955</wp:posOffset>
            </wp:positionV>
            <wp:extent cx="960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Note: For a detailed description of our credit agreements, second lien notes and senior notes, please see our most recent Form 10-K for the year ended December 31, 2017.</w:t>
      </w:r>
    </w:p>
    <w:p>
      <w:pPr>
        <w:spacing w:after="0" w:line="1" w:lineRule="exact"/>
        <w:rPr>
          <w:sz w:val="20"/>
          <w:szCs w:val="20"/>
          <w:color w:val="auto"/>
        </w:rPr>
      </w:pPr>
    </w:p>
    <w:p>
      <w:pPr>
        <w:ind w:left="660" w:right="24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$335 million in June 2021, $67 million in December 2021 and $70 million in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September 30, 2018, we had approximately $490 million of available borrowing capacity, subject to a $150 million month-end minimum liquidity requirement. The borrowing base under this facility was reaffirmed at $2.3 billion in October 2018. Our $ 1 billion senior revolving loan facility (2014 Revolving Credit Facility) also includes a sub-limit of $ 400 million for the issuance of letters of credit. As of September 30, 2018 and December 31, 2017, we had letters of credit outstanding of approximately $167 million and $148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third quarter of 2018, we repurchased $31 million in aggregate principal amount of our 8% senior secured second lien notes due December 15, 2022 (Second Lien Notes) and $1 million of our 6% senior notes due November 15, 2024 (2024 Notes) for $30 million, resulting in a $2 million pre-tax gain, net of a reduction in deferred issuance costs. In the nine months ended September 30, 2018, we repurchased $128 million and $49 million in aggregate principal amount of our Second Lien Notes and our 2024 Notes, respectively, for $149 million in cash resulting in a pre-tax gain of $26 million, net of a reduction in deferred issuance costs.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On August 20, 2018, we entered into an amendment to the 2014 Credit Agreement. The 2014 Credit Agreement was amended to, among other things:</w:t>
      </w:r>
    </w:p>
    <w:p>
      <w:pPr>
        <w:spacing w:after="0" w:line="196" w:lineRule="exact"/>
        <w:rPr>
          <w:sz w:val="20"/>
          <w:szCs w:val="20"/>
          <w:color w:val="auto"/>
        </w:rPr>
      </w:pP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us to draw on our revolver to repurchase our Second Lien Notes and Senior Notes at a discount to par in an amount up to $300 million;</w:t>
      </w:r>
    </w:p>
    <w:p>
      <w:pPr>
        <w:ind w:left="660" w:right="2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us to draw on our revolver to repurchase our Second Lien Notes and Senior Notes at a discount to par, without regard to time limit, in an amount not to exceed a specified portion of proceeds from future dispositions of certain assets;</w:t>
      </w:r>
    </w:p>
    <w:p>
      <w:pPr>
        <w:ind w:left="660" w:right="3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any repurchase of certain of our indebtedness, increase the minimum liquidity required to make such repurchase (calculated on a pro forma basis after giving effect to the repurchase) from $250 million to $300 million; and</w:t>
      </w:r>
    </w:p>
    <w:p>
      <w:pPr>
        <w:ind w:left="660" w:right="20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ability to refinance our outstanding term loans under our 2017 Credit Agreement and 2016 Credit Agreement, Second Lien Notes and Senior Notes, in each case by allowing the use of permitted refinancing indebtedness for such refinancing so long as certain conditions are met.</w:t>
      </w:r>
    </w:p>
    <w:p>
      <w:pPr>
        <w:spacing w:after="0" w:line="1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September 18, 2018, we entered into an amendment to the 2017 Credit Agreement. The 2017 Credit Agreement was amended to, among other things:</w:t>
      </w:r>
    </w:p>
    <w:p>
      <w:pPr>
        <w:spacing w:after="0" w:line="184" w:lineRule="exact"/>
        <w:rPr>
          <w:sz w:val="20"/>
          <w:szCs w:val="20"/>
          <w:color w:val="auto"/>
        </w:rPr>
      </w:pPr>
    </w:p>
    <w:p>
      <w:pPr>
        <w:ind w:left="660" w:right="120" w:hanging="247"/>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us to repurchase our Second Lien Notes and Senior Notes at a discount to par, without regard to time limit, in an amount not to exceed a specified portion of proceeds from dispositions of certain assets; and</w:t>
      </w:r>
    </w:p>
    <w:p>
      <w:pPr>
        <w:ind w:left="660" w:right="620" w:hanging="247"/>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ability to refinance our outstanding Second Lien Notes, Senior Notes and 2016 Credit Agreement, in each case by allowing the use of permitted refinancing indebtedness for such refinancing so long as certain conditions are met.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we were in compliance with all financial and other debt covenants.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September 30, 2018 would result in a $3 million change in annual interest expense.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76"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also includes our hedging program. We currently have the following Brent-based crude oil contracts, including contracts entered into subsequent to September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Q4</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Q1</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Q2</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Q3</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b w:val="1"/>
                <w:bCs w:val="1"/>
                <w:color w:val="auto"/>
              </w:rPr>
              <w:t>Q1</w:t>
            </w:r>
          </w:p>
        </w:tc>
      </w:tr>
      <w:tr>
        <w:trPr>
          <w:trHeight w:val="228"/>
        </w:trPr>
        <w:tc>
          <w:tcPr>
            <w:tcW w:w="4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Calls: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Calls: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5" w:lineRule="exact"/>
        <w:rPr>
          <w:sz w:val="20"/>
          <w:szCs w:val="20"/>
          <w:color w:val="auto"/>
        </w:rPr>
      </w:pPr>
    </w:p>
    <w:p>
      <w:pPr>
        <w:ind w:left="660" w:right="220" w:hanging="328"/>
        <w:spacing w:after="0" w:line="258"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BSP JV entered into crude oil derivatives that are included in our consolidated results but not in the above table. The hedges entered into by the BSP JV could affect the timing of the redemption of the JV interest. The BSP JV sold calls for up to approximately 1,000 barrels per day at a weighted-average price per barrel of $60.00 per barrel for 2018 through 2020. The BSP JV purchased puts for up to approximately 2,000 barrels per day at a weighted-average price per barrel of approximately $50.00 for 2018 through 2021. The BSP JV also entered into natural gas swaps for insignificant volumes for periods through May 2021.</w:t>
      </w:r>
    </w:p>
    <w:p>
      <w:pPr>
        <w:spacing w:after="0" w:line="188"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9 Derivatives</w:t>
      </w:r>
      <w:r>
        <w:rPr>
          <w:rFonts w:ascii="Arial" w:cs="Arial" w:eastAsia="Arial" w:hAnsi="Arial"/>
          <w:sz w:val="18"/>
          <w:szCs w:val="18"/>
          <w:color w:val="auto"/>
        </w:rPr>
        <w:t xml:space="preserve"> in the Notes to the Condensed Consolidated Financial Statements included in Part I of this Form 10-Q for more information on the outcomes of our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2018 Capital Program</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2018 capital program ranges from $720 million to $ 750 million (including approximately $100 million of JV capital). This program reflects management's strategy to align the capital program with stronger-than-expected cash flows from commodity price improvements and increased production and synergies from the Elk Hills transaction. The additional capital will allow us to sustain current workover and facility activity through the end of the year. The 2018 capital is being deployed primarily to drilling, workovers and facilities projects in the San Joaquin, Los Angeles and Ventura basins. Total capital (including JV capital) was $550 million for the nine months ended September 30, 2018, of which $467 million was internally funded.</w:t>
      </w:r>
    </w:p>
    <w:p>
      <w:pPr>
        <w:spacing w:after="0" w:line="20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are focusing our 2018 capital on oil projects, which provide high margins and low decline rates that we believe will generate cash flow to fund increasing capital budgets that will grow production. Our approach to our 2018 drilling program is consistent with our stated strategy to remain financially disciplined. We continue to deploy our partners' capital as part of our BSP and MIRA joint ventures and opportunistically pursue additional strategic relationships. We will deploy capital to projects that help continue to stabilize our production, develop our long-term resources and enhance our production growth profile. Our current drilling inventory comprises a diversified portfolio of oil and natural gas locations that are economically viable in a variety of operating and commodity price conditions. This includes our core fields of Elk Hills, Buena Vista, Wilmington, Huntington Beach and Kern Front, and the continued delineation and appraisal of our assets that offer future value-driven growth such as the fields in the Ventura and southern San Joaquin areas.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2018 drilling program includes development of conventional and unconventional resources. The depth of our primary conventional wells is expected to range from 2,000 to 15,000 feet. With a significant reduction in our drilling costs since 2014, many of our deep conventional and unconventional wells have become more competitive. We expect to use approximately 60% of our total capital (including JV capital) on drilling projects. Our program continues to focus on conventional drilling across our primary assets, including Wilmington, Huntington Beach, Kern Front, Buena Vista, Mount Poso and fields in the southern San Joaquin areas.</w:t>
      </w:r>
    </w:p>
    <w:p>
      <w:pPr>
        <w:spacing w:after="0" w:line="206" w:lineRule="exact"/>
        <w:rPr>
          <w:sz w:val="20"/>
          <w:szCs w:val="20"/>
          <w:color w:val="auto"/>
        </w:rPr>
      </w:pPr>
    </w:p>
    <w:p>
      <w:pPr>
        <w:ind w:right="540" w:firstLine="324"/>
        <w:spacing w:after="0" w:line="256" w:lineRule="auto"/>
        <w:rPr>
          <w:sz w:val="20"/>
          <w:szCs w:val="20"/>
          <w:color w:val="auto"/>
        </w:rPr>
      </w:pPr>
      <w:r>
        <w:rPr>
          <w:rFonts w:ascii="Arial" w:cs="Arial" w:eastAsia="Arial" w:hAnsi="Arial"/>
          <w:sz w:val="18"/>
          <w:szCs w:val="18"/>
          <w:color w:val="auto"/>
        </w:rPr>
        <w:t>We also plan to use 14% of our 2018 capital program for capital workovers on existing well bores. Capital workovers are some of the highest value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Further, approximately 22% of our 2018 capital program is intended for facilities for our newer projects, including pipeline and gathering line interconnections, gas compression, water management systems, associated safety and environmental controls, and also for maintaining the mechanical integrity, safety and environmental performance of existing systems. About 3% is proposed for exploration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Contingencies and Commitments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2018 and December 31, 2017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September 30, 2018, we are not aware of material indemnity claims pending or threatened against us.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4" w:name="page45"/>
    <w:bookmarkEnd w:id="44"/>
    <w:p>
      <w:pPr>
        <w:ind w:right="20" w:firstLine="324"/>
        <w:spacing w:after="0" w:line="256" w:lineRule="auto"/>
        <w:rPr>
          <w:sz w:val="20"/>
          <w:szCs w:val="20"/>
          <w:color w:val="auto"/>
        </w:rPr>
      </w:pPr>
      <w:r>
        <w:rPr>
          <w:rFonts w:ascii="Arial" w:cs="Arial" w:eastAsia="Arial" w:hAnsi="Arial"/>
          <w:sz w:val="18"/>
          <w:szCs w:val="18"/>
          <w:color w:val="auto"/>
        </w:rPr>
        <w:t>In October 2018, we settled the examination by the Internal Revenue Service (IRS) of our U.S. federal income tax returns for the post-Spin-off period in 2014 and calendar year 2015. There were no changes to our tax filings as a result of the examination. We remain subject to examination by the IRS for calendar years 2016 and 2017 as well as for all periods subsequent to the Spin-off by the state of California.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in the Notes to the Condensed Consolidated Financial Statements included in Part I of this Form 10-Q for a discussion of new accounting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Regarding Outlook and Forward-Looking Information</w:t>
      </w:r>
    </w:p>
    <w:p>
      <w:pPr>
        <w:spacing w:after="0" w:line="24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information in this document includes forward-looking statements that involve risks and uncertainties that could materially affect our expected results of operations, liquidity, cash flows and business prospects. Such statements specifically include our expectations as to our future financial position, liquidity, cash flows and results of operations; business prospects; transactions and projects; operating costs; Value Creation Index metrics, which are based on certain estimates including future production rates, costs and commodity prices; operations and operational results, including production, hedging and capital investment; budgets and maintenance capital requirements; reserves; type curves; and expected synergies from acquisitions and joint ventures. Actual results may differ from anticipated results, sometimes materially, and reported results should not be considered an indication of future performance. While we believe such assumptions or bases to be reasonable and make them in good faith, they almost always vary from actual results, sometimes materially. We also believe third-party statements we cite are accurate, but we have not independently verified such statements. You can typically identify forward-looking statements by words such as aim, anticipate, believe, budget, continue, could, effort, estimate, expect, forecast, goal, guidance, intend, likely, may, might, objective, outlook, plan, potential, predict, project, seek, should, target, will or would and other similar words that reflect the prospective nature of events or outcomes. Material risks that may affect our results of operations and financial position appear in Part I, Item 1A, Risk Factors of the 2017 Form 10-K.</w:t>
      </w:r>
    </w:p>
    <w:p>
      <w:pPr>
        <w:spacing w:after="0" w:line="13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Factors (but not necessarily all the factors) that could cause results to differ include: commodity price changes; debt limitations on our financial flexibility; insufficient cash flow to fund planned investments, debt repurchases or changes to our capital plan; inability to enter desirable transactions, including acquisitions, asset sales and joint ventures; 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 joint ventures and acquisitions and our ability to achieve expected synergies; the recoverability of resources and unexpected geologic conditions; incorrect estimates of reserves and related future cash flows and the inability to replace reserves; changes in business strategy; PSC effects on production and unit production costs; effect of stock price on costs associated with incentive compensation; insufficient capital, including as a result of lender restrictions, unavailability of capital markets or inability to attract potential investors; effects of hedging transactions; equipment, service or labor price inflation or unavailability availability or timing of, or conditions imposed on, permits and approvals; lower-than-expected production, reserves or resources from development projects, joint ventures or acquisitions, or higher-than-expected decline rates; disruptions due to accidents, mechanical failures, transportation or storage constraints, natural disasters, labor difficulties, cyber attacks or other catastrophic events. 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2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All forward-looking statements, expressed or implied, included in this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8" w:right="239" w:bottom="1440" w:gutter="0" w:footer="0" w:header="0"/>
        </w:sectPr>
      </w:pPr>
    </w:p>
    <w:bookmarkStart w:id="45" w:name="page46"/>
    <w:bookmarkEnd w:id="45"/>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For the three and nine months ended September 30, 2018, there were no material changes in the information required to be provided under Item 305 of Regulation S-K included under the caption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(Incorporating Item 7A) – Quantitative and Qualitative Disclosures About Market Risk </w:t>
      </w:r>
      <w:r>
        <w:rPr>
          <w:rFonts w:ascii="Arial" w:cs="Arial" w:eastAsia="Arial" w:hAnsi="Arial"/>
          <w:sz w:val="18"/>
          <w:szCs w:val="18"/>
          <w:color w:val="auto"/>
        </w:rPr>
        <w:t>in the 2017 Form 10-K, except as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7"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 xml:space="preserve">As of September 30, 2018, we had a net derivative liability of $ 153 million carried at fair value, as determined from prices provided by external sources that are not actively quoted, which expire through 2021. See additional hedging information in </w:t>
      </w:r>
      <w:r>
        <w:rPr>
          <w:rFonts w:ascii="Arial" w:cs="Arial" w:eastAsia="Arial" w:hAnsi="Arial"/>
          <w:sz w:val="18"/>
          <w:szCs w:val="18"/>
          <w:i w:val="1"/>
          <w:iCs w:val="1"/>
          <w:color w:val="auto"/>
        </w:rPr>
        <w:t>Item 2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6"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As of September 30, 2018, the substantial majority of the credit exposures related to our business was with investment-grade counterparties. We believe exposure to credit-related losses related to our business at September 30, 2018 was not material and losses associated with credit risk have been insignificant for all years presented.</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jc w:val="both"/>
        <w:ind w:right="40" w:firstLine="324"/>
        <w:spacing w:after="0" w:line="253"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September 30, 2018.</w:t>
      </w:r>
    </w:p>
    <w:p>
      <w:pPr>
        <w:spacing w:after="0" w:line="16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Securities Exchange Act of 1934) that has materially affected, or is reasonably likely to materially affect, our internal control over financial reporting.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76" w:right="259" w:bottom="1440" w:gutter="0" w:footer="0" w:header="0"/>
        </w:sectPr>
      </w:pPr>
    </w:p>
    <w:bookmarkStart w:id="46" w:name="page47"/>
    <w:bookmarkEnd w:id="46"/>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8 Lawsuits, Claims and Contingencies</w:t>
      </w:r>
      <w:r>
        <w:rPr>
          <w:rFonts w:ascii="Arial" w:cs="Arial" w:eastAsia="Arial" w:hAnsi="Arial"/>
          <w:sz w:val="18"/>
          <w:szCs w:val="18"/>
          <w:color w:val="auto"/>
        </w:rPr>
        <w:t xml:space="preserve"> in the Notes to the Condensed Consolidated Financial Statements included in Part I of this Form 10-Q;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the Form 10-Q for the quarter ended March 31, 2018 and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the Form 10-K for the year ended December 31, 2017.</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2017.</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6"/>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53"/>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Eighth Amendment to 2014 Credit Agreement, dated August 20, 2018 (filed as Exhibit 10.1 to the Company’s Current Report</w:t>
            </w:r>
          </w:p>
        </w:tc>
      </w:tr>
      <w:tr>
        <w:trPr>
          <w:trHeight w:val="217"/>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on Form 8-K filed on August 24, 2018, and incorporated herein by reference).</w:t>
            </w:r>
          </w:p>
        </w:tc>
      </w:tr>
      <w:tr>
        <w:trPr>
          <w:trHeight w:val="364"/>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First Amendment to 2017 Credit Agreement, dated September 18, 2018 (filed as Exhibit 10.1 to the Company’s Current Report</w:t>
            </w:r>
          </w:p>
        </w:tc>
      </w:tr>
      <w:tr>
        <w:trPr>
          <w:trHeight w:val="217"/>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on Form 8-K filed on September 18, 2018, and incorporated herein by reference).</w:t>
            </w:r>
          </w:p>
        </w:tc>
      </w:tr>
      <w:tr>
        <w:trPr>
          <w:trHeight w:val="338"/>
        </w:trPr>
        <w:tc>
          <w:tcPr>
            <w:tcW w:w="900" w:type="dxa"/>
            <w:vAlign w:val="bottom"/>
          </w:tcPr>
          <w:p>
            <w:pPr>
              <w:ind w:lef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Computation of Ratios of Earnings to Fixed Charges.</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2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of CEO Pursuant to Section 302 of the Sarbanes-Oxley Act of 2002.</w:t>
              </w:r>
            </w:hyperlink>
          </w:p>
        </w:tc>
        <w:tc>
          <w:tcPr>
            <w:tcW w:w="3680" w:type="dxa"/>
            <w:vAlign w:val="bottom"/>
            <w:gridSpan w:val="2"/>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Certification of CFO Pursuant to Section 302 of the Sarbanes-Oxley Act of 2002.</w:t>
              </w:r>
            </w:hyperlink>
          </w:p>
        </w:tc>
        <w:tc>
          <w:tcPr>
            <w:tcW w:w="3700" w:type="dxa"/>
            <w:vAlign w:val="bottom"/>
            <w:gridSpan w:val="3"/>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Certifications of CEO and CFO Pursuant to Section 906 of the Sarbanes-Oxley Act of 2002.</w:t>
              </w:r>
            </w:hyperlink>
          </w:p>
        </w:tc>
        <w:tc>
          <w:tcPr>
            <w:tcW w:w="2820" w:type="dxa"/>
            <w:vAlign w:val="bottom"/>
          </w:tcPr>
          <w:p>
            <w:pPr>
              <w:spacing w:after="0"/>
              <w:rPr>
                <w:sz w:val="24"/>
                <w:szCs w:val="24"/>
                <w:color w:val="auto"/>
              </w:rPr>
            </w:pPr>
          </w:p>
        </w:tc>
      </w:tr>
      <w:tr>
        <w:trPr>
          <w:trHeight w:val="399"/>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 Filed herewith</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7"/>
          <w:szCs w:val="17"/>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225" w:lineRule="exact"/>
        <w:rPr>
          <w:sz w:val="20"/>
          <w:szCs w:val="20"/>
          <w:color w:val="auto"/>
        </w:rPr>
      </w:pPr>
    </w:p>
    <w:p>
      <w:pPr>
        <w:jc w:val="both"/>
        <w:ind w:right="420" w:firstLine="324"/>
        <w:spacing w:after="0" w:line="262" w:lineRule="auto"/>
        <w:rPr>
          <w:sz w:val="20"/>
          <w:szCs w:val="20"/>
          <w:color w:val="auto"/>
        </w:rPr>
      </w:pPr>
      <w:r>
        <w:rPr>
          <w:rFonts w:ascii="Arial" w:cs="Arial" w:eastAsia="Arial" w:hAnsi="Arial"/>
          <w:sz w:val="18"/>
          <w:szCs w:val="18"/>
          <w:color w:val="auto"/>
        </w:rPr>
        <w:t>The following table sets forth our historical ratios of earnings to fixed charges for the periods indicated. You should read these ratios of earnings to fixed charges in connection with our consolidated and combined financial statements, including the notes to those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8"/>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(in millions, except ratios)</w:t>
            </w:r>
          </w:p>
        </w:tc>
        <w:tc>
          <w:tcPr>
            <w:tcW w:w="20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(a)</w:t>
            </w: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(b)(c)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charges</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Capitalized interest</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Earnings (loss) before fixed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FIXED CHARGES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debt expense, net</w:t>
            </w:r>
            <w:r>
              <w:rPr>
                <w:rFonts w:ascii="Arial" w:cs="Arial" w:eastAsia="Arial" w:hAnsi="Arial"/>
                <w:sz w:val="21"/>
                <w:szCs w:val="21"/>
                <w:color w:val="auto"/>
                <w:vertAlign w:val="superscript"/>
              </w:rPr>
              <w:t>(d)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16"/>
                <w:szCs w:val="16"/>
                <w:color w:val="auto"/>
              </w:rPr>
              <w:t>Capitalized interest</w:t>
            </w:r>
          </w:p>
        </w:tc>
        <w:tc>
          <w:tcPr>
            <w:tcW w:w="20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Rental expense representative of interest factor</w:t>
            </w: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7"/>
        </w:trPr>
        <w:tc>
          <w:tcPr>
            <w:tcW w:w="5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00" w:type="dxa"/>
            <w:vAlign w:val="bottom"/>
          </w:tcPr>
          <w:p>
            <w:pPr>
              <w:spacing w:after="0"/>
              <w:rPr>
                <w:sz w:val="24"/>
                <w:szCs w:val="24"/>
                <w:color w:val="auto"/>
              </w:rPr>
            </w:pPr>
          </w:p>
        </w:tc>
        <w:tc>
          <w:tcPr>
            <w:tcW w:w="1540" w:type="dxa"/>
            <w:vAlign w:val="bottom"/>
            <w:gridSpan w:val="2"/>
          </w:tcPr>
          <w:p>
            <w:pPr>
              <w:ind w:left="10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720" w:type="dxa"/>
            <w:vAlign w:val="bottom"/>
            <w:gridSpan w:val="2"/>
          </w:tcPr>
          <w:p>
            <w:pPr>
              <w:ind w:left="2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4"/>
                <w:szCs w:val="24"/>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67"/>
        </w:trPr>
        <w:tc>
          <w:tcPr>
            <w:tcW w:w="5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INSUFFICIENT COVERAGE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5,485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16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Note: If we had been a stand-alone company for the full year 2014 and had the same level of debt throughout the year as we did on December 31, 2014, of approximately $6.4 billion, we would have incurred $314 million of pre-tax interest expense, on a pro-forma basis, for the year ended December 31, 2014, compared to the $72 million pre-tax interest expense reported on our statement of operations for the year then ended. Therefore, the insufficient coverage on a pro-forma basis would have been approximately $2,667 million.</w:t>
      </w:r>
    </w:p>
    <w:p>
      <w:pPr>
        <w:spacing w:after="0" w:line="147" w:lineRule="exact"/>
        <w:rPr>
          <w:rFonts w:ascii="Arial" w:cs="Arial" w:eastAsia="Arial" w:hAnsi="Arial"/>
          <w:sz w:val="14"/>
          <w:szCs w:val="14"/>
          <w:color w:val="auto"/>
        </w:rPr>
      </w:pPr>
    </w:p>
    <w:p>
      <w:pPr>
        <w:ind w:left="340" w:right="6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nine months ended September 30, 2018 amount includes unusual, infrequent and other items consisting of $71 million of non-cash derivative losses on outstanding hedges, $26 million of net gains on the early extinguishment of debt, $4 million of gains from asset divestitures and $12 million of other unusual and infrequent charges. Excluding these items, our earnings before fixed charges for the nine months ended September 30, 2018 would have been approximately $377 million. Therefore, our ratio of earnings to fixed charges would have been 1.1.</w:t>
      </w:r>
    </w:p>
    <w:p>
      <w:pPr>
        <w:spacing w:after="0" w:line="147" w:lineRule="exact"/>
        <w:rPr>
          <w:rFonts w:ascii="Arial" w:cs="Arial" w:eastAsia="Arial" w:hAnsi="Arial"/>
          <w:sz w:val="14"/>
          <w:szCs w:val="14"/>
          <w:color w:val="auto"/>
        </w:rPr>
      </w:pPr>
    </w:p>
    <w:p>
      <w:pPr>
        <w:ind w:left="340" w:right="8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year ended December 31, 2017 amount includes unusual and infrequent items consisting of $78 million of non-cash derivative losses on outstanding hedges, $21 million of gains from asset divestitures, $4 million of net gains on the early extinguishment of debt and $26 million of other unusual, out-of-period and infrequent charges. Excluding these items, our earnings before fixed charges for the year ended December 31, 2017 would have been approximately $160 million. Therefore, the insufficient coverage would have been approximately $190 million.</w:t>
      </w:r>
    </w:p>
    <w:p>
      <w:pPr>
        <w:spacing w:after="0" w:line="147" w:lineRule="exact"/>
        <w:rPr>
          <w:rFonts w:ascii="Arial" w:cs="Arial" w:eastAsia="Arial" w:hAnsi="Arial"/>
          <w:sz w:val="14"/>
          <w:szCs w:val="14"/>
          <w:color w:val="auto"/>
        </w:rPr>
      </w:pPr>
    </w:p>
    <w:p>
      <w:pPr>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2016 amount includes unusual and infrequent items consisting of $805 million of net gains on the early extinguishment of debt, $283 million of non-cash derivative losses on outstanding hedges, $30 million of gains from asset divestitures and $12 million deferred debt issuance cost write-off and $7 million, net, of other unusual and infrequent charges. Excluding these items, our loss before fixed charges for the year ended December 31, 2016 would have been approximately $0. Therefore, the insufficient coverage would have been approximately $334 million.</w:t>
      </w:r>
    </w:p>
    <w:p>
      <w:pPr>
        <w:spacing w:after="0" w:line="147" w:lineRule="exact"/>
        <w:rPr>
          <w:rFonts w:ascii="Arial" w:cs="Arial" w:eastAsia="Arial" w:hAnsi="Arial"/>
          <w:sz w:val="14"/>
          <w:szCs w:val="14"/>
          <w:color w:val="auto"/>
        </w:rPr>
      </w:pPr>
    </w:p>
    <w:p>
      <w:pPr>
        <w:jc w:val="both"/>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2015 amount includes unusual and infrequent items consisting of $4.9 billion of asset impairments, $71 million of write-down of certain assets, $67 million of early retirement and severance costs, $28 million of debt issuance costs and $11 million of rig termination and other costs, partially offset by $52 million of non-cash derivative gains and $20 million of net gains on the early extinguishment of debt. Excluding these items, our loss before fixed charges for the year ended December 31, 2015 would have been approximately $189 million. Therefore, the insufficient coverage would have been approximately $528 million.</w:t>
      </w:r>
    </w:p>
    <w:p>
      <w:pPr>
        <w:spacing w:after="0" w:line="147" w:lineRule="exact"/>
        <w:rPr>
          <w:rFonts w:ascii="Arial" w:cs="Arial" w:eastAsia="Arial" w:hAnsi="Arial"/>
          <w:sz w:val="14"/>
          <w:szCs w:val="14"/>
          <w:color w:val="auto"/>
        </w:rPr>
      </w:pPr>
    </w:p>
    <w:p>
      <w:pPr>
        <w:jc w:val="both"/>
        <w:ind w:left="340" w:right="260"/>
        <w:spacing w:after="0" w:line="250" w:lineRule="auto"/>
        <w:rPr>
          <w:rFonts w:ascii="Arial" w:cs="Arial" w:eastAsia="Arial" w:hAnsi="Arial"/>
          <w:sz w:val="14"/>
          <w:szCs w:val="14"/>
          <w:color w:val="auto"/>
        </w:rPr>
      </w:pPr>
      <w:r>
        <w:rPr>
          <w:rFonts w:ascii="Arial" w:cs="Arial" w:eastAsia="Arial" w:hAnsi="Arial"/>
          <w:sz w:val="14"/>
          <w:szCs w:val="14"/>
          <w:color w:val="auto"/>
        </w:rPr>
        <w:t>The December 31, 2014 amount includes unusual and infrequent items consisting of $3.4 billion of asset impairments, $52 million of rig termination and other price-related costs, and $55 million of Spin-off and transition related costs. Excluding these items, our earnings before fixed charges for the year ended December 31, 2014 would have been approximately $1.2 billion, and the ratio of earnings to fixed charges would have been 14.7.</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$58 million of amortization of deferred gains for the nine months ended September 30, 2018.</w:t>
      </w:r>
    </w:p>
    <w:p>
      <w:pPr>
        <w:sectPr>
          <w:pgSz w:w="11900" w:h="16838" w:orient="portrait"/>
          <w:cols w:equalWidth="0" w:num="1">
            <w:col w:w="11420"/>
          </w:cols>
          <w:pgMar w:left="240" w:top="33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jc w:val="both"/>
        <w:ind w:left="660" w:right="20" w:hanging="328"/>
        <w:spacing w:after="0" w:line="24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7"/>
          <w:szCs w:val="17"/>
          <w:color w:val="auto"/>
        </w:rPr>
      </w:pPr>
    </w:p>
    <w:p>
      <w:pPr>
        <w:ind w:left="660" w:right="60" w:hanging="328"/>
        <w:spacing w:after="0" w:line="26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 2018</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25400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 2018</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September 30, 2018, as filed with the Securities and Exchange Commission on November 1, 2018 (the “Report”), Todd A. Stevens, as Chief Executive Officer of the Company, and Marshall D. Smith, as Chief Financial Officer of the Company, each hereby certifies, pursuant to 18 U.S.C. §1350, as adopted pursuant to §906 of the Sarbanes-Oxley Act of 2002, that, to the best of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November 1, 2018</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November 1, 2018</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2019-12-28T18:27:35Z</dcterms:created>
  <dcterms:modified xsi:type="dcterms:W3CDTF">2019-12-28T18:27:35Z</dcterms:modified>
</cp:coreProperties>
</file>