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2"/>
          <w:szCs w:val="12"/>
          <w:b w:val="1"/>
          <w:bCs w:val="1"/>
          <w:color w:val="auto"/>
        </w:rPr>
        <w:t>As filed with the Securities and Exchange Commission on February 26, 2020</w:t>
      </w:r>
    </w:p>
    <w:p>
      <w:pPr>
        <w:spacing w:after="0" w:line="186" w:lineRule="exact"/>
        <w:rPr>
          <w:sz w:val="24"/>
          <w:szCs w:val="24"/>
          <w:color w:val="auto"/>
        </w:rPr>
      </w:pPr>
    </w:p>
    <w:p>
      <w:pPr>
        <w:ind w:left="9660"/>
        <w:spacing w:after="0"/>
        <w:rPr>
          <w:sz w:val="20"/>
          <w:szCs w:val="20"/>
          <w:color w:val="auto"/>
        </w:rPr>
      </w:pPr>
      <w:r>
        <w:rPr>
          <w:rFonts w:ascii="Arial" w:cs="Arial" w:eastAsia="Arial" w:hAnsi="Arial"/>
          <w:sz w:val="13"/>
          <w:szCs w:val="13"/>
          <w:b w:val="1"/>
          <w:bCs w:val="1"/>
          <w:color w:val="auto"/>
        </w:rPr>
        <w:t>Registration No. 333-228426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4" w:lineRule="auto"/>
        <w:rPr>
          <w:sz w:val="20"/>
          <w:szCs w:val="20"/>
          <w:color w:val="auto"/>
        </w:rPr>
      </w:pPr>
      <w:r>
        <w:rPr>
          <w:rFonts w:ascii="Arial" w:cs="Arial" w:eastAsia="Arial" w:hAnsi="Arial"/>
          <w:sz w:val="18"/>
          <w:szCs w:val="18"/>
          <w:b w:val="1"/>
          <w:bCs w:val="1"/>
          <w:color w:val="auto"/>
        </w:rPr>
        <w:t>Washington, D.C. 20549</w:t>
      </w:r>
    </w:p>
    <w:p>
      <w:pPr>
        <w:ind w:left="4900"/>
        <w:spacing w:after="0" w:line="229" w:lineRule="auto"/>
        <w:rPr>
          <w:sz w:val="20"/>
          <w:szCs w:val="20"/>
          <w:color w:val="auto"/>
        </w:rPr>
      </w:pPr>
      <w:r>
        <w:rPr>
          <w:rFonts w:ascii="Arial" w:cs="Arial" w:eastAsia="Arial" w:hAnsi="Arial"/>
          <w:sz w:val="18"/>
          <w:szCs w:val="18"/>
          <w:color w:val="auto"/>
        </w:rPr>
        <w:t>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Post-Effective Amendment No. 1</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S-3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jc w:val="center"/>
        <w:ind w:right="-19"/>
        <w:spacing w:after="0" w:line="234" w:lineRule="auto"/>
        <w:rPr>
          <w:sz w:val="20"/>
          <w:szCs w:val="20"/>
          <w:color w:val="auto"/>
        </w:rPr>
      </w:pPr>
      <w:r>
        <w:rPr>
          <w:rFonts w:ascii="Arial" w:cs="Arial" w:eastAsia="Arial" w:hAnsi="Arial"/>
          <w:sz w:val="18"/>
          <w:szCs w:val="18"/>
          <w:b w:val="1"/>
          <w:bCs w:val="1"/>
          <w:i w:val="1"/>
          <w:iCs w:val="1"/>
          <w:color w:val="auto"/>
        </w:rPr>
        <w:t>Under</w:t>
      </w:r>
    </w:p>
    <w:p>
      <w:pPr>
        <w:jc w:val="center"/>
        <w:ind w:right="-19"/>
        <w:spacing w:after="0" w:line="235" w:lineRule="auto"/>
        <w:rPr>
          <w:sz w:val="20"/>
          <w:szCs w:val="20"/>
          <w:color w:val="auto"/>
        </w:rPr>
      </w:pPr>
      <w:r>
        <w:rPr>
          <w:rFonts w:ascii="Arial" w:cs="Arial" w:eastAsia="Arial" w:hAnsi="Arial"/>
          <w:sz w:val="18"/>
          <w:szCs w:val="18"/>
          <w:b w:val="1"/>
          <w:bCs w:val="1"/>
          <w:i w:val="1"/>
          <w:iCs w:val="1"/>
          <w:color w:val="auto"/>
        </w:rPr>
        <w:t>THE SECURITIES ACT OF 1933</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California Resources Corporation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6"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_______________________</w:t>
      </w:r>
    </w:p>
    <w:p>
      <w:pPr>
        <w:sectPr>
          <w:pgSz w:w="11900" w:h="16838" w:orient="portrait"/>
          <w:cols w:equalWidth="0" w:num="1">
            <w:col w:w="11420"/>
          </w:cols>
          <w:pgMar w:left="240" w:top="657" w:right="239" w:bottom="1440" w:gutter="0" w:footer="0" w:header="0"/>
        </w:sectPr>
      </w:pPr>
    </w:p>
    <w:p>
      <w:pPr>
        <w:spacing w:after="0" w:line="73"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46-5670947</w:t>
      </w:r>
    </w:p>
    <w:p>
      <w:pPr>
        <w:spacing w:after="0" w:line="90" w:lineRule="exact"/>
        <w:rPr>
          <w:sz w:val="24"/>
          <w:szCs w:val="24"/>
          <w:color w:val="auto"/>
        </w:rPr>
      </w:pPr>
    </w:p>
    <w:p>
      <w:pPr>
        <w:sectPr>
          <w:pgSz w:w="11900" w:h="16838" w:orient="portrait"/>
          <w:cols w:equalWidth="0" w:num="2">
            <w:col w:w="7460" w:space="720"/>
            <w:col w:w="3240"/>
          </w:cols>
          <w:pgMar w:left="240" w:top="657" w:right="239" w:bottom="1440" w:gutter="0" w:footer="0" w:header="0"/>
          <w:type w:val="continuous"/>
        </w:sectPr>
      </w:pPr>
    </w:p>
    <w:p>
      <w:pPr>
        <w:jc w:val="center"/>
        <w:ind w:right="1600"/>
        <w:spacing w:after="0"/>
        <w:rPr>
          <w:sz w:val="20"/>
          <w:szCs w:val="20"/>
          <w:color w:val="auto"/>
        </w:rPr>
      </w:pPr>
      <w:r>
        <w:rPr>
          <w:rFonts w:ascii="Arial" w:cs="Arial" w:eastAsia="Arial" w:hAnsi="Arial"/>
          <w:sz w:val="13"/>
          <w:szCs w:val="13"/>
          <w:color w:val="auto"/>
        </w:rPr>
        <w:t>(State or other jurisdiction</w:t>
      </w:r>
    </w:p>
    <w:p>
      <w:pPr>
        <w:spacing w:after="0" w:line="25" w:lineRule="exact"/>
        <w:rPr>
          <w:sz w:val="24"/>
          <w:szCs w:val="24"/>
          <w:color w:val="auto"/>
        </w:rPr>
      </w:pPr>
    </w:p>
    <w:p>
      <w:pPr>
        <w:jc w:val="center"/>
        <w:ind w:right="160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99" w:lineRule="exact"/>
        <w:rPr>
          <w:sz w:val="24"/>
          <w:szCs w:val="24"/>
          <w:color w:val="auto"/>
        </w:rPr>
      </w:pPr>
    </w:p>
    <w:p>
      <w:pPr>
        <w:sectPr>
          <w:pgSz w:w="11900" w:h="16838" w:orient="portrait"/>
          <w:cols w:equalWidth="0" w:num="2">
            <w:col w:w="7320" w:space="720"/>
            <w:col w:w="3380"/>
          </w:cols>
          <w:pgMar w:left="240" w:top="65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27200 Tourney Road, Suite 200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Santa Clarita, California 91355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(888) 848-4754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(Addresses, including zip code, and telephone number, including area code, of registrant’s principal executive offices)</w:t>
      </w:r>
    </w:p>
    <w:p>
      <w:pPr>
        <w:spacing w:after="0" w:line="46"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Michael L. Preston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Senior Executive Vice President, Chief Administrative Officer and General Counsel</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27200 Tourney Road, Suite 200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Santa Clarita, California 91355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(888) 848-4754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42" w:lineRule="exact"/>
        <w:rPr>
          <w:sz w:val="24"/>
          <w:szCs w:val="24"/>
          <w:color w:val="auto"/>
        </w:rPr>
      </w:pPr>
    </w:p>
    <w:p>
      <w:pPr>
        <w:ind w:left="4880"/>
        <w:spacing w:after="0"/>
        <w:rPr>
          <w:sz w:val="20"/>
          <w:szCs w:val="20"/>
          <w:color w:val="auto"/>
        </w:rPr>
      </w:pPr>
      <w:r>
        <w:rPr>
          <w:rFonts w:ascii="Arial" w:cs="Arial" w:eastAsia="Arial" w:hAnsi="Arial"/>
          <w:sz w:val="14"/>
          <w:szCs w:val="14"/>
          <w:color w:val="auto"/>
        </w:rPr>
        <w:t>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r>
        <w:rPr>
          <w:rFonts w:ascii="Arial" w:cs="Arial" w:eastAsia="Arial" w:hAnsi="Arial"/>
          <w:sz w:val="14"/>
          <w:szCs w:val="14"/>
          <w:b w:val="1"/>
          <w:bCs w:val="1"/>
          <w:color w:val="auto"/>
        </w:rPr>
        <w:t>:</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Sarah K. Morgan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Scott D. Rubinsky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Vinson &amp; Elkins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1001 Fannin, Suite 2500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Houston, Texas 77002-6760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of this Registration Statement.</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55"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400" w:firstLine="324"/>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ind w:right="80" w:firstLine="324"/>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2" w:lineRule="exact"/>
        <w:rPr>
          <w:sz w:val="24"/>
          <w:szCs w:val="24"/>
          <w:color w:val="auto"/>
        </w:rPr>
      </w:pPr>
    </w:p>
    <w:p>
      <w:pPr>
        <w:ind w:right="3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spacing w:after="0" w:line="161" w:lineRule="exact"/>
        <w:tabs>
          <w:tab w:leader="none" w:pos="16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 o</w:t>
      </w:r>
    </w:p>
    <w:p>
      <w:pPr>
        <w:spacing w:after="0" w:line="70" w:lineRule="exact"/>
        <w:rPr>
          <w:sz w:val="24"/>
          <w:szCs w:val="24"/>
          <w:color w:val="auto"/>
        </w:rPr>
      </w:pPr>
    </w:p>
    <w:p>
      <w:pPr>
        <w:spacing w:after="0"/>
        <w:tabs>
          <w:tab w:leader="none" w:pos="1520" w:val="left"/>
        </w:tabs>
        <w:rPr>
          <w:sz w:val="20"/>
          <w:szCs w:val="20"/>
          <w:color w:val="auto"/>
        </w:rPr>
      </w:pPr>
      <w:r>
        <w:rPr>
          <w:rFonts w:ascii="Arial" w:cs="Arial" w:eastAsia="Arial" w:hAnsi="Arial"/>
          <w:sz w:val="14"/>
          <w:szCs w:val="14"/>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Smaller reporting company o</w:t>
      </w:r>
    </w:p>
    <w:p>
      <w:pPr>
        <w:spacing w:after="0" w:line="8" w:lineRule="exact"/>
        <w:rPr>
          <w:sz w:val="24"/>
          <w:szCs w:val="24"/>
          <w:color w:val="auto"/>
        </w:rPr>
      </w:pPr>
    </w:p>
    <w:p>
      <w:pPr>
        <w:ind w:left="9740"/>
        <w:spacing w:after="0"/>
        <w:rPr>
          <w:sz w:val="20"/>
          <w:szCs w:val="20"/>
          <w:color w:val="auto"/>
        </w:rPr>
      </w:pPr>
      <w:r>
        <w:rPr>
          <w:rFonts w:ascii="Arial" w:cs="Arial" w:eastAsia="Arial" w:hAnsi="Arial"/>
          <w:sz w:val="13"/>
          <w:szCs w:val="13"/>
          <w:color w:val="auto"/>
        </w:rPr>
        <w:t>Emerging growth company o</w:t>
      </w:r>
    </w:p>
    <w:p>
      <w:pPr>
        <w:spacing w:after="0" w:line="80"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ectPr>
          <w:pgSz w:w="11900" w:h="16838" w:orient="portrait"/>
          <w:cols w:equalWidth="0" w:num="1">
            <w:col w:w="11420"/>
          </w:cols>
          <w:pgMar w:left="240" w:top="657" w:right="239" w:bottom="1440" w:gutter="0" w:footer="0" w:header="0"/>
          <w:type w:val="continuous"/>
        </w:sectPr>
      </w:pPr>
    </w:p>
    <w:bookmarkStart w:id="1" w:name="page2"/>
    <w:bookmarkEnd w:id="1"/>
    <w:p>
      <w:pPr>
        <w:ind w:left="4892"/>
        <w:spacing w:after="0"/>
        <w:rPr>
          <w:sz w:val="20"/>
          <w:szCs w:val="20"/>
          <w:color w:val="auto"/>
        </w:rPr>
      </w:pPr>
      <w:r>
        <w:rPr>
          <w:rFonts w:ascii="Arial" w:cs="Arial" w:eastAsia="Arial" w:hAnsi="Arial"/>
          <w:sz w:val="18"/>
          <w:szCs w:val="18"/>
          <w:color w:val="auto"/>
        </w:rPr>
        <w:t>__________________</w:t>
      </w:r>
    </w:p>
    <w:p>
      <w:pPr>
        <w:spacing w:after="0" w:line="4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0"/>
          <w:szCs w:val="20"/>
          <w:color w:val="auto"/>
        </w:rPr>
      </w:pPr>
    </w:p>
    <w:tbl>
      <w:tblPr>
        <w:tblLayout w:type="fixed"/>
        <w:tblInd w:w="12" w:type="dxa"/>
        <w:tblCellMar>
          <w:top w:w="0" w:type="dxa"/>
          <w:left w:w="0" w:type="dxa"/>
          <w:bottom w:w="0" w:type="dxa"/>
          <w:right w:w="0" w:type="dxa"/>
        </w:tblCellMar>
      </w:tblPr>
      <w:tr>
        <w:trPr>
          <w:trHeight w:val="40"/>
        </w:trPr>
        <w:tc>
          <w:tcPr>
            <w:tcW w:w="458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143"/>
        </w:trPr>
        <w:tc>
          <w:tcPr>
            <w:tcW w:w="45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Title of Each Class of</w:t>
            </w:r>
          </w:p>
        </w:tc>
        <w:tc>
          <w:tcPr>
            <w:tcW w:w="17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0"/>
              </w:rPr>
              <w:t>Proposed Maximum Offering</w:t>
            </w:r>
          </w:p>
        </w:tc>
        <w:tc>
          <w:tcPr>
            <w:tcW w:w="17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7"/>
              </w:rPr>
              <w:t>Proposed Maximum</w:t>
            </w:r>
          </w:p>
        </w:tc>
        <w:tc>
          <w:tcPr>
            <w:tcW w:w="1680" w:type="dxa"/>
            <w:vAlign w:val="bottom"/>
          </w:tcPr>
          <w:p>
            <w:pPr>
              <w:ind w:left="200"/>
              <w:spacing w:after="0" w:line="143" w:lineRule="exact"/>
              <w:rPr>
                <w:sz w:val="20"/>
                <w:szCs w:val="20"/>
                <w:color w:val="auto"/>
              </w:rPr>
            </w:pPr>
            <w:r>
              <w:rPr>
                <w:rFonts w:ascii="Arial" w:cs="Arial" w:eastAsia="Arial" w:hAnsi="Arial"/>
                <w:sz w:val="13"/>
                <w:szCs w:val="13"/>
                <w:b w:val="1"/>
                <w:bCs w:val="1"/>
                <w:color w:val="auto"/>
              </w:rPr>
              <w:t>Amount of Registration</w:t>
            </w:r>
          </w:p>
        </w:tc>
      </w:tr>
      <w:tr>
        <w:trPr>
          <w:trHeight w:val="183"/>
        </w:trPr>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Amount to be 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Price Per Security(2)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Aggregate Offering Price(2)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Fee(3)</w:t>
            </w:r>
          </w:p>
        </w:tc>
      </w:tr>
      <w:tr>
        <w:trPr>
          <w:trHeight w:val="251"/>
        </w:trPr>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stock, par value $0.01 per share</w:t>
            </w:r>
          </w:p>
        </w:tc>
        <w:tc>
          <w:tcPr>
            <w:tcW w:w="1720" w:type="dxa"/>
            <w:vAlign w:val="bottom"/>
            <w:tcBorders>
              <w:bottom w:val="single" w:sz="8" w:color="auto"/>
              <w:right w:val="single" w:sz="8" w:color="auto"/>
            </w:tcBorders>
          </w:tcPr>
          <w:p>
            <w:pPr>
              <w:jc w:val="right"/>
              <w:ind w:right="513"/>
              <w:spacing w:after="0"/>
              <w:rPr>
                <w:sz w:val="20"/>
                <w:szCs w:val="20"/>
                <w:color w:val="auto"/>
              </w:rPr>
            </w:pPr>
            <w:r>
              <w:rPr>
                <w:rFonts w:ascii="Arial" w:cs="Arial" w:eastAsia="Arial" w:hAnsi="Arial"/>
                <w:sz w:val="14"/>
                <w:szCs w:val="14"/>
                <w:color w:val="auto"/>
              </w:rPr>
              <w:t>6,000,000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$6.35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$38,100,000</w:t>
            </w:r>
          </w:p>
        </w:tc>
        <w:tc>
          <w:tcPr>
            <w:tcW w:w="16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$4,945.38</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32" w:right="80" w:hanging="332"/>
        <w:spacing w:after="0" w:line="273"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the number of shares of common stock being registered shall be adjusted automatically to include any additional shares of common stock that may become issuable as a result of any stock dividend, split, combination or similar transaction.</w:t>
      </w:r>
    </w:p>
    <w:p>
      <w:pPr>
        <w:spacing w:after="0" w:line="11" w:lineRule="exact"/>
        <w:rPr>
          <w:rFonts w:ascii="Arial" w:cs="Arial" w:eastAsia="Arial" w:hAnsi="Arial"/>
          <w:sz w:val="14"/>
          <w:szCs w:val="14"/>
          <w:color w:val="auto"/>
        </w:rPr>
      </w:pPr>
    </w:p>
    <w:p>
      <w:pPr>
        <w:ind w:left="332" w:right="240" w:hanging="332"/>
        <w:spacing w:after="0" w:line="273"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registration fee pursuant to Rule 457(c) under the Securities Act, based on the average of the high and low prices of our common stock as reported on the New York Stock Exchange on February 19, 2020.</w:t>
      </w:r>
    </w:p>
    <w:p>
      <w:pPr>
        <w:spacing w:after="0" w:line="11" w:lineRule="exact"/>
        <w:rPr>
          <w:rFonts w:ascii="Arial" w:cs="Arial" w:eastAsia="Arial" w:hAnsi="Arial"/>
          <w:sz w:val="14"/>
          <w:szCs w:val="14"/>
          <w:color w:val="auto"/>
        </w:rPr>
      </w:pPr>
    </w:p>
    <w:p>
      <w:pPr>
        <w:ind w:left="332" w:right="80" w:hanging="332"/>
        <w:spacing w:after="0" w:line="312" w:lineRule="auto"/>
        <w:tabs>
          <w:tab w:leader="none" w:pos="332" w:val="left"/>
        </w:tabs>
        <w:numPr>
          <w:ilvl w:val="0"/>
          <w:numId w:val="1"/>
        </w:numPr>
        <w:rPr>
          <w:rFonts w:ascii="Arial" w:cs="Arial" w:eastAsia="Arial" w:hAnsi="Arial"/>
          <w:sz w:val="13"/>
          <w:szCs w:val="13"/>
          <w:color w:val="auto"/>
        </w:rPr>
      </w:pPr>
      <w:r>
        <w:rPr>
          <w:rFonts w:ascii="Arial" w:cs="Arial" w:eastAsia="Arial" w:hAnsi="Arial"/>
          <w:sz w:val="13"/>
          <w:szCs w:val="13"/>
          <w:color w:val="auto"/>
        </w:rPr>
        <w:t>A registration fee of $10,892.00 was previously paid with respect to the 6,000,000 shares of common stock that have been registered, but remain unsold, pursuant to this registration statement and the prospectus supplement thereto, being amended hereby. No additional registration fee is due with respect to the shares of common stock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57"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35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Post-Effective Amendment No. 1 to the registration statement on Form S-3 (Commission File No. 333-228426) of California Resources Corporation is being filed because the Company expects that it will no longer be a well-known seasoned issuer (as such term is defined in Rule 405 of the Securities Act) upon the filing of its Annual Report on Form 10-K for the fiscal year ended December 31, 2019. Accordingly, the Company is filing this Post-Effective Amendment No. 1 for the purpose of adding disclosure in the registration statement required for a registrant other than a well-known seasoned issuer and making certain other amendments, including limiting the number of shares of common stock registered hereunder to 6,000,000 and removing from registration the offering of any debt securities, preferred stock, depositary shares, warrants and guarantees of debt securities.</w:t>
      </w:r>
    </w:p>
    <w:p>
      <w:pPr>
        <w:sectPr>
          <w:pgSz w:w="11900" w:h="16838" w:orient="portrait"/>
          <w:cols w:equalWidth="0" w:num="1">
            <w:col w:w="11400"/>
          </w:cols>
          <w:pgMar w:left="240" w:top="553"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429260</wp:posOffset>
            </wp:positionV>
            <wp:extent cx="250444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44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California Resources Corporation</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6,000,000 Shares of</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offer and sell from time to time, in one or more offerings, up to 6,000,000 shares of our common stock.</w:t>
      </w:r>
    </w:p>
    <w:p>
      <w:pPr>
        <w:spacing w:after="0" w:line="117"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This prospectus describes the general manner in which we will offer these shares of common stock. If necessary, the specific manner in which these shares may be offered and sold will be described in a supplement to this prospectus. You should carefully read this prospectus and any accompanying prospectus supplement, together with the documents we incorporate by reference, before you invest in our common stock.</w:t>
      </w:r>
    </w:p>
    <w:p>
      <w:pPr>
        <w:spacing w:after="0" w:line="53"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Investing in our common stock involves risk. Please read carefully the information included and incorporated by reference in this prospectus and in any applicable prospectus supplement for a discussion of the factors you should consider before deciding to purchase our common stock. See “Risk Factors” beginning on page 7 of this prospectus.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symbol “CRC.”</w:t>
      </w:r>
    </w:p>
    <w:p>
      <w:pPr>
        <w:spacing w:after="0" w:line="113" w:lineRule="exact"/>
        <w:rPr>
          <w:sz w:val="20"/>
          <w:szCs w:val="20"/>
          <w:color w:val="auto"/>
        </w:rPr>
      </w:pPr>
    </w:p>
    <w:p>
      <w:pPr>
        <w:ind w:right="54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prospectus is dated February 26, 2020.</w:t>
      </w:r>
    </w:p>
    <w:p>
      <w:pPr>
        <w:sectPr>
          <w:pgSz w:w="11900" w:h="16838" w:orient="portrait"/>
          <w:cols w:equalWidth="0" w:num="1">
            <w:col w:w="11300"/>
          </w:cols>
          <w:pgMar w:left="240" w:top="553" w:right="359"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4"/>
        </w:trPr>
        <w:tc>
          <w:tcPr>
            <w:tcW w:w="886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86"/>
        </w:trPr>
        <w:tc>
          <w:tcPr>
            <w:tcW w:w="8860" w:type="dxa"/>
            <w:vAlign w:val="bottom"/>
          </w:tcPr>
          <w:p>
            <w:pPr>
              <w:spacing w:after="0"/>
              <w:rPr>
                <w:sz w:val="20"/>
                <w:szCs w:val="20"/>
                <w:color w:val="auto"/>
              </w:rPr>
            </w:pPr>
            <w:r>
              <w:rPr>
                <w:rFonts w:ascii="Arial" w:cs="Arial" w:eastAsia="Arial" w:hAnsi="Arial"/>
                <w:sz w:val="18"/>
                <w:szCs w:val="18"/>
                <w:color w:val="auto"/>
              </w:rPr>
              <w:t>ABOUT THIS PROSPECTUS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LEGAL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EXPERTS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3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prospectus supplement. We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553"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from time to time, up to 6,000,000 shares of our common stock in one or more offerings under this shelf registration statement. This prospectus describes the general manner in which we will offer these shares of common stock. If necessary, the specific manner in which these shares may be offered and sold will be described in a supplement to this prospectus.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22"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securities.</w:t>
      </w:r>
    </w:p>
    <w:p>
      <w:pPr>
        <w:spacing w:after="0" w:line="11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53"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 xml:space="preserve">We file annual, quarterly and current reports and other information with the SEC (File No. 001-36478) pursuant to the Securities Exchange Act of 1934 (the “Exchange Act”). Our filings are also available to the public through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on our website at </w:t>
      </w:r>
      <w:r>
        <w:rPr>
          <w:rFonts w:ascii="Arial" w:cs="Arial" w:eastAsia="Arial" w:hAnsi="Arial"/>
          <w:sz w:val="16"/>
          <w:szCs w:val="16"/>
          <w:i w:val="1"/>
          <w:iCs w:val="1"/>
          <w:color w:val="auto"/>
        </w:rPr>
        <w:t>www.crc.com</w:t>
      </w:r>
      <w:r>
        <w:rPr>
          <w:rFonts w:ascii="Arial" w:cs="Arial" w:eastAsia="Arial" w:hAnsi="Arial"/>
          <w:sz w:val="16"/>
          <w:szCs w:val="16"/>
          <w:color w:val="auto"/>
        </w:rPr>
        <w:t>. Information on our website does not constitute part of this prospectus. You may inspect a copy of the registration statement through the SEC’s website, as provided herein.</w:t>
      </w:r>
    </w:p>
    <w:p>
      <w:pPr>
        <w:spacing w:after="0" w:line="94" w:lineRule="exact"/>
        <w:rPr>
          <w:sz w:val="20"/>
          <w:szCs w:val="20"/>
          <w:color w:val="auto"/>
        </w:rPr>
      </w:pPr>
    </w:p>
    <w:p>
      <w:pPr>
        <w:ind w:right="300" w:firstLine="324"/>
        <w:spacing w:after="0" w:line="243"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134" w:lineRule="exact"/>
        <w:rPr>
          <w:sz w:val="20"/>
          <w:szCs w:val="20"/>
          <w:color w:val="auto"/>
        </w:rPr>
      </w:pPr>
    </w:p>
    <w:p>
      <w:pPr>
        <w:ind w:left="660" w:right="38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2018, including information specifically incorporated by reference into such Annual Report on Form 10-K from our Proxy Statement for our 2019 Annual Meeting of Stockholders filed on March 26, 2019;</w:t>
      </w:r>
    </w:p>
    <w:p>
      <w:pPr>
        <w:spacing w:after="0" w:line="93"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2019 filed on May 2, 2019, June 30, 2019 filed on August 1, 2019 and September 30, 2019 filed on November 4, 2019;</w:t>
      </w:r>
    </w:p>
    <w:p>
      <w:pPr>
        <w:spacing w:after="0" w:line="115" w:lineRule="exact"/>
        <w:rPr>
          <w:rFonts w:ascii="Arial" w:cs="Arial" w:eastAsia="Arial" w:hAnsi="Arial"/>
          <w:sz w:val="18"/>
          <w:szCs w:val="18"/>
          <w:color w:val="auto"/>
        </w:rPr>
      </w:pPr>
    </w:p>
    <w:p>
      <w:pPr>
        <w:ind w:left="660" w:right="26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Current Reports on Form 8-K or Form 8-K/A filed on May 14, 2019, May 16, 2019, July 23, 2019, September 3, 2019 and February 21, 2020 (excluding any information furnished pursuant to Item 2.02 or Item 7.01 on any Current Report on Form 8-K); and</w:t>
      </w:r>
    </w:p>
    <w:p>
      <w:pPr>
        <w:spacing w:after="0" w:line="93" w:lineRule="exact"/>
        <w:rPr>
          <w:rFonts w:ascii="Arial" w:cs="Arial" w:eastAsia="Arial" w:hAnsi="Arial"/>
          <w:sz w:val="17"/>
          <w:szCs w:val="17"/>
          <w:color w:val="auto"/>
        </w:rPr>
      </w:pPr>
    </w:p>
    <w:p>
      <w:pPr>
        <w:ind w:left="660" w:right="2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158"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All documents subsequently filed pursuant to Sections 13(a), 13(c), 14 or 15(d) of the Exchange Act (excluding any information furnished pursuant to Item 2.02 or Item 7.01 on any Current Report on Form 8-K)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California Resources Corporation</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jc w:val="center"/>
        <w:ind w:right="-39"/>
        <w:spacing w:after="0" w:line="234" w:lineRule="auto"/>
        <w:rPr>
          <w:sz w:val="20"/>
          <w:szCs w:val="20"/>
          <w:color w:val="auto"/>
        </w:rPr>
      </w:pPr>
      <w:r>
        <w:rPr>
          <w:rFonts w:ascii="Arial" w:cs="Arial" w:eastAsia="Arial" w:hAnsi="Arial"/>
          <w:sz w:val="18"/>
          <w:szCs w:val="18"/>
          <w:color w:val="auto"/>
        </w:rPr>
        <w:t>27200 Tourney Road, Suite 200</w:t>
      </w:r>
    </w:p>
    <w:p>
      <w:pPr>
        <w:jc w:val="center"/>
        <w:ind w:right="-39"/>
        <w:spacing w:after="0" w:line="235" w:lineRule="auto"/>
        <w:rPr>
          <w:sz w:val="20"/>
          <w:szCs w:val="20"/>
          <w:color w:val="auto"/>
        </w:rPr>
      </w:pPr>
      <w:r>
        <w:rPr>
          <w:rFonts w:ascii="Arial" w:cs="Arial" w:eastAsia="Arial" w:hAnsi="Arial"/>
          <w:sz w:val="18"/>
          <w:szCs w:val="18"/>
          <w:color w:val="auto"/>
        </w:rPr>
        <w:t>Santa Clarita, CA 91355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(888) 848-4754</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53"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2"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1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1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limitations on its financial flexibility;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57" w:lineRule="exact"/>
        <w:rPr>
          <w:rFonts w:ascii="Arial" w:cs="Arial" w:eastAsia="Arial" w:hAnsi="Arial"/>
          <w:sz w:val="18"/>
          <w:szCs w:val="18"/>
          <w:color w:val="auto"/>
        </w:rPr>
      </w:pPr>
    </w:p>
    <w:p>
      <w:pPr>
        <w:ind w:left="660" w:right="80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inspection, maintenance or abandonment of wells or facilities, managing energy, water, land, greenhouse gases or other emissions, protection of health, safety and the environment, or transportation, marketing and sale of its products;</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joint venture and acquisition activities and our ability to achieve expected synergies;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3" w:right="259" w:bottom="1440" w:gutter="0" w:footer="0" w:header="0"/>
        </w:sectPr>
      </w:pPr>
    </w:p>
    <w:bookmarkStart w:id="8" w:name="page9"/>
    <w:bookmarkEnd w:id="8"/>
    <w:p>
      <w:pPr>
        <w:ind w:left="660" w:right="2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15"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 attacks or other catastrophic events.</w:t>
      </w:r>
    </w:p>
    <w:p>
      <w:pPr>
        <w:spacing w:after="0" w:line="115"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93" w:lineRule="exact"/>
        <w:rPr>
          <w:sz w:val="20"/>
          <w:szCs w:val="20"/>
          <w:color w:val="auto"/>
        </w:rPr>
      </w:pPr>
    </w:p>
    <w:p>
      <w:pPr>
        <w:jc w:val="both"/>
        <w:ind w:right="640" w:firstLine="324"/>
        <w:spacing w:after="0" w:line="324"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70"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719" w:right="29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2.2 million net mineral acres spanning the state’s four major oil and gas basins. We produced approximately 128 thousand barrels of oil equivalent per day (MBoe/d) for the three months ended September 30, 2019. As of December 31, 2018, we had net proved reserves of 712 million barrels of oil equivalent (MMBoe), of which approximately 74% was categorized as proved developed reserves. Oil represented 74% of our proved reserves. We were formed in April 2014 and listed on the New York Stock Exchange on December 1, 2014.</w:t>
      </w:r>
    </w:p>
    <w:p>
      <w:pPr>
        <w:spacing w:after="0" w:line="12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Our principal executive offices are located at 27200 Tourney Road, Suite 200, Santa Clarita, CA 91355. Our telephone number is (888) 848-4754. Our website is located at </w:t>
      </w:r>
      <w:r>
        <w:rPr>
          <w:rFonts w:ascii="Arial" w:cs="Arial" w:eastAsia="Arial" w:hAnsi="Arial"/>
          <w:sz w:val="17"/>
          <w:szCs w:val="17"/>
          <w:i w:val="1"/>
          <w:iCs w:val="1"/>
          <w:color w:val="auto"/>
        </w:rPr>
        <w:t>www.crc.com</w:t>
      </w:r>
      <w:r>
        <w:rPr>
          <w:rFonts w:ascii="Arial" w:cs="Arial" w:eastAsia="Arial" w:hAnsi="Arial"/>
          <w:sz w:val="17"/>
          <w:szCs w:val="17"/>
          <w:color w:val="auto"/>
        </w:rPr>
        <w:t>. Unless indicated otherwise, no information is incorporated herein by reference from our website or any other website and no website constitutes a part of this prospectus. Our common stock is listed on the NYSE under the symbol “CRC.”</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53" w:right="29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120" w:firstLine="324"/>
        <w:spacing w:after="0" w:line="239" w:lineRule="auto"/>
        <w:rPr>
          <w:sz w:val="20"/>
          <w:szCs w:val="20"/>
          <w:color w:val="auto"/>
        </w:rPr>
      </w:pPr>
      <w:r>
        <w:rPr>
          <w:rFonts w:ascii="Arial" w:cs="Arial" w:eastAsia="Arial" w:hAnsi="Arial"/>
          <w:sz w:val="18"/>
          <w:szCs w:val="18"/>
          <w:color w:val="auto"/>
        </w:rPr>
        <w:t>An investment in our common stock involves a significant degree of risk. Before you invest in our common stock you should carefully consider those risk factors below,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common stock.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17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We are in a capital-intensive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1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53" w:right="299" w:bottom="1440" w:gutter="0" w:footer="0" w:header="0"/>
        </w:sectPr>
      </w:pPr>
    </w:p>
    <w:bookmarkStart w:id="11" w:name="page12"/>
    <w:bookmarkEnd w:id="11"/>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Except as may otherwise be stated in any prospectus supplement, we intend to use the net proceeds from any sales of common stock by us under this prospectus for general corporate purposes, which may include, among other things, repayment or refinancing of borrowings, working capital, capital expenditures, investments and acquisitions. Pending any specific application, we may initially invest funds in short-term marketable securities or apply them to repayments of outstanding indebtedness.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553"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The following is a description of the material terms of our capital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62" w:lineRule="exact"/>
        <w:rPr>
          <w:sz w:val="20"/>
          <w:szCs w:val="20"/>
          <w:color w:val="auto"/>
        </w:rPr>
      </w:pPr>
    </w:p>
    <w:p>
      <w:pPr>
        <w:ind w:right="200" w:firstLine="324"/>
        <w:spacing w:after="0" w:line="248"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September 30, 2019 and (ii) 200,000,000 shares of common stock, par value $0.01 per share, of which 49,118,451 shares were issued and outstanding as of September 30,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1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53" w:right="259" w:bottom="1440" w:gutter="0" w:footer="0" w:header="0"/>
        </w:sectPr>
      </w:pPr>
    </w:p>
    <w:bookmarkStart w:id="13" w:name="page14"/>
    <w:bookmarkEnd w:id="13"/>
    <w:p>
      <w:pPr>
        <w:ind w:right="480"/>
        <w:spacing w:after="0" w:line="312" w:lineRule="auto"/>
        <w:rPr>
          <w:sz w:val="20"/>
          <w:szCs w:val="20"/>
          <w:color w:val="auto"/>
        </w:rPr>
      </w:pPr>
      <w:r>
        <w:rPr>
          <w:rFonts w:ascii="Arial" w:cs="Arial" w:eastAsia="Arial" w:hAnsi="Arial"/>
          <w:sz w:val="16"/>
          <w:szCs w:val="16"/>
          <w:color w:val="auto"/>
        </w:rPr>
        <w:t>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1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71" w:lineRule="exact"/>
        <w:rPr>
          <w:sz w:val="20"/>
          <w:szCs w:val="20"/>
          <w:color w:val="auto"/>
        </w:rPr>
      </w:pPr>
    </w:p>
    <w:p>
      <w:pPr>
        <w:ind w:left="660" w:right="2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124"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57" w:right="299" w:bottom="1440" w:gutter="0" w:footer="0" w:header="0"/>
        </w:sectPr>
      </w:pPr>
    </w:p>
    <w:bookmarkStart w:id="14" w:name="page15"/>
    <w:bookmarkEnd w:id="14"/>
    <w:p>
      <w:pPr>
        <w:ind w:left="660" w:right="240"/>
        <w:spacing w:after="0" w:line="277" w:lineRule="auto"/>
        <w:rPr>
          <w:sz w:val="20"/>
          <w:szCs w:val="20"/>
          <w:color w:val="auto"/>
        </w:rPr>
      </w:pPr>
      <w:r>
        <w:rPr>
          <w:rFonts w:ascii="Arial" w:cs="Arial" w:eastAsia="Arial" w:hAnsi="Arial"/>
          <w:sz w:val="18"/>
          <w:szCs w:val="18"/>
          <w:color w:val="auto"/>
        </w:rPr>
        <w:t>other rights or preferences that could impede the success of any attempt to change control of us. These provisions may have the effect of deterring hostile takeovers or delaying changes in control or management of our company;</w:t>
      </w:r>
    </w:p>
    <w:p>
      <w:pPr>
        <w:spacing w:after="0" w:line="116" w:lineRule="exact"/>
        <w:rPr>
          <w:sz w:val="20"/>
          <w:szCs w:val="20"/>
          <w:color w:val="auto"/>
        </w:rPr>
      </w:pPr>
    </w:p>
    <w:p>
      <w:pPr>
        <w:ind w:left="660" w:right="2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138"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118" w:lineRule="exact"/>
        <w:rPr>
          <w:rFonts w:ascii="Arial" w:cs="Arial" w:eastAsia="Arial" w:hAnsi="Arial"/>
          <w:sz w:val="17"/>
          <w:szCs w:val="17"/>
          <w:color w:val="auto"/>
        </w:rPr>
      </w:pPr>
    </w:p>
    <w:p>
      <w:pPr>
        <w:ind w:left="660" w:right="8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5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to this forum selection provision. However, it is possible that a court could find our forum selection provision to be inapplicable or unenforceable.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0"/>
          </w:cols>
          <w:pgMar w:left="240" w:top="557" w:right="11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may sell the offered shares of common stock in and outside the United States (1) through underwriters or dealers, (2) directly to purchasers, including our affiliates and stockholders, (3) through agents, (4) in “at the market offerings” to or through a market maker or into an existing trading market, or a securities exchange or otherwise or (5) through a combination of any of these methods. The prospectus supplement will include the following information:</w:t>
      </w:r>
    </w:p>
    <w:p>
      <w:pPr>
        <w:spacing w:after="0" w:line="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of the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underwriters are used in the sale, the underwriters will acquire the shares of common stock for their own account for resale to the public, either on a firm commitment basis or a best efforts basis. The underwriters may resell the shares of common stock from time to time in one or more transactions, including negotiated transactions, at a fixed public offering price or at varying prices determined at the time of sale. Underwriters may offer shares of common stock to the public either through underwriting syndicates represented by one or more managing underwriters or directly by one or more firms acting as underwriters. Unless we inform you otherwise in the prospectus supplement, the obligations of the underwriters to purchase the shares of common stock will be subject to certain conditions. The underwriters may change from time to time any offering price and any discounts or concessions allowed or reallowed or paid to dealers.</w:t>
      </w:r>
    </w:p>
    <w:p>
      <w:pPr>
        <w:spacing w:after="0" w:line="1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shares of common stock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shares of common stock sold for their account may be reclaimed by the syndicate if the offered shares of common stock are repurchased by the syndicate in stabilizing or covering transactions. These activities may stabilize, maintain or otherwise affect the market price of the offered shares of common stock, which may be higher than the price that might otherwise prevail in the open market. If commenced, the underwriters may discontinue these activities at any time.</w:t>
      </w:r>
    </w:p>
    <w:p>
      <w:pPr>
        <w:spacing w:after="0" w:line="1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dealers are used, we will sell the shares of common stock to them as principals. The dealers may then resell the shares of common stock to the public at varying prices determined by the dealers at the time of resale. We will include in the prospectus supplement the names of the dealers and the terms of the transaction.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7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may sell the shares of common stock directly. In this case, no underwriters or agents would be involved. We may also sell the shares of common stock through agents designated from time to time. In the prospectus supplement, we will name any agent involved in the offer or sale of the offered shares of common stock, and we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7" w:name="page18"/>
    <w:bookmarkEnd w:id="17"/>
    <w:p>
      <w:pPr>
        <w:ind w:right="60"/>
        <w:spacing w:after="0" w:line="277" w:lineRule="auto"/>
        <w:rPr>
          <w:sz w:val="20"/>
          <w:szCs w:val="20"/>
          <w:color w:val="auto"/>
        </w:rPr>
      </w:pPr>
      <w:r>
        <w:rPr>
          <w:rFonts w:ascii="Arial" w:cs="Arial" w:eastAsia="Arial" w:hAnsi="Arial"/>
          <w:sz w:val="18"/>
          <w:szCs w:val="18"/>
          <w:color w:val="auto"/>
        </w:rPr>
        <w:t>describe any commissions payable to the agent. Unless we inform you otherwise in the prospectus supplement, any agent will agree to use its reasonable best efforts to solicit purchases for the period of its appointment.</w:t>
      </w:r>
    </w:p>
    <w:p>
      <w:pPr>
        <w:spacing w:after="0" w:line="116"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may sell the shares of common stock directly to institutional investors or others who may be deemed to be underwriters within the meaning of the Securities Act with respect to any sale of common stock. We will describe the terms of any such sales in the prospectus supplement.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Remarketing Arrangements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offered shares of common stock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Remarketing firms may be deemed to be underwriters, as that term is defined in the Securities Act, in connection with the shares of common stock remarketed.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7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shares of common stock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NYSE.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57"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Certain legal matters in connection with the common stock will be passed upon by Vinson &amp; Elkins L.L.P., Houston, Texas, as our counsel. Any underwriter or agent will be advised about other issues relating to any offering by its own legal counsel.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consolidated financial statements of California Resources Corporation and subsidiaries as of December 31, 2018 and 2017, and for each of the years in the three-year period ended December 31, 2018 and management’s assessment of the effectiveness of internal control over financial reporting as of December 31, 2018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the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3" w:right="259" w:bottom="1440" w:gutter="0" w:footer="0" w:header="0"/>
        </w:sectPr>
      </w:pPr>
    </w:p>
    <w:bookmarkStart w:id="19" w:name="page20"/>
    <w:bookmarkEnd w:id="19"/>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6680" w:type="dxa"/>
            <w:vAlign w:val="bottom"/>
          </w:tcPr>
          <w:p>
            <w:pPr>
              <w:ind w:left="40"/>
              <w:spacing w:after="0"/>
              <w:rPr>
                <w:sz w:val="20"/>
                <w:szCs w:val="20"/>
                <w:color w:val="auto"/>
              </w:rPr>
            </w:pPr>
            <w:r>
              <w:rPr>
                <w:rFonts w:ascii="Arial" w:cs="Arial" w:eastAsia="Arial" w:hAnsi="Arial"/>
                <w:sz w:val="16"/>
                <w:szCs w:val="16"/>
                <w:color w:val="auto"/>
              </w:rPr>
              <w:t>Securities and Exchange Commission registration fee</w:t>
            </w:r>
          </w:p>
        </w:tc>
        <w:tc>
          <w:tcPr>
            <w:tcW w:w="4360" w:type="dxa"/>
            <w:vAlign w:val="bottom"/>
          </w:tcPr>
          <w:p>
            <w:pPr>
              <w:jc w:val="right"/>
              <w:ind w:right="198"/>
              <w:spacing w:after="0"/>
              <w:rPr>
                <w:sz w:val="20"/>
                <w:szCs w:val="20"/>
                <w:color w:val="auto"/>
              </w:rPr>
            </w:pPr>
            <w:r>
              <w:rPr>
                <w:rFonts w:ascii="Arial" w:cs="Arial" w:eastAsia="Arial" w:hAnsi="Arial"/>
                <w:sz w:val="18"/>
                <w:szCs w:val="18"/>
                <w:color w:val="auto"/>
              </w:rPr>
              <w:t>$ 4,945.38</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r>
      <w:tr>
        <w:trPr>
          <w:trHeight w:val="206"/>
        </w:trPr>
        <w:tc>
          <w:tcPr>
            <w:tcW w:w="6680" w:type="dxa"/>
            <w:vAlign w:val="bottom"/>
          </w:tcPr>
          <w:p>
            <w:pPr>
              <w:ind w:left="40"/>
              <w:spacing w:after="0"/>
              <w:rPr>
                <w:sz w:val="20"/>
                <w:szCs w:val="20"/>
                <w:color w:val="auto"/>
              </w:rPr>
            </w:pPr>
            <w:r>
              <w:rPr>
                <w:rFonts w:ascii="Arial" w:cs="Arial" w:eastAsia="Arial" w:hAnsi="Arial"/>
                <w:sz w:val="16"/>
                <w:szCs w:val="16"/>
                <w:color w:val="auto"/>
              </w:rPr>
              <w:t>Legal fees and expenses</w:t>
            </w:r>
          </w:p>
        </w:tc>
        <w:tc>
          <w:tcPr>
            <w:tcW w:w="43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40"/>
              <w:spacing w:after="0"/>
              <w:rPr>
                <w:sz w:val="20"/>
                <w:szCs w:val="20"/>
                <w:color w:val="auto"/>
              </w:rPr>
            </w:pPr>
            <w:r>
              <w:rPr>
                <w:rFonts w:ascii="Arial" w:cs="Arial" w:eastAsia="Arial" w:hAnsi="Arial"/>
                <w:sz w:val="16"/>
                <w:szCs w:val="16"/>
                <w:color w:val="auto"/>
              </w:rPr>
              <w:t>Accounting fees and expenses</w:t>
            </w:r>
          </w:p>
        </w:tc>
        <w:tc>
          <w:tcPr>
            <w:tcW w:w="43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40"/>
              <w:spacing w:after="0"/>
              <w:rPr>
                <w:sz w:val="20"/>
                <w:szCs w:val="20"/>
                <w:color w:val="auto"/>
              </w:rPr>
            </w:pPr>
            <w:r>
              <w:rPr>
                <w:rFonts w:ascii="Arial" w:cs="Arial" w:eastAsia="Arial" w:hAnsi="Arial"/>
                <w:sz w:val="16"/>
                <w:szCs w:val="16"/>
                <w:color w:val="auto"/>
              </w:rPr>
              <w:t>Printing and engraving expenses</w:t>
            </w:r>
          </w:p>
        </w:tc>
        <w:tc>
          <w:tcPr>
            <w:tcW w:w="43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40"/>
              <w:spacing w:after="0"/>
              <w:rPr>
                <w:sz w:val="20"/>
                <w:szCs w:val="20"/>
                <w:color w:val="auto"/>
              </w:rPr>
            </w:pPr>
            <w:r>
              <w:rPr>
                <w:rFonts w:ascii="Arial" w:cs="Arial" w:eastAsia="Arial" w:hAnsi="Arial"/>
                <w:sz w:val="16"/>
                <w:szCs w:val="16"/>
                <w:color w:val="auto"/>
              </w:rPr>
              <w:t>Rating agency fees</w:t>
            </w:r>
          </w:p>
        </w:tc>
        <w:tc>
          <w:tcPr>
            <w:tcW w:w="43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40"/>
              <w:spacing w:after="0"/>
              <w:rPr>
                <w:sz w:val="20"/>
                <w:szCs w:val="20"/>
                <w:color w:val="auto"/>
              </w:rPr>
            </w:pPr>
            <w:r>
              <w:rPr>
                <w:rFonts w:ascii="Arial" w:cs="Arial" w:eastAsia="Arial" w:hAnsi="Arial"/>
                <w:sz w:val="16"/>
                <w:szCs w:val="16"/>
                <w:color w:val="auto"/>
              </w:rPr>
              <w:t>Miscellaneous</w:t>
            </w:r>
          </w:p>
        </w:tc>
        <w:tc>
          <w:tcPr>
            <w:tcW w:w="43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680" w:type="dxa"/>
            <w:vAlign w:val="bottom"/>
          </w:tcPr>
          <w:p>
            <w:pPr>
              <w:ind w:left="40"/>
              <w:spacing w:after="0"/>
              <w:rPr>
                <w:sz w:val="20"/>
                <w:szCs w:val="20"/>
                <w:color w:val="auto"/>
              </w:rPr>
            </w:pPr>
            <w:r>
              <w:rPr>
                <w:rFonts w:ascii="Arial" w:cs="Arial" w:eastAsia="Arial" w:hAnsi="Arial"/>
                <w:sz w:val="16"/>
                <w:szCs w:val="16"/>
                <w:color w:val="auto"/>
              </w:rPr>
              <w:t>TOTAL</w:t>
            </w:r>
          </w:p>
        </w:tc>
        <w:tc>
          <w:tcPr>
            <w:tcW w:w="436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6680" w:type="dxa"/>
            <w:vAlign w:val="bottom"/>
          </w:tcPr>
          <w:p>
            <w:pPr>
              <w:spacing w:after="0"/>
              <w:rPr>
                <w:sz w:val="20"/>
                <w:szCs w:val="20"/>
                <w:color w:val="auto"/>
              </w:rPr>
            </w:pPr>
            <w:r>
              <w:rPr>
                <w:rFonts w:ascii="Arial" w:cs="Arial" w:eastAsia="Arial" w:hAnsi="Arial"/>
                <w:sz w:val="18"/>
                <w:szCs w:val="18"/>
                <w:color w:val="auto"/>
              </w:rPr>
              <w:t>____________</w:t>
            </w:r>
          </w:p>
        </w:tc>
        <w:tc>
          <w:tcPr>
            <w:tcW w:w="4360" w:type="dxa"/>
            <w:vAlign w:val="bottom"/>
          </w:tcPr>
          <w:p>
            <w:pPr>
              <w:spacing w:after="0"/>
              <w:rPr>
                <w:sz w:val="21"/>
                <w:szCs w:val="21"/>
                <w:color w:val="auto"/>
              </w:rPr>
            </w:pPr>
          </w:p>
        </w:tc>
        <w:tc>
          <w:tcPr>
            <w:tcW w:w="360" w:type="dxa"/>
            <w:vAlign w:val="bottom"/>
          </w:tcPr>
          <w:p>
            <w:pPr>
              <w:spacing w:after="0"/>
              <w:rPr>
                <w:sz w:val="21"/>
                <w:szCs w:val="2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(1)</w:t>
            </w:r>
          </w:p>
        </w:tc>
        <w:tc>
          <w:tcPr>
            <w:tcW w:w="1420" w:type="dxa"/>
            <w:vAlign w:val="bottom"/>
            <w:vMerge w:val="restart"/>
          </w:tcPr>
          <w:p>
            <w:pPr>
              <w:ind w:left="100"/>
              <w:spacing w:after="0"/>
              <w:rPr>
                <w:sz w:val="20"/>
                <w:szCs w:val="20"/>
                <w:color w:val="auto"/>
              </w:rPr>
            </w:pPr>
            <w:r>
              <w:rPr>
                <w:rFonts w:ascii="Arial" w:cs="Arial" w:eastAsia="Arial" w:hAnsi="Arial"/>
                <w:sz w:val="16"/>
                <w:szCs w:val="16"/>
                <w:color w:val="auto"/>
                <w:w w:val="90"/>
              </w:rPr>
              <w:t>Fee previously paid.</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7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553"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60" w:type="dxa"/>
            <w:vAlign w:val="bottom"/>
            <w:gridSpan w:val="21"/>
          </w:tcPr>
          <w:p>
            <w:pPr>
              <w:ind w:left="20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ind w:left="2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1260" w:type="dxa"/>
            <w:vAlign w:val="bottom"/>
          </w:tcPr>
          <w:p>
            <w:pPr>
              <w:ind w:left="2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tcBorders>
              <w:bottom w:val="single" w:sz="8" w:color="0000FF"/>
            </w:tcBorders>
            <w:gridSpan w:val="11"/>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Separation and Distribution Agreement, dated as of November 25, 2014, between Occidental Petroleum Corporation and California</w:t>
              </w:r>
            </w:hyperlink>
          </w:p>
        </w:tc>
        <w:tc>
          <w:tcPr>
            <w:tcW w:w="52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Resources Corporation (filed as Exhibit 2.1 to Registrant’s Current Report on Form 8-K filed December 1, 2014 and incorporated herein</w:t>
              </w:r>
            </w:hyperlink>
          </w:p>
        </w:tc>
        <w:tc>
          <w:tcPr>
            <w:tcW w:w="16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3">
              <w:r>
                <w:rPr>
                  <w:rFonts w:ascii="Arial" w:cs="Arial" w:eastAsia="Arial" w:hAnsi="Arial"/>
                  <w:sz w:val="18"/>
                  <w:szCs w:val="18"/>
                  <w:color w:val="0000FF"/>
                  <w:w w:val="88"/>
                </w:rPr>
                <w:t>by reference).</w:t>
              </w:r>
            </w:hyperlink>
          </w:p>
        </w:tc>
        <w:tc>
          <w:tcPr>
            <w:tcW w:w="9000" w:type="dxa"/>
            <w:vAlign w:val="bottom"/>
            <w:gridSpan w:val="2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Amended and Restated Certificate of Incorporation of California Resources Corporation (filed as Exhibit 3.1 to Registrant’s Current</w:t>
              </w:r>
            </w:hyperlink>
          </w:p>
        </w:tc>
        <w:tc>
          <w:tcPr>
            <w:tcW w:w="48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Report on Form 8-K filed June 3, 2016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Amended and Restated Bylaws of California Resources Corporation (filed as Exhibit 3.2 to the Registrant’s Current Report on Form 8-K</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filed November 10, 2015 and incorporated herein by reference).</w:t>
              </w:r>
            </w:hyperlink>
          </w:p>
        </w:tc>
        <w:tc>
          <w:tcPr>
            <w:tcW w:w="14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Indenture, dated October 1, 2014, by and among California Resources Corporation, the Guarantors and Wells Fargo Bank, National</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4"/>
              </w:rPr>
            </w:pPr>
            <w:hyperlink r:id="rId16">
              <w:r>
                <w:rPr>
                  <w:rFonts w:ascii="Arial" w:cs="Arial" w:eastAsia="Arial" w:hAnsi="Arial"/>
                  <w:sz w:val="18"/>
                  <w:szCs w:val="18"/>
                  <w:color w:val="0000FF"/>
                  <w:w w:val="94"/>
                </w:rPr>
                <w:t>Association (filed as Exhibit 4.2 to Amendment No. 4 to the Registrant’s Information Statement on Form 10 filed October 8, 2014 and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incorporated herein by reference).</w:t>
              </w:r>
            </w:hyperlink>
          </w:p>
        </w:tc>
        <w:tc>
          <w:tcPr>
            <w:tcW w:w="32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tcBorders>
              <w:bottom w:val="single" w:sz="8" w:color="0000FF"/>
            </w:tcBorders>
            <w:gridSpan w:val="24"/>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Indenture, dated December 15, 2015, by and among California Resources Corporation, the Guarantors and the Bank of New York Mellon</w:t>
              </w:r>
            </w:hyperlink>
          </w:p>
        </w:tc>
        <w:tc>
          <w:tcPr>
            <w:tcW w:w="1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Trust Company, N.A. (filed as Exhibit 4.1 to Registrant’s Current Report on Form 8-K filed December 18, 2015 and incorporated herein</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7">
              <w:r>
                <w:rPr>
                  <w:rFonts w:ascii="Arial" w:cs="Arial" w:eastAsia="Arial" w:hAnsi="Arial"/>
                  <w:sz w:val="18"/>
                  <w:szCs w:val="18"/>
                  <w:color w:val="0000FF"/>
                  <w:w w:val="88"/>
                </w:rPr>
                <w:t>by reference).</w:t>
              </w:r>
            </w:hyperlink>
          </w:p>
        </w:tc>
        <w:tc>
          <w:tcPr>
            <w:tcW w:w="9000" w:type="dxa"/>
            <w:vAlign w:val="bottom"/>
            <w:gridSpan w:val="2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26"/>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Guarantor Supplemental Indenture dated as of March 5, 2015, among California Resources Corporation, certain guarantors named therein</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and Wells Fargo Bank, National Association (filed as Exhibit 4.2 to Registrant’s Registration Statement on Form S-4 filed March 12, 2015</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and incorporated herein by reference).</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Guarantor Supplemental Indenture dated as of March 4, 2016, among California Resources Corporation, certain guarantors named therein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and The Bank of New York Mellon Trust Company, N.A., as trustee (filed as Exhibit 4.1 to Registrant’s Quarterly Report on Form 10-Q</w:t>
              </w:r>
            </w:hyperlink>
          </w:p>
        </w:tc>
        <w:tc>
          <w:tcPr>
            <w:tcW w:w="100" w:type="dxa"/>
            <w:vAlign w:val="bottom"/>
            <w:tcBorders>
              <w:top w:val="single" w:sz="8" w:color="0000FF"/>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filed August 4, 2016 and incorporated herein by reference).</w:t>
              </w:r>
            </w:hyperlink>
          </w:p>
        </w:tc>
        <w:tc>
          <w:tcPr>
            <w:tcW w:w="5700" w:type="dxa"/>
            <w:vAlign w:val="bottom"/>
            <w:gridSpan w:val="22"/>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19"/>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Guarantor Supplement Indenture dated as of March 4, 2016, among California Resources Corporation, certain guarantors named therein</w:t>
              </w:r>
            </w:hyperlink>
          </w:p>
        </w:tc>
        <w:tc>
          <w:tcPr>
            <w:tcW w:w="2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and The Bank of New York Mellon Trust Company, N.A., as trustee (filed as Exhibit 4.2 to Registrant’s Quarterly Report on Form 10-Q</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filed August 4, 2016 and incorporated herein by reference).</w:t>
              </w:r>
            </w:hyperlink>
          </w:p>
        </w:tc>
        <w:tc>
          <w:tcPr>
            <w:tcW w:w="5720" w:type="dxa"/>
            <w:vAlign w:val="bottom"/>
            <w:gridSpan w:val="23"/>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Borders>
              <w:bottom w:val="single" w:sz="8" w:color="0000FF"/>
            </w:tcBorders>
            <w:gridSpan w:val="23"/>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Guarantor Supplemental Indenture No. 2, dated as of April 29, 2016, among California Resources Corporation, certain guarantors named</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3"/>
              </w:rPr>
            </w:pPr>
            <w:hyperlink r:id="rId21">
              <w:r>
                <w:rPr>
                  <w:rFonts w:ascii="Arial" w:cs="Arial" w:eastAsia="Arial" w:hAnsi="Arial"/>
                  <w:sz w:val="18"/>
                  <w:szCs w:val="18"/>
                  <w:color w:val="0000FF"/>
                  <w:w w:val="93"/>
                </w:rPr>
                <w:t>therein and Wilmington Trust, National Association, as trustee (filed as Exhibit 10.4 to Registrant’s Quarterly Report on Form 10-Q filed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August 4, 2016 and incorporated herein by reference).</w:t>
              </w:r>
            </w:hyperlink>
          </w:p>
        </w:tc>
        <w:tc>
          <w:tcPr>
            <w:tcW w:w="5960" w:type="dxa"/>
            <w:vAlign w:val="bottom"/>
            <w:tcBorders>
              <w:top w:val="single" w:sz="8" w:color="0000FF"/>
            </w:tcBorders>
            <w:gridSpan w:val="18"/>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60" w:type="dxa"/>
            <w:vAlign w:val="bottom"/>
            <w:tcBorders>
              <w:bottom w:val="single" w:sz="8" w:color="0000FF"/>
            </w:tcBorders>
            <w:gridSpan w:val="10"/>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Assumption Agreement dated as of March 6, 2015, among CRC Construction Services, LLC and JP Morgan Chase Bank, N.A., as</w:t>
              </w:r>
            </w:hyperlink>
          </w:p>
        </w:tc>
        <w:tc>
          <w:tcPr>
            <w:tcW w:w="54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Administrative Agent for lenders (filed as Exhibit 10.31 to Registrant’s Registration Statement on Form S-4 filed March 12, 2015 and</w:t>
              </w:r>
            </w:hyperlink>
          </w:p>
        </w:tc>
        <w:tc>
          <w:tcPr>
            <w:tcW w:w="360" w:type="dxa"/>
            <w:vAlign w:val="bottom"/>
            <w:gridSpan w:val="1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Registration Rights Agreement, dated October 1, 2014, by and among California Resources Corporation, the Guarantors and the Initial</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Purchasers (filed as Exhibit 4.3 to Amendment No. 4 to the Registrant’s Information Statement on Form 10 filed October 8, 2014 and</w:t>
              </w:r>
            </w:hyperlink>
          </w:p>
        </w:tc>
        <w:tc>
          <w:tcPr>
            <w:tcW w:w="80" w:type="dxa"/>
            <w:vAlign w:val="bottom"/>
            <w:tcBorders>
              <w:top w:val="single" w:sz="8" w:color="0000FF"/>
            </w:tcBorders>
            <w:gridSpan w:val="3"/>
          </w:tcPr>
          <w:p>
            <w:pPr>
              <w:spacing w:after="0"/>
              <w:rPr>
                <w:sz w:val="17"/>
                <w:szCs w:val="17"/>
                <w:color w:val="auto"/>
              </w:rPr>
            </w:pPr>
          </w:p>
        </w:tc>
        <w:tc>
          <w:tcPr>
            <w:tcW w:w="3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5% Senior Note due 2020 (included in Exhibit 4.2 to Amendment No. 4 to the Registrant’s Information Statement on Form 10</w:t>
              </w:r>
            </w:hyperlink>
          </w:p>
        </w:tc>
        <w:tc>
          <w:tcPr>
            <w:tcW w:w="2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filed October 8, 2014 and incorporated herein by reference).</w:t>
              </w:r>
            </w:hyperlink>
          </w:p>
        </w:tc>
        <w:tc>
          <w:tcPr>
            <w:tcW w:w="5660" w:type="dxa"/>
            <w:vAlign w:val="bottom"/>
            <w:gridSpan w:val="21"/>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Form of 5 1/2% Senior Note due 2021 (included in Exhibit 4.2 to Amendment No. 4 to the Registrant’s Information Statement on Form</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10 filed October 8, 2014 and incorporated herein by reference).</w:t>
              </w:r>
            </w:hyperlink>
          </w:p>
        </w:tc>
        <w:tc>
          <w:tcPr>
            <w:tcW w:w="5160" w:type="dxa"/>
            <w:vAlign w:val="bottom"/>
            <w:tcBorders>
              <w:top w:val="single" w:sz="8" w:color="0000FF"/>
            </w:tcBorders>
            <w:gridSpan w:val="10"/>
          </w:tcPr>
          <w:p>
            <w:pPr>
              <w:spacing w:after="0"/>
              <w:rPr>
                <w:sz w:val="17"/>
                <w:szCs w:val="17"/>
                <w:color w:val="auto"/>
              </w:rPr>
            </w:pPr>
          </w:p>
        </w:tc>
        <w:tc>
          <w:tcPr>
            <w:tcW w:w="240" w:type="dxa"/>
            <w:vAlign w:val="bottom"/>
            <w:gridSpan w:val="10"/>
          </w:tcPr>
          <w:p>
            <w:pPr>
              <w:spacing w:after="0"/>
              <w:rPr>
                <w:sz w:val="17"/>
                <w:szCs w:val="17"/>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73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4"/>
          </w:tcPr>
          <w:p>
            <w:pPr>
              <w:ind w:left="8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ind w:left="280"/>
              <w:spacing w:after="0" w:line="196" w:lineRule="exact"/>
              <w:rPr>
                <w:sz w:val="20"/>
                <w:szCs w:val="20"/>
                <w:color w:val="auto"/>
              </w:rPr>
            </w:pPr>
            <w:r>
              <w:rPr>
                <w:rFonts w:ascii="Arial" w:cs="Arial" w:eastAsia="Arial" w:hAnsi="Arial"/>
                <w:sz w:val="18"/>
                <w:szCs w:val="18"/>
                <w:color w:val="auto"/>
              </w:rPr>
              <w:t>4.11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Form of 6% Senior Note due 2024 (included in Exhibit 4.2 to Amendment No. 4 to the Registrant’s Information Statement on Form 10</w:t>
              </w:r>
            </w:hyperlink>
          </w:p>
        </w:tc>
        <w:tc>
          <w:tcPr>
            <w:tcW w:w="2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filed October 8, 2014 and incorporated herein by reference).</w:t>
              </w:r>
            </w:hyperlink>
          </w:p>
        </w:tc>
        <w:tc>
          <w:tcPr>
            <w:tcW w:w="5660" w:type="dxa"/>
            <w:vAlign w:val="bottom"/>
            <w:gridSpan w:val="1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14"/>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Form of 8% Senior Secured Second Lien Note due 2022 (included in Exhibit 4.1 to Registrant’s Current Report on Form 8-K filed</w:t>
              </w:r>
            </w:hyperlink>
          </w:p>
        </w:tc>
        <w:tc>
          <w:tcPr>
            <w:tcW w:w="6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2"/>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December 18, 2015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Registration Rights Agreement, dated as of February 7, 2018, by and between California Resources Corporation and AF V Energy IV</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AIV 2, L.P., AF V Energy IV AIV 3, L.P., Ares Special Situations Fund IV, L.P., AEOF Holdings I, L.P. and AEOF GP Sub, LLC</w:t>
              </w:r>
            </w:hyperlink>
          </w:p>
        </w:tc>
        <w:tc>
          <w:tcPr>
            <w:tcW w:w="280" w:type="dxa"/>
            <w:vAlign w:val="bottom"/>
            <w:tcBorders>
              <w:top w:val="single" w:sz="8" w:color="0000FF"/>
            </w:tcBorders>
            <w:gridSpan w:val="2"/>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(included in Exhibit 10.5 to the Registrant’s Current Report on Form 8-K filed February 7, 2018 and incorporated herein by reference).</w:t>
              </w:r>
            </w:hyperlink>
          </w:p>
        </w:tc>
        <w:tc>
          <w:tcPr>
            <w:tcW w:w="280" w:type="dxa"/>
            <w:vAlign w:val="bottom"/>
            <w:gridSpan w:val="4"/>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tcBorders>
              <w:bottom w:val="single" w:sz="8" w:color="0000FF"/>
            </w:tcBorders>
            <w:gridSpan w:val="16"/>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Registration Rights Agreement, dated as of April 9, 2018, by and between California Resources Corporation and Chevron U.S.A. Inc.</w:t>
              </w:r>
            </w:hyperlink>
          </w:p>
        </w:tc>
        <w:tc>
          <w:tcPr>
            <w:tcW w:w="3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2"/>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(filed as Exhibit 4.01 to the Registrant’s Current Report on Form 8-K filed April 9, 2018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Guarantor Supplemental Indenture, dated as of April 16, 2018, among California Resources Corporation, certain guarantors named therein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1"/>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and The Bank of New York Mellon Trust Company, N.A., as trustee (filed as Exhibit 4.1 to the Registrant’s Quarterly Report on Form 10-</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Q filed August 2, 2018 and incorporated herein by reference).</w:t>
              </w:r>
            </w:hyperlink>
          </w:p>
        </w:tc>
        <w:tc>
          <w:tcPr>
            <w:tcW w:w="5480" w:type="dxa"/>
            <w:vAlign w:val="bottom"/>
            <w:tcBorders>
              <w:top w:val="single" w:sz="8" w:color="0000FF"/>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FF"/>
            </w:tcBorders>
            <w:gridSpan w:val="19"/>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Third Guarantor Supplemental Indenture, dated as of June 29, 2018, among California Resources Corporation, certain guarantors named</w:t>
              </w:r>
            </w:hyperlink>
          </w:p>
        </w:tc>
        <w:tc>
          <w:tcPr>
            <w:tcW w:w="1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2"/>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therein and Wilmington Trust, National Association, as trustee (filed as Exhibit 4.2 to the Registrant’s Quarterly Report on Form 10-Q</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filed August 2, 2018 and incorporated herein by reference).</w:t>
              </w:r>
            </w:hyperlink>
          </w:p>
        </w:tc>
        <w:tc>
          <w:tcPr>
            <w:tcW w:w="5380" w:type="dxa"/>
            <w:vAlign w:val="bottom"/>
            <w:tcBorders>
              <w:top w:val="single" w:sz="8" w:color="0000FF"/>
            </w:tcBorders>
            <w:gridSpan w:val="13"/>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Borders>
              <w:bottom w:val="single" w:sz="8" w:color="0000FF"/>
            </w:tcBorders>
            <w:gridSpan w:val="12"/>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Purchase Warrant for Common Stock of California Resources Corporation, dated as of July 22, 2019 (filed as Exhibit 4.1 to the</w:t>
              </w:r>
            </w:hyperlink>
          </w:p>
        </w:tc>
        <w:tc>
          <w:tcPr>
            <w:tcW w:w="8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2"/>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Registrant’s Current Report on Form 8-K filed July 23, 2019 and incorporated herein by reference).</w:t>
              </w:r>
            </w:hyperlink>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top w:val="single" w:sz="8" w:color="0000FF"/>
            </w:tcBorders>
            <w:gridSpan w:val="1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Opinion of Vinson &amp; Elkins L.L.P. as to the legality of the securities being registered.</w:t>
              </w:r>
            </w:hyperlink>
          </w:p>
        </w:tc>
        <w:tc>
          <w:tcPr>
            <w:tcW w:w="2840" w:type="dxa"/>
            <w:vAlign w:val="bottom"/>
            <w:gridSpan w:val="12"/>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Consent of Independent Registered Public Accounting Firm.</w:t>
              </w:r>
            </w:hyperlink>
          </w:p>
        </w:tc>
        <w:tc>
          <w:tcPr>
            <w:tcW w:w="1800" w:type="dxa"/>
            <w:vAlign w:val="bottom"/>
            <w:tcBorders>
              <w:top w:val="single" w:sz="8" w:color="0000FF"/>
            </w:tcBorders>
            <w:gridSpan w:val="3"/>
          </w:tcPr>
          <w:p>
            <w:pPr>
              <w:spacing w:after="0"/>
              <w:rPr>
                <w:sz w:val="24"/>
                <w:szCs w:val="24"/>
                <w:color w:val="auto"/>
              </w:rPr>
            </w:pPr>
          </w:p>
        </w:tc>
        <w:tc>
          <w:tcPr>
            <w:tcW w:w="3840" w:type="dxa"/>
            <w:vAlign w:val="bottom"/>
            <w:gridSpan w:val="13"/>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Consent of Independent Petroleum Engineers.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560" w:type="dxa"/>
            <w:vAlign w:val="bottom"/>
            <w:gridSpan w:val="15"/>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Consent of Vinson &amp; Elkins L.L.P. (contained in Exhibit 5.1).</w:t>
              </w:r>
            </w:hyperlink>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tcBorders>
              <w:top w:val="single" w:sz="8" w:color="0000FF"/>
            </w:tcBorders>
            <w:gridSpan w:val="7"/>
          </w:tcPr>
          <w:p>
            <w:pPr>
              <w:spacing w:after="0"/>
              <w:rPr>
                <w:rFonts w:ascii="Arial" w:cs="Arial" w:eastAsia="Arial" w:hAnsi="Arial"/>
                <w:sz w:val="18"/>
                <w:szCs w:val="18"/>
                <w:color w:val="0000FF"/>
              </w:rPr>
            </w:pPr>
            <w:hyperlink r:id="rId29">
              <w:r>
                <w:rPr>
                  <w:rFonts w:ascii="Arial" w:cs="Arial" w:eastAsia="Arial" w:hAnsi="Arial"/>
                  <w:sz w:val="18"/>
                  <w:szCs w:val="18"/>
                  <w:color w:val="0000FF"/>
                </w:rPr>
                <w:t>Power of Attorney.</w:t>
              </w:r>
            </w:hyperlink>
          </w:p>
        </w:tc>
        <w:tc>
          <w:tcPr>
            <w:tcW w:w="5560" w:type="dxa"/>
            <w:vAlign w:val="bottom"/>
            <w:gridSpan w:val="15"/>
          </w:tcPr>
          <w:p>
            <w:pPr>
              <w:spacing w:after="0"/>
              <w:rPr>
                <w:sz w:val="24"/>
                <w:szCs w:val="24"/>
                <w:color w:val="auto"/>
              </w:rPr>
            </w:pPr>
          </w:p>
        </w:tc>
      </w:tr>
      <w:tr>
        <w:trPr>
          <w:trHeight w:val="254"/>
        </w:trPr>
        <w:tc>
          <w:tcPr>
            <w:tcW w:w="126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Borders>
              <w:top w:val="single" w:sz="8" w:color="0000FF"/>
            </w:tcBorders>
          </w:tcPr>
          <w:p>
            <w:pPr>
              <w:spacing w:after="0"/>
              <w:rPr>
                <w:sz w:val="22"/>
                <w:szCs w:val="22"/>
                <w:color w:val="auto"/>
              </w:rPr>
            </w:pPr>
          </w:p>
        </w:tc>
        <w:tc>
          <w:tcPr>
            <w:tcW w:w="1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ind w:right="10020" w:firstLine="8"/>
        <w:spacing w:after="0" w:line="272" w:lineRule="auto"/>
        <w:tabs>
          <w:tab w:leader="none" w:pos="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To be filed as an exhibit to a report pursuant to Section 13(a) or 15(d) of the Exchange Act or in a post-effective amendment to this Registration Statement.</w:t>
      </w:r>
    </w:p>
    <w:p>
      <w:pPr>
        <w:spacing w:after="0" w:line="1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undersigned registrant hereby undertakes:</w:t>
      </w:r>
    </w:p>
    <w:p>
      <w:pPr>
        <w:spacing w:after="0" w:line="1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44" w:lineRule="exact"/>
        <w:rPr>
          <w:rFonts w:ascii="Arial" w:cs="Arial" w:eastAsia="Arial" w:hAnsi="Arial"/>
          <w:sz w:val="18"/>
          <w:szCs w:val="18"/>
          <w:color w:val="auto"/>
        </w:rPr>
      </w:pPr>
    </w:p>
    <w:p>
      <w:pPr>
        <w:ind w:left="980" w:right="420" w:hanging="324"/>
        <w:spacing w:after="0" w:line="253"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733" w:right="239" w:bottom="1440" w:gutter="0" w:footer="0" w:header="0"/>
        </w:sectPr>
      </w:pPr>
    </w:p>
    <w:bookmarkStart w:id="22" w:name="page23"/>
    <w:bookmarkEnd w:id="22"/>
    <w:p>
      <w:pPr>
        <w:ind w:left="980" w:right="180"/>
        <w:spacing w:after="0" w:line="279" w:lineRule="auto"/>
        <w:rPr>
          <w:sz w:val="20"/>
          <w:szCs w:val="20"/>
          <w:color w:val="auto"/>
        </w:rPr>
      </w:pPr>
      <w:r>
        <w:rPr>
          <w:rFonts w:ascii="Arial" w:cs="Arial" w:eastAsia="Arial" w:hAnsi="Arial"/>
          <w:sz w:val="17"/>
          <w:szCs w:val="17"/>
          <w:color w:val="auto"/>
        </w:rPr>
        <w:t>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17" w:lineRule="exact"/>
        <w:rPr>
          <w:sz w:val="20"/>
          <w:szCs w:val="20"/>
          <w:color w:val="auto"/>
        </w:rPr>
      </w:pPr>
    </w:p>
    <w:p>
      <w:pPr>
        <w:ind w:left="980" w:right="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15(d) of the Exchange Act of 1934 (the “Exchange Act”)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ind w:left="660" w:right="2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left="980" w:right="20" w:hanging="324"/>
        <w:spacing w:after="0" w:line="272"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3"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7"/>
          <w:szCs w:val="17"/>
          <w:color w:val="auto"/>
        </w:rPr>
      </w:pPr>
    </w:p>
    <w:p>
      <w:pPr>
        <w:ind w:left="980" w:right="7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980" w:right="1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that is incorporated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719" w:right="259" w:bottom="1440" w:gutter="0" w:footer="0" w:header="0"/>
        </w:sectPr>
      </w:pPr>
    </w:p>
    <w:bookmarkStart w:id="23" w:name="page24"/>
    <w:bookmarkEnd w:id="23"/>
    <w:p>
      <w:pPr>
        <w:ind w:left="328"/>
        <w:spacing w:after="0" w:line="277" w:lineRule="auto"/>
        <w:rPr>
          <w:sz w:val="20"/>
          <w:szCs w:val="20"/>
          <w:color w:val="auto"/>
        </w:rPr>
      </w:pPr>
      <w:r>
        <w:rPr>
          <w:rFonts w:ascii="Arial" w:cs="Arial" w:eastAsia="Arial" w:hAnsi="Arial"/>
          <w:sz w:val="18"/>
          <w:szCs w:val="18"/>
          <w:color w:val="auto"/>
        </w:rPr>
        <w:t>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ind w:left="328" w:right="200" w:hanging="328"/>
        <w:spacing w:after="0" w:line="271"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28"/>
          </w:cols>
          <w:pgMar w:left="572" w:top="719" w:right="299" w:bottom="1440" w:gutter="0" w:footer="0" w:header="0"/>
        </w:sectPr>
      </w:pPr>
    </w:p>
    <w:bookmarkStart w:id="24" w:name="page25"/>
    <w:bookmarkEnd w:id="24"/>
    <w:p>
      <w:pPr>
        <w:ind w:right="100" w:firstLine="324"/>
        <w:spacing w:after="0" w:line="23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Westlake Village, State of California, on the 26th day of February, 2020.</w:t>
      </w:r>
    </w:p>
    <w:p>
      <w:pPr>
        <w:spacing w:after="0" w:line="23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Todd A. Stevens</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Todd A. Stevens</w:t>
            </w:r>
          </w:p>
        </w:tc>
        <w:tc>
          <w:tcPr>
            <w:tcW w:w="0" w:type="dxa"/>
            <w:vAlign w:val="bottom"/>
          </w:tcPr>
          <w:p>
            <w:pPr>
              <w:spacing w:after="0"/>
              <w:rPr>
                <w:sz w:val="1"/>
                <w:szCs w:val="1"/>
                <w:color w:val="auto"/>
              </w:rPr>
            </w:pPr>
          </w:p>
        </w:tc>
      </w:tr>
      <w:tr>
        <w:trPr>
          <w:trHeight w:val="270"/>
        </w:trPr>
        <w:tc>
          <w:tcPr>
            <w:tcW w:w="10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176"/>
        </w:trPr>
        <w:tc>
          <w:tcPr>
            <w:tcW w:w="1000" w:type="dxa"/>
            <w:vAlign w:val="bottom"/>
            <w:vMerge w:val="continue"/>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40" w:firstLine="324"/>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February 26,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3"/>
          </w:tcPr>
          <w:p>
            <w:pPr>
              <w:ind w:left="560"/>
              <w:spacing w:after="0"/>
              <w:rPr>
                <w:sz w:val="20"/>
                <w:szCs w:val="20"/>
                <w:color w:val="auto"/>
              </w:rPr>
            </w:pPr>
            <w:r>
              <w:rPr>
                <w:rFonts w:ascii="Arial" w:cs="Arial" w:eastAsia="Arial" w:hAnsi="Arial"/>
                <w:sz w:val="18"/>
                <w:szCs w:val="18"/>
                <w:b w:val="1"/>
                <w:bCs w:val="1"/>
                <w:color w:val="auto"/>
              </w:rPr>
              <w:t>California Resources Corporation</w:t>
            </w:r>
          </w:p>
        </w:tc>
      </w:tr>
      <w:tr>
        <w:trPr>
          <w:trHeight w:val="527"/>
        </w:trPr>
        <w:tc>
          <w:tcPr>
            <w:tcW w:w="38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Name</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520"/>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89"/>
              </w:rPr>
              <w:t>/s/ Todd A. Stevens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0"/>
              </w:rPr>
              <w:t>Todd A. Stevens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Senior Executive Vice President and Chief Financial Officer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Marshall D. Smith</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0"/>
              </w:rPr>
              <w:t>Executive Vice President, Finance</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Roy Pineci</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Chairman</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5"/>
              </w:rPr>
              <w:t>William E. Albrecht</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89"/>
              </w:rPr>
              <w:t>Justin A. Gannon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6"/>
              </w:rPr>
              <w:t>Harold M. Korell</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67"/>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3"/>
              </w:rPr>
              <w:t>Harry T. McMahon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Avedick B. Poladian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Anita M. Powers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Laurie A. Siegel</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706"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Name</w:t>
            </w:r>
          </w:p>
        </w:tc>
      </w:tr>
      <w:tr>
        <w:trPr>
          <w:trHeight w:val="27"/>
        </w:trPr>
        <w:tc>
          <w:tcPr>
            <w:tcW w:w="11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jc w:val="center"/>
              <w:ind w:right="105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jc w:val="center"/>
              <w:ind w:right="1050"/>
              <w:spacing w:after="0"/>
              <w:rPr>
                <w:sz w:val="20"/>
                <w:szCs w:val="20"/>
                <w:color w:val="auto"/>
              </w:rPr>
            </w:pPr>
            <w:r>
              <w:rPr>
                <w:rFonts w:ascii="Arial" w:cs="Arial" w:eastAsia="Arial" w:hAnsi="Arial"/>
                <w:sz w:val="18"/>
                <w:szCs w:val="18"/>
                <w:color w:val="auto"/>
                <w:w w:val="91"/>
              </w:rPr>
              <w:t>Robert V. Sinnott</w:t>
            </w: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Todd A. Stevens</w:t>
            </w:r>
          </w:p>
        </w:tc>
      </w:tr>
      <w:tr>
        <w:trPr>
          <w:trHeight w:val="41"/>
        </w:trPr>
        <w:tc>
          <w:tcPr>
            <w:tcW w:w="1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Todd A. Stevens</w:t>
            </w:r>
          </w:p>
        </w:tc>
      </w:tr>
      <w:tr>
        <w:trPr>
          <w:trHeight w:val="284"/>
        </w:trPr>
        <w:tc>
          <w:tcPr>
            <w:tcW w:w="116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Attorney-in-fact</w:t>
            </w:r>
          </w:p>
        </w:tc>
      </w:tr>
    </w:tbl>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34290</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61"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II-7</w:t>
      </w:r>
    </w:p>
    <w:p>
      <w:pPr>
        <w:sectPr>
          <w:pgSz w:w="11900" w:h="16838" w:orient="portrait"/>
          <w:cols w:equalWidth="0" w:num="2">
            <w:col w:w="5040" w:space="540"/>
            <w:col w:w="4639"/>
          </w:cols>
          <w:pgMar w:left="240" w:top="715"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11910"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 91355</w:t>
      </w:r>
    </w:p>
    <w:p>
      <w:pPr>
        <w:spacing w:after="0" w:line="15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Post-Effective Amendment No. 1 to Registration Statement on Form S-3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We have acted as counsel for California Resources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proposed issuance and sale from time to time by the Company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having an aggregate offering amount of up to 6,000,000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The Shares are being offered and sold by the Company pursuant to a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forming a part of a Registration Statement on Form S-3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filed with the Securities and Exchange Commission on November 16, 2018 and as amended by the Post-Effective Amendment No. 1 filed on the date hereof (collectively,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8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 connection with the opinion expressed herein, we have examined, among other things, (i) the Amended and Restated Certificate of Incorporation of the Company, dated May 31, 2016, (ii) the Amended and Restated Bylaws of the Company, dated November 4, 2015, (iii) the records of corporate proceedings that have occurred prior to the date hereof with respect to the Registration Statement and the Prospectus, (iv) the Registration Statement, and (v) the Prospectus.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w:t>
      </w:r>
    </w:p>
    <w:p>
      <w:pPr>
        <w:spacing w:after="0" w:line="5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 connection with this opinion, we have assumed that (i) the Shares will be sold in the manner described in the Registration Statement and the Prospectus, (ii) each document submitted to us for review is accurate and complete, each such document that is an original is authentic, each such document that is a copy conforms to an authentic original and all signatures on each such document are genuine, and (iii) each certificate from governmental officials reviewed by us is accurate, complete and authentic, and all official public records are accurate and complete.</w:t>
      </w:r>
    </w:p>
    <w:p>
      <w:pPr>
        <w:spacing w:after="0" w:line="6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proposed to be sold by the Company have been duly authorized and will be validly issued, fully paid and nonassessable when issued and delivered in the manner described in the Registration Statement and the Prospectus.</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foregoing opinions are limited in all respects to the General Corporation Law of the State of Delaware (including the applicable provisions of the Delaware Constitution and the reported judicial decisions interpreting these laws) and the federal laws of the United States of America, and we do not express any opinions as to the laws of any other jurisdiction.</w:t>
      </w:r>
    </w:p>
    <w:p>
      <w:pPr>
        <w:spacing w:after="0" w:line="7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but we do not thereby admit that we are within the category of persons whose consent is required under the provisions of the Securities Act.</w:t>
      </w:r>
    </w:p>
    <w:p>
      <w:pPr>
        <w:spacing w:after="0" w:line="3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Vinson &amp; Elkins LLP Attorneys at Law</w:t>
      </w:r>
    </w:p>
    <w:p>
      <w:pPr>
        <w:ind w:left="60"/>
        <w:spacing w:after="0" w:line="219" w:lineRule="auto"/>
        <w:rPr>
          <w:sz w:val="20"/>
          <w:szCs w:val="20"/>
          <w:color w:val="auto"/>
        </w:rPr>
      </w:pPr>
      <w:r>
        <w:rPr>
          <w:rFonts w:ascii="Arial" w:cs="Arial" w:eastAsia="Arial" w:hAnsi="Arial"/>
          <w:sz w:val="13"/>
          <w:szCs w:val="13"/>
          <w:color w:val="auto"/>
        </w:rPr>
        <w:t>Austin Beijing Dallas Dubai Hong Kong Houston London</w:t>
      </w:r>
    </w:p>
    <w:p>
      <w:pPr>
        <w:ind w:left="60"/>
        <w:spacing w:after="0"/>
        <w:rPr>
          <w:sz w:val="20"/>
          <w:szCs w:val="20"/>
          <w:color w:val="auto"/>
        </w:rPr>
      </w:pPr>
      <w:r>
        <w:rPr>
          <w:rFonts w:ascii="Arial" w:cs="Arial" w:eastAsia="Arial" w:hAnsi="Arial"/>
          <w:sz w:val="12"/>
          <w:szCs w:val="12"/>
          <w:color w:val="auto"/>
        </w:rPr>
        <w:t>New York Richmond Riyadh San Francisco Tokyo 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1001 Fannin Street, Suite 2500</w:t>
      </w:r>
    </w:p>
    <w:p>
      <w:pPr>
        <w:spacing w:after="0" w:line="216" w:lineRule="auto"/>
        <w:rPr>
          <w:sz w:val="20"/>
          <w:szCs w:val="20"/>
          <w:color w:val="auto"/>
        </w:rPr>
      </w:pPr>
      <w:r>
        <w:rPr>
          <w:rFonts w:ascii="Arial" w:cs="Arial" w:eastAsia="Arial" w:hAnsi="Arial"/>
          <w:sz w:val="13"/>
          <w:szCs w:val="13"/>
          <w:color w:val="auto"/>
        </w:rPr>
        <w:t>Houston, TX 77002-6760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velaw.com</w:t>
      </w:r>
    </w:p>
    <w:p>
      <w:pPr>
        <w:sectPr>
          <w:pgSz w:w="11900" w:h="16838" w:orient="portrait"/>
          <w:cols w:equalWidth="0" w:num="2">
            <w:col w:w="5820" w:space="720"/>
            <w:col w:w="4880"/>
          </w:cols>
          <w:pgMar w:left="240" w:top="553" w:right="2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use of our report dated February 27, 2019, with respect to the consolidated balance sheets of California Resources Corporation and subsidiaries as of December 31, 2018 and 2017, the related consolidated statements of operations, comprehensive income, equity, and cash flows for each of the years in the three-year period ended December 31, 2018, and the related notes (collectively, the consolidated financial statements), and the effectiveness of internal control over financial reporting as of December 31, 2018,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5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13, 2019 relating to our audit of California Resources Corporation’s 2018 oil and gas proved reserves.</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Ryder Scott Company, L.P.</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RYDER SCOTT COMPANY,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TBPE Firm Registration No. F-1580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3"/>
    </w:lvl>
  </w:abstractNum>
  <w:abstractNum w:abstractNumId="14">
    <w:nsid w:val="41A7C4C9"/>
    <w:multiLevelType w:val="hybridMultilevel"/>
    <w:lvl w:ilvl="0">
      <w:lvlJc w:val="left"/>
      <w:lvlText w:val="%1."/>
      <w:numFmt w:val="decimal"/>
      <w:start w:val="2"/>
    </w:lvl>
    <w:lvl w:ilvl="1">
      <w:lvlJc w:val="left"/>
      <w:lvlText w:val="%2."/>
      <w:numFmt w:val="lowerLetter"/>
      <w:start w:val="1"/>
    </w:lvl>
  </w:abstractNum>
  <w:abstractNum w:abstractNumId="15">
    <w:nsid w:val="6B68079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30" Type="http://schemas.openxmlformats.org/officeDocument/2006/relationships/image" Target="media/image6.png"/><Relationship Id="rId31" Type="http://schemas.openxmlformats.org/officeDocument/2006/relationships/image" Target="media/image7.jpeg"/><Relationship Id="rId13" Type="http://schemas.openxmlformats.org/officeDocument/2006/relationships/hyperlink" Target="http://www.sec.gov/Archives/edgar/data/1609253/000110465914084170/a14-25233_1ex2d1.htm" TargetMode="External"/><Relationship Id="rId14" Type="http://schemas.openxmlformats.org/officeDocument/2006/relationships/hyperlink" Target="http://www.sec.gov/Archives/edgar/data/1609253/000160925316000271/exhibit31.htm" TargetMode="External"/><Relationship Id="rId15" Type="http://schemas.openxmlformats.org/officeDocument/2006/relationships/hyperlink" Target="http://www.sec.gov/Archives/edgar/data/1609253/000160925315000168/exhibit32amendedandrestate.htm" TargetMode="External"/><Relationship Id="rId16" Type="http://schemas.openxmlformats.org/officeDocument/2006/relationships/hyperlink" Target="http://www.sec.gov/Archives/edgar/data/1609253/000104746914008184/a2221677zex-4_2.htm" TargetMode="External"/><Relationship Id="rId17" Type="http://schemas.openxmlformats.org/officeDocument/2006/relationships/hyperlink" Target="http://www.sec.gov/Archives/edgar/data/1609253/000160925315000179/crcexchangeindenture.htm" TargetMode="External"/><Relationship Id="rId18" Type="http://schemas.openxmlformats.org/officeDocument/2006/relationships/hyperlink" Target="http://www.sec.gov/Archives/edgar/data/1609253/000160925315000027/exh42guarantorsupplemental.htm" TargetMode="External"/><Relationship Id="rId19" Type="http://schemas.openxmlformats.org/officeDocument/2006/relationships/hyperlink" Target="http://www.sec.gov/Archives/edgar/data/1609253/000160925316000305/a2016q2exhibit41.htm" TargetMode="External"/><Relationship Id="rId20" Type="http://schemas.openxmlformats.org/officeDocument/2006/relationships/hyperlink" Target="http://www.sec.gov/Archives/edgar/data/1609253/000160925316000305/a2016q2exhibit42.htm" TargetMode="External"/><Relationship Id="rId21" Type="http://schemas.openxmlformats.org/officeDocument/2006/relationships/hyperlink" Target="http://www.sec.gov/Archives/edgar/data/1609253/000160925316000305/a2016q2exhibit104.htm" TargetMode="External"/><Relationship Id="rId22" Type="http://schemas.openxmlformats.org/officeDocument/2006/relationships/hyperlink" Target="http://www.sec.gov/Archives/edgar/data/1609253/000160925315000027/exhibit1031assumptionagree.htm" TargetMode="External"/><Relationship Id="rId23" Type="http://schemas.openxmlformats.org/officeDocument/2006/relationships/hyperlink" Target="http://www.sec.gov/Archives/edgar/data/1609253/000104746914008184/a2221677zex-4_3.htm" TargetMode="External"/><Relationship Id="rId24" Type="http://schemas.openxmlformats.org/officeDocument/2006/relationships/hyperlink" Target="http://www.sec.gov/Archives/edgar/data/1609253/000160925318000004/ex1052-7x20188k.htm" TargetMode="External"/><Relationship Id="rId25" Type="http://schemas.openxmlformats.org/officeDocument/2006/relationships/hyperlink" Target="http://www.sec.gov/Archives/edgar/data/1609253/000160925318000051/registrationrightsagreemen.htm" TargetMode="External"/><Relationship Id="rId26" Type="http://schemas.openxmlformats.org/officeDocument/2006/relationships/hyperlink" Target="http://www.sec.gov/Archives/edgar/data/1609253/000160925318000111/a2018q2exhibit41.htm" TargetMode="External"/><Relationship Id="rId27" Type="http://schemas.openxmlformats.org/officeDocument/2006/relationships/hyperlink" Target="http://www.sec.gov/Archives/edgar/data/1609253/000160925318000111/a2018q2exhibit42.htm" TargetMode="External"/><Relationship Id="rId28" Type="http://schemas.openxmlformats.org/officeDocument/2006/relationships/hyperlink" Target="http://www.sec.gov/Archives/edgar/data/1609253/000160925319000118/a20190722ex41.htm" TargetMode="External"/><Relationship Id="rId29" Type="http://schemas.openxmlformats.org/officeDocument/2006/relationships/hyperlink" Target="http://www.sec.gov/Archives/edgar/data/1609253/000119312518328952/d653358ds3asr.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2020-02-26T14:15:32Z</dcterms:created>
  <dcterms:modified xsi:type="dcterms:W3CDTF">2020-02-26T14:15:32Z</dcterms:modified>
</cp:coreProperties>
</file>