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4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gridSpan w:val="2"/>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3"/>
          </w:tcPr>
          <w:p>
            <w:pPr>
              <w:ind w:left="1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2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gridSpan w:val="2"/>
          </w:tcPr>
          <w:p>
            <w:pPr>
              <w:ind w:left="140"/>
              <w:spacing w:after="0"/>
              <w:rPr>
                <w:sz w:val="20"/>
                <w:szCs w:val="20"/>
                <w:color w:val="auto"/>
              </w:rPr>
            </w:pPr>
            <w:r>
              <w:rPr>
                <w:rFonts w:ascii="Arial" w:cs="Arial" w:eastAsia="Arial" w:hAnsi="Arial"/>
                <w:sz w:val="17"/>
                <w:szCs w:val="17"/>
                <w:color w:val="0000FF"/>
              </w:rPr>
              <w:t>12/30/2021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29,378</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center"/>
              <w:ind w:right="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42.916</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10,862,834</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gridSpan w:val="2"/>
          </w:tcPr>
          <w:p>
            <w:pPr>
              <w:ind w:left="140"/>
              <w:spacing w:after="0"/>
              <w:rPr>
                <w:sz w:val="20"/>
                <w:szCs w:val="20"/>
                <w:color w:val="auto"/>
              </w:rPr>
            </w:pPr>
            <w:r>
              <w:rPr>
                <w:rFonts w:ascii="Arial" w:cs="Arial" w:eastAsia="Arial" w:hAnsi="Arial"/>
                <w:sz w:val="17"/>
                <w:szCs w:val="17"/>
                <w:color w:val="0000FF"/>
              </w:rPr>
              <w:t>12/31/2021</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32,526</w:t>
            </w:r>
            <w:r>
              <w:rPr>
                <w:rFonts w:ascii="Arial" w:cs="Arial" w:eastAsia="Arial" w:hAnsi="Arial"/>
                <w:sz w:val="11"/>
                <w:szCs w:val="11"/>
                <w:color w:val="008000"/>
                <w:w w:val="86"/>
              </w:rPr>
              <w:t>(1)(2)(3)(4)(5)(6)</w:t>
            </w:r>
          </w:p>
        </w:tc>
        <w:tc>
          <w:tcPr>
            <w:tcW w:w="380" w:type="dxa"/>
            <w:vAlign w:val="bottom"/>
          </w:tcPr>
          <w:p>
            <w:pPr>
              <w:jc w:val="right"/>
              <w:ind w:right="69"/>
              <w:spacing w:after="0"/>
              <w:rPr>
                <w:sz w:val="20"/>
                <w:szCs w:val="20"/>
                <w:color w:val="auto"/>
              </w:rPr>
            </w:pPr>
            <w:r>
              <w:rPr>
                <w:rFonts w:ascii="Arial" w:cs="Arial" w:eastAsia="Arial" w:hAnsi="Arial"/>
                <w:sz w:val="17"/>
                <w:szCs w:val="17"/>
                <w:color w:val="0000FF"/>
              </w:rPr>
              <w:t>D</w:t>
            </w:r>
          </w:p>
        </w:tc>
        <w:tc>
          <w:tcPr>
            <w:tcW w:w="76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42.7781</w:t>
            </w:r>
          </w:p>
        </w:tc>
        <w:tc>
          <w:tcPr>
            <w:tcW w:w="170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2"/>
                <w:vertAlign w:val="subscript"/>
              </w:rPr>
              <w:t>10,830,308</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4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46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3"/>
          </w:tcPr>
          <w:p>
            <w:pPr>
              <w:ind w:left="46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(State)</w:t>
            </w:r>
          </w:p>
        </w:tc>
        <w:tc>
          <w:tcPr>
            <w:tcW w:w="26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0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10,830,308 shares of Common Stock by reason of the direct or indirect beneficial ownership of such shares as follows: (i) ACOF AIV 1A directly holds 638,022 shares of Common Stock, (ii) ACOF AIV 1B directly holds 2,334,822 shares of Common Stock, (iii) ACOF AIV 2 directly holds 2,378,486 shares of Common Stock, (iv) AEOF AIV A-B directly holds 1,894,861 shares of Common Stock, (v) AEOF AIV C directly holds 804,524 shares of Common Stock and (vi) AF Energy Feeder, L.P. directly holds 2,779,593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44"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44"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2022-01-03T15:13:15Z</dcterms:created>
  <dcterms:modified xsi:type="dcterms:W3CDTF">2022-01-03T15:13:15Z</dcterms:modified>
</cp:coreProperties>
</file>