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21, 2024</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May 21, 2024, California Resources Corporation (the “Company”) issued a press release announcing the pricing of its upsized private offering of $600 million in aggregate principal amount of its 8.250% senior notes due 2029 at par. A copy of the press release is furnished herewith as Exhibit 99.1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This communication may be deemed to be solicitation material in respect of the transactions contemplated by the merger agreement (the “Merger Agreement”) relating to the business combination (the “Aera Merger”) with Aera Energy LLC and Aera Energy Services Company (the “Aera Companies”),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 stockholders. INVESTORS AND SECURITY HOLDERS OF THE COMPANY ARE URGED TO READ THE PROXY STATEMENT AND OTHER RELEVANT DOCUMENTS FILED OR TO BE FILED WITH 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www.crc.com. The information included on, or accessible through, the Company’s website is not incorporated by reference into this communication.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22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39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466"/>
        </w:trPr>
        <w:tc>
          <w:tcPr>
            <w:tcW w:w="26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4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
        </w:trPr>
        <w:tc>
          <w:tcPr>
            <w:tcW w:w="2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193"/>
        </w:trPr>
        <w:tc>
          <w:tcPr>
            <w:tcW w:w="2180" w:type="dxa"/>
            <w:vAlign w:val="bottom"/>
            <w:gridSpan w:val="2"/>
          </w:tcPr>
          <w:p>
            <w:pPr>
              <w:jc w:val="right"/>
              <w:ind w:right="711"/>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May 21, 2024.</w:t>
            </w:r>
          </w:p>
        </w:tc>
      </w:tr>
      <w:tr>
        <w:trPr>
          <w:trHeight w:val="20"/>
        </w:trPr>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bl>
    <w:p>
      <w:pPr>
        <w:spacing w:after="0" w:line="62" w:lineRule="exact"/>
        <w:rPr>
          <w:sz w:val="20"/>
          <w:szCs w:val="20"/>
          <w:color w:val="auto"/>
        </w:rPr>
      </w:pPr>
    </w:p>
    <w:p>
      <w:pPr>
        <w:ind w:left="2440" w:hanging="1351"/>
        <w:spacing w:after="0"/>
        <w:tabs>
          <w:tab w:leader="none" w:pos="2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21, 2024</w:t>
      </w:r>
    </w:p>
    <w:p>
      <w:pPr>
        <w:sectPr>
          <w:pgSz w:w="11900" w:h="16838" w:orient="portrait"/>
          <w:cols w:equalWidth="0" w:num="1">
            <w:col w:w="11240"/>
          </w:cols>
          <w:pgMar w:left="320" w:top="139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1590675" cy="457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0675"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720" w:val="left"/>
        </w:tabs>
        <w:rPr>
          <w:sz w:val="20"/>
          <w:szCs w:val="20"/>
          <w:color w:val="auto"/>
        </w:rPr>
      </w:pPr>
      <w:r>
        <w:rPr>
          <w:rFonts w:ascii="Calibri" w:cs="Calibri" w:eastAsia="Calibri" w:hAnsi="Calibri"/>
          <w:sz w:val="32"/>
          <w:szCs w:val="32"/>
          <w:b w:val="1"/>
          <w:bCs w:val="1"/>
          <w:color w:val="auto"/>
        </w:rPr>
        <w:t>NEWS RELEASE</w:t>
      </w:r>
      <w:r>
        <w:rPr>
          <w:sz w:val="20"/>
          <w:szCs w:val="20"/>
          <w:color w:val="auto"/>
        </w:rPr>
        <w:tab/>
      </w:r>
      <w:r>
        <w:rPr>
          <w:rFonts w:ascii="Calibri" w:cs="Calibri" w:eastAsia="Calibri" w:hAnsi="Calibri"/>
          <w:sz w:val="21"/>
          <w:szCs w:val="21"/>
          <w:b w:val="1"/>
          <w:bCs w:val="1"/>
          <w:color w:val="auto"/>
        </w:rPr>
        <w:t>For immediate release</w:t>
      </w:r>
    </w:p>
    <w:p>
      <w:pPr>
        <w:spacing w:after="0" w:line="186" w:lineRule="exact"/>
        <w:rPr>
          <w:sz w:val="20"/>
          <w:szCs w:val="20"/>
          <w:color w:val="auto"/>
        </w:rPr>
      </w:pPr>
    </w:p>
    <w:p>
      <w:pPr>
        <w:jc w:val="center"/>
        <w:spacing w:after="0" w:line="241" w:lineRule="auto"/>
        <w:rPr>
          <w:sz w:val="20"/>
          <w:szCs w:val="20"/>
          <w:color w:val="auto"/>
        </w:rPr>
      </w:pPr>
      <w:r>
        <w:rPr>
          <w:rFonts w:ascii="Calibri" w:cs="Calibri" w:eastAsia="Calibri" w:hAnsi="Calibri"/>
          <w:sz w:val="28"/>
          <w:szCs w:val="28"/>
          <w:b w:val="1"/>
          <w:bCs w:val="1"/>
          <w:color w:val="auto"/>
        </w:rPr>
        <w:t>California Resources Corporaton Announces Pricing of Upsized Private Ofering of $600 Million of Senior Unsecured Notes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Long Beach, California, May 21, 2024 – California Resources Corporation (NYSE: CRC) (the “Company”) announced today the pricing of its upsized private offering of $600 million in aggregate principal amount of its 8.250% senior unsecured notes due 2029 (the “Notes”) at par. The Notes will be guaranteed by all of the Company’s existing subsidiaries that guarantee its revolving credit facility, its 7.125% senior unsecured notes due 2026 and certain future subsidiaries. The offering is expected to close on June 5, 2024, subject to customary closing conditions.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Company estimates that the net proceeds from the offering will be approximately $590 million after deducting the initial purchasers' discount and estimated expenses. The Company intends to use the net proceeds from this offering, cash on hand and borrowings under its revolving credit facility to repay the existing indebtedness of Aera Energy, LLC and its operating affiliate Aera Energy Services Company (together, the “Aera Companies”) in connection with the pending business combination with the Aera Companies (the “Aera Merger”).</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If (x) the consummation of the Aera Merger does not occur on or before May 7, 2025 (the “Outside Date”), or (y) prior thereto, the Company notifies the trustee in writing that the merger agreement related to the Aera Merger (the “Merger Agreement”) has been terminated or the Company will not pursue the consummation of the Aera Merger or has determined in its sole discretion that the Aera Merger cannot or is not reasonably likely to be consummated by the Outside Date, the Notes will be subject to a special mandatory redemption at a redemption price equal to 100% of the initial issue price of the Notes plus accrued and unpaid interest to, but excluding, the payment date of such special mandatory redemption.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664210</wp:posOffset>
            </wp:positionH>
            <wp:positionV relativeFrom="page">
              <wp:posOffset>88900</wp:posOffset>
            </wp:positionV>
            <wp:extent cx="1582420" cy="448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82420" cy="448310"/>
                    </a:xfrm>
                    <a:prstGeom prst="rect">
                      <a:avLst/>
                    </a:prstGeom>
                    <a:noFill/>
                  </pic:spPr>
                </pic:pic>
              </a:graphicData>
            </a:graphic>
          </wp:anchor>
        </w:drawing>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1"/>
          <w:szCs w:val="21"/>
          <w:color w:val="auto"/>
        </w:rPr>
        <w:t>Forward-Looking Statement Disclosure</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All statements, except for statements of historical fact, made in this release regarding activities, events or developments the Company expects, believes or anticipates will or may occur in the future, such as statements regarding the proposed offering, the intended use of proceeds and the business combination with the Aera Companies,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69"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 on Form 10-Q.</w:t>
      </w: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California Resources Corporation is an independent energy and carbon management company committed to energy transition. CRC produces some of the lowest carbon intensity production in the US and is focused on maximizing the value of its land, mineral and technical resources for decarbonization by developing carbon capture and storage and other emissions reducing projects.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Additional Information and Where to Find It</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This communication may be deemed to be solicitation material in respect of the transactions contemplated by the Merger Agreement,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w:t>
      </w:r>
    </w:p>
    <w:p>
      <w:pPr>
        <w:sectPr>
          <w:pgSz w:w="11900" w:h="16838" w:orient="portrait"/>
          <w:cols w:equalWidth="0" w:num="1">
            <w:col w:w="11240"/>
          </w:cols>
          <w:pgMar w:left="320" w:top="703" w:right="33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664210</wp:posOffset>
            </wp:positionH>
            <wp:positionV relativeFrom="page">
              <wp:posOffset>88900</wp:posOffset>
            </wp:positionV>
            <wp:extent cx="1582420" cy="448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82420" cy="448310"/>
                    </a:xfrm>
                    <a:prstGeom prst="rect">
                      <a:avLst/>
                    </a:prstGeom>
                    <a:noFill/>
                  </pic:spPr>
                </pic:pic>
              </a:graphicData>
            </a:graphic>
          </wp:anchor>
        </w:drawing>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stockholders. INVESTORS AND SECURITY HOLDERS OF THE COMPANY ARE URGED TO READ THE PROXY STATEMENT AND OTHER RELEVANT DOCUMENTS FILED OR TO BE FILED WITH 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t>
      </w:r>
      <w:r>
        <w:rPr>
          <w:rFonts w:ascii="Arial" w:cs="Arial" w:eastAsia="Arial" w:hAnsi="Arial"/>
          <w:sz w:val="21"/>
          <w:szCs w:val="21"/>
          <w:u w:val="single" w:color="auto"/>
          <w:color w:val="0000FF"/>
        </w:rPr>
        <w:t>www.crc.com</w:t>
      </w:r>
      <w:r>
        <w:rPr>
          <w:rFonts w:ascii="Arial" w:cs="Arial" w:eastAsia="Arial" w:hAnsi="Arial"/>
          <w:sz w:val="21"/>
          <w:szCs w:val="21"/>
          <w:color w:val="000000"/>
          <w:highlight w:val="white"/>
        </w:rPr>
        <w:t>. The information included on, or accessible through, the Company’s website is not incorporated by</w:t>
      </w:r>
      <w:r>
        <w:rPr>
          <w:rFonts w:ascii="Arial" w:cs="Arial" w:eastAsia="Arial" w:hAnsi="Arial"/>
          <w:sz w:val="21"/>
          <w:szCs w:val="21"/>
          <w:color w:val="0000FF"/>
        </w:rPr>
        <w:t xml:space="preserve"> </w:t>
      </w:r>
      <w:r>
        <w:rPr>
          <w:rFonts w:ascii="Arial" w:cs="Arial" w:eastAsia="Arial" w:hAnsi="Arial"/>
          <w:sz w:val="21"/>
          <w:szCs w:val="21"/>
          <w:color w:val="000000"/>
        </w:rPr>
        <w:t>reference into this communication.</w:t>
      </w: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Participants in Solicitation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2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rPr>
              <w:t>CRC Contacts:</w:t>
            </w:r>
          </w:p>
        </w:tc>
        <w:tc>
          <w:tcPr>
            <w:tcW w:w="342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73"/>
        </w:trPr>
        <w:tc>
          <w:tcPr>
            <w:tcW w:w="494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3240" w:type="dxa"/>
            <w:vAlign w:val="bottom"/>
            <w:gridSpan w:val="2"/>
          </w:tcPr>
          <w:p>
            <w:pPr>
              <w:ind w:left="1000"/>
              <w:spacing w:after="0"/>
              <w:rPr>
                <w:sz w:val="20"/>
                <w:szCs w:val="20"/>
                <w:color w:val="auto"/>
              </w:rPr>
            </w:pPr>
            <w:r>
              <w:rPr>
                <w:rFonts w:ascii="Arial" w:cs="Arial" w:eastAsia="Arial" w:hAnsi="Arial"/>
                <w:sz w:val="21"/>
                <w:szCs w:val="21"/>
                <w:color w:val="auto"/>
              </w:rPr>
              <w:t>Richard Venn (Media)</w:t>
            </w:r>
          </w:p>
        </w:tc>
      </w:tr>
      <w:tr>
        <w:trPr>
          <w:trHeight w:val="253"/>
        </w:trPr>
        <w:tc>
          <w:tcPr>
            <w:tcW w:w="1520" w:type="dxa"/>
            <w:vAlign w:val="bottom"/>
          </w:tcPr>
          <w:p>
            <w:pPr>
              <w:spacing w:after="0"/>
              <w:rPr>
                <w:sz w:val="20"/>
                <w:szCs w:val="20"/>
                <w:color w:val="auto"/>
              </w:rPr>
            </w:pPr>
            <w:r>
              <w:rPr>
                <w:rFonts w:ascii="Arial" w:cs="Arial" w:eastAsia="Arial" w:hAnsi="Arial"/>
                <w:sz w:val="21"/>
                <w:szCs w:val="21"/>
                <w:color w:val="auto"/>
              </w:rPr>
              <w:t>(818) 661-3731</w:t>
            </w:r>
          </w:p>
        </w:tc>
        <w:tc>
          <w:tcPr>
            <w:tcW w:w="6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240" w:type="dxa"/>
            <w:vAlign w:val="bottom"/>
            <w:gridSpan w:val="2"/>
          </w:tcPr>
          <w:p>
            <w:pPr>
              <w:ind w:left="1000"/>
              <w:spacing w:after="0"/>
              <w:rPr>
                <w:sz w:val="20"/>
                <w:szCs w:val="20"/>
                <w:color w:val="auto"/>
              </w:rPr>
            </w:pPr>
            <w:r>
              <w:rPr>
                <w:rFonts w:ascii="Arial" w:cs="Arial" w:eastAsia="Arial" w:hAnsi="Arial"/>
                <w:sz w:val="21"/>
                <w:szCs w:val="21"/>
                <w:color w:val="auto"/>
              </w:rPr>
              <w:t>(818) 661-6014</w:t>
            </w:r>
          </w:p>
        </w:tc>
      </w:tr>
      <w:tr>
        <w:trPr>
          <w:trHeight w:val="226"/>
        </w:trPr>
        <w:tc>
          <w:tcPr>
            <w:tcW w:w="4940" w:type="dxa"/>
            <w:vAlign w:val="bottom"/>
            <w:gridSpan w:val="3"/>
          </w:tcPr>
          <w:p>
            <w:pPr>
              <w:spacing w:after="0" w:line="226" w:lineRule="exact"/>
              <w:rPr>
                <w:sz w:val="20"/>
                <w:szCs w:val="20"/>
                <w:color w:val="auto"/>
              </w:rPr>
            </w:pPr>
            <w:r>
              <w:rPr>
                <w:rFonts w:ascii="Arial" w:cs="Arial" w:eastAsia="Arial" w:hAnsi="Arial"/>
                <w:sz w:val="21"/>
                <w:szCs w:val="21"/>
                <w:color w:val="0000FF"/>
              </w:rPr>
              <w:t>Joanna.Park@crc.com</w:t>
            </w:r>
          </w:p>
        </w:tc>
        <w:tc>
          <w:tcPr>
            <w:tcW w:w="3240" w:type="dxa"/>
            <w:vAlign w:val="bottom"/>
            <w:gridSpan w:val="2"/>
          </w:tcPr>
          <w:p>
            <w:pPr>
              <w:ind w:left="1000"/>
              <w:spacing w:after="0" w:line="226" w:lineRule="exact"/>
              <w:rPr>
                <w:sz w:val="20"/>
                <w:szCs w:val="20"/>
                <w:color w:val="auto"/>
              </w:rPr>
            </w:pPr>
            <w:r>
              <w:rPr>
                <w:rFonts w:ascii="Arial" w:cs="Arial" w:eastAsia="Arial" w:hAnsi="Arial"/>
                <w:sz w:val="21"/>
                <w:szCs w:val="21"/>
                <w:color w:val="0000FF"/>
                <w:w w:val="99"/>
              </w:rPr>
              <w:t>Richard.Venn@crc.com</w:t>
            </w:r>
          </w:p>
        </w:tc>
      </w:tr>
      <w:tr>
        <w:trPr>
          <w:trHeight w:val="20"/>
        </w:trPr>
        <w:tc>
          <w:tcPr>
            <w:tcW w:w="2160" w:type="dxa"/>
            <w:vAlign w:val="bottom"/>
            <w:gridSpan w:val="2"/>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r>
      <w:tr>
        <w:trPr>
          <w:trHeight w:val="541"/>
        </w:trPr>
        <w:tc>
          <w:tcPr>
            <w:tcW w:w="4940" w:type="dxa"/>
            <w:vAlign w:val="bottom"/>
            <w:gridSpan w:val="3"/>
          </w:tcPr>
          <w:p>
            <w:pPr>
              <w:spacing w:after="0"/>
              <w:rPr>
                <w:sz w:val="20"/>
                <w:szCs w:val="20"/>
                <w:color w:val="auto"/>
              </w:rPr>
            </w:pPr>
            <w:r>
              <w:rPr>
                <w:rFonts w:ascii="Arial" w:cs="Arial" w:eastAsia="Arial" w:hAnsi="Arial"/>
                <w:sz w:val="21"/>
                <w:szCs w:val="21"/>
                <w:color w:val="auto"/>
              </w:rPr>
              <w:t>Source: California Resources Corporation</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2024-05-21T16:14:58Z</dcterms:created>
  <dcterms:modified xsi:type="dcterms:W3CDTF">2024-05-21T16:14:58Z</dcterms:modified>
</cp:coreProperties>
</file>