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5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53"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953"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953"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06/23/2021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192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100,000</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D</w:t>
            </w:r>
          </w:p>
        </w:tc>
        <w:tc>
          <w:tcPr>
            <w:tcW w:w="660" w:type="dxa"/>
            <w:vAlign w:val="bottom"/>
          </w:tcPr>
          <w:p>
            <w:pPr>
              <w:jc w:val="right"/>
              <w:ind w:right="2"/>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32.09</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14,271,592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17"/>
                <w:szCs w:val="17"/>
                <w:color w:val="0000FF"/>
                <w:w w:val="95"/>
              </w:rPr>
              <w:t>See Footnotes</w:t>
            </w:r>
            <w:r>
              <w:rPr>
                <w:rFonts w:ascii="Arial" w:cs="Arial" w:eastAsia="Arial" w:hAnsi="Arial"/>
                <w:sz w:val="22"/>
                <w:szCs w:val="22"/>
                <w:color w:val="008000"/>
                <w:w w:val="95"/>
                <w:vertAlign w:val="superscript"/>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06/23/2021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192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103,867</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D</w:t>
            </w:r>
          </w:p>
        </w:tc>
        <w:tc>
          <w:tcPr>
            <w:tcW w:w="660" w:type="dxa"/>
            <w:vAlign w:val="bottom"/>
          </w:tcPr>
          <w:p>
            <w:pPr>
              <w:jc w:val="right"/>
              <w:ind w:right="2"/>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32.03</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14,167,725</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3"/>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2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2000 AVENUE OF THE STARS, 12TH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3"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ASSF Operating Manager IV,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20"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1" w:lineRule="exact"/>
              <w:rPr>
                <w:rFonts w:ascii="Arial" w:cs="Arial" w:eastAsia="Arial" w:hAnsi="Arial"/>
                <w:sz w:val="21"/>
                <w:szCs w:val="21"/>
                <w:color w:val="0000EE"/>
                <w:w w:val="91"/>
              </w:rPr>
            </w:pPr>
            <w:hyperlink r:id="rId19">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Ares Partners Holdco LLC</w:t>
        </w:r>
      </w:hyperlink>
    </w:p>
    <w:p>
      <w:pPr>
        <w:sectPr>
          <w:pgSz w:w="11900" w:h="16838" w:orient="portrait"/>
          <w:cols w:equalWidth="0" w:num="1">
            <w:col w:w="9979"/>
          </w:cols>
          <w:pgMar w:left="480" w:top="118" w:right="1440" w:bottom="0" w:gutter="0" w:footer="0" w:header="0"/>
        </w:sectPr>
      </w:pPr>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79"/>
          </w:cols>
          <w:pgMar w:left="480" w:top="118" w:right="1440"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-118110</wp:posOffset>
            </wp:positionV>
            <wp:extent cx="2809240" cy="985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985520"/>
                    </a:xfrm>
                    <a:prstGeom prst="rect">
                      <a:avLst/>
                    </a:prstGeom>
                    <a:noFill/>
                  </pic:spPr>
                </pic:pic>
              </a:graphicData>
            </a:graphic>
          </wp:anchor>
        </w:drawing>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72"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14,167,725 shares of Common Stock by reason of the direct or indirect beneficial ownership of such shares as follows: (i) ACOF AIV 1A directly holds 674,003 shares of Common Stock, (ii) ACOF AIV 1B directly holds 2,466,515 shares of Common Stock, (iii) ACOF AIV 2 directly holds 2,512,640 shares of Common Stock, (iv) AEOF AIV A-B directly holds 1,894,861 shares of Common Stock, (v) AEOF AIV C directly holds 804,524 shares of Common Stock, and (vi) AF Energy Feeder, L.P. directly holds 5,815,182 shares of Common Stock. After the sales reported above, the SSF AIVs no longer hold any shares of Common Stock.</w:t>
      </w:r>
    </w:p>
    <w:p>
      <w:pPr>
        <w:spacing w:after="0" w:line="14" w:lineRule="exact"/>
        <w:rPr>
          <w:rFonts w:ascii="Arial" w:cs="Arial" w:eastAsia="Arial" w:hAnsi="Arial"/>
          <w:sz w:val="12"/>
          <w:szCs w:val="12"/>
          <w:color w:val="008000"/>
        </w:rPr>
      </w:pPr>
    </w:p>
    <w:p>
      <w:pPr>
        <w:ind w:right="1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80"/>
          </w:cols>
          <w:pgMar w:left="500" w:top="131" w:right="51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40"/>
          </w:cols>
          <w:pgMar w:left="500" w:top="131" w:right="519" w:bottom="0" w:gutter="0" w:footer="0" w:header="0"/>
          <w:type w:val="continuous"/>
        </w:sectPr>
      </w:pPr>
    </w:p>
    <w:p>
      <w:pPr>
        <w:jc w:val="right"/>
        <w:ind w:right="186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0880"/>
          </w:cols>
          <w:pgMar w:left="500" w:top="131" w:right="519" w:bottom="0" w:gutter="0" w:footer="0" w:header="0"/>
          <w:type w:val="continuous"/>
        </w:sectPr>
      </w:pPr>
    </w:p>
    <w:bookmarkStart w:id="3" w:name="page4"/>
    <w:bookmarkEnd w:id="3"/>
    <w:p>
      <w:pPr>
        <w:jc w:val="both"/>
        <w:ind w:right="2480" w:firstLine="7"/>
        <w:spacing w:after="0" w:line="318"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7" Type="http://schemas.openxmlformats.org/officeDocument/2006/relationships/hyperlink" Target="http://www.sec.gov/cgi-bin/browse-edgar?action=getcompany&amp;CIK=0001683967" TargetMode="External"/><Relationship Id="rId19" Type="http://schemas.openxmlformats.org/officeDocument/2006/relationships/hyperlink" Target="http://www.sec.gov/cgi-bin/browse-edgar?action=getcompany&amp;CIK=0001536937" TargetMode="External"/><Relationship Id="rId20" Type="http://schemas.openxmlformats.org/officeDocument/2006/relationships/hyperlink" Target="http://www.sec.gov/cgi-bin/browse-edgar?action=getcompany&amp;CIK=0001669983" TargetMode="External"/><Relationship Id="rId21" Type="http://schemas.openxmlformats.org/officeDocument/2006/relationships/hyperlink" Target="http://www.sec.gov/cgi-bin/browse-edgar?action=getcompany&amp;CIK=0001176948" TargetMode="External"/><Relationship Id="rId22" Type="http://schemas.openxmlformats.org/officeDocument/2006/relationships/hyperlink" Target="http://www.sec.gov/cgi-bin/browse-edgar?action=getcompany&amp;CIK=0001620264" TargetMode="External"/><Relationship Id="rId23" Type="http://schemas.openxmlformats.org/officeDocument/2006/relationships/hyperlink" Target="http://www.sec.gov/cgi-bin/browse-edgar?action=getcompany&amp;CIK=0001761656" TargetMode="External"/><Relationship Id="rId24"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2021-06-25T18:52:11Z</dcterms:created>
  <dcterms:modified xsi:type="dcterms:W3CDTF">2021-06-25T18:52:11Z</dcterms:modified>
</cp:coreProperties>
</file>