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Date of report (Date of earliest event reported): June 14, 2021</w:t>
      </w:r>
    </w:p>
    <w:p>
      <w:pPr>
        <w:spacing w:after="0" w:line="198"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99"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California Resources Corporation</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1417" w:right="479" w:bottom="1440" w:gutter="0" w:footer="0" w:header="0"/>
        </w:sectPr>
      </w:pPr>
    </w:p>
    <w:p>
      <w:pPr>
        <w:spacing w:after="0" w:line="124"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6"/>
          <w:szCs w:val="16"/>
          <w:color w:val="auto"/>
        </w:rPr>
        <w:t>(State or Other Jurisdiction of</w:t>
      </w:r>
    </w:p>
    <w:p>
      <w:pPr>
        <w:spacing w:after="0" w:line="7"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001-36478</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(Commission</w:t>
      </w: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46-5670947</w:t>
      </w:r>
    </w:p>
    <w:p>
      <w:pPr>
        <w:spacing w:after="0" w:line="11"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rPr>
          <w:sz w:val="20"/>
          <w:szCs w:val="20"/>
          <w:color w:val="auto"/>
        </w:rPr>
      </w:pPr>
      <w:r>
        <w:rPr>
          <w:rFonts w:ascii="Arial" w:cs="Arial" w:eastAsia="Arial" w:hAnsi="Arial"/>
          <w:sz w:val="17"/>
          <w:szCs w:val="17"/>
          <w:color w:val="auto"/>
        </w:rPr>
        <w:t>Identification No.)</w:t>
      </w:r>
    </w:p>
    <w:p>
      <w:pPr>
        <w:spacing w:after="0" w:line="108" w:lineRule="exact"/>
        <w:rPr>
          <w:sz w:val="24"/>
          <w:szCs w:val="24"/>
          <w:color w:val="auto"/>
        </w:rPr>
      </w:pPr>
    </w:p>
    <w:p>
      <w:pPr>
        <w:sectPr>
          <w:pgSz w:w="11900" w:h="16838" w:orient="portrait"/>
          <w:cols w:equalWidth="0" w:num="3">
            <w:col w:w="4380" w:space="720"/>
            <w:col w:w="2860" w:space="720"/>
            <w:col w:w="2420"/>
          </w:cols>
          <w:pgMar w:left="320" w:top="1417" w:right="479" w:bottom="1440" w:gutter="0" w:footer="0" w:header="0"/>
          <w:type w:val="continuous"/>
        </w:sectPr>
      </w:pPr>
    </w:p>
    <w:p>
      <w:pPr>
        <w:jc w:val="center"/>
        <w:ind w:right="1680"/>
        <w:spacing w:after="0"/>
        <w:rPr>
          <w:sz w:val="20"/>
          <w:szCs w:val="20"/>
          <w:color w:val="auto"/>
        </w:rPr>
      </w:pPr>
      <w:r>
        <w:rPr>
          <w:rFonts w:ascii="Arial" w:cs="Arial" w:eastAsia="Arial" w:hAnsi="Arial"/>
          <w:sz w:val="18"/>
          <w:szCs w:val="18"/>
          <w:b w:val="1"/>
          <w:bCs w:val="1"/>
          <w:color w:val="auto"/>
        </w:rPr>
        <w:t>27200 Tourney Road</w:t>
      </w:r>
    </w:p>
    <w:p>
      <w:pPr>
        <w:spacing w:after="0" w:line="27"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Suite 200</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Santa Clarita</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California</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2300"/>
        <w:spacing w:after="0"/>
        <w:rPr>
          <w:sz w:val="20"/>
          <w:szCs w:val="20"/>
          <w:color w:val="auto"/>
        </w:rPr>
      </w:pPr>
      <w:r>
        <w:rPr>
          <w:rFonts w:ascii="Arial" w:cs="Arial" w:eastAsia="Arial" w:hAnsi="Arial"/>
          <w:sz w:val="18"/>
          <w:szCs w:val="18"/>
          <w:b w:val="1"/>
          <w:bCs w:val="1"/>
          <w:color w:val="auto"/>
        </w:rPr>
        <w:t>91355</w:t>
      </w:r>
    </w:p>
    <w:p>
      <w:pPr>
        <w:spacing w:after="0" w:line="27" w:lineRule="exact"/>
        <w:rPr>
          <w:sz w:val="24"/>
          <w:szCs w:val="24"/>
          <w:color w:val="auto"/>
        </w:rPr>
      </w:pPr>
    </w:p>
    <w:p>
      <w:pPr>
        <w:jc w:val="center"/>
        <w:ind w:right="2300"/>
        <w:spacing w:after="0"/>
        <w:rPr>
          <w:sz w:val="20"/>
          <w:szCs w:val="20"/>
          <w:color w:val="auto"/>
        </w:rPr>
      </w:pPr>
      <w:r>
        <w:rPr>
          <w:rFonts w:ascii="Arial" w:cs="Arial" w:eastAsia="Arial" w:hAnsi="Arial"/>
          <w:sz w:val="16"/>
          <w:szCs w:val="16"/>
          <w:color w:val="auto"/>
        </w:rPr>
        <w:t>(Zip Code)</w:t>
      </w:r>
    </w:p>
    <w:p>
      <w:pPr>
        <w:spacing w:after="0" w:line="189" w:lineRule="exact"/>
        <w:rPr>
          <w:sz w:val="24"/>
          <w:szCs w:val="24"/>
          <w:color w:val="auto"/>
        </w:rPr>
      </w:pPr>
    </w:p>
    <w:p>
      <w:pPr>
        <w:sectPr>
          <w:pgSz w:w="11900" w:h="16838" w:orient="portrait"/>
          <w:cols w:equalWidth="0" w:num="2">
            <w:col w:w="7300" w:space="720"/>
            <w:col w:w="3080"/>
          </w:cols>
          <w:pgMar w:left="320" w:top="1417" w:right="479" w:bottom="1440" w:gutter="0" w:footer="0" w:header="0"/>
          <w:type w:val="continuous"/>
        </w:sectPr>
      </w:pPr>
    </w:p>
    <w:p>
      <w:pPr>
        <w:ind w:left="29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27"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27"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27"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16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00"/>
          </w:cols>
          <w:pgMar w:left="320" w:top="1417" w:right="479" w:bottom="1440" w:gutter="0" w:footer="0" w:header="0"/>
          <w:type w:val="continuous"/>
        </w:sectPr>
      </w:pPr>
    </w:p>
    <w:p>
      <w:pPr>
        <w:spacing w:after="0" w:line="127" w:lineRule="exact"/>
        <w:rPr>
          <w:sz w:val="24"/>
          <w:szCs w:val="24"/>
          <w:color w:val="auto"/>
        </w:rPr>
      </w:pPr>
    </w:p>
    <w:p>
      <w:pPr>
        <w:jc w:val="center"/>
        <w:ind w:right="80"/>
        <w:spacing w:after="0"/>
        <w:rPr>
          <w:sz w:val="20"/>
          <w:szCs w:val="20"/>
          <w:color w:val="auto"/>
        </w:rPr>
      </w:pPr>
      <w:r>
        <w:rPr>
          <w:rFonts w:ascii="Arial" w:cs="Arial" w:eastAsia="Arial" w:hAnsi="Arial"/>
          <w:sz w:val="15"/>
          <w:szCs w:val="15"/>
          <w:b w:val="1"/>
          <w:bCs w:val="1"/>
          <w:color w:val="auto"/>
        </w:rPr>
        <w:t>Title of each class</w:t>
      </w:r>
    </w:p>
    <w:p>
      <w:pPr>
        <w:spacing w:after="0" w:line="6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82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CRC</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58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580"/>
        <w:spacing w:after="0"/>
        <w:rPr>
          <w:sz w:val="20"/>
          <w:szCs w:val="20"/>
          <w:color w:val="auto"/>
        </w:rPr>
      </w:pPr>
      <w:r>
        <w:rPr>
          <w:rFonts w:ascii="Arial" w:cs="Arial" w:eastAsia="Arial" w:hAnsi="Arial"/>
          <w:sz w:val="18"/>
          <w:szCs w:val="18"/>
          <w:color w:val="auto"/>
        </w:rPr>
        <w:t>New York Stock Exchange</w:t>
      </w:r>
    </w:p>
    <w:p>
      <w:pPr>
        <w:spacing w:after="0" w:line="170" w:lineRule="exact"/>
        <w:rPr>
          <w:sz w:val="24"/>
          <w:szCs w:val="24"/>
          <w:color w:val="auto"/>
        </w:rPr>
      </w:pPr>
    </w:p>
    <w:p>
      <w:pPr>
        <w:sectPr>
          <w:pgSz w:w="11900" w:h="16838" w:orient="portrait"/>
          <w:cols w:equalWidth="0" w:num="3">
            <w:col w:w="3480" w:space="720"/>
            <w:col w:w="2260" w:space="720"/>
            <w:col w:w="3920"/>
          </w:cols>
          <w:pgMar w:left="320" w:top="1417" w:right="47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6"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13" w:lineRule="exact"/>
        <w:rPr>
          <w:sz w:val="24"/>
          <w:szCs w:val="24"/>
          <w:color w:val="auto"/>
        </w:rPr>
      </w:pPr>
    </w:p>
    <w:p>
      <w:pPr>
        <w:ind w:right="20"/>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776605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17" w:right="47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June 14, 2021, the Company issued a press release announcing that Chris Gould was appointed as the Company’s first Executive Vice President and Chief Sustainability Officer. A copy of the press release is furnished as Exhibit 99.1 hereto.</w:t>
      </w:r>
    </w:p>
    <w:p>
      <w:pPr>
        <w:spacing w:after="0" w:line="198"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The information furnished in this Item 7.01, including Exhibit 99.1, shall not be deemed to be “filed” for purposes of Section 18 of the Securities Exchange Act of 1934, as amended (the “Exchange Act”), or otherwise subject to the liabilities of that section, nor shall it be deemed to be incorporated by reference into any other filing under the Securities Act of 1933, as amended or the Exchange Act, except as expressly set forth by specific reference in such a filing.</w:t>
      </w:r>
    </w:p>
    <w:p>
      <w:pPr>
        <w:spacing w:after="0" w:line="2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(d)  Exhibits</w:t>
            </w:r>
          </w:p>
        </w:tc>
        <w:tc>
          <w:tcPr>
            <w:tcW w:w="242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378"/>
        </w:trPr>
        <w:tc>
          <w:tcPr>
            <w:tcW w:w="218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Exhibit No.</w:t>
            </w:r>
          </w:p>
        </w:tc>
        <w:tc>
          <w:tcPr>
            <w:tcW w:w="2420" w:type="dxa"/>
            <w:vAlign w:val="bottom"/>
          </w:tcPr>
          <w:p>
            <w:pPr>
              <w:spacing w:after="0"/>
              <w:rPr>
                <w:sz w:val="24"/>
                <w:szCs w:val="24"/>
                <w:color w:val="auto"/>
              </w:rPr>
            </w:pPr>
          </w:p>
        </w:tc>
        <w:tc>
          <w:tcPr>
            <w:tcW w:w="2540" w:type="dxa"/>
            <w:vAlign w:val="bottom"/>
          </w:tcPr>
          <w:p>
            <w:pPr>
              <w:ind w:left="1660"/>
              <w:spacing w:after="0"/>
              <w:rPr>
                <w:sz w:val="20"/>
                <w:szCs w:val="20"/>
                <w:color w:val="auto"/>
              </w:rPr>
            </w:pPr>
            <w:r>
              <w:rPr>
                <w:rFonts w:ascii="Arial" w:cs="Arial" w:eastAsia="Arial" w:hAnsi="Arial"/>
                <w:sz w:val="18"/>
                <w:szCs w:val="18"/>
                <w:b w:val="1"/>
                <w:bCs w:val="1"/>
                <w:color w:val="auto"/>
                <w:w w:val="86"/>
              </w:rPr>
              <w:t>Description</w:t>
            </w:r>
          </w:p>
        </w:tc>
      </w:tr>
      <w:tr>
        <w:trPr>
          <w:trHeight w:val="243"/>
        </w:trPr>
        <w:tc>
          <w:tcPr>
            <w:tcW w:w="2180" w:type="dxa"/>
            <w:vAlign w:val="bottom"/>
          </w:tcPr>
          <w:p>
            <w:pPr>
              <w:jc w:val="right"/>
              <w:ind w:right="970"/>
              <w:spacing w:after="0"/>
              <w:rPr>
                <w:sz w:val="20"/>
                <w:szCs w:val="20"/>
                <w:color w:val="auto"/>
              </w:rPr>
            </w:pPr>
            <w:r>
              <w:rPr>
                <w:rFonts w:ascii="Arial" w:cs="Arial" w:eastAsia="Arial" w:hAnsi="Arial"/>
                <w:sz w:val="18"/>
                <w:szCs w:val="18"/>
                <w:color w:val="auto"/>
              </w:rPr>
              <w:t>99.1</w:t>
            </w:r>
          </w:p>
        </w:tc>
        <w:tc>
          <w:tcPr>
            <w:tcW w:w="4960" w:type="dxa"/>
            <w:vAlign w:val="bottom"/>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Press release </w:t>
              </w:r>
            </w:hyperlink>
            <w:r>
              <w:rPr>
                <w:rFonts w:ascii="Arial" w:cs="Arial" w:eastAsia="Arial" w:hAnsi="Arial"/>
                <w:sz w:val="18"/>
                <w:szCs w:val="18"/>
                <w:color w:val="0000FF"/>
              </w:rPr>
              <w:t xml:space="preserve">dated </w:t>
            </w:r>
            <w:hyperlink w:anchor="page4">
              <w:r>
                <w:rPr>
                  <w:rFonts w:ascii="Arial" w:cs="Arial" w:eastAsia="Arial" w:hAnsi="Arial"/>
                  <w:sz w:val="18"/>
                  <w:szCs w:val="18"/>
                  <w:color w:val="0000FF"/>
                </w:rPr>
                <w:t xml:space="preserve">June </w:t>
              </w:r>
            </w:hyperlink>
            <w:r>
              <w:rPr>
                <w:rFonts w:ascii="Arial" w:cs="Arial" w:eastAsia="Arial" w:hAnsi="Arial"/>
                <w:sz w:val="18"/>
                <w:szCs w:val="18"/>
                <w:color w:val="0000FF"/>
              </w:rPr>
              <w:t xml:space="preserve">14, </w:t>
            </w:r>
            <w:hyperlink w:anchor="page4">
              <w:r>
                <w:rPr>
                  <w:rFonts w:ascii="Arial" w:cs="Arial" w:eastAsia="Arial" w:hAnsi="Arial"/>
                  <w:sz w:val="18"/>
                  <w:szCs w:val="18"/>
                  <w:color w:val="0000FF"/>
                </w:rPr>
                <w:t>2021</w:t>
              </w:r>
            </w:hyperlink>
            <w:r>
              <w:rPr>
                <w:rFonts w:ascii="Arial" w:cs="Arial" w:eastAsia="Arial" w:hAnsi="Arial"/>
                <w:sz w:val="18"/>
                <w:szCs w:val="18"/>
                <w:color w:val="000000"/>
              </w:rPr>
              <w:t>.</w:t>
            </w:r>
          </w:p>
        </w:tc>
      </w:tr>
      <w:tr>
        <w:trPr>
          <w:trHeight w:val="20"/>
        </w:trPr>
        <w:tc>
          <w:tcPr>
            <w:tcW w:w="218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bl>
    <w:p>
      <w:pPr>
        <w:spacing w:after="0" w:line="53" w:lineRule="exact"/>
        <w:rPr>
          <w:sz w:val="20"/>
          <w:szCs w:val="20"/>
          <w:color w:val="auto"/>
        </w:rPr>
      </w:pPr>
    </w:p>
    <w:p>
      <w:pPr>
        <w:ind w:left="2180" w:hanging="1349"/>
        <w:spacing w:after="0"/>
        <w:tabs>
          <w:tab w:leader="none" w:pos="2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 Michael L. Preston</w:t>
      </w:r>
    </w:p>
    <w:p>
      <w:pPr>
        <w:spacing w:after="0" w:line="23" w:lineRule="exact"/>
        <w:rPr>
          <w:sz w:val="20"/>
          <w:szCs w:val="20"/>
          <w:color w:val="auto"/>
        </w:rPr>
      </w:pPr>
    </w:p>
    <w:tbl>
      <w:tblPr>
        <w:tblLayout w:type="fixed"/>
        <w:tblInd w:w="4800" w:type="dxa"/>
        <w:tblCellMar>
          <w:top w:w="0" w:type="dxa"/>
          <w:left w:w="0" w:type="dxa"/>
          <w:bottom w:w="0" w:type="dxa"/>
          <w:right w:w="0" w:type="dxa"/>
        </w:tblCellMar>
      </w:tblPr>
      <w:tr>
        <w:trPr>
          <w:trHeight w:val="222"/>
        </w:trPr>
        <w:tc>
          <w:tcPr>
            <w:tcW w:w="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Michael L. Preston</w:t>
            </w:r>
          </w:p>
        </w:tc>
      </w:tr>
      <w:tr>
        <w:trPr>
          <w:trHeight w:val="216"/>
        </w:trPr>
        <w:tc>
          <w:tcPr>
            <w:tcW w:w="740" w:type="dxa"/>
            <w:vAlign w:val="bottom"/>
          </w:tcPr>
          <w:p>
            <w:pPr>
              <w:ind w:left="20"/>
              <w:spacing w:after="0"/>
              <w:rPr>
                <w:sz w:val="20"/>
                <w:szCs w:val="20"/>
                <w:color w:val="auto"/>
              </w:rPr>
            </w:pPr>
            <w:r>
              <w:rPr>
                <w:rFonts w:ascii="Arial" w:cs="Arial" w:eastAsia="Arial" w:hAnsi="Arial"/>
                <w:sz w:val="18"/>
                <w:szCs w:val="18"/>
                <w:color w:val="auto"/>
              </w:rPr>
              <w:t>Title:</w:t>
            </w:r>
          </w:p>
        </w:tc>
        <w:tc>
          <w:tcPr>
            <w:tcW w:w="5700" w:type="dxa"/>
            <w:vAlign w:val="bottom"/>
          </w:tcPr>
          <w:p>
            <w:pPr>
              <w:ind w:left="240"/>
              <w:spacing w:after="0"/>
              <w:rPr>
                <w:sz w:val="20"/>
                <w:szCs w:val="20"/>
                <w:color w:val="auto"/>
              </w:rPr>
            </w:pPr>
            <w:r>
              <w:rPr>
                <w:rFonts w:ascii="Arial" w:cs="Arial" w:eastAsia="Arial" w:hAnsi="Arial"/>
                <w:sz w:val="18"/>
                <w:szCs w:val="18"/>
                <w:color w:val="auto"/>
              </w:rPr>
              <w:t>Executive Vice President, Chief Administrative Officer and General</w:t>
            </w:r>
          </w:p>
        </w:tc>
      </w:tr>
      <w:tr>
        <w:trPr>
          <w:trHeight w:val="230"/>
        </w:trPr>
        <w:tc>
          <w:tcPr>
            <w:tcW w:w="740" w:type="dxa"/>
            <w:vAlign w:val="bottom"/>
          </w:tcPr>
          <w:p>
            <w:pPr>
              <w:spacing w:after="0"/>
              <w:rPr>
                <w:sz w:val="20"/>
                <w:szCs w:val="20"/>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DATED: June 14, 2021</w:t>
      </w:r>
    </w:p>
    <w:p>
      <w:pPr>
        <w:sectPr>
          <w:pgSz w:w="11900" w:h="16838" w:orient="portrait"/>
          <w:cols w:equalWidth="0" w:num="1">
            <w:col w:w="11240"/>
          </w:cols>
          <w:pgMar w:left="320" w:top="1417"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5342890</wp:posOffset>
            </wp:positionH>
            <wp:positionV relativeFrom="page">
              <wp:posOffset>911860</wp:posOffset>
            </wp:positionV>
            <wp:extent cx="1997075" cy="539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99707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tabs>
          <w:tab w:leader="none" w:pos="9300" w:val="left"/>
        </w:tabs>
        <w:rPr>
          <w:sz w:val="20"/>
          <w:szCs w:val="20"/>
          <w:color w:val="auto"/>
        </w:rPr>
      </w:pPr>
      <w:r>
        <w:rPr>
          <w:rFonts w:ascii="Arial" w:cs="Arial" w:eastAsia="Arial" w:hAnsi="Arial"/>
          <w:sz w:val="25"/>
          <w:szCs w:val="25"/>
          <w:b w:val="1"/>
          <w:bCs w:val="1"/>
          <w:color w:val="auto"/>
        </w:rPr>
        <w:t>NEWS RELEASE</w:t>
      </w:r>
      <w:r>
        <w:rPr>
          <w:sz w:val="20"/>
          <w:szCs w:val="20"/>
          <w:color w:val="auto"/>
        </w:rPr>
        <w:tab/>
      </w:r>
      <w:r>
        <w:rPr>
          <w:rFonts w:ascii="Arial" w:cs="Arial" w:eastAsia="Arial" w:hAnsi="Arial"/>
          <w:sz w:val="17"/>
          <w:szCs w:val="17"/>
          <w:b w:val="1"/>
          <w:bCs w:val="1"/>
          <w:color w:val="auto"/>
        </w:rPr>
        <w:t>For immediate release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California Resources Corporation Announces Appointment of First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Chief Sustainability Officer</w:t>
      </w:r>
    </w:p>
    <w:p>
      <w:pPr>
        <w:spacing w:after="0" w:line="200" w:lineRule="exact"/>
        <w:rPr>
          <w:sz w:val="20"/>
          <w:szCs w:val="20"/>
          <w:color w:val="auto"/>
        </w:rPr>
      </w:pPr>
    </w:p>
    <w:p>
      <w:pPr>
        <w:spacing w:after="0" w:line="331"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Santa Clarita, California, June 14, 2021 – California Resources Corporation (NYSE: CRC) (the “Company”) today announced that Chris Gould has been appointed as the Company’s first ever Executive Vice President and Chief Sustainability Officer. “Bringing Chris on board reflects the importance of our ESG initiatives and our commitment to decarbonization and a realistic energy transition,” said Mac McFarland, CEO and President. “His considerable leadership skills and experience in climate change and implementation of new technologies will help the Company deliver on our goals while maintaining ESG leadership.”</w:t>
      </w:r>
    </w:p>
    <w:p>
      <w:pPr>
        <w:spacing w:after="0" w:line="329"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For the past decade, Mr. Gould has served as Senior Vice President Corporate Strategy and Chief Innovation and Sustainability Officer of a Fortune 100 energy company. In this role he built and led the company’s overall climate/ESG programs, including the development of climate mitigation and adaptation transition plans. “CRC’s Board believes a strong ESG focus is critical to the Company’s mission and will drive value creation,” said Mr. Gould. “I am excited about providing leadership to this important area and ensuring CRC’s ESG initiatives are well understood and bring positive outcomes for our communities, employees and shareholders. CRC has great potential to elevate its ESG leadership by leveraging its strategic position, assets and opportunities to contribute to California’s decarbonization and energy transition efforts. To be more specific, I am particularly thrilled about CCS opportunities within CRC’s vast asset base that can become building blocks that help California meet its carbon goals while sustainably supporting the State’s energy demand.” Mr. Gould also has extensive experience in energy trading, finance, strategic planning, and technology innovation focused on decarbonization. His commitment to sustainability and the environment has been reflected throughout his career, beginning with his early engineering focus on environmental remediation, his service as a trustee on the board of a global environmental conservation non-profit, and his work to commercialize innovative decarbonization technologies. Mr. Gould holds a Bachelor of Civil Engineering from Penn State University and an M.B.A. from the University of Pittsburgh.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California Resources Corporation (CRC)</w:t>
      </w:r>
    </w:p>
    <w:p>
      <w:pPr>
        <w:spacing w:after="0" w:line="6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California Resources Corporation (CRC) is an independent oil and natural gas exploration and production company, applying complementary and integrated infrastructure to gather, process and market its production. Using advanced technology, CRC focuses on safely and responsibly supplying affordable energy.</w:t>
      </w:r>
    </w:p>
    <w:p>
      <w:pPr>
        <w:sectPr>
          <w:pgSz w:w="11900" w:h="16838" w:orient="portrait"/>
          <w:cols w:equalWidth="0" w:num="1">
            <w:col w:w="11240"/>
          </w:cols>
          <w:pgMar w:left="320" w:top="1440" w:right="339" w:bottom="1440" w:gutter="0" w:footer="0" w:header="0"/>
        </w:sectPr>
      </w:pPr>
    </w:p>
    <w:bookmarkStart w:id="4" w:name="page5"/>
    <w:bookmarkEnd w:id="4"/>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20" w:type="dxa"/>
            <w:vAlign w:val="bottom"/>
            <w:gridSpan w:val="2"/>
          </w:tcPr>
          <w:p>
            <w:pPr>
              <w:spacing w:after="0"/>
              <w:rPr>
                <w:sz w:val="20"/>
                <w:szCs w:val="20"/>
                <w:color w:val="auto"/>
              </w:rPr>
            </w:pPr>
            <w:r>
              <w:rPr>
                <w:rFonts w:ascii="Arial" w:cs="Arial" w:eastAsia="Arial" w:hAnsi="Arial"/>
                <w:sz w:val="20"/>
                <w:szCs w:val="20"/>
                <w:color w:val="auto"/>
              </w:rPr>
              <w:t>Contact:</w:t>
            </w:r>
          </w:p>
        </w:tc>
        <w:tc>
          <w:tcPr>
            <w:tcW w:w="124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283"/>
        </w:trPr>
        <w:tc>
          <w:tcPr>
            <w:tcW w:w="4120" w:type="dxa"/>
            <w:vAlign w:val="bottom"/>
            <w:gridSpan w:val="2"/>
          </w:tcPr>
          <w:p>
            <w:pPr>
              <w:spacing w:after="0"/>
              <w:rPr>
                <w:sz w:val="20"/>
                <w:szCs w:val="20"/>
                <w:color w:val="auto"/>
              </w:rPr>
            </w:pPr>
            <w:r>
              <w:rPr>
                <w:rFonts w:ascii="Arial" w:cs="Arial" w:eastAsia="Arial" w:hAnsi="Arial"/>
                <w:sz w:val="20"/>
                <w:szCs w:val="20"/>
                <w:color w:val="auto"/>
              </w:rPr>
              <w:t>Joanna Park (Investor Relations)</w:t>
            </w:r>
          </w:p>
        </w:tc>
        <w:tc>
          <w:tcPr>
            <w:tcW w:w="124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Arial" w:cs="Arial" w:eastAsia="Arial" w:hAnsi="Arial"/>
                <w:sz w:val="20"/>
                <w:szCs w:val="20"/>
                <w:color w:val="auto"/>
              </w:rPr>
              <w:t>Richard Venn (Media)</w:t>
            </w:r>
          </w:p>
        </w:tc>
      </w:tr>
      <w:tr>
        <w:trPr>
          <w:trHeight w:val="283"/>
        </w:trPr>
        <w:tc>
          <w:tcPr>
            <w:tcW w:w="2000" w:type="dxa"/>
            <w:vAlign w:val="bottom"/>
          </w:tcPr>
          <w:p>
            <w:pPr>
              <w:spacing w:after="0"/>
              <w:rPr>
                <w:sz w:val="20"/>
                <w:szCs w:val="20"/>
                <w:color w:val="auto"/>
              </w:rPr>
            </w:pPr>
            <w:r>
              <w:rPr>
                <w:rFonts w:ascii="Arial" w:cs="Arial" w:eastAsia="Arial" w:hAnsi="Arial"/>
                <w:sz w:val="20"/>
                <w:szCs w:val="20"/>
                <w:color w:val="auto"/>
              </w:rPr>
              <w:t>818-661-3731</w:t>
            </w:r>
          </w:p>
        </w:tc>
        <w:tc>
          <w:tcPr>
            <w:tcW w:w="2120" w:type="dxa"/>
            <w:vAlign w:val="bottom"/>
          </w:tcPr>
          <w:p>
            <w:pPr>
              <w:spacing w:after="0"/>
              <w:rPr>
                <w:sz w:val="24"/>
                <w:szCs w:val="24"/>
                <w:color w:val="auto"/>
              </w:rPr>
            </w:pPr>
          </w:p>
        </w:tc>
        <w:tc>
          <w:tcPr>
            <w:tcW w:w="3320" w:type="dxa"/>
            <w:vAlign w:val="bottom"/>
            <w:gridSpan w:val="2"/>
          </w:tcPr>
          <w:p>
            <w:pPr>
              <w:ind w:left="1240"/>
              <w:spacing w:after="0"/>
              <w:rPr>
                <w:sz w:val="20"/>
                <w:szCs w:val="20"/>
                <w:color w:val="auto"/>
              </w:rPr>
            </w:pPr>
            <w:r>
              <w:rPr>
                <w:rFonts w:ascii="Arial" w:cs="Arial" w:eastAsia="Arial" w:hAnsi="Arial"/>
                <w:sz w:val="20"/>
                <w:szCs w:val="20"/>
                <w:color w:val="auto"/>
              </w:rPr>
              <w:t>818-661-6014</w:t>
            </w:r>
          </w:p>
        </w:tc>
      </w:tr>
      <w:tr>
        <w:trPr>
          <w:trHeight w:val="320"/>
        </w:trPr>
        <w:tc>
          <w:tcPr>
            <w:tcW w:w="2000" w:type="dxa"/>
            <w:vAlign w:val="bottom"/>
            <w:tcBorders>
              <w:bottom w:val="single" w:sz="8" w:color="0E32E1"/>
            </w:tcBorders>
          </w:tcPr>
          <w:p>
            <w:pPr>
              <w:spacing w:after="0"/>
              <w:rPr>
                <w:sz w:val="20"/>
                <w:szCs w:val="20"/>
                <w:color w:val="auto"/>
              </w:rPr>
            </w:pPr>
            <w:r>
              <w:rPr>
                <w:rFonts w:ascii="Arial" w:cs="Arial" w:eastAsia="Arial" w:hAnsi="Arial"/>
                <w:sz w:val="20"/>
                <w:szCs w:val="20"/>
                <w:color w:val="0E32E1"/>
                <w:w w:val="97"/>
              </w:rPr>
              <w:t>Joanna.Park@crc.com</w:t>
            </w:r>
          </w:p>
        </w:tc>
        <w:tc>
          <w:tcPr>
            <w:tcW w:w="2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80" w:type="dxa"/>
            <w:vAlign w:val="bottom"/>
            <w:tcBorders>
              <w:bottom w:val="single" w:sz="8" w:color="0E32E1"/>
            </w:tcBorders>
          </w:tcPr>
          <w:p>
            <w:pPr>
              <w:spacing w:after="0"/>
              <w:rPr>
                <w:sz w:val="20"/>
                <w:szCs w:val="20"/>
                <w:color w:val="auto"/>
              </w:rPr>
            </w:pPr>
            <w:r>
              <w:rPr>
                <w:rFonts w:ascii="Arial" w:cs="Arial" w:eastAsia="Arial" w:hAnsi="Arial"/>
                <w:sz w:val="20"/>
                <w:szCs w:val="20"/>
                <w:color w:val="0E32E1"/>
                <w:w w:val="97"/>
              </w:rPr>
              <w:t>Richard.Venn@crc.com</w:t>
            </w:r>
          </w:p>
        </w:tc>
      </w:tr>
    </w:tbl>
    <w:p>
      <w:pPr>
        <w:spacing w:after="0" w:line="1" w:lineRule="exact"/>
        <w:rPr>
          <w:sz w:val="20"/>
          <w:szCs w:val="20"/>
          <w:color w:val="auto"/>
        </w:rPr>
      </w:pPr>
    </w:p>
    <w:sectPr>
      <w:pgSz w:w="11900" w:h="16838" w:orient="portrait"/>
      <w:cols w:equalWidth="0" w:num="1">
        <w:col w:w="10059"/>
      </w:cols>
      <w:pgMar w:left="40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2021-06-14T08:04:32Z</dcterms:created>
  <dcterms:modified xsi:type="dcterms:W3CDTF">2021-06-14T08:04:32Z</dcterms:modified>
</cp:coreProperties>
</file>