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736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73646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Gould Christopher D.</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California Resources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CRC</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06/14/2021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31"/>
        <w:spacing w:after="0"/>
        <w:rPr>
          <w:sz w:val="20"/>
          <w:szCs w:val="20"/>
          <w:color w:val="auto"/>
        </w:rPr>
      </w:pPr>
      <w:r>
        <w:rPr>
          <w:rFonts w:ascii="Arial" w:cs="Arial" w:eastAsia="Arial" w:hAnsi="Arial"/>
          <w:sz w:val="17"/>
          <w:szCs w:val="17"/>
          <w:color w:val="0000FF"/>
        </w:rPr>
        <w:t>EVP &amp; Chief Sustainability Off</w:t>
      </w:r>
    </w:p>
    <w:p>
      <w:pPr>
        <w:spacing w:after="0" w:line="327"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0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7"/>
                <w:szCs w:val="17"/>
                <w:color w:val="0000FF"/>
              </w:rPr>
              <w:t>SANTA</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60" w:type="dxa"/>
            <w:vAlign w:val="bottom"/>
            <w:vMerge w:val="restart"/>
          </w:tcPr>
          <w:p>
            <w:pPr>
              <w:ind w:left="500"/>
              <w:spacing w:after="0"/>
              <w:rPr>
                <w:sz w:val="20"/>
                <w:szCs w:val="20"/>
                <w:color w:val="auto"/>
              </w:rPr>
            </w:pPr>
            <w:r>
              <w:rPr>
                <w:rFonts w:ascii="Arial" w:cs="Arial" w:eastAsia="Arial" w:hAnsi="Arial"/>
                <w:sz w:val="17"/>
                <w:szCs w:val="17"/>
                <w:color w:val="0000FF"/>
              </w:rPr>
              <w:t>CA</w:t>
            </w:r>
          </w:p>
        </w:tc>
        <w:tc>
          <w:tcPr>
            <w:tcW w:w="880" w:type="dxa"/>
            <w:vAlign w:val="bottom"/>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0000FF"/>
              </w:rPr>
              <w:t>91355</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2"/>
            <w:vMerge w:val="restart"/>
          </w:tcPr>
          <w:p>
            <w:pPr>
              <w:ind w:left="4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Arial" w:cs="Arial" w:eastAsia="Arial" w:hAnsi="Arial"/>
                <w:sz w:val="17"/>
                <w:szCs w:val="17"/>
                <w:color w:val="0000FF"/>
                <w:w w:val="97"/>
              </w:rPr>
              <w:t>CLARITA</w:t>
            </w:r>
          </w:p>
        </w:tc>
        <w:tc>
          <w:tcPr>
            <w:tcW w:w="7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84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06/14/2021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38,580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38,580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880" w:type="dxa"/>
            <w:vAlign w:val="bottom"/>
          </w:tcPr>
          <w:p>
            <w:pPr>
              <w:ind w:left="220"/>
              <w:spacing w:after="0"/>
              <w:rPr>
                <w:sz w:val="20"/>
                <w:szCs w:val="20"/>
                <w:color w:val="auto"/>
              </w:rPr>
            </w:pPr>
            <w:r>
              <w:rPr>
                <w:rFonts w:ascii="Arial" w:cs="Arial" w:eastAsia="Arial" w:hAnsi="Arial"/>
                <w:sz w:val="13"/>
                <w:szCs w:val="13"/>
                <w:color w:val="0000FF"/>
                <w:w w:val="98"/>
              </w:rPr>
              <w:t>06/14/2021</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38,580</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38,580</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40"/>
              <w:spacing w:after="0"/>
              <w:rPr>
                <w:sz w:val="20"/>
                <w:szCs w:val="20"/>
                <w:color w:val="auto"/>
              </w:rPr>
            </w:pPr>
            <w:r>
              <w:rPr>
                <w:rFonts w:ascii="Arial" w:cs="Arial" w:eastAsia="Arial" w:hAnsi="Arial"/>
                <w:sz w:val="13"/>
                <w:szCs w:val="13"/>
                <w:color w:val="0000FF"/>
                <w:w w:val="80"/>
              </w:rPr>
              <w:t>38,580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in two equal installments on each of June 14, 2022 and 2023 and, subject to certain exceptions, will be settled in shares of Common Stock within 45 days following the second anniversary of the grant date.</w:t>
      </w:r>
    </w:p>
    <w:p>
      <w:pPr>
        <w:spacing w:after="0" w:line="27" w:lineRule="exact"/>
        <w:rPr>
          <w:rFonts w:ascii="Arial" w:cs="Arial" w:eastAsia="Arial" w:hAnsi="Arial"/>
          <w:sz w:val="13"/>
          <w:szCs w:val="13"/>
          <w:color w:val="008000"/>
        </w:rPr>
      </w:pPr>
    </w:p>
    <w:p>
      <w:pPr>
        <w:jc w:val="both"/>
        <w:ind w:left="40" w:right="32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target number of performance stock units ("PSUs"). Each PSU represents a contingent right to receive one share of Common Stock. The actual number of PSUs that vest and become earned is based on the volume-weighted average price of a share of Common Stock as determined over any 60 consecutive trading days during the two-year performance period, and, subject to certain exceptions, will be settled in shares of Common Stock within 45 days following the end of the two-year performance period.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L. Preston,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58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w:t>
      </w:r>
      <w:r>
        <w:rPr>
          <w:sz w:val="20"/>
          <w:szCs w:val="20"/>
          <w:color w:val="auto"/>
        </w:rPr>
        <w:tab/>
      </w:r>
      <w:r>
        <w:rPr>
          <w:rFonts w:ascii="Arial" w:cs="Arial" w:eastAsia="Arial" w:hAnsi="Arial"/>
          <w:sz w:val="14"/>
          <w:szCs w:val="14"/>
          <w:color w:val="0000FF"/>
        </w:rPr>
        <w:t>06/16/2021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859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5915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-17145</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Christopher D. 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918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66661"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2021-06-16T16:35:54Z</dcterms:created>
  <dcterms:modified xsi:type="dcterms:W3CDTF">2021-06-16T16:35:54Z</dcterms:modified>
</cp:coreProperties>
</file>