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3, 2020</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0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1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27200 Tourney Road</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91355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20"/>
          <w:szCs w:val="20"/>
          <w:color w:val="auto"/>
        </w:rPr>
      </w:pPr>
    </w:p>
    <w:p>
      <w:pPr>
        <w:ind w:right="2700" w:firstLine="8"/>
        <w:spacing w:after="0" w:line="416" w:lineRule="auto"/>
        <w:tabs>
          <w:tab w:leader="none" w:pos="35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09"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December 3, 2020, California Resources Corporation (the “Company”) disclosed certain unaudited pro forma condensed consolidated financial information and explanatory notes (the “Pro Forma Financial Information”) for the Company and its consolidated subsidiaries. The Pro Forma Financial Information is provided for informational purposes only and gives effect to (i) the Company's plan of reorganization, as described in our Quarterly Report on Form 10-Q for the period ended September 30, 2020, which became effective on October 27, 2020 (the “Effective Date”), and (ii) our adoption of fresh start accounting on the Effective Date.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 Forma Financial Information is attached hereto as Exhibit 99.1 to this Current Report on Form 8-K and</w:t>
      </w: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incorporated into this Item 8.01 by reference. The purpose of this Current Report on Form 8-K is to, among other things, file the Pro Forma Financial Information set forth in Item 9.01 below, and to allow such financial information to be incorporated by reference into a future registration statement to be filed with the Securities and Exchange Commission.</w:t>
      </w:r>
    </w:p>
    <w:p>
      <w:pPr>
        <w:spacing w:after="0" w:line="200" w:lineRule="exact"/>
        <w:rPr>
          <w:sz w:val="20"/>
          <w:szCs w:val="20"/>
          <w:color w:val="auto"/>
        </w:rPr>
      </w:pP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 Forma Financial Information, giving effect to the Company's plan of reorganization and adoption of fresh start accounting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is attached as Exhibit 99.1 hereto and incorporated herein by reference:</w:t>
      </w:r>
    </w:p>
    <w:p>
      <w:pPr>
        <w:spacing w:after="0" w:line="234"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consolidated balance sheet as of September 30, 2020</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consolidated statement of operations for the nine months ended September 30, 2020</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consolidated statement of operations for the year ended December 31, 2019</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4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0"/>
        </w:trPr>
        <w:tc>
          <w:tcPr>
            <w:tcW w:w="1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99.1</w:t>
            </w:r>
          </w:p>
        </w:tc>
        <w:tc>
          <w:tcPr>
            <w:tcW w:w="9440" w:type="dxa"/>
            <w:vAlign w:val="bottom"/>
          </w:tcPr>
          <w:p>
            <w:pPr>
              <w:ind w:left="38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Pro Forma Financial Information</w:t>
              </w:r>
            </w:hyperlink>
            <w:r>
              <w:rPr>
                <w:rFonts w:ascii="Times New Roman" w:cs="Times New Roman" w:eastAsia="Times New Roman" w:hAnsi="Times New Roman"/>
                <w:sz w:val="18"/>
                <w:szCs w:val="18"/>
                <w:color w:val="000000"/>
              </w:rPr>
              <w:t>.</w:t>
            </w:r>
          </w:p>
        </w:tc>
      </w:tr>
      <w:tr>
        <w:trPr>
          <w:trHeight w:val="270"/>
        </w:trPr>
        <w:tc>
          <w:tcPr>
            <w:tcW w:w="1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56"/>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Roy Pineci</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Roy Pineci</w:t>
            </w:r>
          </w:p>
        </w:tc>
      </w:tr>
      <w:tr>
        <w:trPr>
          <w:trHeight w:val="234"/>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 2020</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following unaudited pro forma condensed consolidated financial information and explanatory notes (the “Pro Forma Financial Information”) for California Resources Corporation and its consolidated subsidiaries (collectively, “CRC”, “the Company”, “we”, “us” and “our”) is provided for informational purposes only and gives effect to (i) our Plan of Reorganization (as defined below), as described in our Quarterly Report on Form 10-Q for the period ended September 30, 2020 (the “Q3 10-Q”), which became effective on October 27, 2020 (the “Effective Date”), and (ii) our adoption of fresh start accounting on the Effective Date. Capitalized terms used but not defined in this Pro Forma Financial Information have the meaning ascribed to such terms in the Q3 10-Q. The historical data provided for the year ended December 31, 2019 was derived from our audited consolidated financial statements and should be read in conjunction with the consolidated financial statements and notes included in our Annual Report on Form 10-K for the year ended December 31, 2019. The historical data provided as of September 30, 2020 and for the period from January 1, 2020 through September 30, 2020 was derived from our unaudited condensed consolidated financial statements and notes included in our Q3 10-Q. Our historical financial information was adjusted to give effect to events that are (i) directly attributable to our Plan of Reorganization becoming effective and our adoption of fresh start accounting, (ii) factually supportable, and (iii) for purposes of our condensed consolidated statements of operations, expected to have a continuing impact on our consolidated results. The unaudited Pro Forma Financial Information is presented for illustrative purposes only and is not necessarily indicative of the financial results that would have occurred if the Plan of Reorganization had been consummated on the dates indicated; nor is it necessarily indicative of our financial positions or results of operations in the future.</w:t>
      </w:r>
    </w:p>
    <w:p>
      <w:pPr>
        <w:spacing w:after="0" w:line="21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On July 15, 2020, we filed voluntary petitions for relief under Chapter 11 of Title 11 of the Bankruptcy Code (“Chapter 11 Cases”) in the United States Bankruptcy Court for the Southern District of Texas, Houston Division (“Bankruptcy Court”). The Chapter 11 Cases were jointly administered under the caption </w:t>
      </w:r>
      <w:r>
        <w:rPr>
          <w:rFonts w:ascii="Arial" w:cs="Arial" w:eastAsia="Arial" w:hAnsi="Arial"/>
          <w:sz w:val="18"/>
          <w:szCs w:val="18"/>
          <w:i w:val="1"/>
          <w:iCs w:val="1"/>
          <w:color w:val="auto"/>
        </w:rPr>
        <w:t>In re California Resources Corporation, et al.</w:t>
      </w:r>
      <w:r>
        <w:rPr>
          <w:rFonts w:ascii="Arial" w:cs="Arial" w:eastAsia="Arial" w:hAnsi="Arial"/>
          <w:sz w:val="18"/>
          <w:szCs w:val="18"/>
          <w:color w:val="auto"/>
        </w:rPr>
        <w:t xml:space="preserve">, Case No. 20-33568 (DRJ). We filed with the Bankruptcy Court, on July 24, 2020, the </w:t>
      </w:r>
      <w:r>
        <w:rPr>
          <w:rFonts w:ascii="Arial" w:cs="Arial" w:eastAsia="Arial" w:hAnsi="Arial"/>
          <w:sz w:val="18"/>
          <w:szCs w:val="18"/>
          <w:i w:val="1"/>
          <w:iCs w:val="1"/>
          <w:color w:val="auto"/>
        </w:rPr>
        <w:t>Debtors’ Joint Plan of Reorganization under Chapter 11 of the Bankruptcy Code</w:t>
      </w:r>
      <w:r>
        <w:rPr>
          <w:rFonts w:ascii="Arial" w:cs="Arial" w:eastAsia="Arial" w:hAnsi="Arial"/>
          <w:sz w:val="18"/>
          <w:szCs w:val="18"/>
          <w:color w:val="auto"/>
        </w:rPr>
        <w:t xml:space="preserve"> and, on October 8, 2020, the </w:t>
      </w:r>
      <w:r>
        <w:rPr>
          <w:rFonts w:ascii="Arial" w:cs="Arial" w:eastAsia="Arial" w:hAnsi="Arial"/>
          <w:sz w:val="18"/>
          <w:szCs w:val="18"/>
          <w:i w:val="1"/>
          <w:iCs w:val="1"/>
          <w:color w:val="auto"/>
        </w:rPr>
        <w:t>Amended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Debtors’ Joint Plan of Reorganization Under Chapter 11 of the Bankruptcy Code </w:t>
      </w:r>
      <w:r>
        <w:rPr>
          <w:rFonts w:ascii="Arial" w:cs="Arial" w:eastAsia="Arial" w:hAnsi="Arial"/>
          <w:sz w:val="18"/>
          <w:szCs w:val="18"/>
          <w:color w:val="auto"/>
        </w:rPr>
        <w:t>(as amended, supplemented or modified, the “Plan of</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On October 13, 2020, the Bankruptcy Court confirmed the Plan of Reorganization, which was conditioned on certain items such as obtaining exit financing. The conditions to effectiveness of the Plan of Reorganization were satisfied and we emerged from Chapter 11 on October 27, 2020.</w:t>
      </w:r>
    </w:p>
    <w:p>
      <w:pPr>
        <w:spacing w:after="0" w:line="20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adopted fresh start accounting in connection with our emergence because (1) the holders of existing voting shares prior to emergence received less than 50% of our new voting shares following our emergence from bankruptcy and (2) the reorganization value of our assets immediately prior to the confirmation of the Plan of Reorganization was less than the post-petition liabilities and allowed claims. Reorganization value represents the fair value of an entity’s total assets prior to the consideration of liabilities and is intended to approximate the amount a willing buyer would pay for the assets immediately after a restructuring. The reorganization value, which was derived from our enterprise value, was allocated to our individual assets and liabilities based on their estimated fair values. Enterprise value represents the estimated fair value of an entity’s long-term debt and shareholders’ equity. In support of the Plan of Reorganization, the enterprise value of the reorganized entity was estimated and approved by the Bankruptcy Court to be in the range of $2.2 billion to $2.8 billion. Based on our internal estimates and assumptions, we estimated our enterprise value to be approximately $2.5 billion, at about the mid-point of the range approved by the Bankruptcy Court. As a result of our adoption of fresh start accounting, our financial statements from and after October 27, 2020 will not be comparable to our financial statements for prior periods.</w:t>
      </w:r>
    </w:p>
    <w:p>
      <w:pPr>
        <w:spacing w:after="0" w:line="209" w:lineRule="exact"/>
        <w:rPr>
          <w:sz w:val="20"/>
          <w:szCs w:val="20"/>
          <w:color w:val="auto"/>
        </w:rPr>
      </w:pPr>
    </w:p>
    <w:p>
      <w:pPr>
        <w:ind w:right="140" w:firstLine="324"/>
        <w:spacing w:after="0" w:line="260" w:lineRule="auto"/>
        <w:rPr>
          <w:sz w:val="20"/>
          <w:szCs w:val="20"/>
          <w:color w:val="auto"/>
        </w:rPr>
      </w:pPr>
      <w:r>
        <w:rPr>
          <w:rFonts w:ascii="Arial" w:cs="Arial" w:eastAsia="Arial" w:hAnsi="Arial"/>
          <w:sz w:val="18"/>
          <w:szCs w:val="18"/>
          <w:color w:val="auto"/>
        </w:rPr>
        <w:t>Under fresh start accounting, the reorganized entity is considered a new reporting entity for financial reporting purposes. The unaudited pro forma condensed consolidated balance sheet is presented as if we had emerged from bankruptcy on September 30, 2020. The unaudited pro forma condensed consolidated statements of operations are presented as if we had emerged from bankruptcy on January 1, 2019. Had we actually adopted fresh start accounting on January 1, 2019 or September 30, 2020, the enterprise and reorganization values could have been materially different from the amounts described above and assumed herein.</w:t>
      </w:r>
    </w:p>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process of finalizing the fair value estimates of our assets and liabilities upon emergence for purposes of fresh start accounting is currently ongoing. Changes in the values of our assets and liabilities and changes in assumptions from those reflected in the Pro Forma Financial Information presented below could significantly impact the reported values of our assets and liabilities. Accordingly, the amounts shown are not final and are subject to changes and revisions, which may be material.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1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 Forma Financial Information includes the following columns:</w:t>
      </w:r>
    </w:p>
    <w:p>
      <w:pPr>
        <w:spacing w:after="0" w:line="252" w:lineRule="exact"/>
        <w:rPr>
          <w:sz w:val="20"/>
          <w:szCs w:val="20"/>
          <w:color w:val="auto"/>
        </w:rPr>
      </w:pPr>
    </w:p>
    <w:p>
      <w:pPr>
        <w:ind w:left="660" w:right="20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Actual </w:t>
      </w:r>
      <w:r>
        <w:rPr>
          <w:rFonts w:ascii="Arial" w:cs="Arial" w:eastAsia="Arial" w:hAnsi="Arial"/>
          <w:sz w:val="18"/>
          <w:szCs w:val="18"/>
          <w:color w:val="auto"/>
        </w:rPr>
        <w:t>– Represents our historical condensed consolidated balance sheet as of September 30, 2020 and statements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2020 and for the year ended December 31, 2019.</w:t>
      </w:r>
    </w:p>
    <w:p>
      <w:pPr>
        <w:spacing w:after="0" w:line="211" w:lineRule="exact"/>
        <w:rPr>
          <w:rFonts w:ascii="Arial" w:cs="Arial" w:eastAsia="Arial" w:hAnsi="Arial"/>
          <w:sz w:val="18"/>
          <w:szCs w:val="18"/>
          <w:color w:val="auto"/>
        </w:rPr>
      </w:pPr>
    </w:p>
    <w:p>
      <w:pPr>
        <w:ind w:left="660" w:hanging="328"/>
        <w:spacing w:after="0" w:line="24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 xml:space="preserve">Reorganization Adjustments </w:t>
      </w:r>
      <w:r>
        <w:rPr>
          <w:rFonts w:ascii="Arial" w:cs="Arial" w:eastAsia="Arial" w:hAnsi="Arial"/>
          <w:sz w:val="18"/>
          <w:szCs w:val="18"/>
          <w:color w:val="auto"/>
        </w:rPr>
        <w:t>– Represents the effects of the transactions contemplated by the Plan of Reorganization and carried out</w:t>
      </w:r>
      <w:r>
        <w:rPr>
          <w:rFonts w:ascii="Arial" w:cs="Arial" w:eastAsia="Arial" w:hAnsi="Arial"/>
          <w:sz w:val="18"/>
          <w:szCs w:val="18"/>
          <w:i w:val="1"/>
          <w:iCs w:val="1"/>
          <w:color w:val="auto"/>
        </w:rPr>
        <w:t xml:space="preserve"> </w:t>
      </w:r>
      <w:r>
        <w:rPr>
          <w:rFonts w:ascii="Arial" w:cs="Arial" w:eastAsia="Arial" w:hAnsi="Arial"/>
          <w:sz w:val="18"/>
          <w:szCs w:val="18"/>
          <w:color w:val="auto"/>
        </w:rPr>
        <w:t>by us upon our emergence from bankruptcy. For more information on the Plan of Reorganization and the transactions contemplated thereby, please see our Current Report on Form 8-K filed on November 2, 2020 and our Q3 10-Q.</w:t>
      </w:r>
    </w:p>
    <w:p>
      <w:pPr>
        <w:spacing w:after="0" w:line="24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 xml:space="preserve">Fresh Start Adjustments </w:t>
      </w:r>
      <w:r>
        <w:rPr>
          <w:rFonts w:ascii="Arial" w:cs="Arial" w:eastAsia="Arial" w:hAnsi="Arial"/>
          <w:sz w:val="18"/>
          <w:szCs w:val="18"/>
          <w:color w:val="auto"/>
        </w:rPr>
        <w:t>– Represents the fair value adjustments as a result of the adoption of fresh start accounting.</w:t>
      </w:r>
    </w:p>
    <w:p>
      <w:pPr>
        <w:spacing w:after="0" w:line="216" w:lineRule="exact"/>
        <w:rPr>
          <w:rFonts w:ascii="Times New Roman" w:cs="Times New Roman" w:eastAsia="Times New Roman" w:hAnsi="Times New Roman"/>
          <w:sz w:val="22"/>
          <w:szCs w:val="22"/>
          <w:color w:val="auto"/>
        </w:rPr>
      </w:pPr>
    </w:p>
    <w:p>
      <w:pPr>
        <w:ind w:left="660" w:right="32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 Forma </w:t>
      </w:r>
      <w:r>
        <w:rPr>
          <w:rFonts w:ascii="Arial" w:cs="Arial" w:eastAsia="Arial" w:hAnsi="Arial"/>
          <w:sz w:val="18"/>
          <w:szCs w:val="18"/>
          <w:color w:val="auto"/>
        </w:rPr>
        <w:t>– Represents the condensed consolidated balance sheet and statements of operations as if the emergence and fresh</w:t>
      </w:r>
      <w:r>
        <w:rPr>
          <w:rFonts w:ascii="Arial" w:cs="Arial" w:eastAsia="Arial" w:hAnsi="Arial"/>
          <w:sz w:val="18"/>
          <w:szCs w:val="18"/>
          <w:i w:val="1"/>
          <w:iCs w:val="1"/>
          <w:color w:val="auto"/>
        </w:rPr>
        <w:t xml:space="preserve"> </w:t>
      </w:r>
      <w:r>
        <w:rPr>
          <w:rFonts w:ascii="Arial" w:cs="Arial" w:eastAsia="Arial" w:hAnsi="Arial"/>
          <w:sz w:val="18"/>
          <w:szCs w:val="18"/>
          <w:color w:val="auto"/>
        </w:rPr>
        <w:t>start accounting had taken place on the dates described above.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884"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7"/>
                <w:szCs w:val="17"/>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Reorganization</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Fresh Start</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29"/>
        </w:trPr>
        <w:tc>
          <w:tcPr>
            <w:tcW w:w="4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Arial" w:cs="Arial" w:eastAsia="Arial" w:hAnsi="Arial"/>
                <w:sz w:val="18"/>
                <w:szCs w:val="18"/>
                <w:color w:val="auto"/>
              </w:rPr>
              <w:t>Other current assets,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37"/>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2"/>
                <w:szCs w:val="12"/>
                <w:color w:val="auto"/>
              </w:rPr>
              <w:t>(2)</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84"/>
              <w:spacing w:after="0"/>
              <w:rPr>
                <w:sz w:val="20"/>
                <w:szCs w:val="20"/>
                <w:color w:val="auto"/>
              </w:rPr>
            </w:pPr>
            <w:r>
              <w:rPr>
                <w:rFonts w:ascii="Arial" w:cs="Arial" w:eastAsia="Arial" w:hAnsi="Arial"/>
                <w:sz w:val="18"/>
                <w:szCs w:val="18"/>
                <w:color w:val="auto"/>
              </w:rPr>
              <w:t xml:space="preserve">(20,174) </w:t>
            </w:r>
            <w:r>
              <w:rPr>
                <w:rFonts w:ascii="Arial" w:cs="Arial" w:eastAsia="Arial" w:hAnsi="Arial"/>
                <w:sz w:val="12"/>
                <w:szCs w:val="12"/>
                <w:color w:val="auto"/>
              </w:rPr>
              <w:t>(13)</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Accumulated depreciation, depletion and</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3"/>
                <w:szCs w:val="13"/>
                <w:color w:val="auto"/>
                <w:w w:val="94"/>
              </w:rPr>
              <w:t>(13)</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2"/>
                <w:szCs w:val="12"/>
                <w:color w:val="auto"/>
              </w:rPr>
              <w:t>(14)</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2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7"/>
                <w:szCs w:val="17"/>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Reorganization</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Fresh Start</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29"/>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Debtor-in-possession financing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94"/>
              </w:rPr>
              <w:t>(15)</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40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jc w:val="right"/>
              <w:ind w:right="97"/>
              <w:spacing w:after="0"/>
              <w:rPr>
                <w:sz w:val="20"/>
                <w:szCs w:val="20"/>
                <w:color w:val="auto"/>
              </w:rPr>
            </w:pPr>
            <w:r>
              <w:rPr>
                <w:rFonts w:ascii="Arial" w:cs="Arial" w:eastAsia="Arial" w:hAnsi="Arial"/>
                <w:sz w:val="13"/>
                <w:szCs w:val="13"/>
                <w:color w:val="auto"/>
                <w:w w:val="94"/>
              </w:rPr>
              <w:t>(16)</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SUBJECT TO COMPROMISE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MEZZANINE EQUITY</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Predecessor preferred stock (20 million shares</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authorized at $0.01 par value) no shares</w:t>
            </w:r>
          </w:p>
        </w:tc>
        <w:tc>
          <w:tcPr>
            <w:tcW w:w="2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at September 30, 2020</w:t>
            </w:r>
          </w:p>
        </w:tc>
        <w:tc>
          <w:tcPr>
            <w:tcW w:w="2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tcPr>
          <w:p>
            <w:pPr>
              <w:ind w:left="140"/>
              <w:spacing w:after="0" w:line="176" w:lineRule="exact"/>
              <w:rPr>
                <w:sz w:val="20"/>
                <w:szCs w:val="20"/>
                <w:color w:val="auto"/>
              </w:rPr>
            </w:pPr>
            <w:r>
              <w:rPr>
                <w:rFonts w:ascii="Arial" w:cs="Arial" w:eastAsia="Arial" w:hAnsi="Arial"/>
                <w:sz w:val="18"/>
                <w:szCs w:val="18"/>
                <w:color w:val="auto"/>
              </w:rPr>
              <w:t>Predecessor common stock (200 million shares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300"/>
              <w:spacing w:after="0" w:line="176" w:lineRule="exact"/>
              <w:rPr>
                <w:sz w:val="20"/>
                <w:szCs w:val="20"/>
                <w:color w:val="auto"/>
              </w:rPr>
            </w:pPr>
            <w:r>
              <w:rPr>
                <w:rFonts w:ascii="Arial" w:cs="Arial" w:eastAsia="Arial" w:hAnsi="Arial"/>
                <w:sz w:val="18"/>
                <w:szCs w:val="18"/>
                <w:color w:val="auto"/>
              </w:rPr>
              <w:t>authorized at $0.01 par value) outstanding</w:t>
            </w:r>
          </w:p>
        </w:tc>
        <w:tc>
          <w:tcPr>
            <w:tcW w:w="28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300"/>
              <w:spacing w:after="0"/>
              <w:rPr>
                <w:sz w:val="20"/>
                <w:szCs w:val="20"/>
                <w:color w:val="auto"/>
              </w:rPr>
            </w:pPr>
            <w:r>
              <w:rPr>
                <w:rFonts w:ascii="Arial" w:cs="Arial" w:eastAsia="Arial" w:hAnsi="Arial"/>
                <w:sz w:val="18"/>
                <w:szCs w:val="18"/>
                <w:color w:val="auto"/>
              </w:rPr>
              <w:t>shares 49.5 million at September 30, 2020</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Predecessor additional paid-in capital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 xml:space="preserve">(5,153) </w:t>
            </w:r>
            <w:r>
              <w:rPr>
                <w:rFonts w:ascii="Arial" w:cs="Arial" w:eastAsia="Arial" w:hAnsi="Arial"/>
                <w:sz w:val="12"/>
                <w:szCs w:val="12"/>
                <w:color w:val="auto"/>
              </w:rPr>
              <w:t>(17)</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80" w:type="dxa"/>
            <w:vAlign w:val="bottom"/>
          </w:tcPr>
          <w:p>
            <w:pPr>
              <w:ind w:left="140"/>
              <w:spacing w:after="0" w:line="176" w:lineRule="exact"/>
              <w:rPr>
                <w:sz w:val="20"/>
                <w:szCs w:val="20"/>
                <w:color w:val="auto"/>
              </w:rPr>
            </w:pPr>
            <w:r>
              <w:rPr>
                <w:rFonts w:ascii="Arial" w:cs="Arial" w:eastAsia="Arial" w:hAnsi="Arial"/>
                <w:sz w:val="18"/>
                <w:szCs w:val="18"/>
                <w:color w:val="auto"/>
              </w:rPr>
              <w:t>Successor preferred stock (20 million shares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300"/>
              <w:spacing w:after="0" w:line="176" w:lineRule="exact"/>
              <w:rPr>
                <w:sz w:val="20"/>
                <w:szCs w:val="20"/>
                <w:color w:val="auto"/>
              </w:rPr>
            </w:pPr>
            <w:r>
              <w:rPr>
                <w:rFonts w:ascii="Arial" w:cs="Arial" w:eastAsia="Arial" w:hAnsi="Arial"/>
                <w:sz w:val="18"/>
                <w:szCs w:val="18"/>
                <w:color w:val="auto"/>
              </w:rPr>
              <w:t>authorized at $0.01 par value) pro forma no</w:t>
            </w:r>
          </w:p>
        </w:tc>
        <w:tc>
          <w:tcPr>
            <w:tcW w:w="28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300"/>
              <w:spacing w:after="0"/>
              <w:rPr>
                <w:sz w:val="20"/>
                <w:szCs w:val="20"/>
                <w:color w:val="auto"/>
              </w:rPr>
            </w:pPr>
            <w:r>
              <w:rPr>
                <w:rFonts w:ascii="Arial" w:cs="Arial" w:eastAsia="Arial" w:hAnsi="Arial"/>
                <w:sz w:val="18"/>
                <w:szCs w:val="18"/>
                <w:color w:val="auto"/>
              </w:rPr>
              <w:t>shares outstanding at September 30, 2020</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Successor common stock (200 million shares</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authorized at $0.01 par value) pro forma</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outstanding shares 83.3 million at September</w:t>
            </w:r>
          </w:p>
        </w:tc>
        <w:tc>
          <w:tcPr>
            <w:tcW w:w="2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30, 2020</w:t>
            </w:r>
          </w:p>
        </w:tc>
        <w:tc>
          <w:tcPr>
            <w:tcW w:w="2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Successor additional paid-in capital</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1,271</w:t>
            </w:r>
          </w:p>
        </w:tc>
        <w:tc>
          <w:tcPr>
            <w:tcW w:w="400" w:type="dxa"/>
            <w:vAlign w:val="bottom"/>
          </w:tcPr>
          <w:p>
            <w:pPr>
              <w:ind w:left="20"/>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Successor warrants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4,022</w:t>
            </w:r>
          </w:p>
        </w:tc>
        <w:tc>
          <w:tcPr>
            <w:tcW w:w="400" w:type="dxa"/>
            <w:vAlign w:val="bottom"/>
          </w:tcPr>
          <w:p>
            <w:pPr>
              <w:ind w:left="20"/>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3,444</w:t>
            </w:r>
          </w:p>
        </w:tc>
        <w:tc>
          <w:tcPr>
            <w:tcW w:w="400" w:type="dxa"/>
            <w:vAlign w:val="bottom"/>
          </w:tcPr>
          <w:p>
            <w:pPr>
              <w:jc w:val="right"/>
              <w:ind w:right="97"/>
              <w:spacing w:after="0"/>
              <w:rPr>
                <w:sz w:val="20"/>
                <w:szCs w:val="20"/>
                <w:color w:val="auto"/>
              </w:rPr>
            </w:pPr>
            <w:r>
              <w:rPr>
                <w:rFonts w:ascii="Arial" w:cs="Arial" w:eastAsia="Arial" w:hAnsi="Arial"/>
                <w:sz w:val="13"/>
                <w:szCs w:val="13"/>
                <w:color w:val="auto"/>
                <w:w w:val="94"/>
              </w:rPr>
              <w:t>(17)</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460"/>
              <w:spacing w:after="0"/>
              <w:rPr>
                <w:sz w:val="20"/>
                <w:szCs w:val="20"/>
                <w:color w:val="auto"/>
              </w:rPr>
            </w:pPr>
            <w:r>
              <w:rPr>
                <w:rFonts w:ascii="Arial" w:cs="Arial" w:eastAsia="Arial" w:hAnsi="Arial"/>
                <w:sz w:val="18"/>
                <w:szCs w:val="18"/>
                <w:color w:val="auto"/>
              </w:rPr>
              <w:t>Total equity attributable to common stock</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5,338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94"/>
              </w:rPr>
              <w:t>(18)</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05" w:right="339" w:bottom="1440" w:gutter="0" w:footer="0" w:header="0"/>
        </w:sectPr>
      </w:pPr>
    </w:p>
    <w:bookmarkStart w:id="7" w:name="page8"/>
    <w:bookmarkEnd w:id="7"/>
    <w:p>
      <w:pPr>
        <w:jc w:val="center"/>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Unaudited Pro Forma Condensed Consolidated Statements of Operations For the nine months ended September 30, 2020 </w:t>
      </w:r>
      <w:r>
        <w:rPr>
          <w:rFonts w:ascii="Arial" w:cs="Arial" w:eastAsia="Arial" w:hAnsi="Arial"/>
          <w:sz w:val="18"/>
          <w:szCs w:val="18"/>
          <w:color w:val="auto"/>
        </w:rPr>
        <w:t>(dollars 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7"/>
                <w:szCs w:val="17"/>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Reorganization</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Fresh Start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29"/>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Net derivative gain from commodity contracts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trading revenue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Electricity sales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142"/>
        </w:trPr>
        <w:tc>
          <w:tcPr>
            <w:tcW w:w="4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COSTS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costs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xml:space="preserve">(139) </w:t>
            </w:r>
            <w:r>
              <w:rPr>
                <w:rFonts w:ascii="Arial" w:cs="Arial" w:eastAsia="Arial" w:hAnsi="Arial"/>
                <w:sz w:val="12"/>
                <w:szCs w:val="12"/>
                <w:color w:val="auto"/>
              </w:rPr>
              <w:t>(h)</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Asset impairments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right"/>
              <w:ind w:right="460"/>
              <w:spacing w:after="0"/>
              <w:rPr>
                <w:sz w:val="20"/>
                <w:szCs w:val="20"/>
                <w:color w:val="auto"/>
              </w:rPr>
            </w:pPr>
            <w:r>
              <w:rPr>
                <w:rFonts w:ascii="Arial" w:cs="Arial" w:eastAsia="Arial" w:hAnsi="Arial"/>
                <w:sz w:val="18"/>
                <w:szCs w:val="18"/>
                <w:color w:val="auto"/>
              </w:rPr>
              <w:t xml:space="preserve">(1,736) </w:t>
            </w:r>
            <w:r>
              <w:rPr>
                <w:rFonts w:ascii="Arial" w:cs="Arial" w:eastAsia="Arial" w:hAnsi="Arial"/>
                <w:sz w:val="12"/>
                <w:szCs w:val="12"/>
                <w:color w:val="auto"/>
              </w:rPr>
              <w:t>(i)</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other than on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Exploration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trading costs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Electricity cost of sales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17"/>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2"/>
                <w:szCs w:val="12"/>
                <w:color w:val="auto"/>
              </w:rPr>
              <w:t>(a)</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Transportation costs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17"/>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2"/>
                <w:szCs w:val="12"/>
                <w:color w:val="auto"/>
              </w:rPr>
              <w:t>(b)</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right"/>
              <w:ind w:right="460"/>
              <w:spacing w:after="0"/>
              <w:rPr>
                <w:sz w:val="20"/>
                <w:szCs w:val="20"/>
                <w:color w:val="auto"/>
              </w:rPr>
            </w:pPr>
            <w:r>
              <w:rPr>
                <w:rFonts w:ascii="Arial" w:cs="Arial" w:eastAsia="Arial" w:hAnsi="Arial"/>
                <w:sz w:val="13"/>
                <w:szCs w:val="13"/>
                <w:color w:val="auto"/>
                <w:w w:val="86"/>
              </w:rPr>
              <w:t>(j)</w:t>
            </w: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costs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4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(LOSS)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Reorganization items,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37"/>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2"/>
                <w:szCs w:val="12"/>
                <w:color w:val="auto"/>
              </w:rPr>
              <w:t>(c)</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debt expense,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Net gain on early extinguishment of debt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17"/>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2"/>
                <w:szCs w:val="12"/>
                <w:color w:val="auto"/>
              </w:rPr>
              <w:t>(e)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97"/>
              </w:rPr>
              <w:t>(f)</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1,866</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2"/>
                <w:szCs w:val="12"/>
                <w:color w:val="auto"/>
              </w:rPr>
              <w:t>(k)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62"/>
        </w:trPr>
        <w:tc>
          <w:tcPr>
            <w:tcW w:w="5840" w:type="dxa"/>
            <w:vAlign w:val="bottom"/>
            <w:gridSpan w:val="3"/>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94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Mezzanine equity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(g)</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tcPr>
          <w:p>
            <w:pPr>
              <w:jc w:val="right"/>
              <w:ind w:right="117"/>
              <w:spacing w:after="0"/>
              <w:rPr>
                <w:sz w:val="20"/>
                <w:szCs w:val="20"/>
                <w:color w:val="auto"/>
              </w:rPr>
            </w:pPr>
            <w:r>
              <w:rPr>
                <w:rFonts w:ascii="Arial" w:cs="Arial" w:eastAsia="Arial" w:hAnsi="Arial"/>
                <w:sz w:val="13"/>
                <w:szCs w:val="13"/>
                <w:color w:val="auto"/>
              </w:rPr>
              <w:t>(g)</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9"/>
              </w:rPr>
              <w:t>NET (LOSS) INCOME ATTRIBUTABLE TO COMMON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1,862</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STOCK</w:t>
            </w:r>
          </w:p>
        </w:tc>
        <w:tc>
          <w:tcPr>
            <w:tcW w:w="2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(loss) income attributable to common stock per share</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315"/>
        </w:trPr>
        <w:tc>
          <w:tcPr>
            <w:tcW w:w="4440" w:type="dxa"/>
            <w:vAlign w:val="bottom"/>
          </w:tcPr>
          <w:p>
            <w:pPr>
              <w:ind w:left="20"/>
              <w:spacing w:after="0"/>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783"/>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Statements of Operations</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(dollars 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Actual</w:t>
            </w:r>
          </w:p>
        </w:tc>
        <w:tc>
          <w:tcPr>
            <w:tcW w:w="180" w:type="dxa"/>
            <w:vAlign w:val="bottom"/>
          </w:tcPr>
          <w:p>
            <w:pPr>
              <w:spacing w:after="0"/>
              <w:rPr>
                <w:sz w:val="17"/>
                <w:szCs w:val="17"/>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Reorganization</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Fresh Start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30"/>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Net derivative loss from commodity contracts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trading revenue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Electricity sales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COSTS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costs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xml:space="preserve">(240) </w:t>
            </w:r>
            <w:r>
              <w:rPr>
                <w:rFonts w:ascii="Arial" w:cs="Arial" w:eastAsia="Arial" w:hAnsi="Arial"/>
                <w:sz w:val="12"/>
                <w:szCs w:val="12"/>
                <w:color w:val="auto"/>
              </w:rPr>
              <w:t>(h)</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Asset impairments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other than on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Exploration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trading costs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Electricity cost of sales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17"/>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2"/>
                <w:szCs w:val="12"/>
                <w:color w:val="auto"/>
              </w:rPr>
              <w:t>(a)</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Transportation costs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460"/>
              <w:spacing w:after="0"/>
              <w:rPr>
                <w:sz w:val="20"/>
                <w:szCs w:val="20"/>
                <w:color w:val="auto"/>
              </w:rPr>
            </w:pPr>
            <w:r>
              <w:rPr>
                <w:rFonts w:ascii="Arial" w:cs="Arial" w:eastAsia="Arial" w:hAnsi="Arial"/>
                <w:sz w:val="13"/>
                <w:szCs w:val="13"/>
                <w:color w:val="auto"/>
                <w:w w:val="86"/>
              </w:rPr>
              <w:t>(j)</w:t>
            </w: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costs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(225)</w:t>
            </w:r>
          </w:p>
        </w:tc>
        <w:tc>
          <w:tcPr>
            <w:tcW w:w="4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(LOSS)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Reorganization items, net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debt expense,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Net gain on early extinguishment of debt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17"/>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2"/>
                <w:szCs w:val="12"/>
                <w:color w:val="auto"/>
              </w:rPr>
              <w:t>(e)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7"/>
              </w:rPr>
              <w:t>(f)</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2"/>
                <w:szCs w:val="12"/>
                <w:color w:val="auto"/>
              </w:rPr>
              <w:t>(k)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Mezzanine equity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(g)</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17"/>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2"/>
                <w:szCs w:val="12"/>
                <w:color w:val="auto"/>
              </w:rPr>
              <w:t>(g)</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9"/>
              </w:rPr>
              <w:t>NET (LOSS) INCOME ATTRIBUTABLE TO COMMON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STOCK</w:t>
            </w:r>
          </w:p>
        </w:tc>
        <w:tc>
          <w:tcPr>
            <w:tcW w:w="2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(loss) income attributable to common stock per share</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315"/>
        </w:trPr>
        <w:tc>
          <w:tcPr>
            <w:tcW w:w="4440" w:type="dxa"/>
            <w:vAlign w:val="bottom"/>
          </w:tcPr>
          <w:p>
            <w:pPr>
              <w:ind w:left="20"/>
              <w:spacing w:after="0"/>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84"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BALANCE SHEET</w:t>
            </w:r>
          </w:p>
        </w:tc>
        <w:tc>
          <w:tcPr>
            <w:tcW w:w="6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83"/>
        </w:trPr>
        <w:tc>
          <w:tcPr>
            <w:tcW w:w="8420" w:type="dxa"/>
            <w:vAlign w:val="bottom"/>
            <w:gridSpan w:val="2"/>
          </w:tcPr>
          <w:p>
            <w:pPr>
              <w:spacing w:after="0"/>
              <w:rPr>
                <w:sz w:val="20"/>
                <w:szCs w:val="20"/>
                <w:color w:val="auto"/>
              </w:rPr>
            </w:pPr>
            <w:r>
              <w:rPr>
                <w:rFonts w:ascii="Arial" w:cs="Arial" w:eastAsia="Arial" w:hAnsi="Arial"/>
                <w:sz w:val="18"/>
                <w:szCs w:val="18"/>
                <w:i w:val="1"/>
                <w:iCs w:val="1"/>
                <w:color w:val="auto"/>
              </w:rPr>
              <w:t>Reorganization Adjustments</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9"/>
        </w:trPr>
        <w:tc>
          <w:tcPr>
            <w:tcW w:w="8420" w:type="dxa"/>
            <w:vAlign w:val="bottom"/>
            <w:gridSpan w:val="2"/>
          </w:tcPr>
          <w:p>
            <w:pPr>
              <w:ind w:left="340"/>
              <w:spacing w:after="0"/>
              <w:rPr>
                <w:sz w:val="20"/>
                <w:szCs w:val="20"/>
                <w:color w:val="auto"/>
              </w:rPr>
            </w:pPr>
            <w:r>
              <w:rPr>
                <w:rFonts w:ascii="Arial" w:cs="Arial" w:eastAsia="Arial" w:hAnsi="Arial"/>
                <w:sz w:val="18"/>
                <w:szCs w:val="18"/>
                <w:color w:val="auto"/>
              </w:rPr>
              <w:t>(1) Net change in cash upon our emergence included the following transactions (in millions):</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6"/>
        </w:trPr>
        <w:tc>
          <w:tcPr>
            <w:tcW w:w="8420" w:type="dxa"/>
            <w:vAlign w:val="bottom"/>
            <w:gridSpan w:val="2"/>
          </w:tcPr>
          <w:p>
            <w:pPr>
              <w:spacing w:after="0"/>
              <w:rPr>
                <w:sz w:val="23"/>
                <w:szCs w:val="23"/>
                <w:color w:val="auto"/>
              </w:rPr>
            </w:pPr>
          </w:p>
        </w:tc>
        <w:tc>
          <w:tcPr>
            <w:tcW w:w="12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Proceeds from Second Lien Term Loan</w:t>
            </w: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subscription rights offering, net</w:t>
            </w:r>
          </w:p>
        </w:tc>
        <w:tc>
          <w:tcPr>
            <w:tcW w:w="1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Repayment of debtor-in-possession financing</w:t>
            </w: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 of legal, professional and other fees</w:t>
            </w:r>
          </w:p>
        </w:tc>
        <w:tc>
          <w:tcPr>
            <w:tcW w:w="1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Payment of financing costs for the Revolving Credit Facility</w:t>
            </w: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 of financing costs for the Second Lien Term Loan</w:t>
            </w:r>
          </w:p>
        </w:tc>
        <w:tc>
          <w:tcPr>
            <w:tcW w:w="1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Payment to noncontrolling interest holders as part of the Settlement Agreement</w:t>
            </w: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Distributions paid to noncontrolling interest holders</w:t>
            </w:r>
          </w:p>
        </w:tc>
        <w:tc>
          <w:tcPr>
            <w:tcW w:w="1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Payment of accrued interest and bank fees</w:t>
            </w:r>
          </w:p>
        </w:tc>
        <w:tc>
          <w:tcPr>
            <w:tcW w:w="1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60" w:right="880"/>
        <w:spacing w:after="0" w:line="292" w:lineRule="auto"/>
        <w:rPr>
          <w:sz w:val="20"/>
          <w:szCs w:val="20"/>
          <w:color w:val="auto"/>
        </w:rPr>
      </w:pPr>
      <w:r>
        <w:rPr>
          <w:rFonts w:ascii="Arial" w:cs="Arial" w:eastAsia="Arial" w:hAnsi="Arial"/>
          <w:sz w:val="18"/>
          <w:szCs w:val="18"/>
          <w:color w:val="auto"/>
        </w:rPr>
        <w:t>Our pro forma cash balance of $201 million at September 30, 2020 included $135 million that was temporarily restricted to collateralize letters of credit and for funds held for distributions to a JV partner.</w:t>
      </w:r>
    </w:p>
    <w:p>
      <w:pPr>
        <w:spacing w:after="0" w:line="171" w:lineRule="exact"/>
        <w:rPr>
          <w:sz w:val="20"/>
          <w:szCs w:val="20"/>
          <w:color w:val="auto"/>
        </w:rPr>
      </w:pPr>
    </w:p>
    <w:p>
      <w:pPr>
        <w:ind w:left="660" w:right="180" w:hanging="328"/>
        <w:spacing w:after="0" w:line="292"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write-off of unamortized insurance premiums for our directors and officers policy, which was cancelled as a result of changing the composition of our Board of Directors.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capitalization of financing fees on our Revolving Credit Facility.</w:t>
      </w:r>
    </w:p>
    <w:p>
      <w:pPr>
        <w:spacing w:after="0" w:line="252" w:lineRule="exact"/>
        <w:rPr>
          <w:rFonts w:ascii="Arial" w:cs="Arial" w:eastAsia="Arial" w:hAnsi="Arial"/>
          <w:sz w:val="18"/>
          <w:szCs w:val="18"/>
          <w:color w:val="auto"/>
        </w:rPr>
      </w:pPr>
    </w:p>
    <w:p>
      <w:pPr>
        <w:ind w:left="660" w:right="360" w:hanging="328"/>
        <w:spacing w:after="0" w:line="271"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payoff of $733 million of debtor-in-possession financing including $83 million of borrowings that were outstanding under our senior debtor-in-possession facility and $650 million of borrowings that were outstanding under our junior debtor-in-possession facility.</w:t>
      </w:r>
    </w:p>
    <w:p>
      <w:pPr>
        <w:spacing w:after="0" w:line="189" w:lineRule="exact"/>
        <w:rPr>
          <w:rFonts w:ascii="Arial" w:cs="Arial" w:eastAsia="Arial" w:hAnsi="Arial"/>
          <w:sz w:val="18"/>
          <w:szCs w:val="18"/>
          <w:color w:val="auto"/>
        </w:rPr>
      </w:pPr>
    </w:p>
    <w:p>
      <w:pPr>
        <w:ind w:left="660" w:right="160" w:hanging="328"/>
        <w:spacing w:after="0" w:line="271"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payment of $33 million for legal, professional and other fees related to our bankruptcy proceedings and $1 million for accrued interest and bank fees partially offset by an accrual of $8 million for bankruptcy related legal and professional fees incurred in October 2020 prior to our emergence date.</w:t>
      </w:r>
    </w:p>
    <w:p>
      <w:pPr>
        <w:spacing w:after="0" w:line="189"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total exit financing at emergence included:</w:t>
      </w:r>
    </w:p>
    <w:p>
      <w:pPr>
        <w:spacing w:after="0" w:line="291" w:lineRule="exact"/>
        <w:rPr>
          <w:sz w:val="20"/>
          <w:szCs w:val="20"/>
          <w:color w:val="auto"/>
        </w:rPr>
      </w:pPr>
    </w:p>
    <w:p>
      <w:pPr>
        <w:jc w:val="center"/>
        <w:ind w:left="7960"/>
        <w:spacing w:after="0"/>
        <w:rPr>
          <w:sz w:val="20"/>
          <w:szCs w:val="20"/>
          <w:color w:val="auto"/>
        </w:rPr>
      </w:pPr>
      <w:r>
        <w:rPr>
          <w:rFonts w:ascii="Arial" w:cs="Arial" w:eastAsia="Arial" w:hAnsi="Arial"/>
          <w:sz w:val="18"/>
          <w:szCs w:val="18"/>
          <w:b w:val="1"/>
          <w:bCs w:val="1"/>
          <w:color w:val="auto"/>
        </w:rPr>
        <w:t>Outstanding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21590</wp:posOffset>
            </wp:positionV>
            <wp:extent cx="2065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0" w:lineRule="exact"/>
        <w:rPr>
          <w:sz w:val="20"/>
          <w:szCs w:val="20"/>
          <w:color w:val="auto"/>
        </w:rPr>
      </w:pPr>
    </w:p>
    <w:p>
      <w:pPr>
        <w:jc w:val="center"/>
        <w:ind w:left="7960"/>
        <w:spacing w:after="0"/>
        <w:rPr>
          <w:sz w:val="20"/>
          <w:szCs w:val="20"/>
          <w:color w:val="auto"/>
        </w:rPr>
      </w:pPr>
      <w:r>
        <w:rPr>
          <w:rFonts w:ascii="Arial" w:cs="Arial" w:eastAsia="Arial" w:hAnsi="Arial"/>
          <w:sz w:val="18"/>
          <w:szCs w:val="18"/>
          <w:b w:val="1"/>
          <w:bCs w:val="1"/>
          <w:color w:val="auto"/>
        </w:rPr>
        <w:t>September 30,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auto"/>
            </w:tcBorders>
          </w:tcPr>
          <w:p>
            <w:pPr>
              <w:jc w:val="right"/>
              <w:ind w:right="1113"/>
              <w:spacing w:after="0"/>
              <w:rPr>
                <w:sz w:val="20"/>
                <w:szCs w:val="20"/>
                <w:color w:val="auto"/>
              </w:rPr>
            </w:pPr>
            <w:r>
              <w:rPr>
                <w:rFonts w:ascii="Arial" w:cs="Arial" w:eastAsia="Arial" w:hAnsi="Arial"/>
                <w:sz w:val="14"/>
                <w:szCs w:val="14"/>
                <w:color w:val="auto"/>
              </w:rPr>
              <w:t>in millions)</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1360" w:type="dxa"/>
            <w:vAlign w:val="bottom"/>
            <w:shd w:val="clear" w:color="auto" w:fill="CCEEFF"/>
          </w:tcPr>
          <w:p>
            <w:pPr>
              <w:jc w:val="right"/>
              <w:ind w:right="1155"/>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Second Lien Term Loan</w:t>
            </w:r>
          </w:p>
        </w:tc>
        <w:tc>
          <w:tcPr>
            <w:tcW w:w="1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EHP Notes</w:t>
            </w:r>
          </w:p>
        </w:tc>
        <w:tc>
          <w:tcPr>
            <w:tcW w:w="1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Face amount of long-term debt</w:t>
            </w:r>
          </w:p>
        </w:tc>
        <w:tc>
          <w:tcPr>
            <w:tcW w:w="1360" w:type="dxa"/>
            <w:vAlign w:val="bottom"/>
          </w:tcPr>
          <w:p>
            <w:pPr>
              <w:jc w:val="right"/>
              <w:ind w:right="1155"/>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725</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debt issuance costs</w:t>
            </w:r>
          </w:p>
        </w:tc>
        <w:tc>
          <w:tcPr>
            <w:tcW w:w="1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Total pro forma long-term debt at emergence</w:t>
            </w:r>
          </w:p>
        </w:tc>
        <w:tc>
          <w:tcPr>
            <w:tcW w:w="1360" w:type="dxa"/>
            <w:vAlign w:val="bottom"/>
            <w:tcBorders>
              <w:bottom w:val="single" w:sz="8" w:color="auto"/>
            </w:tcBorders>
          </w:tcPr>
          <w:p>
            <w:pPr>
              <w:jc w:val="right"/>
              <w:ind w:right="1155"/>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r>
      <w:tr>
        <w:trPr>
          <w:trHeight w:val="20"/>
        </w:trPr>
        <w:tc>
          <w:tcPr>
            <w:tcW w:w="7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right="320" w:hanging="328"/>
        <w:spacing w:after="0" w:line="292"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settlement of our pre-petition debt and accrued interest in exchange for common stock, warrants and subscription rights.</w:t>
      </w:r>
    </w:p>
    <w:p>
      <w:pPr>
        <w:spacing w:after="0" w:line="171" w:lineRule="exact"/>
        <w:rPr>
          <w:rFonts w:ascii="Arial" w:cs="Arial" w:eastAsia="Arial" w:hAnsi="Arial"/>
          <w:sz w:val="18"/>
          <w:szCs w:val="18"/>
          <w:color w:val="auto"/>
        </w:rPr>
      </w:pPr>
    </w:p>
    <w:p>
      <w:pPr>
        <w:jc w:val="both"/>
        <w:ind w:left="660" w:right="60" w:hanging="328"/>
        <w:spacing w:after="0" w:line="271"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elimination of the noncontrolling interest in our midstream joint venture with ECR Corporate Holdings, L.P. (“ECR”), a portfolio company of Ares Management L.P. (“Ares”), as a result of the acquisition of all the member interests held by ECR. This joint venture (“Ares JV”) holds our Elk Hills power plant and cryogenic gas processing plant.</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878" w:right="339" w:bottom="1440" w:gutter="0" w:footer="0" w:header="0"/>
          <w:type w:val="continuous"/>
        </w:sectPr>
      </w:pPr>
    </w:p>
    <w:bookmarkStart w:id="10" w:name="page11"/>
    <w:bookmarkEnd w:id="10"/>
    <w:p>
      <w:pPr>
        <w:jc w:val="both"/>
        <w:ind w:left="660" w:right="80"/>
        <w:spacing w:after="0" w:line="279" w:lineRule="auto"/>
        <w:rPr>
          <w:sz w:val="20"/>
          <w:szCs w:val="20"/>
          <w:color w:val="auto"/>
        </w:rPr>
      </w:pPr>
      <w:r>
        <w:rPr>
          <w:rFonts w:ascii="Arial" w:cs="Arial" w:eastAsia="Arial" w:hAnsi="Arial"/>
          <w:sz w:val="17"/>
          <w:szCs w:val="17"/>
          <w:color w:val="auto"/>
        </w:rPr>
        <w:t>On July 15, 2020, immediately prior to the commencement of the Chapter 11 Cases, we and certain affiliates of Ares entered into a Settlement and Assumption Agreement (the “Settlement Agreement”), which was approved by the Bankruptcy Court on a final basis on August 25, 2020. Among other things, the Settlement Agreement included a conversion right, which was deemed exercised upon our emergence from bankruptcy, allowing us to acquire all (but not less than all) of the equity interests in the Ares JV held by ECR in exchange for secured notes (“EHP Notes”), approximately 20.8% of our new common stock and approximately $2 million in cash.</w:t>
      </w:r>
    </w:p>
    <w:p>
      <w:pPr>
        <w:spacing w:after="0" w:line="18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$5 million of unrecognized stock-based compensation expense on equity-settled awards, which were cancelled.</w:t>
      </w:r>
    </w:p>
    <w:p>
      <w:pPr>
        <w:spacing w:after="0" w:line="252" w:lineRule="exact"/>
        <w:rPr>
          <w:rFonts w:ascii="Arial" w:cs="Arial" w:eastAsia="Arial" w:hAnsi="Arial"/>
          <w:sz w:val="18"/>
          <w:szCs w:val="18"/>
          <w:color w:val="auto"/>
        </w:rPr>
      </w:pPr>
    </w:p>
    <w:p>
      <w:pPr>
        <w:ind w:left="660" w:hanging="328"/>
        <w:spacing w:after="0" w:line="292" w:lineRule="auto"/>
        <w:tabs>
          <w:tab w:leader="none" w:pos="70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fair value of 83.3 million shares of common stock and warrants issued in accordance with the Plan of Reorganization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 value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8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new warrants issued</w:t>
            </w:r>
          </w:p>
        </w:tc>
        <w:tc>
          <w:tcPr>
            <w:tcW w:w="1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b w:val="1"/>
                <w:bCs w:val="1"/>
                <w:color w:val="auto"/>
              </w:rPr>
              <w:t>Total pro forma equity attributable to common stock at emergence</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w:t>
            </w:r>
          </w:p>
        </w:tc>
      </w:tr>
      <w:tr>
        <w:trPr>
          <w:trHeight w:val="20"/>
        </w:trPr>
        <w:tc>
          <w:tcPr>
            <w:tcW w:w="8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 Represents the decrease in accumulated deficit resulting from reorganization adjustments.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Represents the elimination of predecessor accumulated other comprehensive loss.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Start Adjustments</w:t>
      </w:r>
    </w:p>
    <w:p>
      <w:pPr>
        <w:spacing w:after="0" w:line="250" w:lineRule="exact"/>
        <w:rPr>
          <w:sz w:val="20"/>
          <w:szCs w:val="20"/>
          <w:color w:val="auto"/>
        </w:rPr>
      </w:pPr>
    </w:p>
    <w:p>
      <w:pPr>
        <w:ind w:left="660" w:right="100" w:hanging="328"/>
        <w:spacing w:after="0" w:line="292" w:lineRule="auto"/>
        <w:tabs>
          <w:tab w:leader="none" w:pos="70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fair value adjustment to property, plant and equipment (PP&amp;E), including the elimination of accumulated depreciation, depletion and amortization.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40" w:type="dxa"/>
            <w:vAlign w:val="bottom"/>
          </w:tcPr>
          <w:p>
            <w:pPr>
              <w:ind w:left="660"/>
              <w:spacing w:after="0"/>
              <w:rPr>
                <w:sz w:val="20"/>
                <w:szCs w:val="20"/>
                <w:color w:val="auto"/>
              </w:rPr>
            </w:pPr>
            <w:r>
              <w:rPr>
                <w:rFonts w:ascii="Arial" w:cs="Arial" w:eastAsia="Arial" w:hAnsi="Arial"/>
                <w:sz w:val="18"/>
                <w:szCs w:val="18"/>
                <w:color w:val="auto"/>
              </w:rPr>
              <w:t>The fair value of our PP&amp;E, on a pro forma basis, consisted of the following:</w:t>
            </w: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6"/>
        </w:trPr>
        <w:tc>
          <w:tcPr>
            <w:tcW w:w="8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Proved oil and natural gas properties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30"/>
        </w:trPr>
        <w:tc>
          <w:tcPr>
            <w:tcW w:w="8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Facilities and other</w:t>
            </w:r>
          </w:p>
        </w:tc>
        <w:tc>
          <w:tcPr>
            <w:tcW w:w="1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PP&amp;E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2,741</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700" w:hanging="368"/>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 fair value adjustment related to in-place leases.</w:t>
      </w:r>
    </w:p>
    <w:p>
      <w:pPr>
        <w:spacing w:after="0" w:line="252" w:lineRule="exact"/>
        <w:rPr>
          <w:rFonts w:ascii="Arial" w:cs="Arial" w:eastAsia="Arial" w:hAnsi="Arial"/>
          <w:sz w:val="18"/>
          <w:szCs w:val="18"/>
          <w:color w:val="auto"/>
        </w:rPr>
      </w:pPr>
    </w:p>
    <w:p>
      <w:pPr>
        <w:ind w:left="660" w:right="160" w:hanging="328"/>
        <w:spacing w:after="0" w:line="323" w:lineRule="auto"/>
        <w:tabs>
          <w:tab w:leader="none" w:pos="706"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a $23 million fair value adjustment to the current portion of asset retirement obligations and a $1 million increase in the fair value of our post-retirement benefit obligations partially offset by a $4 million decrease in our liability for self-insured medical.</w:t>
      </w:r>
    </w:p>
    <w:p>
      <w:pPr>
        <w:spacing w:after="0" w:line="148" w:lineRule="exact"/>
        <w:rPr>
          <w:rFonts w:ascii="Arial" w:cs="Arial" w:eastAsia="Arial" w:hAnsi="Arial"/>
          <w:sz w:val="17"/>
          <w:szCs w:val="17"/>
          <w:color w:val="auto"/>
        </w:rPr>
      </w:pPr>
    </w:p>
    <w:p>
      <w:pPr>
        <w:ind w:left="660" w:right="120" w:hanging="328"/>
        <w:spacing w:after="0" w:line="257" w:lineRule="auto"/>
        <w:tabs>
          <w:tab w:leader="none" w:pos="70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 $36 million fair value adjustment related to the long-term portion of asset retirement obligations and $4 million related to environmental obligations. The amount also included an estimated $19 million net deferred tax liability resulting from changes in the book and tax basis of our assets and liabilities resulting from the reorganization and fresh start adjustments. We historically had net deferred tax assets, which were entirely offset by a valuation allowance. The large amount of cancellation of debt income generated by the elimination of liabilities subject to compromise is expected to change the composition and amounts of our deferred tax assets and liabilities thereby resulting in a net deferred tax liability for U.S. federal income tax purposes while continuing to have a full valuation allowance for state purposes.</w:t>
      </w:r>
    </w:p>
    <w:p>
      <w:pPr>
        <w:spacing w:after="0" w:line="203" w:lineRule="exact"/>
        <w:rPr>
          <w:rFonts w:ascii="Arial" w:cs="Arial" w:eastAsia="Arial" w:hAnsi="Arial"/>
          <w:sz w:val="18"/>
          <w:szCs w:val="18"/>
          <w:color w:val="auto"/>
        </w:rPr>
      </w:pPr>
    </w:p>
    <w:p>
      <w:pPr>
        <w:ind w:left="660" w:right="160" w:hanging="328"/>
        <w:spacing w:after="0" w:line="292" w:lineRule="auto"/>
        <w:tabs>
          <w:tab w:leader="none" w:pos="70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decrease in predecessor additional paid-in capital from fresh start adjustments and resetting accumulated deficit to zero.</w:t>
      </w:r>
    </w:p>
    <w:p>
      <w:pPr>
        <w:spacing w:after="0" w:line="171" w:lineRule="exact"/>
        <w:rPr>
          <w:rFonts w:ascii="Arial" w:cs="Arial" w:eastAsia="Arial" w:hAnsi="Arial"/>
          <w:sz w:val="18"/>
          <w:szCs w:val="18"/>
          <w:color w:val="auto"/>
        </w:rPr>
      </w:pPr>
    </w:p>
    <w:p>
      <w:pPr>
        <w:ind w:left="660" w:right="580" w:hanging="328"/>
        <w:spacing w:after="0" w:line="292" w:lineRule="auto"/>
        <w:tabs>
          <w:tab w:leader="none" w:pos="70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fair value adjustment to the preferred interest in our development joint venture held by Benefit Street Partners (“BSP”). BSP’s preferred interest is shown as a noncontrolling interest in our Pro Forma Financial Information.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STATEMENTS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Adjustments</w:t>
      </w:r>
    </w:p>
    <w:p>
      <w:pPr>
        <w:spacing w:after="0" w:line="250"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eliminate the incremental cost of insurance coverage that was obtained as part of the Ares JV.</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elimination of incremental insurance coverage for directors and officers as a result of the Chapter 11 Cases.</w:t>
      </w:r>
    </w:p>
    <w:p>
      <w:pPr>
        <w:spacing w:after="0" w:line="252" w:lineRule="exact"/>
        <w:rPr>
          <w:rFonts w:ascii="Arial" w:cs="Arial" w:eastAsia="Arial" w:hAnsi="Arial"/>
          <w:sz w:val="18"/>
          <w:szCs w:val="18"/>
          <w:color w:val="auto"/>
        </w:rPr>
      </w:pPr>
    </w:p>
    <w:p>
      <w:pPr>
        <w:ind w:left="660" w:right="160" w:hanging="328"/>
        <w:spacing w:after="0" w:line="292"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adjustment to exclude reorganization items, net for the nine months ended September 30, 2020, which consisted of the following (in millions):</w:t>
      </w:r>
    </w:p>
    <w:p>
      <w:pPr>
        <w:sectPr>
          <w:pgSz w:w="11900" w:h="16838" w:orient="portrait"/>
          <w:cols w:equalWidth="0" w:num="1">
            <w:col w:w="11240"/>
          </w:cols>
          <w:pgMar w:left="320" w:top="1127" w:right="339" w:bottom="1440" w:gutter="0" w:footer="0" w:header="0"/>
        </w:sectPr>
      </w:pPr>
    </w:p>
    <w:p>
      <w:pPr>
        <w:spacing w:after="0" w:line="21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Unamortized deferred gain and issuance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Legal, professional and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Debtor-in-possession financing costs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 reorganization items, net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1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9"/>
        </w:trPr>
        <w:tc>
          <w:tcPr>
            <w:tcW w:w="1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4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040"/>
          </w:cols>
          <w:pgMar w:left="320" w:top="1127" w:right="339" w:bottom="1440" w:gutter="0" w:footer="0" w:header="0"/>
          <w:type w:val="continuous"/>
        </w:sectPr>
      </w:pPr>
    </w:p>
    <w:p>
      <w:pPr>
        <w:spacing w:after="0" w:line="115" w:lineRule="exact"/>
        <w:rPr>
          <w:sz w:val="20"/>
          <w:szCs w:val="20"/>
          <w:color w:val="auto"/>
        </w:rPr>
      </w:pPr>
    </w:p>
    <w:p>
      <w:pPr>
        <w:ind w:left="660" w:right="180" w:hanging="328"/>
        <w:spacing w:after="0" w:line="276" w:lineRule="auto"/>
        <w:tabs>
          <w:tab w:leader="none" w:pos="6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Interest and debt expense, net was adjusted to eliminate the interest expense and associated fees and deferred gain and financing costs related to pre-petition debt and the debtor-in-possession financing. The pro forma interest and debt expense, net reflects interest, bank fees, letter of credit fees and amortization of deferred financing costs related to our exit financing which included a Revolving Credit Facility, Second Lien Term Loan and EHP Notes. The interest rates applied to calculate the pro forma interest and debt expense were the applicable rates at the time of emergence, which include: 4.25% on the Revolving Credit Facility and 10.0% on the Second Lien Term Loan, both of which include a 1% LIBOR floor plus the applicable margin, and 6.0% on the EHP Notes.</w:t>
      </w:r>
    </w:p>
    <w:p>
      <w:pPr>
        <w:spacing w:after="0" w:line="190" w:lineRule="exact"/>
        <w:rPr>
          <w:rFonts w:ascii="Arial" w:cs="Arial" w:eastAsia="Arial" w:hAnsi="Arial"/>
          <w:sz w:val="17"/>
          <w:szCs w:val="17"/>
          <w:color w:val="auto"/>
        </w:rPr>
      </w:pPr>
    </w:p>
    <w:p>
      <w:pPr>
        <w:ind w:left="660" w:right="220"/>
        <w:spacing w:after="0" w:line="260" w:lineRule="auto"/>
        <w:rPr>
          <w:rFonts w:ascii="Arial" w:cs="Arial" w:eastAsia="Arial" w:hAnsi="Arial"/>
          <w:sz w:val="17"/>
          <w:szCs w:val="17"/>
          <w:color w:val="auto"/>
        </w:rPr>
      </w:pPr>
      <w:r>
        <w:rPr>
          <w:rFonts w:ascii="Arial" w:cs="Arial" w:eastAsia="Arial" w:hAnsi="Arial"/>
          <w:sz w:val="18"/>
          <w:szCs w:val="18"/>
          <w:color w:val="auto"/>
        </w:rPr>
        <w:t>At the Effective Date, we drew $225 million on the Revolving Credit Facility, of which $118 million was used to temporarily collateralize letters of credit. We calculated the pro forma interest expense assuming that $107 million was drawn on our revolver, excluding the $118 million. If the full $225 million had been included in the pro forma interest calculation for the nine months ended September 30, 2020 and the year ended December 31, 2019, our pro forma interest expense would have increased by $3 million and $5 million, respectively.</w:t>
      </w:r>
    </w:p>
    <w:p>
      <w:pPr>
        <w:spacing w:after="0" w:line="201" w:lineRule="exact"/>
        <w:rPr>
          <w:rFonts w:ascii="Arial" w:cs="Arial" w:eastAsia="Arial" w:hAnsi="Arial"/>
          <w:sz w:val="17"/>
          <w:szCs w:val="17"/>
          <w:color w:val="auto"/>
        </w:rPr>
      </w:pPr>
    </w:p>
    <w:p>
      <w:pPr>
        <w:ind w:left="660" w:right="60"/>
        <w:spacing w:after="0" w:line="271" w:lineRule="auto"/>
        <w:rPr>
          <w:rFonts w:ascii="Arial" w:cs="Arial" w:eastAsia="Arial" w:hAnsi="Arial"/>
          <w:sz w:val="17"/>
          <w:szCs w:val="17"/>
          <w:color w:val="auto"/>
        </w:rPr>
      </w:pPr>
      <w:r>
        <w:rPr>
          <w:rFonts w:ascii="Arial" w:cs="Arial" w:eastAsia="Arial" w:hAnsi="Arial"/>
          <w:sz w:val="18"/>
          <w:szCs w:val="18"/>
          <w:color w:val="auto"/>
        </w:rPr>
        <w:t>A one-eighth percent change in the interest rates on the outstanding variable rate borrowings under Revolving Credit Facility and the Second Lien Term Loan would result in an approximate change of $430,000 and $570,000 in interest expense for the nine months ended September 30, 2020 and the year ended December 31, 2019, respectively.</w:t>
      </w:r>
    </w:p>
    <w:p>
      <w:pPr>
        <w:spacing w:after="0" w:line="189" w:lineRule="exact"/>
        <w:rPr>
          <w:rFonts w:ascii="Arial" w:cs="Arial" w:eastAsia="Arial" w:hAnsi="Arial"/>
          <w:sz w:val="17"/>
          <w:szCs w:val="17"/>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Eliminates the net gain on the early extinguishment of debt resulting from the 2019 and first quarter 2020 repurchases of our debt.</w:t>
      </w:r>
    </w:p>
    <w:p>
      <w:pPr>
        <w:spacing w:after="0" w:line="252" w:lineRule="exact"/>
        <w:rPr>
          <w:rFonts w:ascii="Arial" w:cs="Arial" w:eastAsia="Arial" w:hAnsi="Arial"/>
          <w:sz w:val="18"/>
          <w:szCs w:val="18"/>
          <w:color w:val="auto"/>
        </w:rPr>
      </w:pPr>
    </w:p>
    <w:p>
      <w:pPr>
        <w:ind w:left="660" w:right="520" w:hanging="328"/>
        <w:spacing w:after="0" w:line="271"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Removes legal and professional fees incurred for the Chapter 11 Cases prior to the petition date in the nine months ended September 30, 2020 and the write-off of unamortized debt issuance costs related to amendments to our 2014 Revolving Credit Facility that occurred in 2019 and 2020.</w:t>
      </w:r>
    </w:p>
    <w:p>
      <w:pPr>
        <w:spacing w:after="0" w:line="189"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elimination of the net income (loss) attributable to noncontrolling interest related to the Ares JV.</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Start Adjustments</w:t>
      </w:r>
    </w:p>
    <w:p>
      <w:pPr>
        <w:spacing w:after="0" w:line="250" w:lineRule="exact"/>
        <w:rPr>
          <w:sz w:val="20"/>
          <w:szCs w:val="20"/>
          <w:color w:val="auto"/>
        </w:rPr>
      </w:pPr>
    </w:p>
    <w:p>
      <w:pPr>
        <w:ind w:left="660" w:right="20" w:hanging="328"/>
        <w:spacing w:after="0" w:line="292"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difference in depreciation, depletion and amortization (DD&amp;A) to account for the fair value adjustment to our property, plant and equipment.</w:t>
      </w:r>
    </w:p>
    <w:p>
      <w:pPr>
        <w:spacing w:after="0" w:line="171" w:lineRule="exact"/>
        <w:rPr>
          <w:rFonts w:ascii="Arial" w:cs="Arial" w:eastAsia="Arial" w:hAnsi="Arial"/>
          <w:sz w:val="18"/>
          <w:szCs w:val="18"/>
          <w:color w:val="auto"/>
        </w:rPr>
      </w:pPr>
    </w:p>
    <w:p>
      <w:pPr>
        <w:ind w:left="660" w:right="580" w:hanging="328"/>
        <w:spacing w:after="0" w:line="292" w:lineRule="auto"/>
        <w:tabs>
          <w:tab w:leader="none" w:pos="6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elimination of the asset impairment charge recorded during the first quarter of 2020, which would no longer be required.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27" w:right="339" w:bottom="1440" w:gutter="0" w:footer="0" w:header="0"/>
          <w:type w:val="continuous"/>
        </w:sectPr>
      </w:pPr>
    </w:p>
    <w:bookmarkStart w:id="12" w:name="page13"/>
    <w:bookmarkEnd w:id="12"/>
    <w:p>
      <w:pPr>
        <w:ind w:left="660" w:right="580" w:hanging="328"/>
        <w:spacing w:after="0" w:line="292" w:lineRule="auto"/>
        <w:tabs>
          <w:tab w:leader="none" w:pos="6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adjustment to the accretion for asset retirement obligations based on the pro forma asset retirement obligation recorded as part of fresh start accounting.</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 for income taxes included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b w:val="1"/>
                <w:bCs w:val="1"/>
                <w:color w:val="auto"/>
              </w:rPr>
              <w:t>Nine months ended</w:t>
            </w:r>
          </w:p>
        </w:tc>
        <w:tc>
          <w:tcPr>
            <w:tcW w:w="360" w:type="dxa"/>
            <w:vAlign w:val="bottom"/>
          </w:tcPr>
          <w:p>
            <w:pPr>
              <w:spacing w:after="0"/>
              <w:rPr>
                <w:sz w:val="17"/>
                <w:szCs w:val="17"/>
                <w:color w:val="auto"/>
              </w:rPr>
            </w:pPr>
          </w:p>
        </w:tc>
        <w:tc>
          <w:tcPr>
            <w:tcW w:w="2160" w:type="dxa"/>
            <w:vAlign w:val="bottom"/>
          </w:tcPr>
          <w:p>
            <w:pPr>
              <w:jc w:val="right"/>
              <w:ind w:right="71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6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September 30, 2020</w:t>
            </w: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December 31, 2019</w:t>
            </w:r>
          </w:p>
        </w:tc>
      </w:tr>
      <w:tr>
        <w:trPr>
          <w:trHeight w:val="183"/>
        </w:trPr>
        <w:tc>
          <w:tcPr>
            <w:tcW w:w="60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ind w:left="1960"/>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auto"/>
            </w:tcBorders>
          </w:tcPr>
          <w:p>
            <w:pPr>
              <w:spacing w:after="0"/>
              <w:rPr>
                <w:sz w:val="15"/>
                <w:szCs w:val="15"/>
                <w:color w:val="auto"/>
              </w:rPr>
            </w:pPr>
          </w:p>
        </w:tc>
      </w:tr>
      <w:tr>
        <w:trPr>
          <w:trHeight w:val="223"/>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Pre-tax book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536</w:t>
            </w:r>
          </w:p>
        </w:tc>
      </w:tr>
      <w:tr>
        <w:trPr>
          <w:trHeight w:val="229"/>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income attributable to noncontrolling interest</w:t>
            </w: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r>
      <w:tr>
        <w:trPr>
          <w:trHeight w:val="223"/>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subject to tax</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519</w:t>
            </w:r>
          </w:p>
        </w:tc>
      </w:tr>
      <w:tr>
        <w:trPr>
          <w:trHeight w:val="229"/>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federal statutory rate</w:t>
            </w: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48"/>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income tax provision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(l)</w:t>
      </w:r>
      <w:r>
        <w:rPr>
          <w:sz w:val="20"/>
          <w:szCs w:val="20"/>
          <w:color w:val="auto"/>
        </w:rPr>
        <w:tab/>
      </w:r>
      <w:r>
        <w:rPr>
          <w:rFonts w:ascii="Arial" w:cs="Arial" w:eastAsia="Arial" w:hAnsi="Arial"/>
          <w:sz w:val="17"/>
          <w:szCs w:val="17"/>
          <w:color w:val="auto"/>
        </w:rPr>
        <w:t>Weighted average common shares outstanding used in our earnings per share (EPS) calculations include the following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33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Year ended</w:t>
            </w:r>
          </w:p>
        </w:tc>
        <w:tc>
          <w:tcPr>
            <w:tcW w:w="1440" w:type="dxa"/>
            <w:vAlign w:val="bottom"/>
          </w:tcPr>
          <w:p>
            <w:pPr>
              <w:spacing w:after="0"/>
              <w:rPr>
                <w:sz w:val="17"/>
                <w:szCs w:val="17"/>
                <w:color w:val="auto"/>
              </w:rPr>
            </w:pPr>
          </w:p>
        </w:tc>
      </w:tr>
      <w:tr>
        <w:trPr>
          <w:trHeight w:val="230"/>
        </w:trPr>
        <w:tc>
          <w:tcPr>
            <w:tcW w:w="3460" w:type="dxa"/>
            <w:vAlign w:val="bottom"/>
          </w:tcPr>
          <w:p>
            <w:pPr>
              <w:spacing w:after="0"/>
              <w:rPr>
                <w:sz w:val="19"/>
                <w:szCs w:val="19"/>
                <w:color w:val="auto"/>
              </w:rPr>
            </w:pPr>
          </w:p>
        </w:tc>
        <w:tc>
          <w:tcPr>
            <w:tcW w:w="336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September 30, 2020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Borders>
              <w:bottom w:val="single" w:sz="8" w:color="auto"/>
            </w:tcBorders>
            <w:gridSpan w:val="2"/>
          </w:tcPr>
          <w:p>
            <w:pPr>
              <w:jc w:val="right"/>
              <w:ind w:right="103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34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Actual</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Pro Forma</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Actual</w:t>
            </w: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Pro Forma</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49.4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49.0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43"/>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000" w:type="dxa"/>
            <w:vAlign w:val="bottom"/>
          </w:tcPr>
          <w:p>
            <w:pPr>
              <w:jc w:val="right"/>
              <w:ind w:right="1430"/>
              <w:spacing w:after="0"/>
              <w:rPr>
                <w:sz w:val="20"/>
                <w:szCs w:val="20"/>
                <w:color w:val="auto"/>
              </w:rPr>
            </w:pPr>
            <w:r>
              <w:rPr>
                <w:rFonts w:ascii="Arial" w:cs="Arial" w:eastAsia="Arial" w:hAnsi="Arial"/>
                <w:sz w:val="18"/>
                <w:szCs w:val="18"/>
                <w:color w:val="auto"/>
              </w:rPr>
              <w:t>49.4</w:t>
            </w:r>
          </w:p>
        </w:tc>
        <w:tc>
          <w:tcPr>
            <w:tcW w:w="4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49.0</w:t>
            </w:r>
          </w:p>
        </w:tc>
        <w:tc>
          <w:tcPr>
            <w:tcW w:w="1440" w:type="dxa"/>
            <w:vAlign w:val="bottom"/>
          </w:tcPr>
          <w:p>
            <w:pPr>
              <w:jc w:val="right"/>
              <w:spacing w:after="0"/>
              <w:rPr>
                <w:sz w:val="20"/>
                <w:szCs w:val="20"/>
                <w:color w:val="auto"/>
              </w:rPr>
            </w:pPr>
            <w:r>
              <w:rPr>
                <w:rFonts w:ascii="Arial" w:cs="Arial" w:eastAsia="Arial" w:hAnsi="Arial"/>
                <w:sz w:val="18"/>
                <w:szCs w:val="18"/>
                <w:color w:val="auto"/>
              </w:rPr>
              <w:t>83.3</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EBITDAX</w:t>
      </w:r>
    </w:p>
    <w:p>
      <w:pPr>
        <w:spacing w:after="0" w:line="25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define adjusted EBITDAX as net (loss) income before interest and debt expense, net; income taxes; depreciation, depletion and 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29" w:right="339" w:bottom="1440" w:gutter="0" w:footer="0" w:header="0"/>
        </w:sectPr>
      </w:pPr>
    </w:p>
    <w:bookmarkStart w:id="13" w:name="page14"/>
    <w:bookmarkEnd w:id="13"/>
    <w:p>
      <w:pPr>
        <w:ind w:right="220" w:firstLine="324"/>
        <w:spacing w:after="0" w:line="272" w:lineRule="auto"/>
        <w:rPr>
          <w:sz w:val="20"/>
          <w:szCs w:val="20"/>
          <w:color w:val="auto"/>
        </w:rPr>
      </w:pPr>
      <w:r>
        <w:rPr>
          <w:rFonts w:ascii="Arial" w:cs="Arial" w:eastAsia="Arial" w:hAnsi="Arial"/>
          <w:sz w:val="18"/>
          <w:szCs w:val="18"/>
          <w:color w:val="auto"/>
        </w:rPr>
        <w:t>The following tables present a reconciliation of the GAAP financial measure of net (loss) income to the non-GAAP financial measure of adjusted EBITDAX, on a historical and a pro forma basis: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6"/>
          </w:tcPr>
          <w:p>
            <w:pPr>
              <w:jc w:val="right"/>
              <w:ind w:right="126"/>
              <w:spacing w:after="0"/>
              <w:rPr>
                <w:sz w:val="20"/>
                <w:szCs w:val="20"/>
                <w:color w:val="auto"/>
              </w:rPr>
            </w:pPr>
            <w:r>
              <w:rPr>
                <w:rFonts w:ascii="Arial" w:cs="Arial" w:eastAsia="Arial" w:hAnsi="Arial"/>
                <w:sz w:val="18"/>
                <w:szCs w:val="18"/>
                <w:b w:val="1"/>
                <w:bCs w:val="1"/>
                <w:color w:val="auto"/>
              </w:rPr>
              <w:t>For the nine months ended September 30, 2020</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Actual</w:t>
            </w:r>
          </w:p>
        </w:tc>
        <w:tc>
          <w:tcPr>
            <w:tcW w:w="220" w:type="dxa"/>
            <w:vAlign w:val="bottom"/>
          </w:tcPr>
          <w:p>
            <w:pPr>
              <w:spacing w:after="0"/>
              <w:rPr>
                <w:sz w:val="14"/>
                <w:szCs w:val="14"/>
                <w:color w:val="auto"/>
              </w:rPr>
            </w:pPr>
          </w:p>
        </w:tc>
        <w:tc>
          <w:tcPr>
            <w:tcW w:w="1720" w:type="dxa"/>
            <w:vAlign w:val="bottom"/>
          </w:tcPr>
          <w:p>
            <w:pPr>
              <w:jc w:val="right"/>
              <w:ind w:right="232"/>
              <w:spacing w:after="0" w:line="169" w:lineRule="exact"/>
              <w:rPr>
                <w:sz w:val="20"/>
                <w:szCs w:val="20"/>
                <w:color w:val="auto"/>
              </w:rPr>
            </w:pPr>
            <w:r>
              <w:rPr>
                <w:rFonts w:ascii="Arial" w:cs="Arial" w:eastAsia="Arial" w:hAnsi="Arial"/>
                <w:sz w:val="18"/>
                <w:szCs w:val="18"/>
                <w:b w:val="1"/>
                <w:bCs w:val="1"/>
                <w:color w:val="auto"/>
              </w:rPr>
              <w:t>Reorganization</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Fresh Start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Adjustments</w:t>
            </w: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Interest and debt expense,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3"/>
          </w:tcPr>
          <w:p>
            <w:pPr>
              <w:jc w:val="right"/>
              <w:ind w:right="330"/>
              <w:spacing w:after="0"/>
              <w:rPr>
                <w:sz w:val="20"/>
                <w:szCs w:val="20"/>
                <w:color w:val="auto"/>
              </w:rPr>
            </w:pPr>
            <w:r>
              <w:rPr>
                <w:rFonts w:ascii="Arial" w:cs="Arial" w:eastAsia="Arial" w:hAnsi="Arial"/>
                <w:sz w:val="18"/>
                <w:szCs w:val="18"/>
                <w:color w:val="auto"/>
              </w:rPr>
              <w:t xml:space="preserve">(160) </w:t>
            </w:r>
            <w:r>
              <w:rPr>
                <w:rFonts w:ascii="Arial" w:cs="Arial" w:eastAsia="Arial" w:hAnsi="Arial"/>
                <w:sz w:val="10"/>
                <w:szCs w:val="10"/>
                <w:color w:val="auto"/>
              </w:rPr>
              <w:t>(a)</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3"/>
              </w:rPr>
              <w:t>(c)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146"/>
              <w:spacing w:after="0"/>
              <w:rPr>
                <w:sz w:val="20"/>
                <w:szCs w:val="20"/>
                <w:color w:val="auto"/>
              </w:rPr>
            </w:pPr>
            <w:r>
              <w:rPr>
                <w:rFonts w:ascii="Arial" w:cs="Arial" w:eastAsia="Arial" w:hAnsi="Arial"/>
                <w:sz w:val="18"/>
                <w:szCs w:val="18"/>
                <w:color w:val="auto"/>
              </w:rPr>
              <w:t xml:space="preserve">(139) </w:t>
            </w:r>
            <w:r>
              <w:rPr>
                <w:rFonts w:ascii="Arial" w:cs="Arial" w:eastAsia="Arial" w:hAnsi="Arial"/>
                <w:sz w:val="10"/>
                <w:szCs w:val="10"/>
                <w:color w:val="auto"/>
              </w:rPr>
              <w:t>(d)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Exploration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Unusual, infrequent and other items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ind w:right="330"/>
              <w:spacing w:after="0"/>
              <w:rPr>
                <w:sz w:val="20"/>
                <w:szCs w:val="20"/>
                <w:color w:val="auto"/>
              </w:rPr>
            </w:pPr>
            <w:r>
              <w:rPr>
                <w:rFonts w:ascii="Arial" w:cs="Arial" w:eastAsia="Arial" w:hAnsi="Arial"/>
                <w:sz w:val="11"/>
                <w:szCs w:val="11"/>
                <w:color w:val="auto"/>
              </w:rPr>
              <w:t>(b)</w:t>
            </w:r>
          </w:p>
        </w:tc>
        <w:tc>
          <w:tcPr>
            <w:tcW w:w="1800" w:type="dxa"/>
            <w:vAlign w:val="bottom"/>
            <w:gridSpan w:val="2"/>
          </w:tcPr>
          <w:p>
            <w:pPr>
              <w:jc w:val="right"/>
              <w:ind w:right="146"/>
              <w:spacing w:after="0"/>
              <w:rPr>
                <w:sz w:val="20"/>
                <w:szCs w:val="20"/>
                <w:color w:val="auto"/>
              </w:rPr>
            </w:pPr>
            <w:r>
              <w:rPr>
                <w:rFonts w:ascii="Arial" w:cs="Arial" w:eastAsia="Arial" w:hAnsi="Arial"/>
                <w:sz w:val="18"/>
                <w:szCs w:val="18"/>
                <w:color w:val="auto"/>
              </w:rPr>
              <w:t xml:space="preserve">(1,736) </w:t>
            </w:r>
            <w:r>
              <w:rPr>
                <w:rFonts w:ascii="Arial" w:cs="Arial" w:eastAsia="Arial" w:hAnsi="Arial"/>
                <w:sz w:val="10"/>
                <w:szCs w:val="10"/>
                <w:color w:val="auto"/>
              </w:rPr>
              <w: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items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5"/>
              </w:rPr>
              <w:t>(f)</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Adjusted EBITDAX</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Reorganization Adjustments footnote (d)</w:t>
      </w:r>
      <w:r>
        <w:rPr>
          <w:rFonts w:ascii="Arial" w:cs="Arial" w:eastAsia="Arial" w:hAnsi="Arial"/>
          <w:sz w:val="14"/>
          <w:szCs w:val="14"/>
          <w:color w:val="auto"/>
        </w:rPr>
        <w:t xml:space="preserve"> above.</w:t>
      </w:r>
    </w:p>
    <w:p>
      <w:pPr>
        <w:spacing w:after="0" w:line="19"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Reorganizations Adjustments footnotes (c), (e) and (f)</w:t>
      </w:r>
      <w:r>
        <w:rPr>
          <w:rFonts w:ascii="Arial" w:cs="Arial" w:eastAsia="Arial" w:hAnsi="Arial"/>
          <w:sz w:val="14"/>
          <w:szCs w:val="14"/>
          <w:color w:val="auto"/>
        </w:rPr>
        <w:t xml:space="preserve">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Fresh Start Adjustments footnote (k)</w:t>
      </w:r>
      <w:r>
        <w:rPr>
          <w:rFonts w:ascii="Arial" w:cs="Arial" w:eastAsia="Arial" w:hAnsi="Arial"/>
          <w:sz w:val="14"/>
          <w:szCs w:val="14"/>
          <w:color w:val="auto"/>
        </w:rPr>
        <w:t xml:space="preserve">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Fresh Start Adjustments footnote (h)</w:t>
      </w:r>
      <w:r>
        <w:rPr>
          <w:rFonts w:ascii="Arial" w:cs="Arial" w:eastAsia="Arial" w:hAnsi="Arial"/>
          <w:sz w:val="14"/>
          <w:szCs w:val="14"/>
          <w:color w:val="auto"/>
        </w:rPr>
        <w:t xml:space="preserve">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Fresh Start Adjustments footnote (i)</w:t>
      </w:r>
      <w:r>
        <w:rPr>
          <w:rFonts w:ascii="Arial" w:cs="Arial" w:eastAsia="Arial" w:hAnsi="Arial"/>
          <w:sz w:val="14"/>
          <w:szCs w:val="14"/>
          <w:color w:val="auto"/>
        </w:rPr>
        <w:t xml:space="preserve">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additional information on this item, see S</w:t>
      </w:r>
      <w:r>
        <w:rPr>
          <w:rFonts w:ascii="Arial" w:cs="Arial" w:eastAsia="Arial" w:hAnsi="Arial"/>
          <w:sz w:val="14"/>
          <w:szCs w:val="14"/>
          <w:i w:val="1"/>
          <w:iCs w:val="1"/>
          <w:color w:val="auto"/>
        </w:rPr>
        <w:t>tatements of Operations, Fresh Start Adjustments footnote (j)</w:t>
      </w:r>
      <w:r>
        <w:rPr>
          <w:rFonts w:ascii="Arial" w:cs="Arial" w:eastAsia="Arial" w:hAnsi="Arial"/>
          <w:sz w:val="14"/>
          <w:szCs w:val="14"/>
          <w:color w:val="auto"/>
        </w:rPr>
        <w:t xml:space="preserve"> above.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For the year ended December 31, 2019</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Actual</w:t>
            </w:r>
          </w:p>
        </w:tc>
        <w:tc>
          <w:tcPr>
            <w:tcW w:w="220" w:type="dxa"/>
            <w:vAlign w:val="bottom"/>
          </w:tcPr>
          <w:p>
            <w:pPr>
              <w:spacing w:after="0"/>
              <w:rPr>
                <w:sz w:val="14"/>
                <w:szCs w:val="14"/>
                <w:color w:val="auto"/>
              </w:rPr>
            </w:pPr>
          </w:p>
        </w:tc>
        <w:tc>
          <w:tcPr>
            <w:tcW w:w="1720" w:type="dxa"/>
            <w:vAlign w:val="bottom"/>
          </w:tcPr>
          <w:p>
            <w:pPr>
              <w:jc w:val="right"/>
              <w:ind w:right="232"/>
              <w:spacing w:after="0" w:line="169" w:lineRule="exact"/>
              <w:rPr>
                <w:sz w:val="20"/>
                <w:szCs w:val="20"/>
                <w:color w:val="auto"/>
              </w:rPr>
            </w:pPr>
            <w:r>
              <w:rPr>
                <w:rFonts w:ascii="Arial" w:cs="Arial" w:eastAsia="Arial" w:hAnsi="Arial"/>
                <w:sz w:val="18"/>
                <w:szCs w:val="18"/>
                <w:b w:val="1"/>
                <w:bCs w:val="1"/>
                <w:color w:val="auto"/>
              </w:rPr>
              <w:t>Reorganization</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Fresh Start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Interest and debt expense,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3"/>
          </w:tcPr>
          <w:p>
            <w:pPr>
              <w:jc w:val="right"/>
              <w:ind w:right="350"/>
              <w:spacing w:after="0"/>
              <w:rPr>
                <w:sz w:val="20"/>
                <w:szCs w:val="20"/>
                <w:color w:val="auto"/>
              </w:rPr>
            </w:pPr>
            <w:r>
              <w:rPr>
                <w:rFonts w:ascii="Arial" w:cs="Arial" w:eastAsia="Arial" w:hAnsi="Arial"/>
                <w:sz w:val="18"/>
                <w:szCs w:val="18"/>
                <w:color w:val="auto"/>
              </w:rPr>
              <w:t xml:space="preserve">(329) </w:t>
            </w:r>
            <w:r>
              <w:rPr>
                <w:rFonts w:ascii="Arial" w:cs="Arial" w:eastAsia="Arial" w:hAnsi="Arial"/>
                <w:sz w:val="10"/>
                <w:szCs w:val="10"/>
                <w:color w:val="auto"/>
              </w:rPr>
              <w:t>(a)</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00" w:type="dxa"/>
            <w:vAlign w:val="bottom"/>
            <w:gridSpan w:val="2"/>
            <w:shd w:val="clear" w:color="auto" w:fill="CCEEFF"/>
          </w:tcPr>
          <w:p>
            <w:pPr>
              <w:jc w:val="right"/>
              <w:ind w:right="270"/>
              <w:spacing w:after="0"/>
              <w:rPr>
                <w:sz w:val="20"/>
                <w:szCs w:val="20"/>
                <w:color w:val="auto"/>
              </w:rPr>
            </w:pPr>
            <w:r>
              <w:rPr>
                <w:rFonts w:ascii="Arial" w:cs="Arial" w:eastAsia="Arial" w:hAnsi="Arial"/>
                <w:sz w:val="11"/>
                <w:szCs w:val="11"/>
                <w:color w:val="auto"/>
                <w:w w:val="93"/>
              </w:rPr>
              <w:t>(c)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right"/>
              <w:ind w:right="270"/>
              <w:spacing w:after="0"/>
              <w:rPr>
                <w:sz w:val="20"/>
                <w:szCs w:val="20"/>
                <w:color w:val="auto"/>
              </w:rPr>
            </w:pPr>
            <w:r>
              <w:rPr>
                <w:rFonts w:ascii="Arial" w:cs="Arial" w:eastAsia="Arial" w:hAnsi="Arial"/>
                <w:sz w:val="18"/>
                <w:szCs w:val="18"/>
                <w:color w:val="auto"/>
              </w:rPr>
              <w:t xml:space="preserve">(240) </w:t>
            </w:r>
            <w:r>
              <w:rPr>
                <w:rFonts w:ascii="Arial" w:cs="Arial" w:eastAsia="Arial" w:hAnsi="Arial"/>
                <w:sz w:val="10"/>
                <w:szCs w:val="10"/>
                <w:color w:val="auto"/>
              </w:rPr>
              <w:t>(d)</w:t>
            </w: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Exploration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Unusual, infrequent and other items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122</w:t>
            </w:r>
          </w:p>
        </w:tc>
        <w:tc>
          <w:tcPr>
            <w:tcW w:w="580" w:type="dxa"/>
            <w:vAlign w:val="bottom"/>
            <w:gridSpan w:val="2"/>
          </w:tcPr>
          <w:p>
            <w:pPr>
              <w:jc w:val="right"/>
              <w:ind w:right="350"/>
              <w:spacing w:after="0"/>
              <w:rPr>
                <w:sz w:val="20"/>
                <w:szCs w:val="20"/>
                <w:color w:val="auto"/>
              </w:rPr>
            </w:pPr>
            <w:r>
              <w:rPr>
                <w:rFonts w:ascii="Arial" w:cs="Arial" w:eastAsia="Arial" w:hAnsi="Arial"/>
                <w:sz w:val="11"/>
                <w:szCs w:val="11"/>
                <w:color w:val="auto"/>
                <w:w w:val="88"/>
              </w:rPr>
              <w:t>(b)</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items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gridSpan w:val="2"/>
            <w:shd w:val="clear" w:color="auto" w:fill="CCEEFF"/>
          </w:tcPr>
          <w:p>
            <w:pPr>
              <w:jc w:val="right"/>
              <w:ind w:right="270"/>
              <w:spacing w:after="0"/>
              <w:rPr>
                <w:sz w:val="20"/>
                <w:szCs w:val="20"/>
                <w:color w:val="auto"/>
              </w:rPr>
            </w:pPr>
            <w:r>
              <w:rPr>
                <w:rFonts w:ascii="Arial" w:cs="Arial" w:eastAsia="Arial" w:hAnsi="Arial"/>
                <w:sz w:val="11"/>
                <w:szCs w:val="11"/>
                <w:color w:val="auto"/>
                <w:w w:val="88"/>
              </w:rPr>
              <w: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Adjusted EBITDAX</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Reorganization Adjustments footnote (d)</w:t>
      </w:r>
      <w:r>
        <w:rPr>
          <w:rFonts w:ascii="Arial" w:cs="Arial" w:eastAsia="Arial" w:hAnsi="Arial"/>
          <w:sz w:val="14"/>
          <w:szCs w:val="14"/>
          <w:color w:val="auto"/>
        </w:rPr>
        <w:t xml:space="preserve"> above.</w:t>
      </w:r>
    </w:p>
    <w:p>
      <w:pPr>
        <w:spacing w:after="0" w:line="19"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Reorganizations Adjustments footnote (e) and (f)</w:t>
      </w:r>
      <w:r>
        <w:rPr>
          <w:rFonts w:ascii="Arial" w:cs="Arial" w:eastAsia="Arial" w:hAnsi="Arial"/>
          <w:sz w:val="14"/>
          <w:szCs w:val="14"/>
          <w:color w:val="auto"/>
        </w:rPr>
        <w:t xml:space="preserve">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Fresh Start Adjustments footnote (k)</w:t>
      </w:r>
      <w:r>
        <w:rPr>
          <w:rFonts w:ascii="Arial" w:cs="Arial" w:eastAsia="Arial" w:hAnsi="Arial"/>
          <w:sz w:val="14"/>
          <w:szCs w:val="14"/>
          <w:color w:val="auto"/>
        </w:rPr>
        <w:t xml:space="preserve">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Fresh Start Adjustments footnote (h)</w:t>
      </w:r>
      <w:r>
        <w:rPr>
          <w:rFonts w:ascii="Arial" w:cs="Arial" w:eastAsia="Arial" w:hAnsi="Arial"/>
          <w:sz w:val="14"/>
          <w:szCs w:val="14"/>
          <w:color w:val="auto"/>
        </w:rPr>
        <w:t xml:space="preserve">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For additional information on this item, see </w:t>
      </w:r>
      <w:r>
        <w:rPr>
          <w:rFonts w:ascii="Arial" w:cs="Arial" w:eastAsia="Arial" w:hAnsi="Arial"/>
          <w:sz w:val="14"/>
          <w:szCs w:val="14"/>
          <w:i w:val="1"/>
          <w:iCs w:val="1"/>
          <w:color w:val="auto"/>
        </w:rPr>
        <w:t>Statements of Operations, Fresh Start Adjustments footnote (j)</w:t>
      </w:r>
      <w:r>
        <w:rPr>
          <w:rFonts w:ascii="Arial" w:cs="Arial" w:eastAsia="Arial" w:hAnsi="Arial"/>
          <w:sz w:val="14"/>
          <w:szCs w:val="14"/>
          <w:color w:val="auto"/>
        </w:rPr>
        <w:t xml:space="preserve"> above.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86" w:right="339" w:bottom="1440" w:gutter="0" w:footer="0" w:header="0"/>
        </w:sectPr>
      </w:pPr>
    </w:p>
    <w:bookmarkStart w:id="14" w:name="page15"/>
    <w:bookmarkEnd w:id="14"/>
    <w:p>
      <w:pPr>
        <w:ind w:right="700" w:firstLine="324"/>
        <w:spacing w:after="0" w:line="272" w:lineRule="auto"/>
        <w:rPr>
          <w:sz w:val="20"/>
          <w:szCs w:val="20"/>
          <w:color w:val="auto"/>
        </w:rPr>
      </w:pPr>
      <w:r>
        <w:rPr>
          <w:rFonts w:ascii="Arial" w:cs="Arial" w:eastAsia="Arial" w:hAnsi="Arial"/>
          <w:sz w:val="18"/>
          <w:szCs w:val="18"/>
          <w:color w:val="auto"/>
        </w:rPr>
        <w:t>The following tables set forth a reconciliation of the GAAP measure of net cash provided by operating activities to the non-GAAP financial measure of adjusted EBITDAX:</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9"/>
              </w:rPr>
              <w:t>For the nine months ended September 30, 2020</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Actual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Reorganization</w:t>
            </w:r>
          </w:p>
        </w:tc>
        <w:tc>
          <w:tcPr>
            <w:tcW w:w="200" w:type="dxa"/>
            <w:vAlign w:val="bottom"/>
          </w:tcPr>
          <w:p>
            <w:pPr>
              <w:spacing w:after="0"/>
              <w:rPr>
                <w:sz w:val="14"/>
                <w:szCs w:val="14"/>
                <w:color w:val="auto"/>
              </w:rPr>
            </w:pPr>
          </w:p>
        </w:tc>
        <w:tc>
          <w:tcPr>
            <w:tcW w:w="158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Fresh Start</w:t>
            </w:r>
          </w:p>
        </w:tc>
        <w:tc>
          <w:tcPr>
            <w:tcW w:w="280" w:type="dxa"/>
            <w:vAlign w:val="bottom"/>
          </w:tcPr>
          <w:p>
            <w:pPr>
              <w:spacing w:after="0"/>
              <w:rPr>
                <w:sz w:val="14"/>
                <w:szCs w:val="14"/>
                <w:color w:val="auto"/>
              </w:rPr>
            </w:pPr>
          </w:p>
        </w:tc>
        <w:tc>
          <w:tcPr>
            <w:tcW w:w="14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right="340"/>
              <w:spacing w:after="0" w:line="230" w:lineRule="exact"/>
              <w:rPr>
                <w:sz w:val="20"/>
                <w:szCs w:val="20"/>
                <w:color w:val="auto"/>
              </w:rPr>
            </w:pPr>
            <w:r>
              <w:rPr>
                <w:rFonts w:ascii="Arial" w:cs="Arial" w:eastAsia="Arial" w:hAnsi="Arial"/>
                <w:sz w:val="18"/>
                <w:szCs w:val="18"/>
                <w:b w:val="1"/>
                <w:bCs w:val="1"/>
                <w:color w:val="auto"/>
                <w:w w:val="97"/>
              </w:rPr>
              <w:t>Adjustments</w:t>
            </w:r>
            <w:r>
              <w:rPr>
                <w:rFonts w:ascii="Arial" w:cs="Arial" w:eastAsia="Arial" w:hAnsi="Arial"/>
                <w:sz w:val="23"/>
                <w:szCs w:val="23"/>
                <w:b w:val="1"/>
                <w:bCs w:val="1"/>
                <w:color w:val="auto"/>
                <w:w w:val="97"/>
                <w:vertAlign w:val="superscript"/>
              </w:rPr>
              <w:t>(a)</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Adjustments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Cash interest</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Exploration expenditures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Working capital changes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EBITDAX</w:t>
            </w: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40" w:right="100" w:hanging="332"/>
        <w:spacing w:after="0" w:line="291"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Includes a reduction of $43 million of interest paid on debt obligations, $7 million for legal and professional fees related to our bankruptcy proceedings, which was included as working capital changes, and $7 million for insurance premiums as described in </w:t>
      </w:r>
      <w:r>
        <w:rPr>
          <w:rFonts w:ascii="Arial" w:cs="Arial" w:eastAsia="Arial" w:hAnsi="Arial"/>
          <w:sz w:val="14"/>
          <w:szCs w:val="14"/>
          <w:i w:val="1"/>
          <w:iCs w:val="1"/>
          <w:color w:val="auto"/>
        </w:rPr>
        <w:t>Statements of Operations, Reorganization Adjustments footnotes (a) and (b)</w:t>
      </w:r>
      <w:r>
        <w:rPr>
          <w:rFonts w:ascii="Arial" w:cs="Arial" w:eastAsia="Arial" w:hAnsi="Arial"/>
          <w:sz w:val="14"/>
          <w:szCs w:val="14"/>
          <w:color w:val="auto"/>
        </w:rPr>
        <w:t xml:space="preserve"> above.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For the year ended December 31, 2019</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Actual</w:t>
            </w:r>
          </w:p>
        </w:tc>
        <w:tc>
          <w:tcPr>
            <w:tcW w:w="220" w:type="dxa"/>
            <w:vAlign w:val="bottom"/>
          </w:tcPr>
          <w:p>
            <w:pPr>
              <w:spacing w:after="0"/>
              <w:rPr>
                <w:sz w:val="14"/>
                <w:szCs w:val="14"/>
                <w:color w:val="auto"/>
              </w:rPr>
            </w:pPr>
          </w:p>
        </w:tc>
        <w:tc>
          <w:tcPr>
            <w:tcW w:w="182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Reorganization</w:t>
            </w:r>
          </w:p>
        </w:tc>
        <w:tc>
          <w:tcPr>
            <w:tcW w:w="200" w:type="dxa"/>
            <w:vAlign w:val="bottom"/>
          </w:tcPr>
          <w:p>
            <w:pPr>
              <w:spacing w:after="0"/>
              <w:rPr>
                <w:sz w:val="14"/>
                <w:szCs w:val="14"/>
                <w:color w:val="auto"/>
              </w:rPr>
            </w:pPr>
          </w:p>
        </w:tc>
        <w:tc>
          <w:tcPr>
            <w:tcW w:w="158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Fresh Start</w:t>
            </w:r>
          </w:p>
        </w:tc>
        <w:tc>
          <w:tcPr>
            <w:tcW w:w="260" w:type="dxa"/>
            <w:vAlign w:val="bottom"/>
          </w:tcPr>
          <w:p>
            <w:pPr>
              <w:spacing w:after="0"/>
              <w:rPr>
                <w:sz w:val="14"/>
                <w:szCs w:val="14"/>
                <w:color w:val="auto"/>
              </w:rPr>
            </w:pP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120"/>
              <w:spacing w:after="0" w:line="230"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23"/>
                <w:szCs w:val="23"/>
                <w:b w:val="1"/>
                <w:bCs w:val="1"/>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Adjustments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gridSpan w:val="5"/>
          </w:tcPr>
          <w:p>
            <w:pPr>
              <w:ind w:left="140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Cash interest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Exploration expenditures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Working capital changes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EBITDAX</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340" w:right="240" w:hanging="332"/>
        <w:spacing w:after="0" w:line="291"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Includes a reduction of $389 million of interest paid on debt obligations and $4 million for insurance premiums as described in </w:t>
      </w:r>
      <w:r>
        <w:rPr>
          <w:rFonts w:ascii="Arial" w:cs="Arial" w:eastAsia="Arial" w:hAnsi="Arial"/>
          <w:sz w:val="14"/>
          <w:szCs w:val="14"/>
          <w:i w:val="1"/>
          <w:iCs w:val="1"/>
          <w:color w:val="auto"/>
        </w:rPr>
        <w:t>Statements of Operations, Reorganization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Adjustments footnote (a) </w:t>
      </w:r>
      <w:r>
        <w:rPr>
          <w:rFonts w:ascii="Arial" w:cs="Arial" w:eastAsia="Arial" w:hAnsi="Arial"/>
          <w:sz w:val="14"/>
          <w:szCs w:val="14"/>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2"/>
    </w:lvl>
  </w:abstractNum>
  <w:abstractNum w:abstractNumId="2">
    <w:nsid w:val="4DB127F8"/>
    <w:multiLevelType w:val="hybridMultilevel"/>
    <w:lvl w:ilvl="0">
      <w:lvlJc w:val="left"/>
      <w:lvlText w:val="(%1)"/>
      <w:numFmt w:val="lowerLetter"/>
      <w:start w:val="3"/>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7"/>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3"/>
    </w:lvl>
  </w:abstractNum>
  <w:abstractNum w:abstractNumId="8">
    <w:nsid w:val="3352255A"/>
    <w:multiLevelType w:val="hybridMultilevel"/>
    <w:lvl w:ilvl="0">
      <w:lvlJc w:val="left"/>
      <w:lvlText w:val="(%1)"/>
      <w:numFmt w:val="decimal"/>
      <w:start w:val="14"/>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4"/>
    </w:lvl>
  </w:abstractNum>
  <w:abstractNum w:abstractNumId="11">
    <w:nsid w:val="7FDCC233"/>
    <w:multiLevelType w:val="hybridMultilevel"/>
    <w:lvl w:ilvl="0">
      <w:lvlJc w:val="left"/>
      <w:lvlText w:val="(%1)"/>
      <w:numFmt w:val="lowerLetter"/>
      <w:start w:val="8"/>
    </w:lvl>
  </w:abstractNum>
  <w:abstractNum w:abstractNumId="12">
    <w:nsid w:val="1BEFD79F"/>
    <w:multiLevelType w:val="hybridMultilevel"/>
    <w:lvl w:ilvl="0">
      <w:lvlJc w:val="left"/>
      <w:lvlText w:val="(%1)"/>
      <w:numFmt w:val="lowerLetter"/>
      <w:start w:val="10"/>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2020-12-04T05:10:13Z</dcterms:created>
  <dcterms:modified xsi:type="dcterms:W3CDTF">2020-12-04T05:10:13Z</dcterms:modified>
</cp:coreProperties>
</file>