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6996430" cy="443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443230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McFarland Mark Allen</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27200 TOURNEY ROAD,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California Resources Corp</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CRC</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03/22/2021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3" w:right="700" w:firstLine="3"/>
        <w:spacing w:after="0" w:line="233" w:lineRule="auto"/>
        <w:tabs>
          <w:tab w:leader="none" w:pos="13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97" w:type="dxa"/>
        <w:tblCellMar>
          <w:top w:w="0" w:type="dxa"/>
          <w:left w:w="0" w:type="dxa"/>
          <w:bottom w:w="0" w:type="dxa"/>
          <w:right w:w="0" w:type="dxa"/>
        </w:tblCellMar>
      </w:tblPr>
      <w:tr>
        <w:trPr>
          <w:trHeight w:val="208"/>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1"/>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597"/>
        <w:spacing w:after="0"/>
        <w:rPr>
          <w:sz w:val="20"/>
          <w:szCs w:val="20"/>
          <w:color w:val="auto"/>
        </w:rPr>
      </w:pPr>
      <w:r>
        <w:rPr>
          <w:rFonts w:ascii="Arial" w:cs="Arial" w:eastAsia="Arial" w:hAnsi="Arial"/>
          <w:sz w:val="16"/>
          <w:szCs w:val="16"/>
          <w:color w:val="0000FF"/>
        </w:rPr>
        <w:t>Chairman, President and CEO</w:t>
      </w:r>
    </w:p>
    <w:p>
      <w:pPr>
        <w:spacing w:after="0" w:line="263" w:lineRule="exact"/>
        <w:rPr>
          <w:sz w:val="24"/>
          <w:szCs w:val="24"/>
          <w:color w:val="auto"/>
        </w:rPr>
      </w:pPr>
    </w:p>
    <w:p>
      <w:pPr>
        <w:sectPr>
          <w:pgSz w:w="11900" w:h="16838" w:orient="portrait"/>
          <w:cols w:equalWidth="0" w:num="3">
            <w:col w:w="3180" w:space="720"/>
            <w:col w:w="3103" w:space="720"/>
            <w:col w:w="3357"/>
          </w:cols>
          <w:pgMar w:left="460" w:top="219" w:right="359" w:bottom="1440" w:gutter="0" w:footer="0" w:header="0"/>
          <w:type w:val="continuous"/>
        </w:sectPr>
      </w:pP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80" w:type="dxa"/>
            <w:vAlign w:val="bottom"/>
            <w:gridSpan w:val="8"/>
          </w:tcPr>
          <w:p>
            <w:pPr>
              <w:jc w:val="center"/>
              <w:ind w:right="95"/>
              <w:spacing w:after="0"/>
              <w:rPr>
                <w:sz w:val="20"/>
                <w:szCs w:val="20"/>
                <w:color w:val="auto"/>
              </w:rPr>
            </w:pPr>
            <w:r>
              <w:rPr>
                <w:rFonts w:ascii="Arial" w:cs="Arial" w:eastAsia="Arial" w:hAnsi="Arial"/>
                <w:sz w:val="13"/>
                <w:szCs w:val="13"/>
                <w:color w:val="auto"/>
                <w:w w:val="96"/>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restart"/>
          </w:tcPr>
          <w:p>
            <w:pPr>
              <w:ind w:left="20"/>
              <w:spacing w:after="0"/>
              <w:rPr>
                <w:sz w:val="20"/>
                <w:szCs w:val="20"/>
                <w:color w:val="auto"/>
              </w:rPr>
            </w:pPr>
            <w:r>
              <w:rPr>
                <w:rFonts w:ascii="Arial" w:cs="Arial" w:eastAsia="Arial" w:hAnsi="Arial"/>
                <w:sz w:val="16"/>
                <w:szCs w:val="16"/>
                <w:color w:val="0000FF"/>
              </w:rPr>
              <w:t>SANTA</w:t>
            </w:r>
          </w:p>
        </w:tc>
        <w:tc>
          <w:tcPr>
            <w:tcW w:w="760" w:type="dxa"/>
            <w:vAlign w:val="bottom"/>
            <w:vMerge w:val="restart"/>
          </w:tcPr>
          <w:p>
            <w:pPr>
              <w:ind w:left="500"/>
              <w:spacing w:after="0"/>
              <w:rPr>
                <w:sz w:val="20"/>
                <w:szCs w:val="20"/>
                <w:color w:val="auto"/>
              </w:rPr>
            </w:pPr>
            <w:r>
              <w:rPr>
                <w:rFonts w:ascii="Arial" w:cs="Arial" w:eastAsia="Arial" w:hAnsi="Arial"/>
                <w:sz w:val="16"/>
                <w:szCs w:val="16"/>
                <w:color w:val="0000FF"/>
              </w:rPr>
              <w:t>CA</w:t>
            </w:r>
          </w:p>
        </w:tc>
        <w:tc>
          <w:tcPr>
            <w:tcW w:w="960" w:type="dxa"/>
            <w:vAlign w:val="bottom"/>
          </w:tcPr>
          <w:p>
            <w:pPr>
              <w:spacing w:after="0"/>
              <w:rPr>
                <w:sz w:val="13"/>
                <w:szCs w:val="13"/>
                <w:color w:val="auto"/>
              </w:rPr>
            </w:pPr>
          </w:p>
        </w:tc>
        <w:tc>
          <w:tcPr>
            <w:tcW w:w="1120" w:type="dxa"/>
            <w:vAlign w:val="bottom"/>
            <w:vMerge w:val="restart"/>
          </w:tcPr>
          <w:p>
            <w:pPr>
              <w:spacing w:after="0"/>
              <w:rPr>
                <w:sz w:val="20"/>
                <w:szCs w:val="20"/>
                <w:color w:val="auto"/>
              </w:rPr>
            </w:pPr>
            <w:r>
              <w:rPr>
                <w:rFonts w:ascii="Arial" w:cs="Arial" w:eastAsia="Arial" w:hAnsi="Arial"/>
                <w:sz w:val="16"/>
                <w:szCs w:val="16"/>
                <w:color w:val="0000FF"/>
              </w:rPr>
              <w:t>91355</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gridSpan w:val="2"/>
            <w:vMerge w:val="restart"/>
          </w:tcPr>
          <w:p>
            <w:pPr>
              <w:ind w:left="500"/>
              <w:spacing w:after="0"/>
              <w:rPr>
                <w:sz w:val="20"/>
                <w:szCs w:val="20"/>
                <w:color w:val="auto"/>
              </w:rPr>
            </w:pPr>
            <w:r>
              <w:rPr>
                <w:rFonts w:ascii="Arial" w:cs="Arial" w:eastAsia="Arial" w:hAnsi="Arial"/>
                <w:sz w:val="16"/>
                <w:szCs w:val="16"/>
                <w:color w:val="0000FF"/>
              </w:rPr>
              <w:t>X</w:t>
            </w:r>
          </w:p>
        </w:tc>
        <w:tc>
          <w:tcPr>
            <w:tcW w:w="4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ind w:left="20"/>
              <w:spacing w:after="0"/>
              <w:rPr>
                <w:sz w:val="20"/>
                <w:szCs w:val="20"/>
                <w:color w:val="auto"/>
              </w:rPr>
            </w:pPr>
            <w:r>
              <w:rPr>
                <w:rFonts w:ascii="Arial" w:cs="Arial" w:eastAsia="Arial" w:hAnsi="Arial"/>
                <w:sz w:val="16"/>
                <w:szCs w:val="16"/>
                <w:color w:val="0000FF"/>
              </w:rPr>
              <w:t>CLARITA</w:t>
            </w:r>
          </w:p>
        </w:tc>
        <w:tc>
          <w:tcPr>
            <w:tcW w:w="76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9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20" w:type="dxa"/>
            <w:vAlign w:val="bottom"/>
            <w:gridSpan w:val="2"/>
            <w:vMerge w:val="restart"/>
          </w:tcPr>
          <w:p>
            <w:pPr>
              <w:ind w:left="50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ind w:left="140"/>
              <w:spacing w:after="0" w:line="114"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160" w:type="dxa"/>
            <w:vAlign w:val="bottom"/>
            <w:tcBorders>
              <w:top w:val="single" w:sz="8" w:color="2C2C2C"/>
            </w:tcBorders>
            <w:gridSpan w:val="15"/>
          </w:tcPr>
          <w:p>
            <w:pPr>
              <w:jc w:val="center"/>
              <w:ind w:left="55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40" w:type="dxa"/>
            <w:vAlign w:val="bottom"/>
            <w:tcBorders>
              <w:bottom w:val="single" w:sz="8" w:color="2C2C2C"/>
            </w:tcBorders>
            <w:gridSpan w:val="4"/>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ind w:left="800"/>
              <w:spacing w:after="0" w:line="123" w:lineRule="exact"/>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9"/>
              </w:rPr>
              <w:t>Transaction</w:t>
            </w:r>
          </w:p>
        </w:tc>
        <w:tc>
          <w:tcPr>
            <w:tcW w:w="1960" w:type="dxa"/>
            <w:vAlign w:val="bottom"/>
            <w:gridSpan w:val="5"/>
          </w:tcPr>
          <w:p>
            <w:pPr>
              <w:ind w:left="1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9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Arial" w:cs="Arial" w:eastAsia="Arial" w:hAnsi="Arial"/>
                <w:sz w:val="16"/>
                <w:szCs w:val="16"/>
                <w:color w:val="0000FF"/>
              </w:rPr>
              <w:t>03/22/2021</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760" w:type="dxa"/>
            <w:vAlign w:val="bottom"/>
            <w:tcBorders>
              <w:bottom w:val="single" w:sz="8" w:color="2C2C2C"/>
            </w:tcBorders>
            <w:gridSpan w:val="2"/>
          </w:tcPr>
          <w:p>
            <w:pPr>
              <w:ind w:left="200"/>
              <w:spacing w:after="0"/>
              <w:rPr>
                <w:sz w:val="20"/>
                <w:szCs w:val="20"/>
                <w:color w:val="auto"/>
              </w:rPr>
            </w:pPr>
            <w:r>
              <w:rPr>
                <w:rFonts w:ascii="Arial" w:cs="Arial" w:eastAsia="Arial" w:hAnsi="Arial"/>
                <w:sz w:val="16"/>
                <w:szCs w:val="16"/>
                <w:color w:val="0000FF"/>
                <w:w w:val="93"/>
              </w:rPr>
              <w:t>255,760</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ind w:left="340"/>
              <w:spacing w:after="0"/>
              <w:rPr>
                <w:sz w:val="20"/>
                <w:szCs w:val="20"/>
                <w:color w:val="auto"/>
              </w:rPr>
            </w:pPr>
            <w:r>
              <w:rPr>
                <w:rFonts w:ascii="Arial" w:cs="Arial" w:eastAsia="Arial" w:hAnsi="Arial"/>
                <w:sz w:val="16"/>
                <w:szCs w:val="16"/>
                <w:color w:val="0000FF"/>
              </w:rPr>
              <w:t>317,093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520" w:type="dxa"/>
            <w:vAlign w:val="bottom"/>
            <w:gridSpan w:val="12"/>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0"/>
                <w:szCs w:val="10"/>
                <w:color w:val="auto"/>
              </w:rPr>
            </w:pP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or Exercise</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Price of</w:t>
            </w:r>
          </w:p>
        </w:tc>
        <w:tc>
          <w:tcPr>
            <w:tcW w:w="96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w w:val="99"/>
              </w:rPr>
              <w:t>Performance</w:t>
            </w:r>
          </w:p>
        </w:tc>
        <w:tc>
          <w:tcPr>
            <w:tcW w:w="760" w:type="dxa"/>
            <w:vAlign w:val="bottom"/>
          </w:tcPr>
          <w:p>
            <w:pPr>
              <w:ind w:left="280"/>
              <w:spacing w:after="0"/>
              <w:rPr>
                <w:sz w:val="20"/>
                <w:szCs w:val="20"/>
                <w:color w:val="auto"/>
              </w:rPr>
            </w:pPr>
            <w:r>
              <w:rPr>
                <w:rFonts w:ascii="Arial" w:cs="Arial" w:eastAsia="Arial" w:hAnsi="Arial"/>
                <w:sz w:val="11"/>
                <w:szCs w:val="11"/>
                <w:color w:val="008000"/>
              </w:rPr>
              <w:t>(2)</w:t>
            </w:r>
          </w:p>
        </w:tc>
        <w:tc>
          <w:tcPr>
            <w:tcW w:w="960" w:type="dxa"/>
            <w:vAlign w:val="bottom"/>
          </w:tcPr>
          <w:p>
            <w:pPr>
              <w:jc w:val="right"/>
              <w:ind w:right="117"/>
              <w:spacing w:after="0"/>
              <w:rPr>
                <w:sz w:val="20"/>
                <w:szCs w:val="20"/>
                <w:color w:val="auto"/>
              </w:rPr>
            </w:pPr>
            <w:r>
              <w:rPr>
                <w:rFonts w:ascii="Arial" w:cs="Arial" w:eastAsia="Arial" w:hAnsi="Arial"/>
                <w:sz w:val="13"/>
                <w:szCs w:val="13"/>
                <w:color w:val="0000FF"/>
              </w:rPr>
              <w:t>03/22/2021</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ind w:left="100"/>
              <w:spacing w:after="0"/>
              <w:rPr>
                <w:sz w:val="20"/>
                <w:szCs w:val="20"/>
                <w:color w:val="auto"/>
              </w:rPr>
            </w:pPr>
            <w:r>
              <w:rPr>
                <w:rFonts w:ascii="Arial" w:cs="Arial" w:eastAsia="Arial" w:hAnsi="Arial"/>
                <w:sz w:val="13"/>
                <w:szCs w:val="13"/>
                <w:color w:val="0000FF"/>
              </w:rPr>
              <w:t>A</w:t>
            </w:r>
          </w:p>
        </w:tc>
        <w:tc>
          <w:tcPr>
            <w:tcW w:w="680" w:type="dxa"/>
            <w:vAlign w:val="bottom"/>
          </w:tcPr>
          <w:p>
            <w:pPr>
              <w:ind w:left="140"/>
              <w:spacing w:after="0"/>
              <w:rPr>
                <w:sz w:val="20"/>
                <w:szCs w:val="20"/>
                <w:color w:val="auto"/>
              </w:rPr>
            </w:pPr>
            <w:r>
              <w:rPr>
                <w:rFonts w:ascii="Arial" w:cs="Arial" w:eastAsia="Arial" w:hAnsi="Arial"/>
                <w:sz w:val="13"/>
                <w:szCs w:val="13"/>
                <w:color w:val="0000FF"/>
              </w:rPr>
              <w:t>324,954</w:t>
            </w:r>
          </w:p>
        </w:tc>
        <w:tc>
          <w:tcPr>
            <w:tcW w:w="280" w:type="dxa"/>
            <w:vAlign w:val="bottom"/>
          </w:tcPr>
          <w:p>
            <w:pPr>
              <w:spacing w:after="0"/>
              <w:rPr>
                <w:sz w:val="20"/>
                <w:szCs w:val="20"/>
                <w:color w:val="auto"/>
              </w:rPr>
            </w:pPr>
          </w:p>
        </w:tc>
        <w:tc>
          <w:tcPr>
            <w:tcW w:w="760" w:type="dxa"/>
            <w:vAlign w:val="bottom"/>
            <w:gridSpan w:val="2"/>
          </w:tcPr>
          <w:p>
            <w:pPr>
              <w:ind w:left="260"/>
              <w:spacing w:after="0"/>
              <w:rPr>
                <w:sz w:val="20"/>
                <w:szCs w:val="20"/>
                <w:color w:val="auto"/>
              </w:rPr>
            </w:pPr>
            <w:r>
              <w:rPr>
                <w:rFonts w:ascii="Arial" w:cs="Arial" w:eastAsia="Arial" w:hAnsi="Arial"/>
                <w:sz w:val="11"/>
                <w:szCs w:val="11"/>
                <w:color w:val="008000"/>
              </w:rPr>
              <w:t>(2)</w:t>
            </w:r>
          </w:p>
        </w:tc>
        <w:tc>
          <w:tcPr>
            <w:tcW w:w="640" w:type="dxa"/>
            <w:vAlign w:val="bottom"/>
          </w:tcPr>
          <w:p>
            <w:pPr>
              <w:ind w:left="240"/>
              <w:spacing w:after="0"/>
              <w:rPr>
                <w:sz w:val="20"/>
                <w:szCs w:val="20"/>
                <w:color w:val="auto"/>
              </w:rPr>
            </w:pPr>
            <w:r>
              <w:rPr>
                <w:rFonts w:ascii="Arial" w:cs="Arial" w:eastAsia="Arial" w:hAnsi="Arial"/>
                <w:sz w:val="11"/>
                <w:szCs w:val="11"/>
                <w:color w:val="008000"/>
              </w:rPr>
              <w:t>(2)</w:t>
            </w:r>
          </w:p>
        </w:tc>
        <w:tc>
          <w:tcPr>
            <w:tcW w:w="66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tcPr>
          <w:p>
            <w:pPr>
              <w:ind w:left="20"/>
              <w:spacing w:after="0"/>
              <w:rPr>
                <w:sz w:val="20"/>
                <w:szCs w:val="20"/>
                <w:color w:val="auto"/>
              </w:rPr>
            </w:pPr>
            <w:r>
              <w:rPr>
                <w:rFonts w:ascii="Arial" w:cs="Arial" w:eastAsia="Arial" w:hAnsi="Arial"/>
                <w:sz w:val="16"/>
                <w:szCs w:val="16"/>
                <w:color w:val="0000FF"/>
              </w:rPr>
              <w:t>324,954</w:t>
            </w:r>
          </w:p>
        </w:tc>
        <w:tc>
          <w:tcPr>
            <w:tcW w:w="40" w:type="dxa"/>
            <w:vAlign w:val="bottom"/>
          </w:tcPr>
          <w:p>
            <w:pPr>
              <w:spacing w:after="0"/>
              <w:rPr>
                <w:sz w:val="20"/>
                <w:szCs w:val="20"/>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324,954</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gridSpan w:val="2"/>
          </w:tcPr>
          <w:p>
            <w:pPr>
              <w:ind w:left="60"/>
              <w:spacing w:after="0" w:line="139" w:lineRule="exact"/>
              <w:rPr>
                <w:sz w:val="20"/>
                <w:szCs w:val="20"/>
                <w:color w:val="auto"/>
              </w:rPr>
            </w:pPr>
            <w:r>
              <w:rPr>
                <w:rFonts w:ascii="Arial" w:cs="Arial" w:eastAsia="Arial" w:hAnsi="Arial"/>
                <w:sz w:val="13"/>
                <w:szCs w:val="13"/>
                <w:color w:val="0000FF"/>
              </w:rPr>
              <w:t>Stock Units</w:t>
            </w:r>
          </w:p>
        </w:tc>
        <w:tc>
          <w:tcPr>
            <w:tcW w:w="76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ind w:left="40"/>
              <w:spacing w:after="0" w:line="139" w:lineRule="exact"/>
              <w:rPr>
                <w:sz w:val="20"/>
                <w:szCs w:val="20"/>
                <w:color w:val="auto"/>
              </w:rPr>
            </w:pPr>
            <w:r>
              <w:rPr>
                <w:rFonts w:ascii="Arial" w:cs="Arial" w:eastAsia="Arial" w:hAnsi="Arial"/>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-1638935</wp:posOffset>
            </wp:positionV>
            <wp:extent cx="28575" cy="1644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644015"/>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260" w:hanging="1"/>
        <w:spacing w:after="0"/>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grant of restricted stock units ("RSUs"). Each RSU represents a contingent right to receive one share of Common Stock. These RSUs will vest in three equal installments on each of March 22, 2022, 2023 and 2024 and, subject to certain exceptions, will be settled in shares of Common Stock within 45 days following the third anniversary of the grant date.</w:t>
      </w:r>
    </w:p>
    <w:p>
      <w:pPr>
        <w:spacing w:after="0" w:line="29" w:lineRule="exact"/>
        <w:rPr>
          <w:rFonts w:ascii="Arial" w:cs="Arial" w:eastAsia="Arial" w:hAnsi="Arial"/>
          <w:sz w:val="13"/>
          <w:szCs w:val="13"/>
          <w:color w:val="008000"/>
        </w:rPr>
      </w:pPr>
    </w:p>
    <w:p>
      <w:pPr>
        <w:ind w:left="40" w:right="180" w:hanging="1"/>
        <w:spacing w:after="0" w:line="234"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target number of performance stock units ("PSUs"). Each PSU represents a contingent right to receive one share of Common Stock. The actual number of PSUs that vest and become earned is based on the volume-weighted average price of a share of Common Stock as determined over any 60 consecutive trading days during the three-year performance period, and, subject to certain exceptions, will be settled in shares of Common Stock within 45 days following the end of the three-year performance period.</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40"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/s/ Michael L. Preston,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-6350</wp:posOffset>
            </wp:positionV>
            <wp:extent cx="946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6150" cy="8255"/>
                    </a:xfrm>
                    <a:prstGeom prst="rect">
                      <a:avLst/>
                    </a:prstGeom>
                    <a:noFill/>
                  </pic:spPr>
                </pic:pic>
              </a:graphicData>
            </a:graphic>
          </wp:anchor>
        </w:drawing>
      </w:r>
    </w:p>
    <w:p>
      <w:pPr>
        <w:spacing w:after="0" w:line="4"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Attorney-in-Fact for Mark Allen 03/24/2021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-10160</wp:posOffset>
            </wp:positionV>
            <wp:extent cx="18688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McFarland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-10160</wp:posOffset>
            </wp:positionV>
            <wp:extent cx="457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5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5"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20720"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2021-03-25T19:19:59Z</dcterms:created>
  <dcterms:modified xsi:type="dcterms:W3CDTF">2021-03-25T19:19:59Z</dcterms:modified>
</cp:coreProperties>
</file>